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PURSUANT TO SECTION 13 OR 15(d)</w:t>
      </w:r>
    </w:p>
    <w:p>
      <w:pPr>
        <w:spacing w:after="0" w:line="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7"/>
          <w:szCs w:val="17"/>
          <w:b w:val="1"/>
          <w:bCs w:val="1"/>
          <w:color w:val="auto"/>
        </w:rPr>
        <w:t>1 World Trade Center</w:t>
      </w:r>
    </w:p>
    <w:p>
      <w:pPr>
        <w:spacing w:after="0" w:line="43"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9"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tab/>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24, 2025, California Resources Corporation (the “Company”) issued a press release announcing the pricing of its private offering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$400 million in aggregate principal amount of its 7.000% senior notes due 2034 at par. A copy of the press release is furnished herewith as Exhibit 99.1 and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Company’s pending merger (the “Berry Merger”) with Berry Corporation (bry), a Delaware corporation, the Company will file with the Securities and Exchange Commission (the “SEC”) a registration statement on Form S-4 that will be filed by the Company (the “Registration Statement”), which will include a proxy statement of Berry that also constitutes a prospectus of the Company, and any other documents in connection with the Berry Merger. The definitive proxy statement/prospectus will be sent to the holders of common stock of Berry. </w:t>
      </w:r>
      <w:r>
        <w:rPr>
          <w:rFonts w:ascii="Times New Roman" w:cs="Times New Roman" w:eastAsia="Times New Roman" w:hAnsi="Times New Roman"/>
          <w:sz w:val="18"/>
          <w:szCs w:val="18"/>
          <w:b w:val="1"/>
          <w:bCs w:val="1"/>
          <w:color w:val="auto"/>
        </w:rPr>
        <w:t>Investors and stockholders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Company and Berry are urged to read the proxy statement/prospectus and any other documents filed or to be filed with the SEC in connection with the Berry Merger when they become available, as they will contain important information about the Company, Berry, the Berry Merger and related matters. </w:t>
      </w:r>
      <w:r>
        <w:rPr>
          <w:rFonts w:ascii="Times New Roman" w:cs="Times New Roman" w:eastAsia="Times New Roman" w:hAnsi="Times New Roman"/>
          <w:sz w:val="18"/>
          <w:szCs w:val="18"/>
          <w:color w:val="auto"/>
        </w:rPr>
        <w:t>The Registration Statement and proxy statement/prospectus and other documents filed by the Company or Berry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the SEC, when filed, will be available free of charge at the SEC’s website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 xml:space="preserve">. Alternatively, investors and stockholders may obtain free copies of documents that are filed or will be filed with the SEC by the Company, including the Registration Statement and the proxy statement/prospectus, on the Company’s website at </w:t>
      </w:r>
      <w:r>
        <w:rPr>
          <w:rFonts w:ascii="Times New Roman" w:cs="Times New Roman" w:eastAsia="Times New Roman" w:hAnsi="Times New Roman"/>
          <w:sz w:val="18"/>
          <w:szCs w:val="18"/>
          <w:u w:val="single" w:color="auto"/>
          <w:color w:val="auto"/>
        </w:rPr>
        <w:t>https://www.crc.com/investor-relations</w:t>
      </w:r>
      <w:r>
        <w:rPr>
          <w:rFonts w:ascii="Times New Roman" w:cs="Times New Roman" w:eastAsia="Times New Roman" w:hAnsi="Times New Roman"/>
          <w:sz w:val="18"/>
          <w:szCs w:val="18"/>
          <w:color w:val="auto"/>
        </w:rPr>
        <w:t xml:space="preserve">, and may obtain free copies of documents that are filed or will be filed with the SEC by Berry, including the proxy statement/prospectus, on Berry’s website at </w:t>
      </w:r>
      <w:r>
        <w:rPr>
          <w:rFonts w:ascii="Times New Roman" w:cs="Times New Roman" w:eastAsia="Times New Roman" w:hAnsi="Times New Roman"/>
          <w:sz w:val="18"/>
          <w:szCs w:val="18"/>
          <w:u w:val="single" w:color="auto"/>
          <w:color w:val="auto"/>
        </w:rPr>
        <w:t>https://ir.bry.com/reports-resources</w:t>
      </w:r>
      <w:r>
        <w:rPr>
          <w:rFonts w:ascii="Times New Roman" w:cs="Times New Roman" w:eastAsia="Times New Roman" w:hAnsi="Times New Roman"/>
          <w:sz w:val="18"/>
          <w:szCs w:val="18"/>
          <w:color w:val="auto"/>
        </w:rPr>
        <w:t>. The information included on, or accessible through, the Company’s or Berry’s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 of Proxies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certain of its directors, executive officers and other employees, and Berry and its directors and certain of Berry’s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employees, may be deemed to be participants in the solicitation of proxies from Berry’s stockholders in connection with the Berry Merger.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participants’ direct or indirect interests, by security holdings or otherwise, will be included in the proxy statement/prospectus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Berry Merger when it is filed with the SEC. Information regarding the Company’s directors and executive officers is contained in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Corporate Governance,” “Compensation Discussion and Analysis,” “Executive Compensation Tables,” “Director Compensation,”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Information,” and “Proposals Requiring Your Vote – Proposal 1: Election of Directors” sections of the Company’s definitive proxy statement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Company’s 2025 Annual Meeting of Stockholders, filed with the SEC on March 19, 2025; under the heading “Directors, Executive Officers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in Part III, Item 10 of CRC’s Annual Report on Form 10-K for the fiscal year ended December 31, 2024, filed with the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 in Item 5.07 of the Company’s Current Report on Form 8-K filed with the SEC on May 6, 2025; in the Company’s Current Reports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filed with the SEC on June 23, 2025 and November 25, 2024; and under “Our Team” accessed through the “Our Business” link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website at </w:t>
      </w:r>
      <w:r>
        <w:rPr>
          <w:rFonts w:ascii="Times New Roman" w:cs="Times New Roman" w:eastAsia="Times New Roman" w:hAnsi="Times New Roman"/>
          <w:sz w:val="18"/>
          <w:szCs w:val="18"/>
          <w:u w:val="single" w:color="auto"/>
          <w:color w:val="auto"/>
        </w:rPr>
        <w:t>https://www.crc.com/our-business/our-team</w:t>
      </w:r>
      <w:r>
        <w:rPr>
          <w:rFonts w:ascii="Times New Roman" w:cs="Times New Roman" w:eastAsia="Times New Roman" w:hAnsi="Times New Roman"/>
          <w:sz w:val="18"/>
          <w:szCs w:val="18"/>
          <w:color w:val="auto"/>
        </w:rPr>
        <w:t>. Information regarding Berry’s directors and executive officers is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1—Election of Directors,” “Corporate Governance,” “Executive Officers,” “Executive Compensation – Compensation Discussion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“Director Compensation,” “Security Ownership of Certain Beneficial Owners and Management,” and “Certain Relationships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Transactions” sections of Berry’s definitive proxy statement for its 2025 annual meeting of stockholders, filed with the SEC on April 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heading “Directors, Executive Officers and Corporate Governance” in Part III, Item 10 of Berry’s Annual Report on Form 10-K for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2024, filed with the SEC on March 13, 2025; in Item 5.07 of Berry’s Current Report on Form 8-K filed with the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22, 2025; in Berry’s Current Reports on Form 8-K filed with the SEC on January 22, 2025 and October 25, 2024; and under “Leadership” accessed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through the “About” link on Berry’s website at </w:t>
      </w:r>
      <w:r>
        <w:rPr>
          <w:rFonts w:ascii="Times New Roman" w:cs="Times New Roman" w:eastAsia="Times New Roman" w:hAnsi="Times New Roman"/>
          <w:sz w:val="17"/>
          <w:szCs w:val="17"/>
          <w:u w:val="single" w:color="auto"/>
          <w:color w:val="auto"/>
        </w:rPr>
        <w:t>https://bry.com/about/management/</w:t>
      </w:r>
      <w:r>
        <w:rPr>
          <w:rFonts w:ascii="Times New Roman" w:cs="Times New Roman" w:eastAsia="Times New Roman" w:hAnsi="Times New Roman"/>
          <w:sz w:val="17"/>
          <w:szCs w:val="17"/>
          <w:color w:val="auto"/>
        </w:rPr>
        <w:t>. Additional information regarding ownership of Berry’s securities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directors and executive officers and of CRC’s securities by its directors and executive officers is included in such persons’ SEC filings on Forms 3,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5, which are available at </w:t>
      </w:r>
      <w:r>
        <w:rPr>
          <w:rFonts w:ascii="Times New Roman" w:cs="Times New Roman" w:eastAsia="Times New Roman" w:hAnsi="Times New Roman"/>
          <w:sz w:val="18"/>
          <w:szCs w:val="18"/>
          <w:u w:val="single" w:color="auto"/>
          <w:color w:val="auto"/>
        </w:rPr>
        <w:t>https://www.sec.gov/cgi-bin/own-disp?action=getissuer&amp;CIK=0001705873</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https://www.sec.gov/cgi-bin/own-disp?action=getissuer&amp;CIK=0001609253</w:t>
      </w:r>
      <w:r>
        <w:rPr>
          <w:rFonts w:ascii="Times New Roman" w:cs="Times New Roman" w:eastAsia="Times New Roman" w:hAnsi="Times New Roman"/>
          <w:sz w:val="18"/>
          <w:szCs w:val="18"/>
          <w:color w:val="auto"/>
        </w:rPr>
        <w:t>, respectively. These documents and the other SEC filings described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may be obtained free of charge as described above under the heading “Additional Information and Where to Find It.”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in connection with the Berry Merger except by means of a prospectus meeting the requirements of Section 10 of the Securities Act of 1933, as amended.</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24,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6350</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4"/>
          <w:szCs w:val="14"/>
          <w:color w:val="auto"/>
        </w:rPr>
        <w:t>Name:  Michael L. Preston</w:t>
      </w:r>
    </w:p>
    <w:p>
      <w:pPr>
        <w:ind w:left="6620"/>
        <w:spacing w:after="0" w:line="221" w:lineRule="auto"/>
        <w:tabs>
          <w:tab w:leader="none" w:pos="7080" w:val="left"/>
        </w:tabs>
        <w:rPr>
          <w:sz w:val="20"/>
          <w:szCs w:val="20"/>
          <w:color w:val="auto"/>
        </w:rPr>
      </w:pPr>
      <w:r>
        <w:rPr>
          <w:rFonts w:ascii="Times New Roman" w:cs="Times New Roman" w:eastAsia="Times New Roman" w:hAnsi="Times New Roman"/>
          <w:sz w:val="14"/>
          <w:szCs w:val="14"/>
          <w:color w:val="auto"/>
        </w:rPr>
        <w:t>Title:</w:t>
        <w:tab/>
        <w:t>Executive Vice President, Chief Strategy Officer and General</w:t>
      </w:r>
    </w:p>
    <w:p>
      <w:pPr>
        <w:ind w:left="7100"/>
        <w:spacing w:after="0"/>
        <w:rPr>
          <w:sz w:val="20"/>
          <w:szCs w:val="20"/>
          <w:color w:val="auto"/>
        </w:rPr>
      </w:pPr>
      <w:r>
        <w:rPr>
          <w:rFonts w:ascii="Times New Roman" w:cs="Times New Roman" w:eastAsia="Times New Roman" w:hAnsi="Times New Roman"/>
          <w:sz w:val="14"/>
          <w:szCs w:val="14"/>
          <w:color w:val="auto"/>
        </w:rPr>
        <w:t>Counsel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24, 2025</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173990</wp:posOffset>
            </wp:positionV>
            <wp:extent cx="197993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99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Resources Corporation Announces Pricing of Private Offering of $400 Million of Senior Unsecured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LONG BEACH, Calif.—(BUSINESS WIRE)— California Resources Corporation (NYSE: CRC) (the “Company”) announced today the pricing of its private offering of $400 million in aggregate principal amount of its 7.000% senior unsecured notes due 2034 (the “Notes”) at par. The Notes will be guaranteed by all of the Company’s existing subsidiaries (and certain future subsidiaries) that guarantee its revolving credit facility, its 7.125% senior unsecured notes due 2026 and its 8.250% senior unsecured notes due 2029. The offering is expected to close on October 8, 2025, subject to customary closing conditions.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$394 million after deducting the initial purchasers’ discount and estimated expenses. The Company intends to use the net proceeds from this offering, together with cash on hand and borrowings under its revolving credit facility, to repay the existing indebtedness of Berry Corporation (bry) (“Berry”) in connection with the pending business combination with Berry (the “Berry Merger”), and pay fees and expenses in connection with the Berry Merger and the offering of the Notes.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(x) the consummation of the Berry Merger does not occur on or before March 14, 2026 (subject to up to two three-month extensions by either the Company or Berry upon written notice in certain circumstances) (the “Outside Date”), or (y) prior thereto, the Company notifies the trustee in writing that the merger agreement related to the Berry Merger (the “Merger Agreement”) has been terminated or the Company will not pursue the consummation of the Berry Merger or has determined in its sole discretion that the Berry Merger cannot or is not reasonably likely to be consummated by the Outside Date, the Notes will be subject to a special mandatory redemption at a redemption price equal to 100% of the initial issue price of the Notes plus accrued and unpaid interest to, but excluding, the payment date of such special mandatory redemption.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Disclosure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release regarding activities, events or developments the Company expects, believes or anticipates will or may occur in the future, such as statements regarding the proposed offering, the intended use of proceeds and the business combination with Berry,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2024 and its subsequently filed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California Resources Corporation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California Resources Corporation (NYSE: CRC) is an independent energy and carbon management company committed to energy transition. The Company is committed to environmental stewardship while safely providing local, responsibly sourced energy. CRC is also focused on maximizing the value of its land, mineral ownership, and energy expertise for decarbonization by developing carbon capture and storage (CCS) and other emissions reducing projects.</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right="260"/>
        <w:spacing w:after="0" w:line="257" w:lineRule="auto"/>
        <w:rPr>
          <w:sz w:val="20"/>
          <w:szCs w:val="20"/>
          <w:color w:val="auto"/>
        </w:rPr>
      </w:pPr>
      <w:r>
        <w:rPr>
          <w:rFonts w:ascii="Times New Roman" w:cs="Times New Roman" w:eastAsia="Times New Roman" w:hAnsi="Times New Roman"/>
          <w:sz w:val="18"/>
          <w:szCs w:val="18"/>
          <w:color w:val="auto"/>
        </w:rPr>
        <w:t>In connection with the Berry Merger, the Company will file with the Securities and Exchange Commission (“SEC”) a registration statement on Form S-4 (the “registration statement”), which will include a proxy statement of Berry that also constitutes a prospectus of the Company, and any other documents in connection with the Berry Merger. The definitive proxy statement/prospectus will be sent to the holders of common stock of</w:t>
      </w:r>
    </w:p>
    <w:p>
      <w:pPr>
        <w:spacing w:after="0" w:line="1"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 xml:space="preserve">Berry. </w:t>
      </w:r>
      <w:r>
        <w:rPr>
          <w:rFonts w:ascii="Times New Roman" w:cs="Times New Roman" w:eastAsia="Times New Roman" w:hAnsi="Times New Roman"/>
          <w:sz w:val="17"/>
          <w:szCs w:val="17"/>
          <w:b w:val="1"/>
          <w:bCs w:val="1"/>
          <w:color w:val="auto"/>
        </w:rPr>
        <w:t>Investors and stockholders of the Company and Berry are urged to read the proxy statement/prospectus and any other documents filed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or to be filed with the SEC in connection with the Berry Merger when they become available, as they will contain important information about the Company, Berry, the Berry Merger and related matters. </w:t>
      </w:r>
      <w:r>
        <w:rPr>
          <w:rFonts w:ascii="Times New Roman" w:cs="Times New Roman" w:eastAsia="Times New Roman" w:hAnsi="Times New Roman"/>
          <w:sz w:val="17"/>
          <w:szCs w:val="17"/>
          <w:color w:val="auto"/>
        </w:rPr>
        <w:t>The registration statement and proxy statement/prospectus and other documents filed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Company or Berry with the SEC, when filed, will be available free of charge at the SEC’s website at </w:t>
      </w:r>
      <w:r>
        <w:rPr>
          <w:rFonts w:ascii="Times New Roman" w:cs="Times New Roman" w:eastAsia="Times New Roman" w:hAnsi="Times New Roman"/>
          <w:sz w:val="17"/>
          <w:szCs w:val="17"/>
          <w:u w:val="single" w:color="auto"/>
          <w:color w:val="auto"/>
        </w:rPr>
        <w:t>https://www.sec.gov</w:t>
      </w:r>
      <w:r>
        <w:rPr>
          <w:rFonts w:ascii="Times New Roman" w:cs="Times New Roman" w:eastAsia="Times New Roman" w:hAnsi="Times New Roman"/>
          <w:sz w:val="17"/>
          <w:szCs w:val="17"/>
          <w:color w:val="auto"/>
        </w:rPr>
        <w:t xml:space="preserve">. Alternatively, investors and stockholders may obtain free copies of documents that are filed or will be filed with the SEC by the Company, including the registration statement and the proxy statement/prospectus, on the Company’s website at </w:t>
      </w:r>
      <w:r>
        <w:rPr>
          <w:rFonts w:ascii="Times New Roman" w:cs="Times New Roman" w:eastAsia="Times New Roman" w:hAnsi="Times New Roman"/>
          <w:sz w:val="17"/>
          <w:szCs w:val="17"/>
          <w:u w:val="single" w:color="auto"/>
          <w:color w:val="auto"/>
        </w:rPr>
        <w:t>https://www.crc.com/investor-relations</w:t>
      </w:r>
      <w:r>
        <w:rPr>
          <w:rFonts w:ascii="Times New Roman" w:cs="Times New Roman" w:eastAsia="Times New Roman" w:hAnsi="Times New Roman"/>
          <w:sz w:val="17"/>
          <w:szCs w:val="17"/>
          <w:color w:val="auto"/>
        </w:rPr>
        <w:t xml:space="preserve">, and may obtain free copies of documents that are filed or will be filed with the SEC by Berry, including the proxy statement/prospectus, on Berry’s website at </w:t>
      </w:r>
      <w:r>
        <w:rPr>
          <w:rFonts w:ascii="Times New Roman" w:cs="Times New Roman" w:eastAsia="Times New Roman" w:hAnsi="Times New Roman"/>
          <w:sz w:val="17"/>
          <w:szCs w:val="17"/>
          <w:u w:val="single" w:color="auto"/>
          <w:color w:val="auto"/>
        </w:rPr>
        <w:t>https://ir.bry.com/reports-resources</w:t>
      </w:r>
      <w:r>
        <w:rPr>
          <w:rFonts w:ascii="Times New Roman" w:cs="Times New Roman" w:eastAsia="Times New Roman" w:hAnsi="Times New Roman"/>
          <w:sz w:val="17"/>
          <w:szCs w:val="17"/>
          <w:color w:val="auto"/>
        </w:rPr>
        <w:t>. The information included on, or accessible through, the Company’s or Berry’s website is not incorporated by reference into this communication.</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and certain of its directors, executive officers and other employees, and Berry and its directors and certain of Berry’s executive officers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other employees, may be deemed to be participants in the solicitation of proxies from Berry’s stockholders in connection with the Berry Merger.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description of participants’ direct or indirect interests, by security holdings or otherwise, will be included in the proxy statement/prospectus relating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Berry Merger when it is filed with the SEC. Information regarding the Company’s directors and executive officers is contained in the “Board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Directors and Corporate Governance,” “Compensation Discussion and Analysis,” “Executive Compensation Tables,” “Director Compensation,”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Ownership Information,” and “Proposals Requiring Your Vote – Proposal 1: Election of Directors” sections of the Company’s definitive proxy statement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Company’s 2025 Annual Meeting of Stockholders, filed with the SEC on March 19, 2025; under the heading “Directors, Executive Officers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Corporate Governance” in Part III, Item 10 of the Company’s Annual Report on Form 10-K for the fiscal year ended December 31, 2024, filed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 on March 3, 2025; in Item 5.07 of the Company’s Current Report on Form 8-K filed with the SEC on May 6, 2025; in the Company’s Current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Reports on Form 8-K filed with the SEC on June 23, 2025 and November 25, 2024; and under “Our Team” accessed through the “Our Business” link on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the Company’s website at </w:t>
      </w:r>
      <w:r>
        <w:rPr>
          <w:rFonts w:ascii="Times New Roman" w:cs="Times New Roman" w:eastAsia="Times New Roman" w:hAnsi="Times New Roman"/>
          <w:sz w:val="17"/>
          <w:szCs w:val="17"/>
          <w:u w:val="single" w:color="auto"/>
          <w:color w:val="auto"/>
        </w:rPr>
        <w:t>https://www.crc.com/our-business/our-team</w:t>
      </w:r>
      <w:r>
        <w:rPr>
          <w:rFonts w:ascii="Times New Roman" w:cs="Times New Roman" w:eastAsia="Times New Roman" w:hAnsi="Times New Roman"/>
          <w:sz w:val="17"/>
          <w:szCs w:val="17"/>
          <w:color w:val="auto"/>
        </w:rPr>
        <w:t>. Information regarding Berry’s directors and executive officers is contained in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No. 1—Election of Directors,” “Corporate Governance,” “Executive Officers,” “Executive Compensation – Compensation Discussion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“Director Compensation,” “Security Ownership of Certain Beneficial Owners and Management,” and “Certain Relationships and Related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Transactions” sections of Berry’s definitive proxy statement for its 2025 annual meeting of stockholders, filed with the SEC on April 7,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heading “Directors, Executive Officers and Corporate Governance” in Part III, Item 10 of Berry’s Annual Report on Form 10-K for the fiscal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year ended December 31, 2024, filed with the SEC on March 13, 2025; in Item 5.07 of Berry’s Current Report on Form 8-K filed with the SEC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May 22, 2025; in Berry’s Current Reports on Form 8-K filed with the SEC on January 22, 2025 and October 25, 2024; and under “Leadership” accessed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through the “About” link on Berry’s website at </w:t>
      </w:r>
      <w:r>
        <w:rPr>
          <w:rFonts w:ascii="Times New Roman" w:cs="Times New Roman" w:eastAsia="Times New Roman" w:hAnsi="Times New Roman"/>
          <w:sz w:val="17"/>
          <w:szCs w:val="17"/>
          <w:u w:val="single" w:color="auto"/>
          <w:color w:val="auto"/>
        </w:rPr>
        <w:t>https://bry.com/about/management/</w:t>
      </w:r>
      <w:r>
        <w:rPr>
          <w:rFonts w:ascii="Times New Roman" w:cs="Times New Roman" w:eastAsia="Times New Roman" w:hAnsi="Times New Roman"/>
          <w:sz w:val="17"/>
          <w:szCs w:val="17"/>
          <w:color w:val="auto"/>
        </w:rPr>
        <w:t>. Additional information regarding ownership of Berry’s securities by</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its directors and executive officers and of the Company’s securities by its directors and executive officers is included in such persons’ SEC filings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Forms 3, 4 or 5, which are available at </w:t>
      </w:r>
      <w:r>
        <w:rPr>
          <w:rFonts w:ascii="Times New Roman" w:cs="Times New Roman" w:eastAsia="Times New Roman" w:hAnsi="Times New Roman"/>
          <w:sz w:val="18"/>
          <w:szCs w:val="18"/>
          <w:u w:val="single" w:color="auto"/>
          <w:color w:val="auto"/>
        </w:rPr>
        <w:t>https://www.sec.gov/cgi-bin/own-disp?action=getissuer&amp;CIK=0001705873</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https://www.sec.gov/cgi-bin/own-disp?action=getissuer&amp;CIK=0001609253, respectively</w:t>
      </w:r>
      <w:r>
        <w:rPr>
          <w:rFonts w:ascii="Times New Roman" w:cs="Times New Roman" w:eastAsia="Times New Roman" w:hAnsi="Times New Roman"/>
          <w:sz w:val="18"/>
          <w:szCs w:val="18"/>
          <w:color w:val="auto"/>
        </w:rPr>
        <w:t>. These documents and the other SEC filings described in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paragraph may be obtained free of charge as described above under the heading “Additional Information and Where to Find It.”</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in connection with the Berry Merger shall be made except by means of a prospectus meeting the requirements of Section 10 of the Securities Act of 1933, as amended.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Joanna Park (Investor Relations)</w:t>
      </w:r>
    </w:p>
    <w:p>
      <w:pPr>
        <w:spacing w:after="0" w:line="27" w:lineRule="exact"/>
        <w:rPr>
          <w:sz w:val="20"/>
          <w:szCs w:val="20"/>
          <w:color w:val="auto"/>
        </w:rPr>
      </w:pPr>
    </w:p>
    <w:p>
      <w:pPr>
        <w:ind w:left="4" w:right="9360" w:hanging="4"/>
        <w:spacing w:after="0" w:line="260" w:lineRule="auto"/>
        <w:tabs>
          <w:tab w:leader="none" w:pos="4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661-3731 </w:t>
      </w:r>
      <w:r>
        <w:rPr>
          <w:rFonts w:ascii="Times New Roman" w:cs="Times New Roman" w:eastAsia="Times New Roman" w:hAnsi="Times New Roman"/>
          <w:sz w:val="18"/>
          <w:szCs w:val="18"/>
          <w:u w:val="single" w:color="auto"/>
          <w:color w:val="auto"/>
        </w:rPr>
        <w:t>Joanna.Park@crc.com</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Daniel Juck (Investor Relations)</w:t>
      </w:r>
    </w:p>
    <w:p>
      <w:pPr>
        <w:spacing w:after="0" w:line="27" w:lineRule="exact"/>
        <w:rPr>
          <w:sz w:val="20"/>
          <w:szCs w:val="20"/>
          <w:color w:val="auto"/>
        </w:rPr>
      </w:pPr>
    </w:p>
    <w:p>
      <w:pPr>
        <w:jc w:val="center"/>
        <w:ind w:left="4" w:right="9380" w:hanging="4"/>
        <w:spacing w:after="0" w:line="260" w:lineRule="auto"/>
        <w:tabs>
          <w:tab w:leader="none" w:pos="4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661-6045 Daniel.Juck@crc.com</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Hailey Bonus (Media)</w:t>
      </w:r>
    </w:p>
    <w:p>
      <w:pPr>
        <w:spacing w:after="0" w:line="27" w:lineRule="exact"/>
        <w:rPr>
          <w:sz w:val="20"/>
          <w:szCs w:val="20"/>
          <w:color w:val="auto"/>
        </w:rPr>
      </w:pPr>
    </w:p>
    <w:p>
      <w:pPr>
        <w:ind w:left="4" w:right="9280"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874-7732 </w:t>
      </w:r>
      <w:r>
        <w:rPr>
          <w:rFonts w:ascii="Times New Roman" w:cs="Times New Roman" w:eastAsia="Times New Roman" w:hAnsi="Times New Roman"/>
          <w:sz w:val="17"/>
          <w:szCs w:val="17"/>
          <w:u w:val="single" w:color="auto"/>
          <w:color w:val="auto"/>
        </w:rPr>
        <w:t>Hailey.Bonus@crc.com</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California Resources Corporation</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818"/>
    </w:lvl>
  </w:abstractNum>
  <w:abstractNum w:abstractNumId="2">
    <w:nsid w:val="2AE8944A"/>
    <w:multiLevelType w:val="hybridMultilevel"/>
    <w:lvl w:ilvl="0">
      <w:lvlJc w:val="left"/>
      <w:lvlText w:val="(%1)"/>
      <w:numFmt w:val="decimal"/>
      <w:start w:val="818"/>
    </w:lvl>
  </w:abstractNum>
  <w:abstractNum w:abstractNumId="3">
    <w:nsid w:val="625558EC"/>
    <w:multiLevelType w:val="hybridMultilevel"/>
    <w:lvl w:ilvl="0">
      <w:lvlJc w:val="left"/>
      <w:lvlText w:val="(%1)"/>
      <w:numFmt w:val="decimal"/>
      <w:start w:val="7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2025-09-24T16:33:29Z</dcterms:created>
  <dcterms:modified xsi:type="dcterms:W3CDTF">2025-09-24T16:33:29Z</dcterms:modified>
</cp:coreProperties>
</file>