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0002028159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California Resources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World Trade Center, Suite 1500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Long Beach</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888-848-4754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IKAV Impact S.a r.l.</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1"/>
          <w:szCs w:val="21"/>
          <w:color w:val="auto"/>
        </w:rPr>
        <w:t>Citigroup Global Markets</w:t>
      </w:r>
    </w:p>
    <w:p>
      <w:pPr>
        <w:spacing w:after="0" w:line="1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388 GREENWICH</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STREET</w:t>
      </w: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74550000.00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89175034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08/06/2025   NYSE</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720" w:space="14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8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6"/>
        </w:trPr>
        <w:tc>
          <w:tcPr>
            <w:tcW w:w="408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4"/>
        </w:trPr>
        <w:tc>
          <w:tcPr>
            <w:tcW w:w="4080" w:type="dxa"/>
            <w:vAlign w:val="bottom"/>
          </w:tcPr>
          <w:p>
            <w:pPr>
              <w:ind w:left="2520"/>
              <w:spacing w:after="0" w:line="244" w:lineRule="exact"/>
              <w:rPr>
                <w:sz w:val="20"/>
                <w:szCs w:val="20"/>
                <w:color w:val="auto"/>
              </w:rPr>
            </w:pPr>
            <w:r>
              <w:rPr>
                <w:rFonts w:ascii="Times New Roman" w:cs="Times New Roman" w:eastAsia="Times New Roman" w:hAnsi="Times New Roman"/>
                <w:sz w:val="22"/>
                <w:szCs w:val="22"/>
                <w:color w:val="auto"/>
              </w:rPr>
              <w:t>Merger with and</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ind w:left="20"/>
              <w:spacing w:after="0" w:line="244" w:lineRule="exact"/>
              <w:rPr>
                <w:sz w:val="20"/>
                <w:szCs w:val="20"/>
                <w:color w:val="auto"/>
              </w:rPr>
            </w:pPr>
            <w:r>
              <w:rPr>
                <w:rFonts w:ascii="Times New Roman" w:cs="Times New Roman" w:eastAsia="Times New Roman" w:hAnsi="Times New Roman"/>
                <w:sz w:val="22"/>
                <w:szCs w:val="22"/>
                <w:color w:val="auto"/>
              </w:rPr>
              <w:t>Merger</w:t>
            </w:r>
          </w:p>
        </w:tc>
      </w:tr>
      <w:tr>
        <w:trPr>
          <w:trHeight w:val="571"/>
        </w:trPr>
        <w:tc>
          <w:tcPr>
            <w:tcW w:w="408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Common Stock 07/01/2024 </w:t>
            </w:r>
            <w:r>
              <w:rPr>
                <w:rFonts w:ascii="Times New Roman" w:cs="Times New Roman" w:eastAsia="Times New Roman" w:hAnsi="Times New Roman"/>
                <w:sz w:val="43"/>
                <w:szCs w:val="43"/>
                <w:color w:val="auto"/>
                <w:vertAlign w:val="subscript"/>
              </w:rPr>
              <w:t>into Issuer</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1500000</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Consideration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IKAV Impact S.a r.l.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74a, Route de Luxembourg</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07/28/2025 1000000</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49750000.00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Wasserbillig  N4  L-6633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40" w:type="dxa"/>
            <w:vAlign w:val="bottom"/>
          </w:tcPr>
          <w:p>
            <w:pPr>
              <w:spacing w:after="0"/>
              <w:rPr>
                <w:sz w:val="24"/>
                <w:szCs w:val="24"/>
                <w:color w:val="auto"/>
              </w:rPr>
            </w:pP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08/06/2025</w:t>
            </w: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Constantin von Wasserschleben, Director &amp; /s/ Marco Hoopmann, Director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2025-08-06T19:23:43Z</dcterms:created>
  <dcterms:modified xsi:type="dcterms:W3CDTF">2025-08-06T19:23:43Z</dcterms:modified>
</cp:coreProperties>
</file>