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9"/>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9"/>
            <w:vMerge w:val="continue"/>
          </w:tcPr>
          <w:p>
            <w:pPr>
              <w:spacing w:after="0"/>
              <w:rPr>
                <w:sz w:val="5"/>
                <w:szCs w:val="5"/>
                <w:color w:val="auto"/>
              </w:rPr>
            </w:pPr>
          </w:p>
        </w:tc>
        <w:tc>
          <w:tcPr>
            <w:tcW w:w="3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auto"/>
              </w:rPr>
              <w:t>Line)</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gridSpan w:val="2"/>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60" w:type="dxa"/>
            <w:vAlign w:val="bottom"/>
            <w:gridSpan w:val="3"/>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jc w:val="right"/>
              <w:ind w:right="29"/>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40" w:type="dxa"/>
            <w:vAlign w:val="bottom"/>
          </w:tcPr>
          <w:p>
            <w:pPr>
              <w:jc w:val="right"/>
              <w:ind w:right="89"/>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jc w:val="right"/>
              <w:ind w:right="29"/>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01/18/2022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spacing w:after="0" w:line="320" w:lineRule="exact"/>
              <w:rPr>
                <w:sz w:val="20"/>
                <w:szCs w:val="20"/>
                <w:color w:val="auto"/>
              </w:rPr>
            </w:pPr>
            <w:r>
              <w:rPr>
                <w:rFonts w:ascii="Arial" w:cs="Arial" w:eastAsia="Arial" w:hAnsi="Arial"/>
                <w:sz w:val="34"/>
                <w:szCs w:val="34"/>
                <w:color w:val="0000FF"/>
                <w:w w:val="82"/>
                <w:vertAlign w:val="subscript"/>
              </w:rPr>
              <w:t>100,000</w:t>
            </w:r>
            <w:r>
              <w:rPr>
                <w:rFonts w:ascii="Arial" w:cs="Arial" w:eastAsia="Arial" w:hAnsi="Arial"/>
                <w:sz w:val="11"/>
                <w:szCs w:val="11"/>
                <w:color w:val="008000"/>
                <w:w w:val="82"/>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43.7278</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9,516,968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01/19/2022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color w:val="0000FF"/>
              </w:rPr>
              <w:t>S</w:t>
            </w:r>
          </w:p>
        </w:tc>
        <w:tc>
          <w:tcPr>
            <w:tcW w:w="1420" w:type="dxa"/>
            <w:vAlign w:val="bottom"/>
            <w:gridSpan w:val="4"/>
          </w:tcPr>
          <w:p>
            <w:pPr>
              <w:jc w:val="center"/>
              <w:ind w:right="40"/>
              <w:spacing w:after="0" w:line="320" w:lineRule="exact"/>
              <w:rPr>
                <w:sz w:val="20"/>
                <w:szCs w:val="20"/>
                <w:color w:val="auto"/>
              </w:rPr>
            </w:pPr>
            <w:r>
              <w:rPr>
                <w:rFonts w:ascii="Arial" w:cs="Arial" w:eastAsia="Arial" w:hAnsi="Arial"/>
                <w:sz w:val="34"/>
                <w:szCs w:val="34"/>
                <w:color w:val="0000FF"/>
                <w:w w:val="85"/>
                <w:vertAlign w:val="subscript"/>
              </w:rPr>
              <w:t>78,000</w:t>
            </w:r>
            <w:r>
              <w:rPr>
                <w:rFonts w:ascii="Arial" w:cs="Arial" w:eastAsia="Arial" w:hAnsi="Arial"/>
                <w:sz w:val="11"/>
                <w:szCs w:val="11"/>
                <w:color w:val="008000"/>
                <w:w w:val="85"/>
              </w:rPr>
              <w:t>(1)(2)(3)(4)(5)(6)</w:t>
            </w:r>
          </w:p>
        </w:tc>
        <w:tc>
          <w:tcPr>
            <w:tcW w:w="340" w:type="dxa"/>
            <w:vAlign w:val="bottom"/>
          </w:tcPr>
          <w:p>
            <w:pPr>
              <w:jc w:val="right"/>
              <w:ind w:right="29"/>
              <w:spacing w:after="0"/>
              <w:rPr>
                <w:sz w:val="20"/>
                <w:szCs w:val="20"/>
                <w:color w:val="auto"/>
              </w:rPr>
            </w:pPr>
            <w:r>
              <w:rPr>
                <w:rFonts w:ascii="Arial" w:cs="Arial" w:eastAsia="Arial" w:hAnsi="Arial"/>
                <w:sz w:val="17"/>
                <w:szCs w:val="17"/>
                <w:color w:val="0000FF"/>
              </w:rPr>
              <w:t>D</w:t>
            </w:r>
          </w:p>
        </w:tc>
        <w:tc>
          <w:tcPr>
            <w:tcW w:w="800" w:type="dxa"/>
            <w:vAlign w:val="bottom"/>
          </w:tcPr>
          <w:p>
            <w:pPr>
              <w:ind w:left="8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43.1826</w:t>
            </w:r>
          </w:p>
        </w:tc>
        <w:tc>
          <w:tcPr>
            <w:tcW w:w="1620" w:type="dxa"/>
            <w:vAlign w:val="bottom"/>
            <w:gridSpan w:val="4"/>
          </w:tcPr>
          <w:p>
            <w:pPr>
              <w:ind w:left="80"/>
              <w:spacing w:after="0" w:line="320" w:lineRule="exact"/>
              <w:rPr>
                <w:sz w:val="20"/>
                <w:szCs w:val="20"/>
                <w:color w:val="auto"/>
              </w:rPr>
            </w:pPr>
            <w:r>
              <w:rPr>
                <w:rFonts w:ascii="Arial" w:cs="Arial" w:eastAsia="Arial" w:hAnsi="Arial"/>
                <w:sz w:val="34"/>
                <w:szCs w:val="34"/>
                <w:color w:val="0000FF"/>
                <w:w w:val="83"/>
                <w:vertAlign w:val="subscript"/>
              </w:rPr>
              <w:t>9,438,968</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6"/>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14"/>
                <w:szCs w:val="14"/>
                <w:color w:val="auto"/>
              </w:rPr>
            </w:pPr>
          </w:p>
        </w:tc>
        <w:tc>
          <w:tcPr>
            <w:tcW w:w="58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w w:val="94"/>
              </w:rPr>
              <w:t>2000 AVENUE OF THE STARS</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92"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Ares Management Holdings L.P.</w:t>
        </w:r>
      </w:hyperlink>
    </w:p>
    <w:p>
      <w:pPr>
        <w:sectPr>
          <w:pgSz w:w="11900" w:h="16892" w:orient="portrait"/>
          <w:cols w:equalWidth="0" w:num="1">
            <w:col w:w="11080"/>
          </w:cols>
          <w:pgMar w:left="460" w:top="225" w:right="359" w:bottom="0" w:gutter="0" w:footer="0" w:header="0"/>
          <w:type w:val="continuous"/>
        </w:sectPr>
      </w:pPr>
    </w:p>
    <w:bookmarkStart w:id="1" w:name="page2"/>
    <w:bookmarkEnd w:id="1"/>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394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394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7"/>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6"/>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6"/>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9979"/>
          </w:cols>
          <w:pgMar w:left="480" w:top="459" w:right="1440" w:bottom="0" w:gutter="0" w:footer="0" w:header="0"/>
        </w:sectPr>
      </w:pPr>
    </w:p>
    <w:bookmarkStart w:id="2" w:name="page3"/>
    <w:bookmarkEnd w:id="2"/>
    <w:p>
      <w:pPr>
        <w:jc w:val="both"/>
        <w:ind w:right="16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right="1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9,438,968 shares of Common Stock by reason of the direct or indirect beneficial ownership of such shares as follows: (i) ACOF AIV 1A directly holds 528,843 shares of Common Stock, (ii) ACOF AIV 1B directly holds 1,935,297 shares of Common Stock, (iii) ACOF AIV 2 directly holds 1,971,500 shares of Common Stock, (iv) AEOF AIV A-B directly holds 1,894,861 shares of Common Stock, (v) AEOF AIV C directly holds 804,524 shares of Common Stock and (vi) AF Energy Feeder, L.P. directly holds 2,303,943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44"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01/20/2022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44"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4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2022-01-20T15:08:51Z</dcterms:created>
  <dcterms:modified xsi:type="dcterms:W3CDTF">2022-01-20T15:08:51Z</dcterms:modified>
</cp:coreProperties>
</file>