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ARES MANAGEMENT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780"/>
        <w:spacing w:after="0" w:line="356" w:lineRule="auto"/>
        <w:rPr>
          <w:sz w:val="20"/>
          <w:szCs w:val="20"/>
          <w:color w:val="auto"/>
        </w:rPr>
      </w:pPr>
      <w:r>
        <w:rPr>
          <w:rFonts w:ascii="Arial" w:cs="Arial" w:eastAsia="Arial" w:hAnsi="Arial"/>
          <w:sz w:val="17"/>
          <w:szCs w:val="17"/>
          <w:color w:val="0000FF"/>
        </w:rPr>
        <w:t>2000 AVENUE OF THE STARS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7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06/18/2021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0" w:lineRule="exact"/>
        <w:rPr>
          <w:sz w:val="24"/>
          <w:szCs w:val="24"/>
          <w:color w:val="auto"/>
        </w:rPr>
      </w:pPr>
    </w:p>
    <w:p>
      <w:pPr>
        <w:sectPr>
          <w:pgSz w:w="11900" w:h="16838" w:orient="portrait"/>
          <w:cols w:equalWidth="0" w:num="3">
            <w:col w:w="3200" w:space="720"/>
            <w:col w:w="3095" w:space="720"/>
            <w:col w:w="3345"/>
          </w:cols>
          <w:pgMar w:left="460" w:top="225" w:right="359" w:bottom="0" w:gutter="0" w:footer="0" w:header="0"/>
          <w:type w:val="continuous"/>
        </w:sectPr>
      </w:pPr>
    </w:p>
    <w:tbl>
      <w:tblPr>
        <w:tblLayout w:type="fixed"/>
        <w:tblInd w:w="80" w:type="dxa"/>
        <w:tblCellMar>
          <w:top w:w="0" w:type="dxa"/>
          <w:left w:w="0" w:type="dxa"/>
          <w:bottom w:w="0" w:type="dxa"/>
          <w:right w:w="0" w:type="dxa"/>
        </w:tblCellMar>
      </w:tblPr>
      <w:tr>
        <w:trPr>
          <w:trHeight w:val="61"/>
        </w:trPr>
        <w:tc>
          <w:tcPr>
            <w:tcW w:w="40" w:type="dxa"/>
            <w:vAlign w:val="bottom"/>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600" w:type="dxa"/>
            <w:vAlign w:val="bottom"/>
            <w:tcBorders>
              <w:bottom w:val="single" w:sz="8" w:color="9A9A9A"/>
            </w:tcBorders>
          </w:tcPr>
          <w:p>
            <w:pPr>
              <w:spacing w:after="0"/>
              <w:rPr>
                <w:sz w:val="5"/>
                <w:szCs w:val="5"/>
                <w:color w:val="auto"/>
              </w:rPr>
            </w:pPr>
          </w:p>
        </w:tc>
        <w:tc>
          <w:tcPr>
            <w:tcW w:w="3760" w:type="dxa"/>
            <w:vAlign w:val="bottom"/>
            <w:vMerge w:val="restart"/>
          </w:tcPr>
          <w:p>
            <w:pPr>
              <w:ind w:left="160"/>
              <w:spacing w:after="0" w:line="148" w:lineRule="exact"/>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220"/>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3760" w:type="dxa"/>
            <w:vAlign w:val="bottom"/>
            <w:vMerge w:val="continue"/>
          </w:tcPr>
          <w:p>
            <w:pPr>
              <w:spacing w:after="0"/>
              <w:rPr>
                <w:sz w:val="5"/>
                <w:szCs w:val="5"/>
                <w:color w:val="auto"/>
              </w:rPr>
            </w:pPr>
          </w:p>
        </w:tc>
        <w:tc>
          <w:tcPr>
            <w:tcW w:w="32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Line)</w:t>
            </w:r>
          </w:p>
        </w:tc>
        <w:tc>
          <w:tcPr>
            <w:tcW w:w="2640" w:type="dxa"/>
            <w:vAlign w:val="bottom"/>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1000" w:type="dxa"/>
            <w:vAlign w:val="bottom"/>
            <w:vMerge w:val="restart"/>
          </w:tcPr>
          <w:p>
            <w:pPr>
              <w:spacing w:after="0"/>
              <w:rPr>
                <w:sz w:val="20"/>
                <w:szCs w:val="20"/>
                <w:color w:val="auto"/>
              </w:rPr>
            </w:pPr>
            <w:r>
              <w:rPr>
                <w:rFonts w:ascii="Arial" w:cs="Arial" w:eastAsia="Arial" w:hAnsi="Arial"/>
                <w:sz w:val="17"/>
                <w:szCs w:val="17"/>
                <w:color w:val="0000FF"/>
              </w:rPr>
              <w:t>LOS</w:t>
            </w:r>
          </w:p>
        </w:tc>
        <w:tc>
          <w:tcPr>
            <w:tcW w:w="1040" w:type="dxa"/>
            <w:vAlign w:val="bottom"/>
            <w:vMerge w:val="restart"/>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90067</w:t>
            </w:r>
          </w:p>
        </w:tc>
        <w:tc>
          <w:tcPr>
            <w:tcW w:w="3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4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3760" w:type="dxa"/>
            <w:vAlign w:val="bottom"/>
          </w:tcPr>
          <w:p>
            <w:pPr>
              <w:spacing w:after="0"/>
              <w:rPr>
                <w:sz w:val="7"/>
                <w:szCs w:val="7"/>
                <w:color w:val="auto"/>
              </w:rPr>
            </w:pPr>
          </w:p>
        </w:tc>
        <w:tc>
          <w:tcPr>
            <w:tcW w:w="640" w:type="dxa"/>
            <w:vAlign w:val="bottom"/>
            <w:vMerge w:val="restart"/>
          </w:tcPr>
          <w:p>
            <w:pPr>
              <w:ind w:left="420"/>
              <w:spacing w:after="0"/>
              <w:rPr>
                <w:sz w:val="20"/>
                <w:szCs w:val="20"/>
                <w:color w:val="auto"/>
              </w:rPr>
            </w:pPr>
            <w:r>
              <w:rPr>
                <w:rFonts w:ascii="Arial" w:cs="Arial" w:eastAsia="Arial" w:hAnsi="Arial"/>
                <w:sz w:val="17"/>
                <w:szCs w:val="17"/>
                <w:color w:val="0000FF"/>
              </w:rPr>
              <w:t>X</w:t>
            </w:r>
          </w:p>
        </w:tc>
        <w:tc>
          <w:tcPr>
            <w:tcW w:w="2640" w:type="dxa"/>
            <w:vAlign w:val="bottom"/>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1000" w:type="dxa"/>
            <w:vAlign w:val="bottom"/>
            <w:vMerge w:val="restart"/>
          </w:tcPr>
          <w:p>
            <w:pPr>
              <w:spacing w:after="0"/>
              <w:rPr>
                <w:sz w:val="20"/>
                <w:szCs w:val="20"/>
                <w:color w:val="auto"/>
              </w:rPr>
            </w:pPr>
            <w:r>
              <w:rPr>
                <w:rFonts w:ascii="Arial" w:cs="Arial" w:eastAsia="Arial" w:hAnsi="Arial"/>
                <w:sz w:val="17"/>
                <w:szCs w:val="17"/>
                <w:color w:val="0000FF"/>
              </w:rPr>
              <w:t>ANGELES</w:t>
            </w:r>
          </w:p>
        </w:tc>
        <w:tc>
          <w:tcPr>
            <w:tcW w:w="10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37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264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3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3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536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8"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ectPr>
          <w:pgSz w:w="11900" w:h="16838" w:orient="portrait"/>
          <w:cols w:equalWidth="0" w:num="1">
            <w:col w:w="11080"/>
          </w:cols>
          <w:pgMar w:left="460" w:top="225" w:right="359" w:bottom="0" w:gutter="0" w:footer="0" w:header="0"/>
          <w:type w:val="continuous"/>
        </w:sectPr>
      </w:pPr>
    </w:p>
    <w:p>
      <w:pPr>
        <w:spacing w:after="0" w:line="140" w:lineRule="exact"/>
        <w:rPr>
          <w:sz w:val="24"/>
          <w:szCs w:val="24"/>
          <w:color w:val="auto"/>
        </w:rPr>
      </w:pPr>
    </w:p>
    <w:p>
      <w:pPr>
        <w:ind w:left="80" w:firstLine="7"/>
        <w:spacing w:after="0" w:line="257" w:lineRule="auto"/>
        <w:tabs>
          <w:tab w:leader="none" w:pos="228" w:val="left"/>
        </w:tabs>
        <w:numPr>
          <w:ilvl w:val="0"/>
          <w:numId w:val="2"/>
        </w:numPr>
        <w:rPr>
          <w:rFonts w:ascii="Arial" w:cs="Arial" w:eastAsia="Arial" w:hAnsi="Arial"/>
          <w:sz w:val="13"/>
          <w:szCs w:val="13"/>
          <w:b w:val="1"/>
          <w:bCs w:val="1"/>
          <w:color w:val="auto"/>
        </w:rPr>
      </w:pPr>
      <w:r>
        <w:rPr>
          <w:rFonts w:ascii="Arial" w:cs="Arial" w:eastAsia="Arial" w:hAnsi="Arial"/>
          <w:sz w:val="13"/>
          <w:szCs w:val="13"/>
          <w:b w:val="1"/>
          <w:bCs w:val="1"/>
          <w:color w:val="auto"/>
        </w:rPr>
        <w:t>Title of Security (Instr. 3)</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040" w:type="dxa"/>
            <w:vAlign w:val="bottom"/>
          </w:tcPr>
          <w:p>
            <w:pPr>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5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 Disposed Of</w:t>
            </w:r>
          </w:p>
        </w:tc>
        <w:tc>
          <w:tcPr>
            <w:tcW w:w="1820" w:type="dxa"/>
            <w:vAlign w:val="bottom"/>
          </w:tcPr>
          <w:p>
            <w:pPr>
              <w:ind w:left="60"/>
              <w:spacing w:after="0"/>
              <w:rPr>
                <w:sz w:val="20"/>
                <w:szCs w:val="20"/>
                <w:color w:val="auto"/>
              </w:rPr>
            </w:pPr>
            <w:r>
              <w:rPr>
                <w:rFonts w:ascii="Arial" w:cs="Arial" w:eastAsia="Arial" w:hAnsi="Arial"/>
                <w:sz w:val="12"/>
                <w:szCs w:val="12"/>
                <w:b w:val="1"/>
                <w:bCs w:val="1"/>
                <w:color w:val="auto"/>
              </w:rPr>
              <w:t>5. Amount of Securities</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6.</w:t>
            </w:r>
          </w:p>
        </w:tc>
        <w:tc>
          <w:tcPr>
            <w:tcW w:w="1660" w:type="dxa"/>
            <w:vAlign w:val="bottom"/>
          </w:tcPr>
          <w:p>
            <w:pPr>
              <w:ind w:left="8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(Instr. 3, 4 and 5)</w:t>
            </w: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 Owned Following</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1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 Ownership (Instr.</w:t>
            </w:r>
          </w:p>
        </w:tc>
        <w:tc>
          <w:tcPr>
            <w:tcW w:w="0" w:type="dxa"/>
            <w:vAlign w:val="bottom"/>
          </w:tcPr>
          <w:p>
            <w:pPr>
              <w:spacing w:after="0"/>
              <w:rPr>
                <w:sz w:val="1"/>
                <w:szCs w:val="1"/>
                <w:color w:val="auto"/>
              </w:rPr>
            </w:pPr>
          </w:p>
        </w:tc>
      </w:tr>
      <w:tr>
        <w:trPr>
          <w:trHeight w:val="133"/>
        </w:trPr>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 Transaction(s)</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1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20" w:type="dxa"/>
            <w:vAlign w:val="bottom"/>
          </w:tcPr>
          <w:p>
            <w:pPr>
              <w:spacing w:after="0"/>
              <w:rPr>
                <w:sz w:val="6"/>
                <w:szCs w:val="6"/>
                <w:color w:val="auto"/>
              </w:rPr>
            </w:pPr>
          </w:p>
        </w:tc>
        <w:tc>
          <w:tcPr>
            <w:tcW w:w="7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1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4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w:t>
            </w:r>
          </w:p>
        </w:tc>
        <w:tc>
          <w:tcPr>
            <w:tcW w:w="6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V</w:t>
            </w:r>
          </w:p>
        </w:tc>
        <w:tc>
          <w:tcPr>
            <w:tcW w:w="1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or</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w:t>
            </w:r>
          </w:p>
        </w:tc>
        <w:tc>
          <w:tcPr>
            <w:tcW w:w="1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80" w:type="dxa"/>
            <w:vAlign w:val="bottom"/>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7" w:lineRule="exact"/>
        <w:rPr>
          <w:sz w:val="24"/>
          <w:szCs w:val="24"/>
          <w:color w:val="auto"/>
        </w:rPr>
      </w:pPr>
    </w:p>
    <w:p>
      <w:pPr>
        <w:sectPr>
          <w:pgSz w:w="11900" w:h="16838" w:orient="portrait"/>
          <w:cols w:equalWidth="0" w:num="2">
            <w:col w:w="660" w:space="400"/>
            <w:col w:w="10020"/>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311"/>
        </w:trPr>
        <w:tc>
          <w:tcPr>
            <w:tcW w:w="20" w:type="dxa"/>
            <w:vAlign w:val="bottom"/>
          </w:tcPr>
          <w:p>
            <w:pPr>
              <w:spacing w:after="0"/>
              <w:rPr>
                <w:sz w:val="24"/>
                <w:szCs w:val="24"/>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Common</w:t>
            </w: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20" w:type="dxa"/>
            <w:vAlign w:val="bottom"/>
            <w:gridSpan w:val="4"/>
            <w:vMerge w:val="restart"/>
          </w:tcPr>
          <w:p>
            <w:pPr>
              <w:ind w:left="40"/>
              <w:spacing w:after="0"/>
              <w:rPr>
                <w:sz w:val="20"/>
                <w:szCs w:val="20"/>
                <w:color w:val="auto"/>
              </w:rPr>
            </w:pPr>
            <w:r>
              <w:rPr>
                <w:rFonts w:ascii="Arial" w:cs="Arial" w:eastAsia="Arial" w:hAnsi="Arial"/>
                <w:sz w:val="34"/>
                <w:szCs w:val="34"/>
                <w:color w:val="0000FF"/>
                <w:w w:val="86"/>
                <w:vertAlign w:val="subscript"/>
              </w:rPr>
              <w:t>See Footnotes</w:t>
            </w:r>
            <w:r>
              <w:rPr>
                <w:rFonts w:ascii="Arial" w:cs="Arial" w:eastAsia="Arial" w:hAnsi="Arial"/>
                <w:sz w:val="11"/>
                <w:szCs w:val="11"/>
                <w:color w:val="008000"/>
                <w:w w:val="86"/>
              </w:rPr>
              <w:t>(1)(2)(3)(4)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80" w:type="dxa"/>
            <w:vAlign w:val="bottom"/>
            <w:gridSpan w:val="2"/>
          </w:tcPr>
          <w:p>
            <w:pPr>
              <w:ind w:left="60"/>
              <w:spacing w:after="0" w:line="168" w:lineRule="exact"/>
              <w:rPr>
                <w:sz w:val="20"/>
                <w:szCs w:val="20"/>
                <w:color w:val="auto"/>
              </w:rPr>
            </w:pPr>
            <w:r>
              <w:rPr>
                <w:rFonts w:ascii="Arial" w:cs="Arial" w:eastAsia="Arial" w:hAnsi="Arial"/>
                <w:sz w:val="17"/>
                <w:szCs w:val="17"/>
                <w:color w:val="0000FF"/>
                <w:w w:val="91"/>
              </w:rPr>
              <w:t>Stock, par</w:t>
            </w:r>
          </w:p>
        </w:tc>
        <w:tc>
          <w:tcPr>
            <w:tcW w:w="1920" w:type="dxa"/>
            <w:vAlign w:val="bottom"/>
            <w:gridSpan w:val="2"/>
          </w:tcPr>
          <w:p>
            <w:pPr>
              <w:ind w:left="360"/>
              <w:spacing w:after="0" w:line="168" w:lineRule="exact"/>
              <w:rPr>
                <w:sz w:val="20"/>
                <w:szCs w:val="20"/>
                <w:color w:val="auto"/>
              </w:rPr>
            </w:pPr>
            <w:r>
              <w:rPr>
                <w:rFonts w:ascii="Arial" w:cs="Arial" w:eastAsia="Arial" w:hAnsi="Arial"/>
                <w:sz w:val="17"/>
                <w:szCs w:val="17"/>
                <w:color w:val="0000FF"/>
              </w:rPr>
              <w:t>06/18/2021</w:t>
            </w:r>
          </w:p>
        </w:tc>
        <w:tc>
          <w:tcPr>
            <w:tcW w:w="600" w:type="dxa"/>
            <w:vAlign w:val="bottom"/>
          </w:tcPr>
          <w:p>
            <w:pPr>
              <w:spacing w:after="0"/>
              <w:rPr>
                <w:sz w:val="14"/>
                <w:szCs w:val="14"/>
                <w:color w:val="auto"/>
              </w:rPr>
            </w:pPr>
          </w:p>
        </w:tc>
        <w:tc>
          <w:tcPr>
            <w:tcW w:w="460" w:type="dxa"/>
            <w:vAlign w:val="bottom"/>
          </w:tcPr>
          <w:p>
            <w:pPr>
              <w:ind w:left="100"/>
              <w:spacing w:after="0"/>
              <w:rPr>
                <w:sz w:val="20"/>
                <w:szCs w:val="20"/>
                <w:color w:val="auto"/>
              </w:rPr>
            </w:pPr>
            <w:r>
              <w:rPr>
                <w:rFonts w:ascii="Arial" w:cs="Arial" w:eastAsia="Arial" w:hAnsi="Arial"/>
                <w:sz w:val="13"/>
                <w:szCs w:val="13"/>
                <w:color w:val="0000FF"/>
              </w:rPr>
              <w:t>S</w:t>
            </w:r>
          </w:p>
        </w:tc>
        <w:tc>
          <w:tcPr>
            <w:tcW w:w="2180" w:type="dxa"/>
            <w:vAlign w:val="bottom"/>
            <w:gridSpan w:val="6"/>
          </w:tcPr>
          <w:p>
            <w:pPr>
              <w:ind w:left="320"/>
              <w:spacing w:after="0" w:line="168" w:lineRule="exact"/>
              <w:rPr>
                <w:sz w:val="20"/>
                <w:szCs w:val="20"/>
                <w:color w:val="auto"/>
              </w:rPr>
            </w:pPr>
            <w:r>
              <w:rPr>
                <w:rFonts w:ascii="Arial" w:cs="Arial" w:eastAsia="Arial" w:hAnsi="Arial"/>
                <w:sz w:val="19"/>
                <w:szCs w:val="19"/>
                <w:color w:val="0000FF"/>
                <w:vertAlign w:val="subscript"/>
              </w:rPr>
              <w:t>200,000</w:t>
            </w:r>
            <w:r>
              <w:rPr>
                <w:rFonts w:ascii="Arial" w:cs="Arial" w:eastAsia="Arial" w:hAnsi="Arial"/>
                <w:sz w:val="9"/>
                <w:szCs w:val="9"/>
                <w:color w:val="008000"/>
              </w:rPr>
              <w:t xml:space="preserve">(1)(2)(3)(4)(5)(6)(7)   </w:t>
            </w:r>
            <w:r>
              <w:rPr>
                <w:rFonts w:ascii="Arial" w:cs="Arial" w:eastAsia="Arial" w:hAnsi="Arial"/>
                <w:sz w:val="19"/>
                <w:szCs w:val="19"/>
                <w:color w:val="0000FF"/>
                <w:vertAlign w:val="subscript"/>
              </w:rPr>
              <w:t>D</w:t>
            </w:r>
          </w:p>
        </w:tc>
        <w:tc>
          <w:tcPr>
            <w:tcW w:w="2620" w:type="dxa"/>
            <w:vAlign w:val="bottom"/>
            <w:gridSpan w:val="4"/>
          </w:tcPr>
          <w:p>
            <w:pPr>
              <w:jc w:val="right"/>
              <w:ind w:right="140"/>
              <w:spacing w:after="0" w:line="168" w:lineRule="exact"/>
              <w:rPr>
                <w:sz w:val="20"/>
                <w:szCs w:val="20"/>
                <w:color w:val="auto"/>
              </w:rPr>
            </w:pPr>
            <w:r>
              <w:rPr>
                <w:rFonts w:ascii="Arial" w:cs="Arial" w:eastAsia="Arial" w:hAnsi="Arial"/>
                <w:sz w:val="19"/>
                <w:szCs w:val="19"/>
                <w:color w:val="000000"/>
                <w:vertAlign w:val="subscript"/>
              </w:rPr>
              <w:t>$</w:t>
            </w:r>
            <w:r>
              <w:rPr>
                <w:rFonts w:ascii="Arial" w:cs="Arial" w:eastAsia="Arial" w:hAnsi="Arial"/>
                <w:sz w:val="19"/>
                <w:szCs w:val="19"/>
                <w:color w:val="0000FF"/>
                <w:vertAlign w:val="subscript"/>
              </w:rPr>
              <w:t>32.43  14,651,592</w:t>
            </w:r>
            <w:r>
              <w:rPr>
                <w:rFonts w:ascii="Arial" w:cs="Arial" w:eastAsia="Arial" w:hAnsi="Arial"/>
                <w:sz w:val="9"/>
                <w:szCs w:val="9"/>
                <w:color w:val="008000"/>
              </w:rPr>
              <w:t>(1)(2)(3)(4)(5)(6)(7)</w:t>
            </w:r>
          </w:p>
        </w:tc>
        <w:tc>
          <w:tcPr>
            <w:tcW w:w="680" w:type="dxa"/>
            <w:vAlign w:val="bottom"/>
          </w:tcPr>
          <w:p>
            <w:pPr>
              <w:ind w:left="220"/>
              <w:spacing w:after="0" w:line="168" w:lineRule="exact"/>
              <w:rPr>
                <w:sz w:val="20"/>
                <w:szCs w:val="20"/>
                <w:color w:val="auto"/>
              </w:rPr>
            </w:pPr>
            <w:r>
              <w:rPr>
                <w:rFonts w:ascii="Arial" w:cs="Arial" w:eastAsia="Arial" w:hAnsi="Arial"/>
                <w:sz w:val="17"/>
                <w:szCs w:val="17"/>
                <w:color w:val="0000FF"/>
              </w:rPr>
              <w:t>I</w:t>
            </w:r>
          </w:p>
        </w:tc>
        <w:tc>
          <w:tcPr>
            <w:tcW w:w="18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value $0.01</w:t>
            </w:r>
          </w:p>
        </w:tc>
        <w:tc>
          <w:tcPr>
            <w:tcW w:w="1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color w:val="008000"/>
              </w:rPr>
              <w:t>(5)(6)(7)</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820" w:type="dxa"/>
            <w:vAlign w:val="bottom"/>
            <w:tcBorders>
              <w:bottom w:val="single" w:sz="8" w:color="2C2C2C"/>
            </w:tcBorders>
            <w:gridSpan w:val="2"/>
          </w:tcPr>
          <w:p>
            <w:pPr>
              <w:spacing w:after="0"/>
              <w:rPr>
                <w:sz w:val="8"/>
                <w:szCs w:val="8"/>
                <w:color w:val="auto"/>
              </w:rPr>
            </w:pPr>
          </w:p>
        </w:tc>
        <w:tc>
          <w:tcPr>
            <w:tcW w:w="960" w:type="dxa"/>
            <w:vAlign w:val="bottom"/>
            <w:tcBorders>
              <w:bottom w:val="single" w:sz="8" w:color="2C2C2C"/>
            </w:tcBorders>
            <w:gridSpan w:val="2"/>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460" w:type="dxa"/>
            <w:vAlign w:val="bottom"/>
            <w:tcBorders>
              <w:bottom w:val="single" w:sz="8" w:color="2C2C2C"/>
            </w:tcBorders>
            <w:gridSpan w:val="5"/>
          </w:tcPr>
          <w:p>
            <w:pPr>
              <w:spacing w:after="0"/>
              <w:rPr>
                <w:sz w:val="8"/>
                <w:szCs w:val="8"/>
                <w:color w:val="auto"/>
              </w:rPr>
            </w:pPr>
          </w:p>
        </w:tc>
        <w:tc>
          <w:tcPr>
            <w:tcW w:w="1400" w:type="dxa"/>
            <w:vAlign w:val="bottom"/>
            <w:tcBorders>
              <w:bottom w:val="single" w:sz="8" w:color="2C2C2C"/>
            </w:tcBorders>
            <w:gridSpan w:val="3"/>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760" w:type="dxa"/>
            <w:vAlign w:val="bottom"/>
            <w:tcBorders>
              <w:top w:val="single" w:sz="8" w:color="2C2C2C"/>
            </w:tcBorders>
            <w:gridSpan w:val="14"/>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220" w:type="dxa"/>
            <w:vAlign w:val="bottom"/>
            <w:gridSpan w:val="11"/>
          </w:tcPr>
          <w:p>
            <w:pPr>
              <w:ind w:left="4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00" w:type="dxa"/>
            <w:vAlign w:val="bottom"/>
          </w:tcPr>
          <w:p>
            <w:pPr>
              <w:spacing w:after="0"/>
              <w:rPr>
                <w:sz w:val="20"/>
                <w:szCs w:val="20"/>
                <w:color w:val="auto"/>
              </w:rPr>
            </w:pPr>
            <w:r>
              <w:rPr>
                <w:rFonts w:ascii="Arial" w:cs="Arial" w:eastAsia="Arial" w:hAnsi="Arial"/>
                <w:sz w:val="12"/>
                <w:szCs w:val="12"/>
                <w:b w:val="1"/>
                <w:bCs w:val="1"/>
                <w:color w:val="auto"/>
              </w:rPr>
              <w:t>2.</w:t>
            </w:r>
          </w:p>
        </w:tc>
        <w:tc>
          <w:tcPr>
            <w:tcW w:w="122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gridSpan w:val="2"/>
          </w:tcPr>
          <w:p>
            <w:pPr>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Conversion</w:t>
            </w:r>
          </w:p>
        </w:tc>
        <w:tc>
          <w:tcPr>
            <w:tcW w:w="12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or Exercise</w:t>
            </w:r>
          </w:p>
        </w:tc>
        <w:tc>
          <w:tcPr>
            <w:tcW w:w="12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Price of</w:t>
            </w:r>
          </w:p>
        </w:tc>
        <w:tc>
          <w:tcPr>
            <w:tcW w:w="1220" w:type="dxa"/>
            <w:vAlign w:val="bottom"/>
          </w:tcPr>
          <w:p>
            <w:pPr>
              <w:spacing w:after="0"/>
              <w:rPr>
                <w:sz w:val="11"/>
                <w:szCs w:val="11"/>
                <w:color w:val="auto"/>
              </w:rPr>
            </w:pP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6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gridSpan w:val="2"/>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92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Expiration</w:t>
            </w: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70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tcBorders>
              <w:bottom w:val="single" w:sz="8" w:color="0000EE"/>
            </w:tcBorders>
            <w:gridSpan w:val="3"/>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gridSpan w:val="2"/>
          </w:tcPr>
          <w:p>
            <w:pPr>
              <w:ind w:left="20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3"/>
          </w:tcPr>
          <w:p>
            <w:pPr>
              <w:spacing w:after="0"/>
              <w:rPr>
                <w:sz w:val="20"/>
                <w:szCs w:val="20"/>
                <w:color w:val="auto"/>
              </w:rPr>
            </w:pPr>
            <w:r>
              <w:rPr>
                <w:rFonts w:ascii="Arial" w:cs="Arial" w:eastAsia="Arial" w:hAnsi="Arial"/>
                <w:sz w:val="17"/>
                <w:szCs w:val="17"/>
                <w:color w:val="0000FF"/>
              </w:rPr>
              <w:t>2000 AVENUE OF THE STARS</w:t>
            </w: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1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220" w:type="dxa"/>
            <w:vAlign w:val="bottom"/>
          </w:tcPr>
          <w:p>
            <w:pPr>
              <w:ind w:left="20"/>
              <w:spacing w:after="0"/>
              <w:rPr>
                <w:sz w:val="20"/>
                <w:szCs w:val="20"/>
                <w:color w:val="auto"/>
              </w:rPr>
            </w:pPr>
            <w:r>
              <w:rPr>
                <w:rFonts w:ascii="Arial" w:cs="Arial" w:eastAsia="Arial" w:hAnsi="Arial"/>
                <w:sz w:val="17"/>
                <w:szCs w:val="17"/>
                <w:color w:val="0000FF"/>
              </w:rPr>
              <w:t>CA</w:t>
            </w:r>
          </w:p>
        </w:tc>
        <w:tc>
          <w:tcPr>
            <w:tcW w:w="1060" w:type="dxa"/>
            <w:vAlign w:val="bottom"/>
            <w:gridSpan w:val="2"/>
          </w:tcPr>
          <w:p>
            <w:pPr>
              <w:ind w:left="200"/>
              <w:spacing w:after="0"/>
              <w:rPr>
                <w:sz w:val="20"/>
                <w:szCs w:val="20"/>
                <w:color w:val="auto"/>
              </w:rPr>
            </w:pPr>
            <w:r>
              <w:rPr>
                <w:rFonts w:ascii="Arial" w:cs="Arial" w:eastAsia="Arial" w:hAnsi="Arial"/>
                <w:sz w:val="17"/>
                <w:szCs w:val="17"/>
                <w:color w:val="0000FF"/>
              </w:rPr>
              <w:t>90067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gridSpan w:val="2"/>
          </w:tcPr>
          <w:p>
            <w:pPr>
              <w:ind w:left="20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92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7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5"/>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ACOF Investment Management LLC</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gridSpan w:val="2"/>
          </w:tcPr>
          <w:p>
            <w:pPr>
              <w:ind w:left="20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5"/>
          </w:tcPr>
          <w:p>
            <w:pPr>
              <w:spacing w:after="0"/>
              <w:rPr>
                <w:sz w:val="20"/>
                <w:szCs w:val="20"/>
                <w:color w:val="auto"/>
              </w:rPr>
            </w:pPr>
            <w:r>
              <w:rPr>
                <w:rFonts w:ascii="Arial" w:cs="Arial" w:eastAsia="Arial" w:hAnsi="Arial"/>
                <w:sz w:val="17"/>
                <w:szCs w:val="17"/>
                <w:color w:val="0000FF"/>
              </w:rPr>
              <w:t>2000 AVENUE OF THE STARS, 12TH FLOOR</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220" w:type="dxa"/>
            <w:vAlign w:val="bottom"/>
          </w:tcPr>
          <w:p>
            <w:pPr>
              <w:ind w:left="20"/>
              <w:spacing w:after="0"/>
              <w:rPr>
                <w:sz w:val="20"/>
                <w:szCs w:val="20"/>
                <w:color w:val="auto"/>
              </w:rPr>
            </w:pPr>
            <w:r>
              <w:rPr>
                <w:rFonts w:ascii="Arial" w:cs="Arial" w:eastAsia="Arial" w:hAnsi="Arial"/>
                <w:sz w:val="17"/>
                <w:szCs w:val="17"/>
                <w:color w:val="0000FF"/>
              </w:rPr>
              <w:t>CA</w:t>
            </w:r>
          </w:p>
        </w:tc>
        <w:tc>
          <w:tcPr>
            <w:tcW w:w="1060" w:type="dxa"/>
            <w:vAlign w:val="bottom"/>
            <w:gridSpan w:val="2"/>
          </w:tcPr>
          <w:p>
            <w:pPr>
              <w:ind w:left="200"/>
              <w:spacing w:after="0"/>
              <w:rPr>
                <w:sz w:val="20"/>
                <w:szCs w:val="20"/>
                <w:color w:val="auto"/>
              </w:rPr>
            </w:pPr>
            <w:r>
              <w:rPr>
                <w:rFonts w:ascii="Arial" w:cs="Arial" w:eastAsia="Arial" w:hAnsi="Arial"/>
                <w:sz w:val="17"/>
                <w:szCs w:val="17"/>
                <w:color w:val="0000FF"/>
              </w:rPr>
              <w:t>90067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gridSpan w:val="2"/>
          </w:tcPr>
          <w:p>
            <w:pPr>
              <w:ind w:left="20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-5182235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ASSF Operating Manager IV, L.P.</w:t>
        </w:r>
      </w:hyperlink>
    </w:p>
    <w:p>
      <w:pPr>
        <w:sectPr>
          <w:pgSz w:w="11900" w:h="16838" w:orient="portrait"/>
          <w:cols w:equalWidth="0" w:num="1">
            <w:col w:w="11080"/>
          </w:cols>
          <w:pgMar w:left="460" w:top="225" w:right="359" w:bottom="0" w:gutter="0" w:footer="0" w:header="0"/>
          <w:type w:val="continuous"/>
        </w:sectPr>
      </w:pPr>
    </w:p>
    <w:p>
      <w:pPr>
        <w:spacing w:after="0" w:line="321"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25" w:right="359" w:bottom="0" w:gutter="0" w:footer="0" w:header="0"/>
          <w:type w:val="continuous"/>
        </w:sectPr>
      </w:pPr>
    </w:p>
    <w:bookmarkStart w:id="1" w:name="page2"/>
    <w:bookmarkEnd w:id="1"/>
    <w:p>
      <w:pPr>
        <w:spacing w:after="0" w:line="12"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-118110</wp:posOffset>
            </wp:positionV>
            <wp:extent cx="2809240"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52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360" w:type="dxa"/>
            <w:vAlign w:val="bottom"/>
          </w:tcPr>
          <w:p>
            <w:pPr>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gridSpan w:val="2"/>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9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800" w:type="dxa"/>
            <w:vAlign w:val="bottom"/>
            <w:tcBorders>
              <w:bottom w:val="single" w:sz="8" w:color="0000EE"/>
            </w:tcBorders>
            <w:gridSpan w:val="3"/>
          </w:tcPr>
          <w:p>
            <w:pPr>
              <w:spacing w:after="0" w:line="221" w:lineRule="exact"/>
              <w:rPr>
                <w:rFonts w:ascii="Arial" w:cs="Arial" w:eastAsia="Arial" w:hAnsi="Arial"/>
                <w:sz w:val="21"/>
                <w:szCs w:val="21"/>
                <w:color w:val="0000EE"/>
                <w:w w:val="91"/>
              </w:rPr>
            </w:pPr>
            <w:hyperlink r:id="rId18">
              <w:r>
                <w:rPr>
                  <w:rFonts w:ascii="Arial" w:cs="Arial" w:eastAsia="Arial" w:hAnsi="Arial"/>
                  <w:sz w:val="21"/>
                  <w:szCs w:val="21"/>
                  <w:color w:val="0000EE"/>
                  <w:w w:val="91"/>
                </w:rPr>
                <w:t>Ares Management Holdings L.P.</w:t>
              </w:r>
            </w:hyperlink>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4260" w:type="dxa"/>
            <w:vAlign w:val="bottom"/>
            <w:gridSpan w:val="5"/>
          </w:tcPr>
          <w:p>
            <w:pPr>
              <w:spacing w:after="0"/>
              <w:rPr>
                <w:sz w:val="20"/>
                <w:szCs w:val="20"/>
                <w:color w:val="auto"/>
              </w:rPr>
            </w:pPr>
            <w:r>
              <w:rPr>
                <w:rFonts w:ascii="Arial" w:cs="Arial" w:eastAsia="Arial" w:hAnsi="Arial"/>
                <w:sz w:val="17"/>
                <w:szCs w:val="17"/>
                <w:color w:val="0000FF"/>
              </w:rPr>
              <w:t>2000 AVENUE OF THE STARS, 12TH FL</w:t>
            </w:r>
          </w:p>
        </w:tc>
      </w:tr>
      <w:tr>
        <w:trPr>
          <w:trHeight w:val="208"/>
        </w:trPr>
        <w:tc>
          <w:tcPr>
            <w:tcW w:w="100" w:type="dxa"/>
            <w:vAlign w:val="bottom"/>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52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360" w:type="dxa"/>
            <w:vAlign w:val="bottom"/>
          </w:tcPr>
          <w:p>
            <w:pPr>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gridSpan w:val="2"/>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9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800" w:type="dxa"/>
            <w:vAlign w:val="bottom"/>
            <w:gridSpan w:val="3"/>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Ares Holdco LLC</w:t>
              </w:r>
            </w:hyperlink>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-2576195</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-2576195</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-1873885</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-1873885</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-1357630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-1357630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130810</wp:posOffset>
            </wp:positionV>
            <wp:extent cx="267398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31">
              <w:r>
                <w:rPr>
                  <w:rFonts w:ascii="Arial" w:cs="Arial" w:eastAsia="Arial" w:hAnsi="Arial"/>
                  <w:sz w:val="21"/>
                  <w:szCs w:val="21"/>
                  <w:color w:val="0000EE"/>
                </w:rPr>
                <w:t>Ares Management Corp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130810</wp:posOffset>
            </wp:positionV>
            <wp:extent cx="267398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360" w:type="dxa"/>
            <w:vAlign w:val="bottom"/>
            <w:tcBorders>
              <w:bottom w:val="single" w:sz="8" w:color="2C2C2C"/>
            </w:tcBorders>
            <w:gridSpan w:val="2"/>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37">
              <w:r>
                <w:rPr>
                  <w:rFonts w:ascii="Arial" w:cs="Arial" w:eastAsia="Arial" w:hAnsi="Arial"/>
                  <w:sz w:val="21"/>
                  <w:szCs w:val="21"/>
                  <w:color w:val="0000EE"/>
                </w:rPr>
                <w:t>Ares Management GP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130810</wp:posOffset>
            </wp:positionV>
            <wp:extent cx="267398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43">
              <w:r>
                <w:rPr>
                  <w:rFonts w:ascii="Arial" w:cs="Arial" w:eastAsia="Arial" w:hAnsi="Arial"/>
                  <w:sz w:val="21"/>
                  <w:szCs w:val="21"/>
                  <w:color w:val="0000EE"/>
                </w:rPr>
                <w:t>Ares Voting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130810</wp:posOffset>
            </wp:positionV>
            <wp:extent cx="267398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300" w:type="dxa"/>
            <w:vAlign w:val="bottom"/>
            <w:tcBorders>
              <w:bottom w:val="single" w:sz="8" w:color="2C2C2C"/>
            </w:tcBorders>
            <w:gridSpan w:val="2"/>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49">
              <w:r>
                <w:rPr>
                  <w:rFonts w:ascii="Arial" w:cs="Arial" w:eastAsia="Arial" w:hAnsi="Arial"/>
                  <w:sz w:val="21"/>
                  <w:szCs w:val="21"/>
                  <w:color w:val="0000EE"/>
                </w:rPr>
                <w:t>Ares Partners Holdco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130810</wp:posOffset>
            </wp:positionV>
            <wp:extent cx="267398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339" w:lineRule="exact"/>
        <w:rPr>
          <w:sz w:val="20"/>
          <w:szCs w:val="20"/>
          <w:color w:val="auto"/>
        </w:rPr>
      </w:pPr>
    </w:p>
    <w:p>
      <w:pPr>
        <w:ind w:left="60"/>
        <w:spacing w:after="0"/>
        <w:rPr>
          <w:sz w:val="20"/>
          <w:szCs w:val="20"/>
          <w:color w:val="auto"/>
        </w:rPr>
      </w:pPr>
      <w:r>
        <w:rPr>
          <w:rFonts w:ascii="Arial" w:cs="Arial" w:eastAsia="Arial" w:hAnsi="Arial"/>
          <w:sz w:val="13"/>
          <w:szCs w:val="13"/>
          <w:color w:val="auto"/>
        </w:rPr>
        <w:t>(Street)</w:t>
      </w:r>
    </w:p>
    <w:p>
      <w:pPr>
        <w:sectPr>
          <w:pgSz w:w="11900" w:h="16851" w:orient="portrait"/>
          <w:cols w:equalWidth="0" w:num="1">
            <w:col w:w="9979"/>
          </w:cols>
          <w:pgMar w:left="480" w:top="131" w:right="1440" w:bottom="0" w:gutter="0" w:footer="0" w:header="0"/>
        </w:sectPr>
      </w:pPr>
    </w:p>
    <w:p>
      <w:pPr>
        <w:spacing w:after="0" w:line="2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7"/>
          <w:szCs w:val="17"/>
          <w:color w:val="0000FF"/>
        </w:rPr>
        <w:t>LOS ANGELES</w:t>
        <w:tab/>
        <w:t>CA</w:t>
      </w:r>
      <w:r>
        <w:rPr>
          <w:sz w:val="20"/>
          <w:szCs w:val="20"/>
          <w:color w:val="auto"/>
        </w:rPr>
        <w:tab/>
      </w:r>
      <w:r>
        <w:rPr>
          <w:rFonts w:ascii="Arial" w:cs="Arial" w:eastAsia="Arial" w:hAnsi="Arial"/>
          <w:sz w:val="15"/>
          <w:szCs w:val="15"/>
          <w:color w:val="0000FF"/>
        </w:rPr>
        <w:t>90067</w:t>
      </w:r>
    </w:p>
    <w:p>
      <w:pPr>
        <w:sectPr>
          <w:pgSz w:w="11900" w:h="16851" w:orient="portrait"/>
          <w:cols w:equalWidth="0" w:num="1">
            <w:col w:w="9979"/>
          </w:cols>
          <w:pgMar w:left="480" w:top="131" w:right="1440" w:bottom="0" w:gutter="0" w:footer="0" w:header="0"/>
          <w:type w:val="continuous"/>
        </w:sectPr>
      </w:pPr>
    </w:p>
    <w:bookmarkStart w:id="2" w:name="page3"/>
    <w:bookmarkEnd w:id="2"/>
    <w:p>
      <w:pPr>
        <w:ind w:left="80"/>
        <w:spacing w:after="0"/>
        <w:tabs>
          <w:tab w:leader="none" w:pos="1460" w:val="left"/>
          <w:tab w:leader="none" w:pos="286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292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2809240" cy="292100"/>
                    </a:xfrm>
                    <a:prstGeom prst="rect">
                      <a:avLst/>
                    </a:prstGeom>
                    <a:noFill/>
                  </pic:spPr>
                </pic:pic>
              </a:graphicData>
            </a:graphic>
          </wp:anchor>
        </w:drawing>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right="40" w:firstLine="7"/>
        <w:spacing w:after="0" w:line="243"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statement is being filed jointly by (i) AF V Energy IV AIV 1A, L.P. ("ACOF AIV 1A"), (ii) AF V Energy IV AIV 1B, L.P. ("ACOF AIV 1B"), (iii) AF V Energy IV AIV 2, L.P. ("ACOF AIV 2" and, together with ACOF AIV 1A and ACOF AIV 1B, the "ACOF AIVs"), (iv) AEOF ECR AIV A-B, L.P. ("AEOF AIV A-B"), (v) AEOF ECR AIV C, L.P. ("AEOF AIV C" and, together with AEOF AIV A-B, the "AEOF AIVs"), (vi) AF Energy Feeder, L.P., (vii) ACOF Investment Management LLC ("ACOF Investment Management"), (viii) SSF IV Energy I AIV 1A, L.P. ("SSF AIV 1A"), (ix) SSF IV Energy I AIV 1B, L.P. ("SSF AIV 1B"), (x) SSF IV Energy I AIV 2, L.P. ("SSF AIV 2" and, together with SSF AIV 1A and SSF AIV 1B, the "SSF AIVs"), (xi) ASSF Operating Manager IV, L.P. ("ASSF Operating Manager IV"), (xii) Ares Management LLC, (Continued in footnote 2)</w:t>
      </w:r>
    </w:p>
    <w:p>
      <w:pPr>
        <w:spacing w:after="0" w:line="29" w:lineRule="exact"/>
        <w:rPr>
          <w:rFonts w:ascii="Arial" w:cs="Arial" w:eastAsia="Arial" w:hAnsi="Arial"/>
          <w:sz w:val="13"/>
          <w:szCs w:val="13"/>
          <w:color w:val="008000"/>
        </w:rPr>
      </w:pPr>
    </w:p>
    <w:p>
      <w:pPr>
        <w:ind w:firstLine="7"/>
        <w:spacing w:after="0" w:line="250"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(xiii) Ares Management Holdings L.P. ("Ares Management Holdings"), (xiv) Ares Holdco LLC ("Ares Holdco"), (xv) Ares Management Corporation ("Ares Management"), (xvi) Ares Voting LLC ("Ares Voting"), (xvii) Ares Management GP LLC ("Ares Management GP") and (xviii) Ares Partners Holdco LLC ("Ares Partners") (collectively, the "Reporting Persons"). Due to the electronic system's limitation of 10 Reporting Persons per joint filing, this statement is being filed in duplicate.</w:t>
      </w:r>
    </w:p>
    <w:p>
      <w:pPr>
        <w:spacing w:after="0" w:line="25" w:lineRule="exact"/>
        <w:rPr>
          <w:rFonts w:ascii="Arial" w:cs="Arial" w:eastAsia="Arial" w:hAnsi="Arial"/>
          <w:sz w:val="13"/>
          <w:szCs w:val="13"/>
          <w:color w:val="008000"/>
        </w:rPr>
      </w:pPr>
    </w:p>
    <w:p>
      <w:pPr>
        <w:ind w:left="140" w:hanging="133"/>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amount of profit potentially recoverable by the Issuer from the reported transactions, if any, has been remitted to the Issuer.</w:t>
      </w:r>
    </w:p>
    <w:p>
      <w:pPr>
        <w:spacing w:after="0" w:line="50" w:lineRule="exact"/>
        <w:rPr>
          <w:rFonts w:ascii="Arial" w:cs="Arial" w:eastAsia="Arial" w:hAnsi="Arial"/>
          <w:sz w:val="13"/>
          <w:szCs w:val="13"/>
          <w:color w:val="008000"/>
        </w:rPr>
      </w:pPr>
    </w:p>
    <w:p>
      <w:pPr>
        <w:ind w:right="80" w:firstLine="7"/>
        <w:spacing w:after="0" w:line="243"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ACOF Investment Management is the manager of each of the ACOF AIVs, the AEOF AIVs and AF Energy Feeder, L.P., and the sole member of ACOF Investment Management is Ares Management LLC. ASSF Operating Manager IV is the manager of the SSF AIVs, and the general partner of ASSF Operating Manager IV is Ares Management LLC. The sole member of Ares Management LLC is Ares Management Holdings and the general partner of Ares Management Holdings is Ares Holdco. The sole member of Ares Holdco is Ares Management. Ares Management GP is the sole holder of the Class B common stock, $0.01 par value per share, of Ares Management (the "Ares Class B Common Stock") and Ares Voting LLC ("Ares Voting") is the sole holder of the Class C common stock, $0.01 par value per share, of Ares Management (the "Ares Class C Common Stock"). (Continued in footnote 5)</w:t>
      </w:r>
    </w:p>
    <w:p>
      <w:pPr>
        <w:spacing w:after="0" w:line="29" w:lineRule="exact"/>
        <w:rPr>
          <w:rFonts w:ascii="Arial" w:cs="Arial" w:eastAsia="Arial" w:hAnsi="Arial"/>
          <w:sz w:val="13"/>
          <w:szCs w:val="13"/>
          <w:color w:val="008000"/>
        </w:rPr>
      </w:pPr>
    </w:p>
    <w:p>
      <w:pPr>
        <w:ind w:right="160" w:firstLine="7"/>
        <w:spacing w:after="0" w:line="24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Pursuant to Ares Management's Certificate of Incorporation, the holders of the Ares Class B Common Stock and the Ares Class C Common Stock, collectively, will generally have the majority of the votes on any matter submitted to the stockholders of Ares Management if certain conditions are met. The sole member of both Ares Management GP and Ares Voting is Ares Partners. Ares Partners is managed by a board of managers, which is composed of Michael Arougheti, Ryan Berry, R. Kipp deVeer, David Kaplan, Michael McFerran, Antony Ressler and Bennett Rosenthal (collectively, the "Board Members"). Mr. Ressler generally has veto authority over decisions by the Board Members.</w:t>
      </w:r>
    </w:p>
    <w:p>
      <w:pPr>
        <w:spacing w:after="0" w:line="29" w:lineRule="exact"/>
        <w:rPr>
          <w:rFonts w:ascii="Arial" w:cs="Arial" w:eastAsia="Arial" w:hAnsi="Arial"/>
          <w:sz w:val="13"/>
          <w:szCs w:val="13"/>
          <w:color w:val="008000"/>
        </w:rPr>
      </w:pPr>
    </w:p>
    <w:p>
      <w:pPr>
        <w:ind w:right="40" w:firstLine="7"/>
        <w:spacing w:after="0" w:line="243"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Reporting Persons collectively beneficially own, or may be deemed to beneficially own, in the aggregate 14,651,592 shares of Common Stock by reason of the direct or indirect beneficial ownership of such shares as follows: (i) ACOF AIV 1A directly holds 692,234 shares of Common Stock, (ii) ACOF AIV 1B directly holds 2,533,224 shares of Common Stock, (iii) ACOF AIV 2 directly holds 2,580,598 shares of Common Stock, (iv) AEOF AIV A-B directly holds 1,894,861 shares of Common Stock, (v) AEOF AIV C directly holds 804,524 shares of Common Stock, (vi) SSF AIV 1A directly holds 99,006 shares of Common Stock, (vii) SSF AIV 1B directly holds 88,269 shares of Common Stock, (viii) SSF AIV 2 directly holds 143,694 shares of Common Stock and (ix) AF Energy Feeder, L.P. directly holds 5,815,182 shares of Common Stock.</w:t>
      </w:r>
    </w:p>
    <w:p>
      <w:pPr>
        <w:spacing w:after="0" w:line="29" w:lineRule="exact"/>
        <w:rPr>
          <w:rFonts w:ascii="Arial" w:cs="Arial" w:eastAsia="Arial" w:hAnsi="Arial"/>
          <w:sz w:val="13"/>
          <w:szCs w:val="13"/>
          <w:color w:val="008000"/>
        </w:rPr>
      </w:pPr>
    </w:p>
    <w:p>
      <w:pPr>
        <w:ind w:right="160" w:firstLine="7"/>
        <w:spacing w:after="0" w:line="24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of the Reporting Persons (other than the ACOF AIVs, the AEOF AIVs, the SSF AIVs and AF Energy Feeder, L.P with respect to the shares of Common Stock directly held by them) and the Board Members, and the other directors, officers, partners, stockholders, members and managers of the Reporting Persons, expressly disclaims beneficial ownership of the Common Stock, except to the extent of any pecuniary interest therein, and this Form 4 shall not be deemed an admission that any such person or entity is the beneficial owner of, or has any pecuniary interest in, such securities for purposes of Section 16 of the Securities Exchange Act of 1934, as amended, or for any other purposes.</w:t>
      </w:r>
    </w:p>
    <w:p>
      <w:pPr>
        <w:sectPr>
          <w:pgSz w:w="11900" w:h="16838" w:orient="portrait"/>
          <w:cols w:equalWidth="0" w:num="1">
            <w:col w:w="10880"/>
          </w:cols>
          <w:pgMar w:left="500" w:top="312" w:right="519" w:bottom="104" w:gutter="0" w:footer="0" w:header="0"/>
        </w:sectPr>
      </w:pPr>
    </w:p>
    <w:p>
      <w:pPr>
        <w:spacing w:after="0" w:line="5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379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236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MANAGEMENT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07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11607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ASSF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9017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MANAGER IV, L.P.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330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10433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0299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HOLDINGS L.P. By: 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603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125603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HOLDCO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69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12369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HOLDCO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3347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0299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CORPORATION /s/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Sagati Aghili By: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Sagati 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381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12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LLC /s/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3223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By: 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1953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VOTING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518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Ares Partners Holdco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5001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Sole Member /s/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871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11087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Sagati Aghili By: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Sagati 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381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Partners Holdco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5539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12553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color w:val="0000FF"/>
        </w:rPr>
        <w:t>06/22/2021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06/22/2021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06/22/2021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06/22/2021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06/22/2021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06/22/2021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06/22/2021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06/22/2021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06/22/2021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21" w:lineRule="exact"/>
        <w:rPr>
          <w:sz w:val="20"/>
          <w:szCs w:val="20"/>
          <w:color w:val="auto"/>
        </w:rPr>
      </w:pPr>
    </w:p>
    <w:p>
      <w:pPr>
        <w:sectPr>
          <w:pgSz w:w="11900" w:h="16838" w:orient="portrait"/>
          <w:cols w:equalWidth="0" w:num="2">
            <w:col w:w="8680" w:space="60"/>
            <w:col w:w="2140"/>
          </w:cols>
          <w:pgMar w:left="500" w:top="312" w:right="519" w:bottom="104"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19"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312" w:right="519" w:bottom="10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png"/><Relationship Id="rId99" Type="http://schemas.openxmlformats.org/officeDocument/2006/relationships/image" Target="media/image82.png"/><Relationship Id="rId100" Type="http://schemas.openxmlformats.org/officeDocument/2006/relationships/image" Target="media/image83.png"/><Relationship Id="rId101" Type="http://schemas.openxmlformats.org/officeDocument/2006/relationships/image" Target="media/image84.png"/><Relationship Id="rId102" Type="http://schemas.openxmlformats.org/officeDocument/2006/relationships/image" Target="media/image85.png"/><Relationship Id="rId103" Type="http://schemas.openxmlformats.org/officeDocument/2006/relationships/image" Target="media/image86.png"/><Relationship Id="rId104" Type="http://schemas.openxmlformats.org/officeDocument/2006/relationships/image" Target="media/image87.png"/><Relationship Id="rId105" Type="http://schemas.openxmlformats.org/officeDocument/2006/relationships/image" Target="media/image88.png"/><Relationship Id="rId106" Type="http://schemas.openxmlformats.org/officeDocument/2006/relationships/image" Target="media/image89.png"/><Relationship Id="rId107" Type="http://schemas.openxmlformats.org/officeDocument/2006/relationships/image" Target="media/image90.png"/><Relationship Id="rId108" Type="http://schemas.openxmlformats.org/officeDocument/2006/relationships/image" Target="media/image91.png"/><Relationship Id="rId12" Type="http://schemas.openxmlformats.org/officeDocument/2006/relationships/hyperlink" Target="http://www.sec.gov/cgi-bin/browse-edgar?action=getcompany&amp;CIK=0001259313"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684171" TargetMode="External"/><Relationship Id="rId16" Type="http://schemas.openxmlformats.org/officeDocument/2006/relationships/hyperlink" Target="http://www.sec.gov/cgi-bin/browse-edgar?action=getcompany&amp;CIK=0001683967" TargetMode="External"/><Relationship Id="rId18" Type="http://schemas.openxmlformats.org/officeDocument/2006/relationships/hyperlink" Target="http://www.sec.gov/cgi-bin/browse-edgar?action=getcompany&amp;CIK=0001536937" TargetMode="External"/><Relationship Id="rId19" Type="http://schemas.openxmlformats.org/officeDocument/2006/relationships/hyperlink" Target="http://www.sec.gov/cgi-bin/browse-edgar?action=getcompany&amp;CIK=0001669983" TargetMode="External"/><Relationship Id="rId31" Type="http://schemas.openxmlformats.org/officeDocument/2006/relationships/hyperlink" Target="http://www.sec.gov/cgi-bin/browse-edgar?action=getcompany&amp;CIK=0001176948" TargetMode="External"/><Relationship Id="rId37" Type="http://schemas.openxmlformats.org/officeDocument/2006/relationships/hyperlink" Target="http://www.sec.gov/cgi-bin/browse-edgar?action=getcompany&amp;CIK=0001620264" TargetMode="External"/><Relationship Id="rId43" Type="http://schemas.openxmlformats.org/officeDocument/2006/relationships/hyperlink" Target="http://www.sec.gov/cgi-bin/browse-edgar?action=getcompany&amp;CIK=0001761656" TargetMode="External"/><Relationship Id="rId49" Type="http://schemas.openxmlformats.org/officeDocument/2006/relationships/hyperlink" Target="http://www.sec.gov/cgi-bin/browse-edgar?action=getcompany&amp;CIK=00016202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2021-06-22T15:04:49Z</dcterms:created>
  <dcterms:modified xsi:type="dcterms:W3CDTF">2021-06-22T15:04:49Z</dcterms:modified>
</cp:coreProperties>
</file>