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ARES MANAGEMENT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780"/>
        <w:spacing w:after="0" w:line="356" w:lineRule="auto"/>
        <w:rPr>
          <w:sz w:val="20"/>
          <w:szCs w:val="20"/>
          <w:color w:val="auto"/>
        </w:rPr>
      </w:pPr>
      <w:r>
        <w:rPr>
          <w:rFonts w:ascii="Arial" w:cs="Arial" w:eastAsia="Arial" w:hAnsi="Arial"/>
          <w:sz w:val="17"/>
          <w:szCs w:val="17"/>
          <w:color w:val="0000FF"/>
        </w:rPr>
        <w:t>2000 AVENUE OF THE STARS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7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06/04/2021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90" w:lineRule="exact"/>
        <w:rPr>
          <w:sz w:val="24"/>
          <w:szCs w:val="24"/>
          <w:color w:val="auto"/>
        </w:rPr>
      </w:pPr>
    </w:p>
    <w:p>
      <w:pPr>
        <w:sectPr>
          <w:pgSz w:w="11900" w:h="16838" w:orient="portrait"/>
          <w:cols w:equalWidth="0" w:num="3">
            <w:col w:w="3200" w:space="720"/>
            <w:col w:w="3095" w:space="720"/>
            <w:col w:w="3345"/>
          </w:cols>
          <w:pgMar w:left="460" w:top="225" w:right="359" w:bottom="0" w:gutter="0" w:footer="0" w:header="0"/>
          <w:type w:val="continuous"/>
        </w:sectPr>
      </w:pPr>
    </w:p>
    <w:tbl>
      <w:tblPr>
        <w:tblLayout w:type="fixed"/>
        <w:tblInd w:w="80" w:type="dxa"/>
        <w:tblCellMar>
          <w:top w:w="0" w:type="dxa"/>
          <w:left w:w="0" w:type="dxa"/>
          <w:bottom w:w="0" w:type="dxa"/>
          <w:right w:w="0" w:type="dxa"/>
        </w:tblCellMar>
      </w:tblPr>
      <w:tr>
        <w:trPr>
          <w:trHeight w:val="61"/>
        </w:trPr>
        <w:tc>
          <w:tcPr>
            <w:tcW w:w="40" w:type="dxa"/>
            <w:vAlign w:val="bottom"/>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600" w:type="dxa"/>
            <w:vAlign w:val="bottom"/>
            <w:tcBorders>
              <w:bottom w:val="single" w:sz="8" w:color="9A9A9A"/>
            </w:tcBorders>
          </w:tcPr>
          <w:p>
            <w:pPr>
              <w:spacing w:after="0"/>
              <w:rPr>
                <w:sz w:val="5"/>
                <w:szCs w:val="5"/>
                <w:color w:val="auto"/>
              </w:rPr>
            </w:pPr>
          </w:p>
        </w:tc>
        <w:tc>
          <w:tcPr>
            <w:tcW w:w="3760" w:type="dxa"/>
            <w:vAlign w:val="bottom"/>
            <w:vMerge w:val="restart"/>
          </w:tcPr>
          <w:p>
            <w:pPr>
              <w:ind w:left="160"/>
              <w:spacing w:after="0" w:line="148" w:lineRule="exact"/>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220"/>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3760" w:type="dxa"/>
            <w:vAlign w:val="bottom"/>
            <w:vMerge w:val="continue"/>
          </w:tcPr>
          <w:p>
            <w:pPr>
              <w:spacing w:after="0"/>
              <w:rPr>
                <w:sz w:val="5"/>
                <w:szCs w:val="5"/>
                <w:color w:val="auto"/>
              </w:rPr>
            </w:pPr>
          </w:p>
        </w:tc>
        <w:tc>
          <w:tcPr>
            <w:tcW w:w="32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Line)</w:t>
            </w:r>
          </w:p>
        </w:tc>
        <w:tc>
          <w:tcPr>
            <w:tcW w:w="2640" w:type="dxa"/>
            <w:vAlign w:val="bottom"/>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1000" w:type="dxa"/>
            <w:vAlign w:val="bottom"/>
            <w:vMerge w:val="restart"/>
          </w:tcPr>
          <w:p>
            <w:pPr>
              <w:spacing w:after="0"/>
              <w:rPr>
                <w:sz w:val="20"/>
                <w:szCs w:val="20"/>
                <w:color w:val="auto"/>
              </w:rPr>
            </w:pPr>
            <w:r>
              <w:rPr>
                <w:rFonts w:ascii="Arial" w:cs="Arial" w:eastAsia="Arial" w:hAnsi="Arial"/>
                <w:sz w:val="17"/>
                <w:szCs w:val="17"/>
                <w:color w:val="0000FF"/>
              </w:rPr>
              <w:t>LOS</w:t>
            </w:r>
          </w:p>
        </w:tc>
        <w:tc>
          <w:tcPr>
            <w:tcW w:w="1040" w:type="dxa"/>
            <w:vAlign w:val="bottom"/>
            <w:vMerge w:val="restart"/>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90067</w:t>
            </w:r>
          </w:p>
        </w:tc>
        <w:tc>
          <w:tcPr>
            <w:tcW w:w="3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4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3760" w:type="dxa"/>
            <w:vAlign w:val="bottom"/>
          </w:tcPr>
          <w:p>
            <w:pPr>
              <w:spacing w:after="0"/>
              <w:rPr>
                <w:sz w:val="7"/>
                <w:szCs w:val="7"/>
                <w:color w:val="auto"/>
              </w:rPr>
            </w:pPr>
          </w:p>
        </w:tc>
        <w:tc>
          <w:tcPr>
            <w:tcW w:w="640" w:type="dxa"/>
            <w:vAlign w:val="bottom"/>
            <w:vMerge w:val="restart"/>
          </w:tcPr>
          <w:p>
            <w:pPr>
              <w:ind w:left="420"/>
              <w:spacing w:after="0"/>
              <w:rPr>
                <w:sz w:val="20"/>
                <w:szCs w:val="20"/>
                <w:color w:val="auto"/>
              </w:rPr>
            </w:pPr>
            <w:r>
              <w:rPr>
                <w:rFonts w:ascii="Arial" w:cs="Arial" w:eastAsia="Arial" w:hAnsi="Arial"/>
                <w:sz w:val="17"/>
                <w:szCs w:val="17"/>
                <w:color w:val="0000FF"/>
              </w:rPr>
              <w:t>X</w:t>
            </w:r>
          </w:p>
        </w:tc>
        <w:tc>
          <w:tcPr>
            <w:tcW w:w="2640" w:type="dxa"/>
            <w:vAlign w:val="bottom"/>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1000" w:type="dxa"/>
            <w:vAlign w:val="bottom"/>
            <w:vMerge w:val="restart"/>
          </w:tcPr>
          <w:p>
            <w:pPr>
              <w:spacing w:after="0"/>
              <w:rPr>
                <w:sz w:val="20"/>
                <w:szCs w:val="20"/>
                <w:color w:val="auto"/>
              </w:rPr>
            </w:pPr>
            <w:r>
              <w:rPr>
                <w:rFonts w:ascii="Arial" w:cs="Arial" w:eastAsia="Arial" w:hAnsi="Arial"/>
                <w:sz w:val="17"/>
                <w:szCs w:val="17"/>
                <w:color w:val="0000FF"/>
              </w:rPr>
              <w:t>ANGELES</w:t>
            </w:r>
          </w:p>
        </w:tc>
        <w:tc>
          <w:tcPr>
            <w:tcW w:w="10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37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264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3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3"/>
        </w:trPr>
        <w:tc>
          <w:tcPr>
            <w:tcW w:w="40" w:type="dxa"/>
            <w:vAlign w:val="bottom"/>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3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5360" w:type="dxa"/>
            <w:vAlign w:val="bottom"/>
            <w:gridSpan w:val="2"/>
          </w:tcPr>
          <w:p>
            <w:pPr>
              <w:ind w:left="40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8"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ectPr>
          <w:pgSz w:w="11900" w:h="16838" w:orient="portrait"/>
          <w:cols w:equalWidth="0" w:num="1">
            <w:col w:w="11080"/>
          </w:cols>
          <w:pgMar w:left="460" w:top="225" w:right="359" w:bottom="0" w:gutter="0" w:footer="0" w:header="0"/>
          <w:type w:val="continuous"/>
        </w:sectPr>
      </w:pPr>
    </w:p>
    <w:p>
      <w:pPr>
        <w:spacing w:after="0" w:line="140" w:lineRule="exact"/>
        <w:rPr>
          <w:sz w:val="24"/>
          <w:szCs w:val="24"/>
          <w:color w:val="auto"/>
        </w:rPr>
      </w:pPr>
    </w:p>
    <w:p>
      <w:pPr>
        <w:ind w:left="80" w:firstLine="7"/>
        <w:spacing w:after="0" w:line="257" w:lineRule="auto"/>
        <w:tabs>
          <w:tab w:leader="none" w:pos="228" w:val="left"/>
        </w:tabs>
        <w:numPr>
          <w:ilvl w:val="0"/>
          <w:numId w:val="2"/>
        </w:numPr>
        <w:rPr>
          <w:rFonts w:ascii="Arial" w:cs="Arial" w:eastAsia="Arial" w:hAnsi="Arial"/>
          <w:sz w:val="13"/>
          <w:szCs w:val="13"/>
          <w:b w:val="1"/>
          <w:bCs w:val="1"/>
          <w:color w:val="auto"/>
        </w:rPr>
      </w:pPr>
      <w:r>
        <w:rPr>
          <w:rFonts w:ascii="Arial" w:cs="Arial" w:eastAsia="Arial" w:hAnsi="Arial"/>
          <w:sz w:val="13"/>
          <w:szCs w:val="13"/>
          <w:b w:val="1"/>
          <w:bCs w:val="1"/>
          <w:color w:val="auto"/>
        </w:rPr>
        <w:t>Title of Security (Instr. 3)</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040" w:type="dxa"/>
            <w:vAlign w:val="bottom"/>
          </w:tcPr>
          <w:p>
            <w:pPr>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5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 Disposed Of</w:t>
            </w:r>
          </w:p>
        </w:tc>
        <w:tc>
          <w:tcPr>
            <w:tcW w:w="1820" w:type="dxa"/>
            <w:vAlign w:val="bottom"/>
          </w:tcPr>
          <w:p>
            <w:pPr>
              <w:ind w:left="60"/>
              <w:spacing w:after="0"/>
              <w:rPr>
                <w:sz w:val="20"/>
                <w:szCs w:val="20"/>
                <w:color w:val="auto"/>
              </w:rPr>
            </w:pPr>
            <w:r>
              <w:rPr>
                <w:rFonts w:ascii="Arial" w:cs="Arial" w:eastAsia="Arial" w:hAnsi="Arial"/>
                <w:sz w:val="12"/>
                <w:szCs w:val="12"/>
                <w:b w:val="1"/>
                <w:bCs w:val="1"/>
                <w:color w:val="auto"/>
              </w:rPr>
              <w:t>5. Amount of Securities</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6.</w:t>
            </w:r>
          </w:p>
        </w:tc>
        <w:tc>
          <w:tcPr>
            <w:tcW w:w="1660" w:type="dxa"/>
            <w:vAlign w:val="bottom"/>
          </w:tcPr>
          <w:p>
            <w:pPr>
              <w:ind w:left="8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10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(Instr. 3, 4 and 5)</w:t>
            </w: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 Owned Following</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1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 Ownership (Instr.</w:t>
            </w:r>
          </w:p>
        </w:tc>
        <w:tc>
          <w:tcPr>
            <w:tcW w:w="0" w:type="dxa"/>
            <w:vAlign w:val="bottom"/>
          </w:tcPr>
          <w:p>
            <w:pPr>
              <w:spacing w:after="0"/>
              <w:rPr>
                <w:sz w:val="1"/>
                <w:szCs w:val="1"/>
                <w:color w:val="auto"/>
              </w:rPr>
            </w:pPr>
          </w:p>
        </w:tc>
      </w:tr>
      <w:tr>
        <w:trPr>
          <w:trHeight w:val="133"/>
        </w:trPr>
        <w:tc>
          <w:tcPr>
            <w:tcW w:w="104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 Transaction(s)</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1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20" w:type="dxa"/>
            <w:vAlign w:val="bottom"/>
          </w:tcPr>
          <w:p>
            <w:pPr>
              <w:spacing w:after="0"/>
              <w:rPr>
                <w:sz w:val="6"/>
                <w:szCs w:val="6"/>
                <w:color w:val="auto"/>
              </w:rPr>
            </w:pPr>
          </w:p>
        </w:tc>
        <w:tc>
          <w:tcPr>
            <w:tcW w:w="7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1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4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(A)</w:t>
            </w:r>
          </w:p>
        </w:tc>
        <w:tc>
          <w:tcPr>
            <w:tcW w:w="6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V</w:t>
            </w:r>
          </w:p>
        </w:tc>
        <w:tc>
          <w:tcPr>
            <w:tcW w:w="1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w:t>
            </w:r>
          </w:p>
        </w:tc>
        <w:tc>
          <w:tcPr>
            <w:tcW w:w="4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or</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w:t>
            </w:r>
          </w:p>
        </w:tc>
        <w:tc>
          <w:tcPr>
            <w:tcW w:w="1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80" w:type="dxa"/>
            <w:vAlign w:val="bottom"/>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7" w:lineRule="exact"/>
        <w:rPr>
          <w:sz w:val="24"/>
          <w:szCs w:val="24"/>
          <w:color w:val="auto"/>
        </w:rPr>
      </w:pPr>
    </w:p>
    <w:p>
      <w:pPr>
        <w:sectPr>
          <w:pgSz w:w="11900" w:h="16838" w:orient="portrait"/>
          <w:cols w:equalWidth="0" w:num="2">
            <w:col w:w="660" w:space="400"/>
            <w:col w:w="10020"/>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311"/>
        </w:trPr>
        <w:tc>
          <w:tcPr>
            <w:tcW w:w="20" w:type="dxa"/>
            <w:vAlign w:val="bottom"/>
          </w:tcPr>
          <w:p>
            <w:pPr>
              <w:spacing w:after="0"/>
              <w:rPr>
                <w:sz w:val="24"/>
                <w:szCs w:val="24"/>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Common</w:t>
            </w: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20" w:type="dxa"/>
            <w:vAlign w:val="bottom"/>
            <w:gridSpan w:val="5"/>
            <w:vMerge w:val="restart"/>
          </w:tcPr>
          <w:p>
            <w:pPr>
              <w:ind w:left="40"/>
              <w:spacing w:after="0"/>
              <w:rPr>
                <w:sz w:val="20"/>
                <w:szCs w:val="20"/>
                <w:color w:val="auto"/>
              </w:rPr>
            </w:pPr>
            <w:r>
              <w:rPr>
                <w:rFonts w:ascii="Arial" w:cs="Arial" w:eastAsia="Arial" w:hAnsi="Arial"/>
                <w:sz w:val="34"/>
                <w:szCs w:val="34"/>
                <w:color w:val="0000FF"/>
                <w:w w:val="86"/>
                <w:vertAlign w:val="subscript"/>
              </w:rPr>
              <w:t>See Footnotes</w:t>
            </w:r>
            <w:r>
              <w:rPr>
                <w:rFonts w:ascii="Arial" w:cs="Arial" w:eastAsia="Arial" w:hAnsi="Arial"/>
                <w:sz w:val="11"/>
                <w:szCs w:val="11"/>
                <w:color w:val="008000"/>
                <w:w w:val="86"/>
              </w:rPr>
              <w:t>(1)(2)(3)(4)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80" w:type="dxa"/>
            <w:vAlign w:val="bottom"/>
            <w:gridSpan w:val="2"/>
          </w:tcPr>
          <w:p>
            <w:pPr>
              <w:ind w:left="60"/>
              <w:spacing w:after="0" w:line="168" w:lineRule="exact"/>
              <w:rPr>
                <w:sz w:val="20"/>
                <w:szCs w:val="20"/>
                <w:color w:val="auto"/>
              </w:rPr>
            </w:pPr>
            <w:r>
              <w:rPr>
                <w:rFonts w:ascii="Arial" w:cs="Arial" w:eastAsia="Arial" w:hAnsi="Arial"/>
                <w:sz w:val="17"/>
                <w:szCs w:val="17"/>
                <w:color w:val="0000FF"/>
                <w:w w:val="91"/>
              </w:rPr>
              <w:t>Stock, par</w:t>
            </w:r>
          </w:p>
        </w:tc>
        <w:tc>
          <w:tcPr>
            <w:tcW w:w="1920" w:type="dxa"/>
            <w:vAlign w:val="bottom"/>
            <w:gridSpan w:val="2"/>
          </w:tcPr>
          <w:p>
            <w:pPr>
              <w:ind w:left="360"/>
              <w:spacing w:after="0" w:line="168" w:lineRule="exact"/>
              <w:rPr>
                <w:sz w:val="20"/>
                <w:szCs w:val="20"/>
                <w:color w:val="auto"/>
              </w:rPr>
            </w:pPr>
            <w:r>
              <w:rPr>
                <w:rFonts w:ascii="Arial" w:cs="Arial" w:eastAsia="Arial" w:hAnsi="Arial"/>
                <w:sz w:val="17"/>
                <w:szCs w:val="17"/>
                <w:color w:val="0000FF"/>
              </w:rPr>
              <w:t>06/04/2021</w:t>
            </w:r>
          </w:p>
        </w:tc>
        <w:tc>
          <w:tcPr>
            <w:tcW w:w="600" w:type="dxa"/>
            <w:vAlign w:val="bottom"/>
          </w:tcPr>
          <w:p>
            <w:pPr>
              <w:spacing w:after="0"/>
              <w:rPr>
                <w:sz w:val="14"/>
                <w:szCs w:val="14"/>
                <w:color w:val="auto"/>
              </w:rPr>
            </w:pPr>
          </w:p>
        </w:tc>
        <w:tc>
          <w:tcPr>
            <w:tcW w:w="460" w:type="dxa"/>
            <w:vAlign w:val="bottom"/>
          </w:tcPr>
          <w:p>
            <w:pPr>
              <w:ind w:left="100"/>
              <w:spacing w:after="0"/>
              <w:rPr>
                <w:sz w:val="20"/>
                <w:szCs w:val="20"/>
                <w:color w:val="auto"/>
              </w:rPr>
            </w:pPr>
            <w:r>
              <w:rPr>
                <w:rFonts w:ascii="Arial" w:cs="Arial" w:eastAsia="Arial" w:hAnsi="Arial"/>
                <w:sz w:val="13"/>
                <w:szCs w:val="13"/>
                <w:color w:val="0000FF"/>
              </w:rPr>
              <w:t>S</w:t>
            </w:r>
          </w:p>
        </w:tc>
        <w:tc>
          <w:tcPr>
            <w:tcW w:w="1920" w:type="dxa"/>
            <w:vAlign w:val="bottom"/>
            <w:gridSpan w:val="6"/>
          </w:tcPr>
          <w:p>
            <w:pPr>
              <w:jc w:val="center"/>
              <w:ind w:right="100"/>
              <w:spacing w:after="0" w:line="168" w:lineRule="exact"/>
              <w:rPr>
                <w:sz w:val="20"/>
                <w:szCs w:val="20"/>
                <w:color w:val="auto"/>
              </w:rPr>
            </w:pPr>
            <w:r>
              <w:rPr>
                <w:rFonts w:ascii="Arial" w:cs="Arial" w:eastAsia="Arial" w:hAnsi="Arial"/>
                <w:sz w:val="19"/>
                <w:szCs w:val="19"/>
                <w:color w:val="0000FF"/>
                <w:vertAlign w:val="subscript"/>
              </w:rPr>
              <w:t>13,000</w:t>
            </w:r>
            <w:r>
              <w:rPr>
                <w:rFonts w:ascii="Arial" w:cs="Arial" w:eastAsia="Arial" w:hAnsi="Arial"/>
                <w:sz w:val="9"/>
                <w:szCs w:val="9"/>
                <w:color w:val="008000"/>
              </w:rPr>
              <w:t>(1)(2)(3)(4)(5)(6)(7)</w:t>
            </w:r>
          </w:p>
        </w:tc>
        <w:tc>
          <w:tcPr>
            <w:tcW w:w="260" w:type="dxa"/>
            <w:vAlign w:val="bottom"/>
          </w:tcPr>
          <w:p>
            <w:pPr>
              <w:ind w:left="40"/>
              <w:spacing w:after="0" w:line="168" w:lineRule="exact"/>
              <w:rPr>
                <w:sz w:val="20"/>
                <w:szCs w:val="20"/>
                <w:color w:val="auto"/>
              </w:rPr>
            </w:pPr>
            <w:r>
              <w:rPr>
                <w:rFonts w:ascii="Arial" w:cs="Arial" w:eastAsia="Arial" w:hAnsi="Arial"/>
                <w:sz w:val="17"/>
                <w:szCs w:val="17"/>
                <w:color w:val="0000FF"/>
              </w:rPr>
              <w:t>D</w:t>
            </w:r>
          </w:p>
        </w:tc>
        <w:tc>
          <w:tcPr>
            <w:tcW w:w="660" w:type="dxa"/>
            <w:vAlign w:val="bottom"/>
          </w:tcPr>
          <w:p>
            <w:pPr>
              <w:jc w:val="center"/>
              <w:ind w:right="22"/>
              <w:spacing w:after="0" w:line="168" w:lineRule="exact"/>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29.9</w:t>
            </w:r>
          </w:p>
        </w:tc>
        <w:tc>
          <w:tcPr>
            <w:tcW w:w="1960" w:type="dxa"/>
            <w:vAlign w:val="bottom"/>
            <w:gridSpan w:val="4"/>
          </w:tcPr>
          <w:p>
            <w:pPr>
              <w:jc w:val="right"/>
              <w:ind w:right="140"/>
              <w:spacing w:after="0" w:line="168" w:lineRule="exact"/>
              <w:rPr>
                <w:sz w:val="20"/>
                <w:szCs w:val="20"/>
                <w:color w:val="auto"/>
              </w:rPr>
            </w:pPr>
            <w:r>
              <w:rPr>
                <w:rFonts w:ascii="Arial" w:cs="Arial" w:eastAsia="Arial" w:hAnsi="Arial"/>
                <w:sz w:val="19"/>
                <w:szCs w:val="19"/>
                <w:color w:val="0000FF"/>
                <w:vertAlign w:val="subscript"/>
              </w:rPr>
              <w:t>16,446,587</w:t>
            </w:r>
            <w:r>
              <w:rPr>
                <w:rFonts w:ascii="Arial" w:cs="Arial" w:eastAsia="Arial" w:hAnsi="Arial"/>
                <w:sz w:val="9"/>
                <w:szCs w:val="9"/>
                <w:color w:val="008000"/>
              </w:rPr>
              <w:t>(1)(2)(3)(4)(5)(6)(7)</w:t>
            </w:r>
          </w:p>
        </w:tc>
        <w:tc>
          <w:tcPr>
            <w:tcW w:w="680" w:type="dxa"/>
            <w:vAlign w:val="bottom"/>
          </w:tcPr>
          <w:p>
            <w:pPr>
              <w:ind w:left="220"/>
              <w:spacing w:after="0" w:line="168" w:lineRule="exact"/>
              <w:rPr>
                <w:sz w:val="20"/>
                <w:szCs w:val="20"/>
                <w:color w:val="auto"/>
              </w:rPr>
            </w:pPr>
            <w:r>
              <w:rPr>
                <w:rFonts w:ascii="Arial" w:cs="Arial" w:eastAsia="Arial" w:hAnsi="Arial"/>
                <w:sz w:val="17"/>
                <w:szCs w:val="17"/>
                <w:color w:val="0000FF"/>
              </w:rPr>
              <w:t>I</w:t>
            </w:r>
          </w:p>
        </w:tc>
        <w:tc>
          <w:tcPr>
            <w:tcW w:w="18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value $0.01</w:t>
            </w:r>
          </w:p>
        </w:tc>
        <w:tc>
          <w:tcPr>
            <w:tcW w:w="1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color w:val="008000"/>
              </w:rPr>
              <w:t>(5)(6)(7)</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Common</w:t>
            </w:r>
          </w:p>
        </w:tc>
        <w:tc>
          <w:tcPr>
            <w:tcW w:w="7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20" w:type="dxa"/>
            <w:vAlign w:val="bottom"/>
            <w:gridSpan w:val="5"/>
            <w:vMerge w:val="restart"/>
          </w:tcPr>
          <w:p>
            <w:pPr>
              <w:ind w:left="40"/>
              <w:spacing w:after="0"/>
              <w:rPr>
                <w:sz w:val="20"/>
                <w:szCs w:val="20"/>
                <w:color w:val="auto"/>
              </w:rPr>
            </w:pPr>
            <w:r>
              <w:rPr>
                <w:rFonts w:ascii="Arial" w:cs="Arial" w:eastAsia="Arial" w:hAnsi="Arial"/>
                <w:sz w:val="17"/>
                <w:szCs w:val="17"/>
                <w:color w:val="0000FF"/>
                <w:w w:val="95"/>
              </w:rPr>
              <w:t>See Footnotes</w:t>
            </w:r>
            <w:r>
              <w:rPr>
                <w:rFonts w:ascii="Arial" w:cs="Arial" w:eastAsia="Arial" w:hAnsi="Arial"/>
                <w:sz w:val="22"/>
                <w:szCs w:val="22"/>
                <w:color w:val="008000"/>
                <w:w w:val="95"/>
                <w:vertAlign w:val="superscript"/>
              </w:rPr>
              <w:t>(1)(2)(3)(4)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80" w:type="dxa"/>
            <w:vAlign w:val="bottom"/>
            <w:gridSpan w:val="2"/>
          </w:tcPr>
          <w:p>
            <w:pPr>
              <w:ind w:left="60"/>
              <w:spacing w:after="0" w:line="168" w:lineRule="exact"/>
              <w:rPr>
                <w:sz w:val="20"/>
                <w:szCs w:val="20"/>
                <w:color w:val="auto"/>
              </w:rPr>
            </w:pPr>
            <w:r>
              <w:rPr>
                <w:rFonts w:ascii="Arial" w:cs="Arial" w:eastAsia="Arial" w:hAnsi="Arial"/>
                <w:sz w:val="17"/>
                <w:szCs w:val="17"/>
                <w:color w:val="0000FF"/>
                <w:w w:val="91"/>
              </w:rPr>
              <w:t>Stock, par</w:t>
            </w:r>
          </w:p>
        </w:tc>
        <w:tc>
          <w:tcPr>
            <w:tcW w:w="1920" w:type="dxa"/>
            <w:vAlign w:val="bottom"/>
            <w:gridSpan w:val="2"/>
          </w:tcPr>
          <w:p>
            <w:pPr>
              <w:ind w:left="360"/>
              <w:spacing w:after="0" w:line="168" w:lineRule="exact"/>
              <w:rPr>
                <w:sz w:val="20"/>
                <w:szCs w:val="20"/>
                <w:color w:val="auto"/>
              </w:rPr>
            </w:pPr>
            <w:r>
              <w:rPr>
                <w:rFonts w:ascii="Arial" w:cs="Arial" w:eastAsia="Arial" w:hAnsi="Arial"/>
                <w:sz w:val="17"/>
                <w:szCs w:val="17"/>
                <w:color w:val="0000FF"/>
              </w:rPr>
              <w:t>06/04/2021</w:t>
            </w:r>
          </w:p>
        </w:tc>
        <w:tc>
          <w:tcPr>
            <w:tcW w:w="600" w:type="dxa"/>
            <w:vAlign w:val="bottom"/>
          </w:tcPr>
          <w:p>
            <w:pPr>
              <w:spacing w:after="0"/>
              <w:rPr>
                <w:sz w:val="14"/>
                <w:szCs w:val="14"/>
                <w:color w:val="auto"/>
              </w:rPr>
            </w:pPr>
          </w:p>
        </w:tc>
        <w:tc>
          <w:tcPr>
            <w:tcW w:w="460" w:type="dxa"/>
            <w:vAlign w:val="bottom"/>
          </w:tcPr>
          <w:p>
            <w:pPr>
              <w:ind w:left="100"/>
              <w:spacing w:after="0"/>
              <w:rPr>
                <w:sz w:val="20"/>
                <w:szCs w:val="20"/>
                <w:color w:val="auto"/>
              </w:rPr>
            </w:pPr>
            <w:r>
              <w:rPr>
                <w:rFonts w:ascii="Arial" w:cs="Arial" w:eastAsia="Arial" w:hAnsi="Arial"/>
                <w:sz w:val="13"/>
                <w:szCs w:val="13"/>
                <w:color w:val="0000FF"/>
              </w:rPr>
              <w:t>P</w:t>
            </w:r>
          </w:p>
        </w:tc>
        <w:tc>
          <w:tcPr>
            <w:tcW w:w="1920" w:type="dxa"/>
            <w:vAlign w:val="bottom"/>
            <w:gridSpan w:val="6"/>
          </w:tcPr>
          <w:p>
            <w:pPr>
              <w:jc w:val="center"/>
              <w:ind w:right="40"/>
              <w:spacing w:after="0" w:line="168" w:lineRule="exact"/>
              <w:rPr>
                <w:sz w:val="20"/>
                <w:szCs w:val="20"/>
                <w:color w:val="auto"/>
              </w:rPr>
            </w:pPr>
            <w:r>
              <w:rPr>
                <w:rFonts w:ascii="Arial" w:cs="Arial" w:eastAsia="Arial" w:hAnsi="Arial"/>
                <w:sz w:val="19"/>
                <w:szCs w:val="19"/>
                <w:color w:val="0000FF"/>
                <w:vertAlign w:val="subscript"/>
              </w:rPr>
              <w:t>138,000</w:t>
            </w:r>
            <w:r>
              <w:rPr>
                <w:rFonts w:ascii="Arial" w:cs="Arial" w:eastAsia="Arial" w:hAnsi="Arial"/>
                <w:sz w:val="9"/>
                <w:szCs w:val="9"/>
                <w:color w:val="008000"/>
              </w:rPr>
              <w:t>(1)(2)(3)(4)(5)(6)(7)</w:t>
            </w:r>
          </w:p>
        </w:tc>
        <w:tc>
          <w:tcPr>
            <w:tcW w:w="260" w:type="dxa"/>
            <w:vAlign w:val="bottom"/>
          </w:tcPr>
          <w:p>
            <w:pPr>
              <w:ind w:left="40"/>
              <w:spacing w:after="0" w:line="168" w:lineRule="exact"/>
              <w:rPr>
                <w:sz w:val="20"/>
                <w:szCs w:val="20"/>
                <w:color w:val="auto"/>
              </w:rPr>
            </w:pPr>
            <w:r>
              <w:rPr>
                <w:rFonts w:ascii="Arial" w:cs="Arial" w:eastAsia="Arial" w:hAnsi="Arial"/>
                <w:sz w:val="17"/>
                <w:szCs w:val="17"/>
                <w:color w:val="0000FF"/>
              </w:rPr>
              <w:t>A</w:t>
            </w:r>
          </w:p>
        </w:tc>
        <w:tc>
          <w:tcPr>
            <w:tcW w:w="660" w:type="dxa"/>
            <w:vAlign w:val="bottom"/>
          </w:tcPr>
          <w:p>
            <w:pPr>
              <w:jc w:val="center"/>
              <w:spacing w:after="0" w:line="168" w:lineRule="exact"/>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30.21</w:t>
            </w:r>
          </w:p>
        </w:tc>
        <w:tc>
          <w:tcPr>
            <w:tcW w:w="1960" w:type="dxa"/>
            <w:vAlign w:val="bottom"/>
            <w:gridSpan w:val="4"/>
          </w:tcPr>
          <w:p>
            <w:pPr>
              <w:jc w:val="right"/>
              <w:ind w:right="140"/>
              <w:spacing w:after="0" w:line="168" w:lineRule="exact"/>
              <w:rPr>
                <w:sz w:val="20"/>
                <w:szCs w:val="20"/>
                <w:color w:val="auto"/>
              </w:rPr>
            </w:pPr>
            <w:r>
              <w:rPr>
                <w:rFonts w:ascii="Arial" w:cs="Arial" w:eastAsia="Arial" w:hAnsi="Arial"/>
                <w:sz w:val="19"/>
                <w:szCs w:val="19"/>
                <w:color w:val="0000FF"/>
                <w:vertAlign w:val="subscript"/>
              </w:rPr>
              <w:t>16,584,587</w:t>
            </w:r>
            <w:r>
              <w:rPr>
                <w:rFonts w:ascii="Arial" w:cs="Arial" w:eastAsia="Arial" w:hAnsi="Arial"/>
                <w:sz w:val="9"/>
                <w:szCs w:val="9"/>
                <w:color w:val="008000"/>
              </w:rPr>
              <w:t>(1)(2)(3)(4)(5)(6)(7)</w:t>
            </w:r>
          </w:p>
        </w:tc>
        <w:tc>
          <w:tcPr>
            <w:tcW w:w="680" w:type="dxa"/>
            <w:vAlign w:val="bottom"/>
          </w:tcPr>
          <w:p>
            <w:pPr>
              <w:ind w:left="220"/>
              <w:spacing w:after="0" w:line="168" w:lineRule="exact"/>
              <w:rPr>
                <w:sz w:val="20"/>
                <w:szCs w:val="20"/>
                <w:color w:val="auto"/>
              </w:rPr>
            </w:pPr>
            <w:r>
              <w:rPr>
                <w:rFonts w:ascii="Arial" w:cs="Arial" w:eastAsia="Arial" w:hAnsi="Arial"/>
                <w:sz w:val="17"/>
                <w:szCs w:val="17"/>
                <w:color w:val="0000FF"/>
              </w:rPr>
              <w:t>I</w:t>
            </w:r>
          </w:p>
        </w:tc>
        <w:tc>
          <w:tcPr>
            <w:tcW w:w="18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value $0.01</w:t>
            </w:r>
          </w:p>
        </w:tc>
        <w:tc>
          <w:tcPr>
            <w:tcW w:w="1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color w:val="008000"/>
              </w:rPr>
              <w:t>(5)(6)(7)</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820" w:type="dxa"/>
            <w:vAlign w:val="bottom"/>
            <w:tcBorders>
              <w:bottom w:val="single" w:sz="8" w:color="2C2C2C"/>
            </w:tcBorders>
            <w:gridSpan w:val="2"/>
          </w:tcPr>
          <w:p>
            <w:pPr>
              <w:spacing w:after="0"/>
              <w:rPr>
                <w:sz w:val="8"/>
                <w:szCs w:val="8"/>
                <w:color w:val="auto"/>
              </w:rPr>
            </w:pPr>
          </w:p>
        </w:tc>
        <w:tc>
          <w:tcPr>
            <w:tcW w:w="960" w:type="dxa"/>
            <w:vAlign w:val="bottom"/>
            <w:tcBorders>
              <w:bottom w:val="single" w:sz="8" w:color="2C2C2C"/>
            </w:tcBorders>
            <w:gridSpan w:val="2"/>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460" w:type="dxa"/>
            <w:vAlign w:val="bottom"/>
            <w:tcBorders>
              <w:bottom w:val="single" w:sz="8" w:color="2C2C2C"/>
            </w:tcBorders>
            <w:gridSpan w:val="7"/>
          </w:tcPr>
          <w:p>
            <w:pPr>
              <w:spacing w:after="0"/>
              <w:rPr>
                <w:sz w:val="8"/>
                <w:szCs w:val="8"/>
                <w:color w:val="auto"/>
              </w:rPr>
            </w:pPr>
          </w:p>
        </w:tc>
        <w:tc>
          <w:tcPr>
            <w:tcW w:w="1400" w:type="dxa"/>
            <w:vAlign w:val="bottom"/>
            <w:tcBorders>
              <w:bottom w:val="single" w:sz="8" w:color="2C2C2C"/>
            </w:tcBorders>
            <w:gridSpan w:val="3"/>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760" w:type="dxa"/>
            <w:vAlign w:val="bottom"/>
            <w:tcBorders>
              <w:top w:val="single" w:sz="8" w:color="2C2C2C"/>
            </w:tcBorders>
            <w:gridSpan w:val="16"/>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220" w:type="dxa"/>
            <w:vAlign w:val="bottom"/>
            <w:gridSpan w:val="13"/>
          </w:tcPr>
          <w:p>
            <w:pPr>
              <w:ind w:left="4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00" w:type="dxa"/>
            <w:vAlign w:val="bottom"/>
          </w:tcPr>
          <w:p>
            <w:pPr>
              <w:spacing w:after="0"/>
              <w:rPr>
                <w:sz w:val="20"/>
                <w:szCs w:val="20"/>
                <w:color w:val="auto"/>
              </w:rPr>
            </w:pPr>
            <w:r>
              <w:rPr>
                <w:rFonts w:ascii="Arial" w:cs="Arial" w:eastAsia="Arial" w:hAnsi="Arial"/>
                <w:sz w:val="12"/>
                <w:szCs w:val="12"/>
                <w:b w:val="1"/>
                <w:bCs w:val="1"/>
                <w:color w:val="auto"/>
              </w:rPr>
              <w:t>2.</w:t>
            </w:r>
          </w:p>
        </w:tc>
        <w:tc>
          <w:tcPr>
            <w:tcW w:w="122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gridSpan w:val="2"/>
          </w:tcPr>
          <w:p>
            <w:pPr>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Conversion</w:t>
            </w:r>
          </w:p>
        </w:tc>
        <w:tc>
          <w:tcPr>
            <w:tcW w:w="12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26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or Exercise</w:t>
            </w:r>
          </w:p>
        </w:tc>
        <w:tc>
          <w:tcPr>
            <w:tcW w:w="12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26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Price of</w:t>
            </w:r>
          </w:p>
        </w:tc>
        <w:tc>
          <w:tcPr>
            <w:tcW w:w="1220" w:type="dxa"/>
            <w:vAlign w:val="bottom"/>
          </w:tcPr>
          <w:p>
            <w:pPr>
              <w:spacing w:after="0"/>
              <w:rPr>
                <w:sz w:val="11"/>
                <w:szCs w:val="11"/>
                <w:color w:val="auto"/>
              </w:rPr>
            </w:pP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6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260" w:type="dxa"/>
            <w:vAlign w:val="bottom"/>
          </w:tcPr>
          <w:p>
            <w:pPr>
              <w:spacing w:after="0"/>
              <w:rPr>
                <w:sz w:val="11"/>
                <w:szCs w:val="11"/>
                <w:color w:val="auto"/>
              </w:rPr>
            </w:pPr>
          </w:p>
        </w:tc>
        <w:tc>
          <w:tcPr>
            <w:tcW w:w="92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Expiration</w:t>
            </w: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Exercisable  Date</w:t>
            </w:r>
          </w:p>
        </w:tc>
        <w:tc>
          <w:tcPr>
            <w:tcW w:w="260" w:type="dxa"/>
            <w:vAlign w:val="bottom"/>
          </w:tcPr>
          <w:p>
            <w:pPr>
              <w:spacing w:after="0"/>
              <w:rPr>
                <w:sz w:val="13"/>
                <w:szCs w:val="13"/>
                <w:color w:val="auto"/>
              </w:rPr>
            </w:pP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70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tcBorders>
              <w:bottom w:val="single" w:sz="8" w:color="0000EE"/>
            </w:tcBorders>
            <w:gridSpan w:val="3"/>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gridSpan w:val="2"/>
          </w:tcPr>
          <w:p>
            <w:pPr>
              <w:ind w:left="20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3"/>
          </w:tcPr>
          <w:p>
            <w:pPr>
              <w:spacing w:after="0"/>
              <w:rPr>
                <w:sz w:val="20"/>
                <w:szCs w:val="20"/>
                <w:color w:val="auto"/>
              </w:rPr>
            </w:pPr>
            <w:r>
              <w:rPr>
                <w:rFonts w:ascii="Arial" w:cs="Arial" w:eastAsia="Arial" w:hAnsi="Arial"/>
                <w:sz w:val="17"/>
                <w:szCs w:val="17"/>
                <w:color w:val="0000FF"/>
              </w:rPr>
              <w:t>2000 AVENUE OF THE STARS</w:t>
            </w: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12TH FLOOR</w:t>
            </w:r>
          </w:p>
        </w:tc>
        <w:tc>
          <w:tcPr>
            <w:tcW w:w="1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220" w:type="dxa"/>
            <w:vAlign w:val="bottom"/>
          </w:tcPr>
          <w:p>
            <w:pPr>
              <w:ind w:left="20"/>
              <w:spacing w:after="0"/>
              <w:rPr>
                <w:sz w:val="20"/>
                <w:szCs w:val="20"/>
                <w:color w:val="auto"/>
              </w:rPr>
            </w:pPr>
            <w:r>
              <w:rPr>
                <w:rFonts w:ascii="Arial" w:cs="Arial" w:eastAsia="Arial" w:hAnsi="Arial"/>
                <w:sz w:val="17"/>
                <w:szCs w:val="17"/>
                <w:color w:val="0000FF"/>
              </w:rPr>
              <w:t>CA</w:t>
            </w:r>
          </w:p>
        </w:tc>
        <w:tc>
          <w:tcPr>
            <w:tcW w:w="1060" w:type="dxa"/>
            <w:vAlign w:val="bottom"/>
            <w:gridSpan w:val="2"/>
          </w:tcPr>
          <w:p>
            <w:pPr>
              <w:ind w:left="200"/>
              <w:spacing w:after="0"/>
              <w:rPr>
                <w:sz w:val="20"/>
                <w:szCs w:val="20"/>
                <w:color w:val="auto"/>
              </w:rPr>
            </w:pPr>
            <w:r>
              <w:rPr>
                <w:rFonts w:ascii="Arial" w:cs="Arial" w:eastAsia="Arial" w:hAnsi="Arial"/>
                <w:sz w:val="17"/>
                <w:szCs w:val="17"/>
                <w:color w:val="0000FF"/>
              </w:rPr>
              <w:t>90067</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gridSpan w:val="2"/>
          </w:tcPr>
          <w:p>
            <w:pPr>
              <w:ind w:left="20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7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5"/>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ACOF Investment Management LLC</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gridSpan w:val="2"/>
          </w:tcPr>
          <w:p>
            <w:pPr>
              <w:ind w:left="20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3"/>
          </w:tcPr>
          <w:p>
            <w:pPr>
              <w:spacing w:after="0"/>
              <w:rPr>
                <w:sz w:val="20"/>
                <w:szCs w:val="20"/>
                <w:color w:val="auto"/>
              </w:rPr>
            </w:pPr>
            <w:r>
              <w:rPr>
                <w:rFonts w:ascii="Arial" w:cs="Arial" w:eastAsia="Arial" w:hAnsi="Arial"/>
                <w:sz w:val="17"/>
                <w:szCs w:val="17"/>
                <w:color w:val="0000FF"/>
              </w:rPr>
              <w:t>2000 AVENUE OF THE STARS</w:t>
            </w: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12TH FLOOR</w:t>
            </w:r>
          </w:p>
        </w:tc>
        <w:tc>
          <w:tcPr>
            <w:tcW w:w="1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220" w:type="dxa"/>
            <w:vAlign w:val="bottom"/>
          </w:tcPr>
          <w:p>
            <w:pPr>
              <w:ind w:left="20"/>
              <w:spacing w:after="0"/>
              <w:rPr>
                <w:sz w:val="20"/>
                <w:szCs w:val="20"/>
                <w:color w:val="auto"/>
              </w:rPr>
            </w:pPr>
            <w:r>
              <w:rPr>
                <w:rFonts w:ascii="Arial" w:cs="Arial" w:eastAsia="Arial" w:hAnsi="Arial"/>
                <w:sz w:val="17"/>
                <w:szCs w:val="17"/>
                <w:color w:val="0000FF"/>
              </w:rPr>
              <w:t>CA</w:t>
            </w:r>
          </w:p>
        </w:tc>
        <w:tc>
          <w:tcPr>
            <w:tcW w:w="1060" w:type="dxa"/>
            <w:vAlign w:val="bottom"/>
            <w:gridSpan w:val="2"/>
          </w:tcPr>
          <w:p>
            <w:pPr>
              <w:ind w:left="200"/>
              <w:spacing w:after="0"/>
              <w:rPr>
                <w:sz w:val="20"/>
                <w:szCs w:val="20"/>
                <w:color w:val="auto"/>
              </w:rPr>
            </w:pPr>
            <w:r>
              <w:rPr>
                <w:rFonts w:ascii="Arial" w:cs="Arial" w:eastAsia="Arial" w:hAnsi="Arial"/>
                <w:sz w:val="17"/>
                <w:szCs w:val="17"/>
                <w:color w:val="0000FF"/>
              </w:rPr>
              <w:t>90067</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-5012055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p>
      <w:pPr>
        <w:spacing w:after="0" w:line="320"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38" w:orient="portrait"/>
          <w:cols w:equalWidth="0" w:num="1">
            <w:col w:w="11080"/>
          </w:cols>
          <w:pgMar w:left="460" w:top="225" w:right="35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3050540</wp:posOffset>
            </wp:positionH>
            <wp:positionV relativeFrom="page">
              <wp:posOffset>88900</wp:posOffset>
            </wp:positionV>
            <wp:extent cx="42545"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42545" cy="10526395"/>
                    </a:xfrm>
                    <a:prstGeom prst="rect">
                      <a:avLst/>
                    </a:prstGeom>
                    <a:noFill/>
                  </pic:spPr>
                </pic:pic>
              </a:graphicData>
            </a:graphic>
          </wp:anchor>
        </w:drawing>
        <w:drawing>
          <wp:anchor simplePos="0" relativeHeight="251657728" behindDoc="1" locked="0" layoutInCell="0" allowOverlap="1">
            <wp:simplePos x="0" y="0"/>
            <wp:positionH relativeFrom="page">
              <wp:posOffset>283845</wp:posOffset>
            </wp:positionH>
            <wp:positionV relativeFrom="page">
              <wp:posOffset>88900</wp:posOffset>
            </wp:positionV>
            <wp:extent cx="42545" cy="10526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42545" cy="10526395"/>
                    </a:xfrm>
                    <a:prstGeom prst="rect">
                      <a:avLst/>
                    </a:prstGeom>
                    <a:noFill/>
                  </pic:spPr>
                </pic:pic>
              </a:graphicData>
            </a:graphic>
          </wp:anchor>
        </w:drawing>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18">
        <w:r>
          <w:rPr>
            <w:rFonts w:ascii="Arial" w:cs="Arial" w:eastAsia="Arial" w:hAnsi="Arial"/>
            <w:sz w:val="21"/>
            <w:szCs w:val="21"/>
            <w:u w:val="single" w:color="auto"/>
            <w:color w:val="0000EE"/>
          </w:rPr>
          <w:t>ASSF Operating Manager IV, 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81280</wp:posOffset>
            </wp:positionV>
            <wp:extent cx="267398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301"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97155</wp:posOffset>
            </wp:positionV>
            <wp:extent cx="267398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52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360" w:type="dxa"/>
            <w:vAlign w:val="bottom"/>
          </w:tcPr>
          <w:p>
            <w:pPr>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9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800" w:type="dxa"/>
            <w:vAlign w:val="bottom"/>
            <w:tcBorders>
              <w:bottom w:val="single" w:sz="8" w:color="0000EE"/>
            </w:tcBorders>
            <w:gridSpan w:val="6"/>
          </w:tcPr>
          <w:p>
            <w:pPr>
              <w:spacing w:after="0" w:line="221" w:lineRule="exact"/>
              <w:rPr>
                <w:rFonts w:ascii="Arial" w:cs="Arial" w:eastAsia="Arial" w:hAnsi="Arial"/>
                <w:sz w:val="21"/>
                <w:szCs w:val="21"/>
                <w:color w:val="0000EE"/>
                <w:w w:val="91"/>
              </w:rPr>
            </w:pPr>
            <w:hyperlink r:id="rId21">
              <w:r>
                <w:rPr>
                  <w:rFonts w:ascii="Arial" w:cs="Arial" w:eastAsia="Arial" w:hAnsi="Arial"/>
                  <w:sz w:val="21"/>
                  <w:szCs w:val="21"/>
                  <w:color w:val="0000EE"/>
                  <w:w w:val="91"/>
                </w:rPr>
                <w:t>Ares Management Holdings L.P.</w:t>
              </w:r>
            </w:hyperlink>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80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52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360" w:type="dxa"/>
            <w:vAlign w:val="bottom"/>
          </w:tcPr>
          <w:p>
            <w:pPr>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9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800" w:type="dxa"/>
            <w:vAlign w:val="bottom"/>
            <w:gridSpan w:val="6"/>
          </w:tcPr>
          <w:p>
            <w:pPr>
              <w:spacing w:after="0" w:line="221" w:lineRule="exact"/>
              <w:rPr>
                <w:rFonts w:ascii="Arial" w:cs="Arial" w:eastAsia="Arial" w:hAnsi="Arial"/>
                <w:sz w:val="21"/>
                <w:szCs w:val="21"/>
                <w:color w:val="0000EE"/>
              </w:rPr>
            </w:pPr>
            <w:hyperlink r:id="rId22">
              <w:r>
                <w:rPr>
                  <w:rFonts w:ascii="Arial" w:cs="Arial" w:eastAsia="Arial" w:hAnsi="Arial"/>
                  <w:sz w:val="21"/>
                  <w:szCs w:val="21"/>
                  <w:color w:val="0000EE"/>
                </w:rPr>
                <w:t>Ares Holdco LLC</w:t>
              </w:r>
            </w:hyperlink>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80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52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360" w:type="dxa"/>
            <w:vAlign w:val="bottom"/>
          </w:tcPr>
          <w:p>
            <w:pPr>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9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800" w:type="dxa"/>
            <w:vAlign w:val="bottom"/>
            <w:gridSpan w:val="6"/>
          </w:tcPr>
          <w:p>
            <w:pPr>
              <w:spacing w:after="0" w:line="221" w:lineRule="exact"/>
              <w:rPr>
                <w:rFonts w:ascii="Arial" w:cs="Arial" w:eastAsia="Arial" w:hAnsi="Arial"/>
                <w:sz w:val="21"/>
                <w:szCs w:val="21"/>
                <w:color w:val="0000EE"/>
              </w:rPr>
            </w:pPr>
            <w:hyperlink r:id="rId23">
              <w:r>
                <w:rPr>
                  <w:rFonts w:ascii="Arial" w:cs="Arial" w:eastAsia="Arial" w:hAnsi="Arial"/>
                  <w:sz w:val="21"/>
                  <w:szCs w:val="21"/>
                  <w:color w:val="0000EE"/>
                </w:rPr>
                <w:t>Ares Management Corp</w:t>
              </w:r>
            </w:hyperlink>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80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52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360" w:type="dxa"/>
            <w:vAlign w:val="bottom"/>
          </w:tcPr>
          <w:p>
            <w:pPr>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9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800" w:type="dxa"/>
            <w:vAlign w:val="bottom"/>
            <w:gridSpan w:val="6"/>
          </w:tcPr>
          <w:p>
            <w:pPr>
              <w:spacing w:after="0" w:line="221" w:lineRule="exact"/>
              <w:rPr>
                <w:rFonts w:ascii="Arial" w:cs="Arial" w:eastAsia="Arial" w:hAnsi="Arial"/>
                <w:sz w:val="21"/>
                <w:szCs w:val="21"/>
                <w:color w:val="0000EE"/>
              </w:rPr>
            </w:pPr>
            <w:hyperlink r:id="rId24">
              <w:r>
                <w:rPr>
                  <w:rFonts w:ascii="Arial" w:cs="Arial" w:eastAsia="Arial" w:hAnsi="Arial"/>
                  <w:sz w:val="21"/>
                  <w:szCs w:val="21"/>
                  <w:color w:val="0000EE"/>
                </w:rPr>
                <w:t>Ares Management GP LLC</w:t>
              </w:r>
            </w:hyperlink>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80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52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360" w:type="dxa"/>
            <w:vAlign w:val="bottom"/>
          </w:tcPr>
          <w:p>
            <w:pPr>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9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800" w:type="dxa"/>
            <w:vAlign w:val="bottom"/>
            <w:gridSpan w:val="6"/>
          </w:tcPr>
          <w:p>
            <w:pPr>
              <w:spacing w:after="0" w:line="221" w:lineRule="exact"/>
              <w:rPr>
                <w:rFonts w:ascii="Arial" w:cs="Arial" w:eastAsia="Arial" w:hAnsi="Arial"/>
                <w:sz w:val="21"/>
                <w:szCs w:val="21"/>
                <w:color w:val="0000EE"/>
              </w:rPr>
            </w:pPr>
            <w:hyperlink r:id="rId25">
              <w:r>
                <w:rPr>
                  <w:rFonts w:ascii="Arial" w:cs="Arial" w:eastAsia="Arial" w:hAnsi="Arial"/>
                  <w:sz w:val="21"/>
                  <w:szCs w:val="21"/>
                  <w:color w:val="0000EE"/>
                </w:rPr>
                <w:t>Ares Voting LLC</w:t>
              </w:r>
            </w:hyperlink>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-8067675</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-8067675</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-7365365</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-7365365</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-6713855</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-6713855</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-6282055</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-6282055</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-5579745</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-5579745</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-4928235</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-4928235</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-4496435</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-4496435</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-3794125</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-3794125</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-3142615</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-3142615</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-2711450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-2711450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-2009140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-2009140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-1357630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-1357630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-925830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-925830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-223520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97155</wp:posOffset>
            </wp:positionV>
            <wp:extent cx="267398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285" w:lineRule="exact"/>
        <w:rPr>
          <w:sz w:val="20"/>
          <w:szCs w:val="20"/>
          <w:color w:val="auto"/>
        </w:rPr>
      </w:pPr>
    </w:p>
    <w:p>
      <w:pPr>
        <w:ind w:left="6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9979"/>
          </w:cols>
          <w:pgMar w:left="480" w:top="110" w:right="1440" w:bottom="0" w:gutter="0" w:footer="0" w:header="0"/>
        </w:sectPr>
      </w:pPr>
    </w:p>
    <w:p>
      <w:pPr>
        <w:spacing w:after="0" w:line="2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7"/>
          <w:szCs w:val="17"/>
          <w:color w:val="0000FF"/>
        </w:rPr>
        <w:t>LOS ANGELES</w:t>
        <w:tab/>
        <w:t>CA</w:t>
      </w:r>
      <w:r>
        <w:rPr>
          <w:sz w:val="20"/>
          <w:szCs w:val="20"/>
          <w:color w:val="auto"/>
        </w:rPr>
        <w:tab/>
      </w:r>
      <w:r>
        <w:rPr>
          <w:rFonts w:ascii="Arial" w:cs="Arial" w:eastAsia="Arial" w:hAnsi="Arial"/>
          <w:sz w:val="15"/>
          <w:szCs w:val="15"/>
          <w:color w:val="0000FF"/>
        </w:rPr>
        <w:t>90067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97155</wp:posOffset>
            </wp:positionV>
            <wp:extent cx="267398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ectPr>
          <w:pgSz w:w="11900" w:h="16838" w:orient="portrait"/>
          <w:cols w:equalWidth="0" w:num="1">
            <w:col w:w="9979"/>
          </w:cols>
          <w:pgMar w:left="480" w:top="110" w:right="1440" w:bottom="0" w:gutter="0" w:footer="0" w:header="0"/>
          <w:type w:val="continuous"/>
        </w:sectPr>
      </w:pPr>
    </w:p>
    <w:bookmarkStart w:id="2" w:name="page3"/>
    <w:bookmarkEnd w:id="2"/>
    <w:p>
      <w:pPr>
        <w:spacing w:after="0" w:line="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9672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2809240" cy="19672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0"/>
        </w:trPr>
        <w:tc>
          <w:tcPr>
            <w:tcW w:w="100" w:type="dxa"/>
            <w:vAlign w:val="bottom"/>
          </w:tcPr>
          <w:p>
            <w:pPr>
              <w:spacing w:after="0"/>
              <w:rPr>
                <w:sz w:val="13"/>
                <w:szCs w:val="13"/>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300" w:type="dxa"/>
            <w:vAlign w:val="bottom"/>
            <w:tcBorders>
              <w:bottom w:val="single" w:sz="8" w:color="2C2C2C"/>
            </w:tcBorders>
            <w:gridSpan w:val="2"/>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57">
              <w:r>
                <w:rPr>
                  <w:rFonts w:ascii="Arial" w:cs="Arial" w:eastAsia="Arial" w:hAnsi="Arial"/>
                  <w:sz w:val="21"/>
                  <w:szCs w:val="21"/>
                  <w:color w:val="0000EE"/>
                </w:rPr>
                <w:t>Ares Partners Holdco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10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right="40" w:firstLine="7"/>
        <w:spacing w:after="0" w:line="243"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statement is being filed jointly by (i) AF V Energy IV AIV 1A, L.P. ("ACOF AIV 1A"), (ii) AF V Energy IV AIV 1B, L.P. ("ACOF AIV 1B"), (iii) AF V Energy IV AIV 2, L.P. ("ACOF AIV 2" and, together with ACOF AIV 1A and ACOF AIV 1B, the "ACOF AIVs"), (iv) AEOF ECR AIV A-B, L.P. ("AEOF AIV A-B"), (v) AEOF ECR AIV C, L.P. ("AEOF AIV C" and, together with AEOF AIV A-B, the "AEOF AIVs"), (vi) AF Energy Feeder, L.P., (vii) ACOF Investment Management LLC ("ACOF Investment Management"), (viii) SSF IV Energy I AIV 1A, L.P. ("SSF AIV 1A"), (ix) SSF IV Energy I AIV 1B, L.P. ("SSF AIV 1B"), (x) SSF IV Energy I AIV 2, L.P. ("SSF AIV 2" and, together with SSF AIV 1A and SSF AIV 1B, the "SSF AIVs"), (xi) ASSF Operating Manager IV, L.P. (Continued in footnote 2)</w:t>
      </w:r>
    </w:p>
    <w:p>
      <w:pPr>
        <w:spacing w:after="0" w:line="29" w:lineRule="exact"/>
        <w:rPr>
          <w:rFonts w:ascii="Arial" w:cs="Arial" w:eastAsia="Arial" w:hAnsi="Arial"/>
          <w:sz w:val="13"/>
          <w:szCs w:val="13"/>
          <w:color w:val="008000"/>
        </w:rPr>
      </w:pPr>
    </w:p>
    <w:p>
      <w:pPr>
        <w:ind w:left="20" w:firstLine="7"/>
        <w:spacing w:after="0" w:line="250"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("ASSF Operating Manager IV"), (xii) Ares Management LLC, (xiii) Ares Management Holdings L.P. ("Ares Management Holdings"), (xiv) Ares Holdco LLC ("Ares Holdco"), (xv) Ares Management Corporation ("Ares Management"), (xvi) Ares Voting LLC ("Ares Voting"), (xvii) Ares Management GP LLC ("Ares Management GP") and (xviii) Ares Partners Holdco LLC ("Ares Partners") (collectively, the "Reporting Persons"). Due to the electronic system's limitation of 10 Reporting Persons per joint filing, this statement is being filed in duplicate.</w:t>
      </w:r>
    </w:p>
    <w:p>
      <w:pPr>
        <w:spacing w:after="0" w:line="25" w:lineRule="exact"/>
        <w:rPr>
          <w:rFonts w:ascii="Arial" w:cs="Arial" w:eastAsia="Arial" w:hAnsi="Arial"/>
          <w:sz w:val="13"/>
          <w:szCs w:val="13"/>
          <w:color w:val="008000"/>
        </w:rPr>
      </w:pPr>
    </w:p>
    <w:p>
      <w:pPr>
        <w:ind w:left="160" w:hanging="133"/>
        <w:spacing w:after="0"/>
        <w:tabs>
          <w:tab w:leader="none" w:pos="16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amount of profit potentially recoverable by the Issuer from the reported transactions has been remitted to the Issuer.</w:t>
      </w:r>
    </w:p>
    <w:p>
      <w:pPr>
        <w:spacing w:after="0" w:line="50" w:lineRule="exact"/>
        <w:rPr>
          <w:rFonts w:ascii="Arial" w:cs="Arial" w:eastAsia="Arial" w:hAnsi="Arial"/>
          <w:sz w:val="13"/>
          <w:szCs w:val="13"/>
          <w:color w:val="008000"/>
        </w:rPr>
      </w:pPr>
    </w:p>
    <w:p>
      <w:pPr>
        <w:ind w:left="20" w:right="80" w:firstLine="7"/>
        <w:spacing w:after="0" w:line="243"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ACOF Investment Management is the manager of each of the ACOF AIVs, the AEOF AIVs and AF Energy Feeder, L.P., and the sole member of ACOF Investment Management is Ares Management LLC. ASSF Operating Manager IV is the manager of the SSF AIVs, and the general partner of ASSF Operating Manager IV is Ares Management LLC. The sole member of Ares Management LLC is Ares Management Holdings and the general partner of Ares Management Holdings is Ares Holdco. The sole member of Ares Holdco is Ares Management. Ares Management GP is the sole holder of the Class B common stock, $0.01 par value per share, of Ares Management (the "Ares Class B Common Stock") and Ares Voting LLC ("Ares Voting") is the sole holder of the Class C common stock, $0.01 par value per share, of Ares Management (the "Ares Class C Common Stock"). (Continued in footnote 5)</w:t>
      </w:r>
    </w:p>
    <w:p>
      <w:pPr>
        <w:spacing w:after="0" w:line="29" w:lineRule="exact"/>
        <w:rPr>
          <w:rFonts w:ascii="Arial" w:cs="Arial" w:eastAsia="Arial" w:hAnsi="Arial"/>
          <w:sz w:val="13"/>
          <w:szCs w:val="13"/>
          <w:color w:val="008000"/>
        </w:rPr>
      </w:pPr>
    </w:p>
    <w:p>
      <w:pPr>
        <w:ind w:left="20" w:right="160" w:firstLine="7"/>
        <w:spacing w:after="0" w:line="245"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Pursuant to Ares Management's Certificate of Incorporation, the holders of the Ares Class B Common Stock and the Ares Class C Common Stock, collectively, will generally have the majority of the votes on any matter submitted to the stockholders of Ares Management if certain conditions are met. The sole member of both Ares Management GP and Ares Voting is Ares Partners. Ares Partners is managed by a board of managers, which is composed of Michael Arougheti, Ryan Berry, R. Kipp deVeer, David Kaplan, Michael McFerran, Antony Ressler and Bennett Rosenthal (collectively, the "Board Members"). Mr. Ressler generally has veto authority over decisions by the Board Members.</w:t>
      </w:r>
    </w:p>
    <w:p>
      <w:pPr>
        <w:spacing w:after="0" w:line="29" w:lineRule="exact"/>
        <w:rPr>
          <w:rFonts w:ascii="Arial" w:cs="Arial" w:eastAsia="Arial" w:hAnsi="Arial"/>
          <w:sz w:val="13"/>
          <w:szCs w:val="13"/>
          <w:color w:val="008000"/>
        </w:rPr>
      </w:pPr>
    </w:p>
    <w:p>
      <w:pPr>
        <w:ind w:left="20" w:right="40" w:firstLine="7"/>
        <w:spacing w:after="0" w:line="243"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Reporting Persons collectively beneficially own, or may be deemed to beneficially own, in the aggregate 16,584,587 shares of Common Stock by reason of the direct or indirect beneficial ownership of such shares as follows: (i) ACOF AIV 1A directly holds 762,303 shares of Common Stock, (ii) ACOF AIV 1B directly holds 2,799,717 shares of Common Stock, (iii) ACOF AIV 2 directly holds 2,854,841 shares of Common Stock, (iv) AEOF AIV A-B directly holds 1,894,861 shares of Common Stock, (v) AEOF AIV C directly holds 804,524 shares of Common Stock, (vi) SSF AIV 1A directly holds 494,523 shares of Common Stock, (vii) SSF AIV 1B directly holds 440,888 shares of Common Stock, (viii) SSF AIV 2 directly holds 717,748 shares of Common Stock and (ix) AF Energy Feeder, L.P. directly holds 5,815,182 shares of Common Stock.</w:t>
      </w:r>
    </w:p>
    <w:p>
      <w:pPr>
        <w:spacing w:after="0" w:line="29" w:lineRule="exact"/>
        <w:rPr>
          <w:rFonts w:ascii="Arial" w:cs="Arial" w:eastAsia="Arial" w:hAnsi="Arial"/>
          <w:sz w:val="13"/>
          <w:szCs w:val="13"/>
          <w:color w:val="008000"/>
        </w:rPr>
      </w:pPr>
    </w:p>
    <w:p>
      <w:pPr>
        <w:ind w:left="20" w:right="160" w:firstLine="7"/>
        <w:spacing w:after="0" w:line="245"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of the Reporting Persons (other than the ACOF AIVs, the AEOF AIVs, the SSF AIVs and AF Energy Feeder, L.P with respect to the shares of Common Stock directly held by them) and the Board Members, and the other directors, officers, partners, stockholders, members and managers of the Reporting Persons, expressly disclaims beneficial ownership of the Common Stock, except to the extent of any pecuniary interest therein, and this Form 4 shall not be deemed an admission that any such person or entity is the beneficial owner of, or has any pecuniary interest in, such securities for purposes of Section 16 of the Securities Exchange Act of 1934, as amended, or for any other purposes.</w:t>
      </w:r>
    </w:p>
    <w:p>
      <w:pPr>
        <w:sectPr>
          <w:pgSz w:w="11900" w:h="16898" w:orient="portrait"/>
          <w:cols w:equalWidth="0" w:num="1">
            <w:col w:w="10900"/>
          </w:cols>
          <w:pgMar w:left="480" w:top="140" w:right="519" w:bottom="0" w:gutter="0" w:footer="0" w:header="0"/>
        </w:sectPr>
      </w:pPr>
    </w:p>
    <w:p>
      <w:pPr>
        <w:spacing w:after="0" w:line="56"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ARES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33794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833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334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9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0236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MANAGEMENT LLC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607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116078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518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3347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9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ASSF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9017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MANAGER IV, L.P.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4330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104330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518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3347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9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ARES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10299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HOLDINGS L.P. /s/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7381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Sagati Aghili By: 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788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107886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HOLDCO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369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123698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Partner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8808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118808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2799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ARES HOLDCO LLC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13347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518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3347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9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ARES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10299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CORPORATION /s/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833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Sagati Aghili By: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518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Sagati 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7381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279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ARES MANAGEMENT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712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LLC /s/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3223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By: 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953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9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ARES VOTING LLC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09664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109664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5189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Ares Partners Holdco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5001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Sole Member By: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639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116395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Sagati 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7381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279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color w:val="0000FF"/>
        </w:rPr>
        <w:t>06/08/2021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06/08/2021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06/08/2021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06/08/2021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06/08/2021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06/08/2021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06/08/2021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5"/>
          <w:szCs w:val="15"/>
          <w:color w:val="0000FF"/>
        </w:rPr>
        <w:t>06/08/2021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98" w:orient="portrait"/>
          <w:cols w:equalWidth="0" w:num="2">
            <w:col w:w="8700" w:space="60"/>
            <w:col w:w="2140"/>
          </w:cols>
          <w:pgMar w:left="480" w:top="140" w:right="519" w:bottom="0" w:gutter="0" w:footer="0" w:header="0"/>
          <w:type w:val="continuous"/>
        </w:sectPr>
      </w:pPr>
    </w:p>
    <w:bookmarkStart w:id="3" w:name="page4"/>
    <w:bookmarkEnd w:id="3"/>
    <w:p>
      <w:pPr>
        <w:ind w:left="6540"/>
        <w:spacing w:after="0"/>
        <w:rPr>
          <w:sz w:val="20"/>
          <w:szCs w:val="20"/>
          <w:color w:val="auto"/>
        </w:rPr>
      </w:pPr>
      <w:r>
        <w:rPr>
          <w:rFonts w:ascii="Arial" w:cs="Arial" w:eastAsia="Arial" w:hAnsi="Arial"/>
          <w:sz w:val="16"/>
          <w:szCs w:val="16"/>
          <w:color w:val="0000FF"/>
        </w:rPr>
        <w:t>ARES Partners Holdco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25539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6">
                      <a:extLst>
                        <a:ext uri="{28A0092B-C50C-407E-A947-70E740481C1C}"/>
                      </a:extLst>
                    </a:blip>
                    <a:srcRect/>
                    <a:stretch>
                      <a:fillRect/>
                    </a:stretch>
                  </pic:blipFill>
                  <pic:spPr bwMode="auto">
                    <a:xfrm>
                      <a:off x="0" y="0"/>
                      <a:ext cx="1255395"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7">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8">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9">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52"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06/08/2021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80" w:space="160"/>
            <w:col w:w="1440"/>
          </w:cols>
          <w:pgMar w:left="500" w:top="184" w:right="1219"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84"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95" Type="http://schemas.openxmlformats.org/officeDocument/2006/relationships/image" Target="media/image78.png"/><Relationship Id="rId96" Type="http://schemas.openxmlformats.org/officeDocument/2006/relationships/image" Target="media/image79.png"/><Relationship Id="rId97" Type="http://schemas.openxmlformats.org/officeDocument/2006/relationships/image" Target="media/image80.png"/><Relationship Id="rId98" Type="http://schemas.openxmlformats.org/officeDocument/2006/relationships/image" Target="media/image81.png"/><Relationship Id="rId99" Type="http://schemas.openxmlformats.org/officeDocument/2006/relationships/image" Target="media/image82.png"/><Relationship Id="rId100" Type="http://schemas.openxmlformats.org/officeDocument/2006/relationships/image" Target="media/image83.png"/><Relationship Id="rId101" Type="http://schemas.openxmlformats.org/officeDocument/2006/relationships/image" Target="media/image84.png"/><Relationship Id="rId102" Type="http://schemas.openxmlformats.org/officeDocument/2006/relationships/image" Target="media/image85.png"/><Relationship Id="rId103" Type="http://schemas.openxmlformats.org/officeDocument/2006/relationships/image" Target="media/image86.png"/><Relationship Id="rId104" Type="http://schemas.openxmlformats.org/officeDocument/2006/relationships/image" Target="media/image87.png"/><Relationship Id="rId105" Type="http://schemas.openxmlformats.org/officeDocument/2006/relationships/image" Target="media/image88.png"/><Relationship Id="rId106" Type="http://schemas.openxmlformats.org/officeDocument/2006/relationships/image" Target="media/image89.png"/><Relationship Id="rId107" Type="http://schemas.openxmlformats.org/officeDocument/2006/relationships/image" Target="media/image90.png"/><Relationship Id="rId108" Type="http://schemas.openxmlformats.org/officeDocument/2006/relationships/image" Target="media/image91.png"/><Relationship Id="rId109" Type="http://schemas.openxmlformats.org/officeDocument/2006/relationships/image" Target="media/image92.png"/><Relationship Id="rId110" Type="http://schemas.openxmlformats.org/officeDocument/2006/relationships/image" Target="media/image93.png"/><Relationship Id="rId12" Type="http://schemas.openxmlformats.org/officeDocument/2006/relationships/hyperlink" Target="http://www.sec.gov/cgi-bin/browse-edgar?action=getcompany&amp;CIK=0001259313"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684171" TargetMode="External"/><Relationship Id="rId18" Type="http://schemas.openxmlformats.org/officeDocument/2006/relationships/hyperlink" Target="http://www.sec.gov/cgi-bin/browse-edgar?action=getcompany&amp;CIK=0001683967" TargetMode="External"/><Relationship Id="rId21" Type="http://schemas.openxmlformats.org/officeDocument/2006/relationships/hyperlink" Target="http://www.sec.gov/cgi-bin/browse-edgar?action=getcompany&amp;CIK=0001536937" TargetMode="External"/><Relationship Id="rId22" Type="http://schemas.openxmlformats.org/officeDocument/2006/relationships/hyperlink" Target="http://www.sec.gov/cgi-bin/browse-edgar?action=getcompany&amp;CIK=0001669983" TargetMode="External"/><Relationship Id="rId23" Type="http://schemas.openxmlformats.org/officeDocument/2006/relationships/hyperlink" Target="http://www.sec.gov/cgi-bin/browse-edgar?action=getcompany&amp;CIK=0001176948" TargetMode="External"/><Relationship Id="rId24" Type="http://schemas.openxmlformats.org/officeDocument/2006/relationships/hyperlink" Target="http://www.sec.gov/cgi-bin/browse-edgar?action=getcompany&amp;CIK=0001620264" TargetMode="External"/><Relationship Id="rId25" Type="http://schemas.openxmlformats.org/officeDocument/2006/relationships/hyperlink" Target="http://www.sec.gov/cgi-bin/browse-edgar?action=getcompany&amp;CIK=0001761656" TargetMode="External"/><Relationship Id="rId57" Type="http://schemas.openxmlformats.org/officeDocument/2006/relationships/hyperlink" Target="http://www.sec.gov/cgi-bin/browse-edgar?action=getcompany&amp;CIK=00016202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2021-06-08T18:30:23Z</dcterms:created>
  <dcterms:modified xsi:type="dcterms:W3CDTF">2021-06-08T18:30:23Z</dcterms:modified>
</cp:coreProperties>
</file>