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Date of report (Date of earliest event reported): October 22, 2020</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124"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480" w:space="720"/>
            <w:col w:w="3000" w:space="720"/>
            <w:col w:w="2180"/>
          </w:cols>
          <w:pgMar w:left="320" w:top="1440" w:right="479" w:bottom="1440" w:gutter="0" w:footer="0" w:header="0"/>
          <w:type w:val="continuous"/>
        </w:sectPr>
      </w:pPr>
    </w:p>
    <w:p>
      <w:pPr>
        <w:jc w:val="center"/>
        <w:ind w:right="70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150" w:lineRule="exact"/>
        <w:rPr>
          <w:sz w:val="24"/>
          <w:szCs w:val="24"/>
          <w:color w:val="auto"/>
        </w:rPr>
      </w:pPr>
    </w:p>
    <w:p>
      <w:pPr>
        <w:sectPr>
          <w:pgSz w:w="11900" w:h="16838" w:orient="portrait"/>
          <w:cols w:equalWidth="0" w:num="3">
            <w:col w:w="4380" w:space="720"/>
            <w:col w:w="2860" w:space="720"/>
            <w:col w:w="2420"/>
          </w:cols>
          <w:pgMar w:left="320" w:top="1440" w:right="479" w:bottom="1440" w:gutter="0" w:footer="0" w:header="0"/>
          <w:type w:val="continuous"/>
        </w:sectPr>
      </w:pPr>
    </w:p>
    <w:p>
      <w:pPr>
        <w:jc w:val="center"/>
        <w:ind w:right="5480"/>
        <w:spacing w:after="0"/>
        <w:rPr>
          <w:sz w:val="20"/>
          <w:szCs w:val="20"/>
          <w:color w:val="auto"/>
        </w:rPr>
      </w:pPr>
      <w:r>
        <w:rPr>
          <w:rFonts w:ascii="Arial" w:cs="Arial" w:eastAsia="Arial" w:hAnsi="Arial"/>
          <w:sz w:val="16"/>
          <w:szCs w:val="16"/>
          <w:b w:val="1"/>
          <w:bCs w:val="1"/>
          <w:color w:val="auto"/>
        </w:rPr>
        <w:t>27200 Tourney Road</w:t>
      </w:r>
    </w:p>
    <w:p>
      <w:pPr>
        <w:spacing w:after="0" w:line="86" w:lineRule="exact"/>
        <w:rPr>
          <w:sz w:val="24"/>
          <w:szCs w:val="24"/>
          <w:color w:val="auto"/>
        </w:rPr>
      </w:pPr>
    </w:p>
    <w:p>
      <w:pPr>
        <w:jc w:val="center"/>
        <w:ind w:right="5480"/>
        <w:spacing w:after="0"/>
        <w:rPr>
          <w:sz w:val="20"/>
          <w:szCs w:val="20"/>
          <w:color w:val="auto"/>
        </w:rPr>
      </w:pPr>
      <w:r>
        <w:rPr>
          <w:rFonts w:ascii="Arial" w:cs="Arial" w:eastAsia="Arial" w:hAnsi="Arial"/>
          <w:sz w:val="18"/>
          <w:szCs w:val="18"/>
          <w:b w:val="1"/>
          <w:bCs w:val="1"/>
          <w:color w:val="auto"/>
        </w:rPr>
        <w:t>Suite 200</w:t>
      </w:r>
    </w:p>
    <w:p>
      <w:pPr>
        <w:spacing w:after="0" w:line="63" w:lineRule="exact"/>
        <w:rPr>
          <w:sz w:val="24"/>
          <w:szCs w:val="24"/>
          <w:color w:val="auto"/>
        </w:rPr>
      </w:pPr>
    </w:p>
    <w:p>
      <w:pPr>
        <w:jc w:val="center"/>
        <w:ind w:right="5480"/>
        <w:spacing w:after="0"/>
        <w:rPr>
          <w:sz w:val="20"/>
          <w:szCs w:val="20"/>
          <w:color w:val="auto"/>
        </w:rPr>
      </w:pPr>
      <w:r>
        <w:rPr>
          <w:rFonts w:ascii="Arial" w:cs="Arial" w:eastAsia="Arial" w:hAnsi="Arial"/>
          <w:sz w:val="18"/>
          <w:szCs w:val="18"/>
          <w:b w:val="1"/>
          <w:bCs w:val="1"/>
          <w:color w:val="auto"/>
        </w:rPr>
        <w:t>Santa Clarita</w:t>
      </w:r>
    </w:p>
    <w:p>
      <w:pPr>
        <w:sectPr>
          <w:pgSz w:w="11900" w:h="16838" w:orient="portrait"/>
          <w:cols w:equalWidth="0" w:num="1">
            <w:col w:w="11100"/>
          </w:cols>
          <w:pgMar w:left="320" w:top="1440" w:right="479" w:bottom="1440" w:gutter="0" w:footer="0" w:header="0"/>
          <w:type w:val="continuous"/>
        </w:sectPr>
      </w:pPr>
    </w:p>
    <w:p>
      <w:pPr>
        <w:spacing w:after="0" w:line="63"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California</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91355</w:t>
      </w:r>
    </w:p>
    <w:p>
      <w:pPr>
        <w:spacing w:after="0" w:line="90" w:lineRule="exact"/>
        <w:rPr>
          <w:sz w:val="24"/>
          <w:szCs w:val="24"/>
          <w:color w:val="auto"/>
        </w:rPr>
      </w:pPr>
    </w:p>
    <w:p>
      <w:pPr>
        <w:sectPr>
          <w:pgSz w:w="11900" w:h="16838" w:orient="portrait"/>
          <w:cols w:equalWidth="0" w:num="2">
            <w:col w:w="7460" w:space="720"/>
            <w:col w:w="2920"/>
          </w:cols>
          <w:pgMar w:left="320" w:top="1440" w:right="479" w:bottom="1440" w:gutter="0" w:footer="0" w:header="0"/>
          <w:type w:val="continuous"/>
        </w:sectPr>
      </w:pPr>
    </w:p>
    <w:p>
      <w:pPr>
        <w:ind w:lef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00" w:space="720"/>
            <w:col w:w="3080"/>
          </w:cols>
          <w:pgMar w:left="320" w:top="1440" w:right="479" w:bottom="1440" w:gutter="0" w:footer="0" w:header="0"/>
          <w:type w:val="continuous"/>
        </w:sectPr>
      </w:pPr>
    </w:p>
    <w:p>
      <w:pPr>
        <w:spacing w:after="0" w:line="17"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27" w:lineRule="exact"/>
        <w:rPr>
          <w:rFonts w:ascii="MS PGothic" w:cs="MS PGothic" w:eastAsia="MS PGothic" w:hAnsi="MS PGothic"/>
          <w:sz w:val="20"/>
          <w:szCs w:val="20"/>
          <w:color w:val="auto"/>
        </w:rPr>
      </w:pPr>
    </w:p>
    <w:p>
      <w:pPr>
        <w:ind w:right="2700" w:firstLine="8"/>
        <w:spacing w:after="0" w:line="425" w:lineRule="auto"/>
        <w:tabs>
          <w:tab w:leader="none" w:pos="355"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1440" w:right="479" w:bottom="1440" w:gutter="0" w:footer="0" w:header="0"/>
          <w:type w:val="continuous"/>
        </w:sectPr>
      </w:pPr>
    </w:p>
    <w:p>
      <w:pPr>
        <w:ind w:left="102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3480" w:space="720"/>
            <w:col w:w="2260" w:space="720"/>
            <w:col w:w="3920"/>
          </w:cols>
          <w:pgMar w:left="320" w:top="1440" w:right="47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CRC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4020" w:space="720"/>
            <w:col w:w="2420" w:space="720"/>
            <w:col w:w="3220"/>
          </w:cols>
          <w:pgMar w:left="320" w:top="1440" w:right="479" w:bottom="1440" w:gutter="0" w:footer="0" w:header="0"/>
          <w:type w:val="continuous"/>
        </w:sectPr>
      </w:pPr>
    </w:p>
    <w:p>
      <w:pPr>
        <w:spacing w:after="0" w:line="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13"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line="342" w:lineRule="exact"/>
        <w:rPr>
          <w:sz w:val="20"/>
          <w:szCs w:val="20"/>
          <w:color w:val="auto"/>
        </w:rPr>
      </w:pPr>
    </w:p>
    <w:p>
      <w:pPr>
        <w:ind w:left="900" w:right="180" w:hanging="1295"/>
        <w:spacing w:after="0" w:line="282" w:lineRule="auto"/>
        <w:tabs>
          <w:tab w:leader="none" w:pos="88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Departure and Appointment of Directors</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the Plan (as defined below), as of the Effective Date (as defined below), the following directors ceased to serve on the board of directors (the “Board”) of California Resources Corporation (“CRC” or the “Company”): William E. Albrecht, Justin A. Gannon, Harry T. McMahon, Richard W. Moncrief, Avedick B. Poladian, Anita M. Powers, Laurie A. Siegel, and Robert V. Sinnott. None of the departures resulted from any disagreement with the Company regarding any matter related to the Company’s operations, policies or practices.</w:t>
      </w:r>
    </w:p>
    <w:p>
      <w:pPr>
        <w:spacing w:after="0" w:line="16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Effective as of the Effective Date, the Company’s Board after the emergence consists of nine members, including the following seven members who were appointed as of the Effective Date: Douglas E. Brooks, Tiffany (TJ) Thom Cepak, James N. Chapman, Mark A. McFarland, Julio M. Quintana, William B. Roby and Brian Steck. Todd A. Stevens, the chief executive officer of the Company, will continue to serve on the Board and the ninth Board seat is vacant as of the Effective Date.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Douglas E. Brooks</w:t>
      </w:r>
    </w:p>
    <w:p>
      <w:pPr>
        <w:spacing w:after="0" w:line="18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Mr. Brooks, 61, is currently a private investor. He previously served on the Board of Directors of Chaparral Energy, Inc. from 2017 to October 2020 and also served on the Board of Directors of Madalena Energy Inc. (now Centaurus Energy, Inc.) in Canada. From April 2017 he served as President and Chief Executive Officer as well as a member of the Board of Directors of Energy XXI Gulf Coast, Inc., an offshore Gulf of Mexico exploration and production company, until it was acquired by an affiliate of Cox Oil LLC in October 2018. From 2015 to 2016, he served as president and chief executive officer and a member of the Board of Directors of Yates Petroleum Corporation, a privately owned exploration and production company, which merged with EOG Resources. From 2012 to 2014, he served as Chief Executive Officer as well as a member of the Board of Directors of Aurora Oil &amp; Gas Limited until it merged with Baytex Energy Corp. In 2012, he served as a senior vice president at Forest Oil Corporation. From 2006 to 2012, Mr. Brooks also built two private equity sponsored firms focused on unconventional resource projects in the western U.S. In addition, he spent 24 years with Marathon Oil Company in roles of increasing responsibility, lastly as the director of upstream mergers and acquisitions and business development for the Americas. He holds a Bachelor of Science degree in business management from the University of Wyoming – Casper and a Master of Business Administration, Finance from Our Lady of the Lake University in Texas.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Tiffany (TJ) Thom Cepak</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333333"/>
        </w:rPr>
        <w:t>Ms. Cepak, 48, has 26 years of energy industry experience, including both financial and operational appointments. She has served as a director of</w:t>
      </w:r>
    </w:p>
    <w:p>
      <w:pPr>
        <w:spacing w:after="0" w:line="61" w:lineRule="exact"/>
        <w:rPr>
          <w:sz w:val="20"/>
          <w:szCs w:val="20"/>
          <w:color w:val="auto"/>
        </w:rPr>
      </w:pPr>
    </w:p>
    <w:p>
      <w:pPr>
        <w:spacing w:after="0" w:line="287" w:lineRule="auto"/>
        <w:rPr>
          <w:sz w:val="20"/>
          <w:szCs w:val="20"/>
          <w:color w:val="auto"/>
        </w:rPr>
      </w:pPr>
      <w:r>
        <w:rPr>
          <w:rFonts w:ascii="Arial" w:cs="Arial" w:eastAsia="Arial" w:hAnsi="Arial"/>
          <w:sz w:val="16"/>
          <w:szCs w:val="16"/>
          <w:color w:val="333333"/>
        </w:rPr>
        <w:t>Patterson-UTI since August 2014 and as a director of Penn Virginia Corporation since September 2019. Ms. Cepak served as the Chief Financial Officer of Energy XXI Gulf Coast Inc. from August 2017 to October 2018. Ms. Cepak served as the Chief Financial Officer of KLR Energy (and, subsequent to its business combination, Rosehill Resources Inc.) from January 2015 to June 2017. Ms. Cepak served as a director of Yates Petroleum Corporation, a privately owned, independent oil and gas exploration and production company, from October 2015 to October 2016. Ms. Cepak served four years as the Chief Financial Officer of EPL Oil &amp; Gas, Inc., and was further appointed Executive Vice President in January 2014, and she served in those roles until June 2014, when EPL was sold. Ms. Cepak originally joined EPL as a Senior Asset Management Engineer, a position she held until she was appointed Director of Corporate Reserves in September 2001. Ms. Cepak was named EPL’s Director of Investor Relations in April 2006 and Vice President, Treasurer and Investor Relations in July 2008. In July 2009, Ms. Cepak was designated as EPL’s Principal Financial Officer and, in September 2009, she was appointed Senior Vice President. Prior to joining EPL, she was a Senior Reservoir Engineer with Exxon Production Company and ExxonMobil Company with operational roles including reservoir engineering and subsurface completion engineering for numerous offshore Gulf of Mexico properties. Ms. Cepak holds a B.S. in Engineering from the University of Illinois and an M.B.A. in Management with a concentration in Finance from Tulane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James N. Chapman</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Mr. Chapman, 58, serves as a non-executive Advisory Director of SkyWorks Capital, LLC, an aviation and aerospace management consulting services company based in Greenwich, Connecticut, which he joined in December 2004. Prior to SkyWorks, he was associated with Regiment Capital Advisors, LP, an investment advisor based in Boston specializing in high yield investments, which he joined in January 2003. Prior to Regiment, Mr. Chapman acted as a capital markets and strategic planning consultant with private and public companies, as well as investment advisers and hedge funds (including Regiment), across a range of industries. Prior to establishing an independent consulting practice, Mr. Chapman worked for The Renco Group, Inc. (a multi-billion dollar private corporation with diverse investment holdings located throughout the world) from December 1996 to December 2001. Prior to Renco, he was a founding principal of Fieldstone Private Capital Group, Inc. in August 1990 where he headed the Corporate Finance and High Yield Finance Groups. Prior to joining Fieldstone, Mr. Chapman worked for Bankers Trust Company from July 1985 to August 1990, most recently in the BT Securities capital markets area. Mr. Chapman has over 35 years of investment banking experience in a wide range of industries including aviation/airlines, metals/mining, natural resources/energy, automotive/general manufacturing, financial services, real estate and healthcare. Mr. Chapman has served on the Board of Directors of Denbury, Inc. since September 2020, and on the Board of Directors of Arch Resources, Inc. since 2016. Mr. Chapman received an M.B.A. degree with distinction from Dartmouth College in 1985 and was elected an Edward Tuck Scholar. He received his BA degree, with distinction, magna cum laude, at Dartmouth College in 1984 and was elected to Phi Beta Kappa, in addition to being a Rufus Choate Scholar.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 A. McFarland</w:t>
      </w:r>
    </w:p>
    <w:p>
      <w:pPr>
        <w:spacing w:after="0" w:line="1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Mr. McFarland, 51, has been the Executive Chairman of GenOn Energy, Inc. since December 2018. From April 2017 to December 2018, he was the President and Chief Executive Officer of GenOn and served on its Board of Managers. From 2013 to 2016, he served as Chief Executive Officer of Luminant Holding Company LLC , a subsidiary of Energy Future Holdings Corporation. From 2008 to 2013, he served as both Chief Commercial Officer of Luminant and Executive Vice President, Corporate Development and Strategy of Energy Future Holdings. From 1999 to 2008, Mr. McFarland served in various roles at Exelon Corporation, including as Senior Vice President, Corporate Development from 2005 to 2008 and Vice President, Exelon Generation from 2003 to 2005. He served on the Board of Managers of Bruin E&amp;P Partners, LLC from March 2020 to August 2020. He served on the Board of Directors of TerraForm Power, Inc. from October 2017 to July 2020. He served on the Board of Directors of Chaparral Energy, Inc. from December 2019 to October 2020. Mr. McFarland earned his Masters of Business Administration from the University of Delaware and a Bachelor of Science degree in Civil Engineering (Environmental Concentration) from Virginia Polytechnic Institute and State University. He received his professional engineer license in 1995.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Julio M. Quintana</w:t>
      </w:r>
    </w:p>
    <w:p>
      <w:pPr>
        <w:spacing w:after="0" w:line="19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Mr. Quintana, 61, served as the President and Chief Executive Officer of Tesco Corporation, from 2005 until his retirement in January 2015, and was a member of Tesco’s Board of Directors from September 2004 to May 2015. Prior to his appointment as President and Chief Executive Officer, Mr. Quintana served as Executive Vice President and Chief Operating Officer at Tesco beginning in September 2004. Prior to his tenure at Tesco, Mr. Quintana worked for Schlumberger Corporation as Vice President of Integrated Project Management and Vice President of Marketing for the Americas from November 1999 to September 2004. Prior to Schlumberger, Mr. Quintana worked from June 1980 to November 1999 for Unocal Corporation, an integrated E&amp;P company. Mr. Quintana held various operational and managerial roles in production, drilling and asset management. His last roles at Unocal were Asset Manager for the MidContinent Region and Asset Manager for Deepwater Gulf of Mexico. Mr. Quintana brings 41 years of experience in various aspects of the oil and gas exploration and production industry, including strong experience in upstream operations, a deep understanding of drilling and asset management technologies, and broad human resources management skills and experience. He is a member of the Board of Directors of SM Energy since July 2006, a member of the Board of Directors of Newmont Mining since October 2015, Chairman of the Board of Basic Energy Services and member of the Board of Directors since December 2016. Mr. Quintana has a degree in Mechanical Engineering from The University of Southern California and is a Licensed Petroleum Engineer in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auto"/>
        </w:rPr>
        <w:t>William B. Roby</w:t>
      </w:r>
    </w:p>
    <w:p>
      <w:pPr>
        <w:spacing w:after="0" w:line="171"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Since 2015, Mr. Roby, 60, has served as the Chief Executive Officer of Shepherd Energy, LLC. From 2013 to 2014, he acted as Chief Operating Officer of Sheridan Production Company, LLC. From 2000 to 2013, he held a number of U.S. and international management positions with Occidental Petroleum Corporation, most recently as Senior Vice President, Worldwide Operations and Production/Facility Engineering. Prior to his work at Occidental, he was Vice President of Operations of Altura Energy Ltd., a joint venture between Shell Oil Company and Amoco Corporation in the Permian Basin, following 15 years of various managerial and engineering roles with Shell Oil. Mr. Roby has served as a member of the Board of Directors of the international E&amp;P firm Vermilion Energy Inc. since 2017. He has a bachelor’s degree in mechanical engineering from Louisiana State University.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Brian Steck</w:t>
      </w:r>
    </w:p>
    <w:p>
      <w:pPr>
        <w:spacing w:after="0" w:line="1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Steck, 53, served as a Partner, Senior Analyst at Mangrove Partners where he worked from 2011 until August 2020. Through early 2011, Mr. Steck managed The Laurel Capital Group, LLC, the general partner of a hedge fund he founded in 2009. From 2006 until 2008, Mr. Steck was Head of US Equities at Tisbury Capital Management LLP where he built and managed a team focused on event- and fundamentally-driven investment opportunities. From 2000 until 2005, Mr. Steck was a partner at K Capital LLC where he focused on European and U.S. opportunities that included special situations, merger arbitrage, deep value and shareholder activism. Prior to K Capital, Mr. Steck spent 10 years at UBS Group AG and its predecessors Swiss Bank Corporation and O’Connor &amp; Associates, where he focused on equity derivative trading and risk management, built equity derivative and event-driven client businesses and was Global Co-Head of Equity Hedge Fund Coverage. Mr. Steck serves as Chairman of the Board of Bonanza Creek Energy, Inc. and previously served on the Board of Directors of Penn Virginia Corporation. Mr. Steck received a B.S., with highest honors, from University of Illinois at Urbana Champaign.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Todd A. Stevens</w:t>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Mr. Stevens, 53, was appointed President, Chief Executive Officer and a Director of CRC in 2014. Mr. Stevens served as Vice President—Corporate Development of Occidental Petroleum Corporation from 2012 to 2014, as Vice President—California Operations, Oxy Oil &amp; Gas from 2008 to 2012, and as Vice President—Acquisitions and Corporate Finance of Occidental from 2004 to 2012. Mr. Stevens brings 25 years of experience in various aspects of the oil and gas exploration and production industry, including strong experience in business development, capital allocation, capital efficiency, mergers and acquisitions, upstream operations, marketing and human resources management. He also serves on the Board of Directors of the Western States Petroleum Association. Mr. Stevens holds an M.B.A. degree from the University of Southern California and a Bachelor of Science degree from the United States Military Academy.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Committees</w:t>
      </w:r>
    </w:p>
    <w:p>
      <w:pPr>
        <w:spacing w:after="0" w:line="1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standing committees of the Board are comprised of non-employee directors and consist of an Audit Committee, a Compensation Committee and a Nominating and Governance Committee.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Effective as of the Effective Date, the Board appointed Messrs. Quintana and Roby and Ms. Cepak to serve as members of the Audit Committee. 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Cepak was appointed Chair of the Audit Committee.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Effective as of the Effective Date, the Board appointed Messrs. Chapman, Roby and Steck to serve as members of the Compensation Committee.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Chapman was appointed Chair of the Compensation Committee.</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Effective as of the Effective Date, the Board appointed Messrs. Brooks, Chapman and Steck to serve as members of the Nominating and Governance Committee. Mr. Steck was appointed Chair of the Nominating and Governance Committee.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formation and composition of a Sustainability Committee will be addressed following emergence.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Arrangements for Selection of Certain Directors</w:t>
      </w:r>
    </w:p>
    <w:p>
      <w:pPr>
        <w:spacing w:after="0" w:line="18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Pursuant to the terms of the Plan and the Amended and Restated Restructuring Support Agreement, dated as of July 24, 2020, by and among the Company and the other parties thereto (“RSA”), the Board consists of (i) the chief executive officer of the Company; (ii) one director selected by Ares Management LLC and its affiliates (“Ares”) (who is not employed by or affiliated with Ares); (iii) one director selected by Fidelity (as defined in the RSA) (who is not employed by or affiliated with Fidelity); (iv) one director selected by GTAM (as defined in the RSA) (who is not employed by or affiliated with GTAM); and (v) the remaining directors selected by the Required Consenting Creditors (as defined in the RSA). Additionally, pursuant to the terms of the Plan, the Chair of the Board must (x) be an independent member of the Board, (y) not be employed by or affiliated with Ares, Fidelity, GTAM or the Company and (z) be selected by the Required Consenting Creditors.</w:t>
      </w:r>
    </w:p>
    <w:p>
      <w:pPr>
        <w:spacing w:after="0" w:line="15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accordance with the terms of the Plan, Ares has selected Mr. Brooks to serve as a director, Fidelity has selected Mr. McFarland to serve as a director, and GTAM has selected Mr. Chapman to serve as a director, and the Required Consenting Creditors have selected Mr. Quintana, Mr. Roby, Mr. Steck and Ms. Cepak to serve as directors and Mr. McFarland to serve as the Board Chair.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Directors and Executive Officers</w:t>
      </w:r>
    </w:p>
    <w:p>
      <w:pPr>
        <w:spacing w:after="0" w:line="18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As of the Effective Date, the Company entered into indemnification agreements with each of its directors and executive officers. The indemnification agreements require the Company to (i) indemnify these individuals to the fullest extent permitted under Delaware law against liabilities that may arise by reason of their service to the Company, and (ii) advance expenses, to the extent not prohibited by law, incurred in connection with any proceeding not initiated by the indemnitee as to which they could be indemnified. The Company may enter into indemnification agreements with any future directors or executive officers.</w:t>
      </w:r>
    </w:p>
    <w:p>
      <w:pPr>
        <w:spacing w:after="0" w:line="16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Each indemnification agreement is in substantially the form included herein as Exhibit 10.8. The description of the indemnification agreements does not purport to be complete and is qualified in its entirety by reference to the full text of the form of indemnification agreement, which is incorporated by reference herein.</w:t>
      </w:r>
    </w:p>
    <w:p>
      <w:pPr>
        <w:spacing w:after="0" w:line="31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 xml:space="preserve">As previously reported, on July 15, 2020 (the “Petition Date”), California Resources Corporation (“CRC” or the “Company”) and certain of its subsidiaries (collectively with the Company, the “Debtors”) filed voluntary petitions for relief under Chapter 11 of the Bankruptcy Code (the “Chapter 11 Cases”) in the United States Bankruptcy Court for the Southern District of Texas (the “Bankruptcy Court”). The Chapter 11 Cases are being jointly administered under the caption In re California Resources Corporation, et al., No. 20-33568 (DRJ). The Debtors filed with the Bankruptcy Court, on July 24, 2020, the </w:t>
      </w:r>
      <w:r>
        <w:rPr>
          <w:rFonts w:ascii="Arial" w:cs="Arial" w:eastAsia="Arial" w:hAnsi="Arial"/>
          <w:sz w:val="17"/>
          <w:szCs w:val="17"/>
          <w:i w:val="1"/>
          <w:iCs w:val="1"/>
          <w:color w:val="auto"/>
        </w:rPr>
        <w:t>Debtors’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Joint Plan of Reorganization Under Chapter 11 of the Bankruptcy Code </w:t>
      </w:r>
      <w:r>
        <w:rPr>
          <w:rFonts w:ascii="Arial" w:cs="Arial" w:eastAsia="Arial" w:hAnsi="Arial"/>
          <w:sz w:val="17"/>
          <w:szCs w:val="17"/>
          <w:color w:val="auto"/>
        </w:rPr>
        <w:t>and, on October 8, 2020, the</w:t>
      </w:r>
      <w:r>
        <w:rPr>
          <w:rFonts w:ascii="Arial" w:cs="Arial" w:eastAsia="Arial" w:hAnsi="Arial"/>
          <w:sz w:val="17"/>
          <w:szCs w:val="17"/>
          <w:i w:val="1"/>
          <w:iCs w:val="1"/>
          <w:color w:val="auto"/>
        </w:rPr>
        <w:t xml:space="preserve"> Amended Debtors’ Joint Plan of Reorganization Under Chapter 11 of the Bankruptcy Code </w:t>
      </w:r>
      <w:r>
        <w:rPr>
          <w:rFonts w:ascii="Arial" w:cs="Arial" w:eastAsia="Arial" w:hAnsi="Arial"/>
          <w:sz w:val="17"/>
          <w:szCs w:val="17"/>
          <w:color w:val="auto"/>
        </w:rPr>
        <w:t>(as amended, modified or supplemented from time to time, the “Plan”).</w:t>
      </w:r>
    </w:p>
    <w:p>
      <w:pPr>
        <w:spacing w:after="0" w:line="135"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On October 13, 2020, the Bankruptcy Court entered an order (the “Confirmation Order”), among other things, confirming the Plan. On October 27, 2020 (the “Effective Date”), the conditions to effectiveness of the Plan were satisfied or waived and the Company emerged from Chapter 11.</w:t>
      </w:r>
    </w:p>
    <w:p>
      <w:pPr>
        <w:spacing w:after="0" w:line="106"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On the Effective Date, the Company issued a press release and investor presentation announcing the Company’s emergence from the Chapter 11 Cases. A copy of the press release and investor presentation are attached hereto as Exhibit 99.1 and Exhibit 99.2, respectively, and are incorporated by reference herein.</w:t>
      </w:r>
    </w:p>
    <w:p>
      <w:pPr>
        <w:spacing w:after="0" w:line="15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information disclosed in this Item 7.01, including Exhibit 99.1 and Exhibit 99.2,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a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 w:name="page6"/>
    <w:bookmarkEnd w:id="5"/>
    <w:p>
      <w:pPr>
        <w:spacing w:after="0" w:line="34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22, 2020, the New York Stock Exchange (the “NYSE”) approved the listing of the New Common Stock (as such term is defined in the Plan) for trading on the NYSE. On the Effective Date, the Company filed a Form 8-A to register the New Common Stock under Section 12(b) of the Exchange Act. Trading in the New Common Stock is expected to commence on the NYSE on October 28, 2020 under the ticker “CRC”.</w:t>
      </w:r>
    </w:p>
    <w:p>
      <w:pPr>
        <w:spacing w:after="0" w:line="3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(d)  Exhibits</w:t>
            </w:r>
          </w:p>
        </w:tc>
        <w:tc>
          <w:tcPr>
            <w:tcW w:w="7540" w:type="dxa"/>
            <w:vAlign w:val="bottom"/>
          </w:tcPr>
          <w:p>
            <w:pPr>
              <w:spacing w:after="0"/>
              <w:rPr>
                <w:sz w:val="20"/>
                <w:szCs w:val="20"/>
                <w:color w:val="auto"/>
              </w:rPr>
            </w:pPr>
          </w:p>
        </w:tc>
      </w:tr>
      <w:tr>
        <w:trPr>
          <w:trHeight w:val="378"/>
        </w:trPr>
        <w:tc>
          <w:tcPr>
            <w:tcW w:w="180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Exhibit No.</w:t>
            </w:r>
          </w:p>
        </w:tc>
        <w:tc>
          <w:tcPr>
            <w:tcW w:w="7540" w:type="dxa"/>
            <w:vAlign w:val="bottom"/>
          </w:tcPr>
          <w:p>
            <w:pPr>
              <w:ind w:left="4460"/>
              <w:spacing w:after="0"/>
              <w:rPr>
                <w:sz w:val="20"/>
                <w:szCs w:val="20"/>
                <w:color w:val="auto"/>
              </w:rPr>
            </w:pPr>
            <w:r>
              <w:rPr>
                <w:rFonts w:ascii="Arial" w:cs="Arial" w:eastAsia="Arial" w:hAnsi="Arial"/>
                <w:sz w:val="18"/>
                <w:szCs w:val="18"/>
                <w:b w:val="1"/>
                <w:bCs w:val="1"/>
                <w:color w:val="auto"/>
              </w:rPr>
              <w:t>Description</w:t>
            </w:r>
          </w:p>
        </w:tc>
      </w:tr>
      <w:tr>
        <w:trPr>
          <w:trHeight w:val="270"/>
        </w:trPr>
        <w:tc>
          <w:tcPr>
            <w:tcW w:w="1800" w:type="dxa"/>
            <w:vAlign w:val="bottom"/>
          </w:tcPr>
          <w:p>
            <w:pPr>
              <w:jc w:val="center"/>
              <w:ind w:left="30"/>
              <w:spacing w:after="0"/>
              <w:rPr>
                <w:rFonts w:ascii="Arial" w:cs="Arial" w:eastAsia="Arial" w:hAnsi="Arial"/>
                <w:sz w:val="18"/>
                <w:szCs w:val="18"/>
                <w:u w:val="single" w:color="auto"/>
                <w:color w:val="0000FF"/>
                <w:w w:val="91"/>
              </w:rPr>
            </w:pPr>
            <w:hyperlink w:anchor="page8">
              <w:r>
                <w:rPr>
                  <w:rFonts w:ascii="Arial" w:cs="Arial" w:eastAsia="Arial" w:hAnsi="Arial"/>
                  <w:sz w:val="18"/>
                  <w:szCs w:val="18"/>
                  <w:u w:val="single" w:color="auto"/>
                  <w:color w:val="0000FF"/>
                  <w:w w:val="91"/>
                </w:rPr>
                <w:t>10.1</w:t>
              </w:r>
            </w:hyperlink>
          </w:p>
        </w:tc>
        <w:tc>
          <w:tcPr>
            <w:tcW w:w="7540" w:type="dxa"/>
            <w:vAlign w:val="bottom"/>
          </w:tcPr>
          <w:p>
            <w:pPr>
              <w:ind w:left="380"/>
              <w:spacing w:after="0"/>
              <w:rPr>
                <w:rFonts w:ascii="Arial" w:cs="Arial" w:eastAsia="Arial" w:hAnsi="Arial"/>
                <w:sz w:val="18"/>
                <w:szCs w:val="18"/>
                <w:u w:val="single" w:color="auto"/>
                <w:color w:val="0000FF"/>
                <w:w w:val="91"/>
              </w:rPr>
            </w:pPr>
            <w:hyperlink w:anchor="page8">
              <w:r>
                <w:rPr>
                  <w:rFonts w:ascii="Arial" w:cs="Arial" w:eastAsia="Arial" w:hAnsi="Arial"/>
                  <w:sz w:val="18"/>
                  <w:szCs w:val="18"/>
                  <w:u w:val="single" w:color="auto"/>
                  <w:color w:val="0000FF"/>
                  <w:w w:val="91"/>
                </w:rPr>
                <w:t>Form of Indemnification Agreement between the Company and its directors and executive officers.</w:t>
              </w:r>
            </w:hyperlink>
          </w:p>
        </w:tc>
      </w:tr>
      <w:tr>
        <w:trPr>
          <w:trHeight w:val="270"/>
        </w:trPr>
        <w:tc>
          <w:tcPr>
            <w:tcW w:w="1800" w:type="dxa"/>
            <w:vAlign w:val="bottom"/>
          </w:tcPr>
          <w:p>
            <w:pPr>
              <w:jc w:val="center"/>
              <w:ind w:left="30"/>
              <w:spacing w:after="0"/>
              <w:rPr>
                <w:rFonts w:ascii="Arial" w:cs="Arial" w:eastAsia="Arial" w:hAnsi="Arial"/>
                <w:sz w:val="18"/>
                <w:szCs w:val="18"/>
                <w:u w:val="single" w:color="auto"/>
                <w:color w:val="0000FF"/>
                <w:w w:val="91"/>
              </w:rPr>
            </w:pPr>
            <w:hyperlink w:anchor="page26">
              <w:r>
                <w:rPr>
                  <w:rFonts w:ascii="Arial" w:cs="Arial" w:eastAsia="Arial" w:hAnsi="Arial"/>
                  <w:sz w:val="18"/>
                  <w:szCs w:val="18"/>
                  <w:u w:val="single" w:color="auto"/>
                  <w:color w:val="0000FF"/>
                  <w:w w:val="91"/>
                </w:rPr>
                <w:t>99.1</w:t>
              </w:r>
            </w:hyperlink>
          </w:p>
        </w:tc>
        <w:tc>
          <w:tcPr>
            <w:tcW w:w="7540" w:type="dxa"/>
            <w:vAlign w:val="bottom"/>
          </w:tcPr>
          <w:p>
            <w:pPr>
              <w:ind w:left="38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Press Release, dated the Effective Date, issued by California Resources Corporation.</w:t>
              </w:r>
            </w:hyperlink>
          </w:p>
        </w:tc>
      </w:tr>
      <w:tr>
        <w:trPr>
          <w:trHeight w:val="270"/>
        </w:trPr>
        <w:tc>
          <w:tcPr>
            <w:tcW w:w="1800" w:type="dxa"/>
            <w:vAlign w:val="bottom"/>
          </w:tcPr>
          <w:p>
            <w:pPr>
              <w:jc w:val="center"/>
              <w:ind w:left="30"/>
              <w:spacing w:after="0"/>
              <w:rPr>
                <w:rFonts w:ascii="Arial" w:cs="Arial" w:eastAsia="Arial" w:hAnsi="Arial"/>
                <w:sz w:val="18"/>
                <w:szCs w:val="18"/>
                <w:u w:val="single" w:color="auto"/>
                <w:color w:val="0000FF"/>
                <w:w w:val="91"/>
              </w:rPr>
            </w:pPr>
            <w:hyperlink w:anchor="page30">
              <w:r>
                <w:rPr>
                  <w:rFonts w:ascii="Arial" w:cs="Arial" w:eastAsia="Arial" w:hAnsi="Arial"/>
                  <w:sz w:val="18"/>
                  <w:szCs w:val="18"/>
                  <w:u w:val="single" w:color="auto"/>
                  <w:color w:val="0000FF"/>
                  <w:w w:val="91"/>
                </w:rPr>
                <w:t>99.2</w:t>
              </w:r>
            </w:hyperlink>
          </w:p>
        </w:tc>
        <w:tc>
          <w:tcPr>
            <w:tcW w:w="7540" w:type="dxa"/>
            <w:vAlign w:val="bottom"/>
          </w:tcPr>
          <w:p>
            <w:pPr>
              <w:ind w:left="380"/>
              <w:spacing w:after="0"/>
              <w:rPr>
                <w:rFonts w:ascii="Arial" w:cs="Arial" w:eastAsia="Arial" w:hAnsi="Arial"/>
                <w:sz w:val="18"/>
                <w:szCs w:val="18"/>
                <w:u w:val="single" w:color="auto"/>
                <w:color w:val="0000FF"/>
                <w:w w:val="97"/>
              </w:rPr>
            </w:pPr>
            <w:hyperlink w:anchor="page30">
              <w:r>
                <w:rPr>
                  <w:rFonts w:ascii="Arial" w:cs="Arial" w:eastAsia="Arial" w:hAnsi="Arial"/>
                  <w:sz w:val="18"/>
                  <w:szCs w:val="18"/>
                  <w:u w:val="single" w:color="auto"/>
                  <w:color w:val="0000FF"/>
                  <w:w w:val="97"/>
                </w:rPr>
                <w:t>Investor Presentation, dated the Effective Date, issued by California Resources Corporation.</w:t>
              </w:r>
            </w:hyperlink>
          </w:p>
        </w:tc>
      </w:tr>
    </w:tbl>
    <w:p>
      <w:pPr>
        <w:spacing w:after="0" w:line="40" w:lineRule="exact"/>
        <w:rPr>
          <w:sz w:val="20"/>
          <w:szCs w:val="20"/>
          <w:color w:val="auto"/>
        </w:rPr>
      </w:pPr>
    </w:p>
    <w:p>
      <w:pPr>
        <w:ind w:left="2180" w:hanging="1349"/>
        <w:spacing w:after="0"/>
        <w:tabs>
          <w:tab w:leader="none" w:pos="2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4"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6" w:name="page7"/>
    <w:bookmarkEnd w:id="6"/>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31750</wp:posOffset>
            </wp:positionV>
            <wp:extent cx="40887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ectPr>
          <w:pgSz w:w="11900" w:h="16838" w:orient="portrait"/>
          <w:cols w:equalWidth="0" w:num="1">
            <w:col w:w="10920"/>
          </w:cols>
          <w:pgMar w:left="320" w:top="1417" w:right="659" w:bottom="1440" w:gutter="0" w:footer="0" w:header="0"/>
        </w:sectPr>
      </w:pPr>
    </w:p>
    <w:p>
      <w:pPr>
        <w:spacing w:after="0" w:line="77"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300" w:space="480"/>
            <w:col w:w="5140"/>
          </w:cols>
          <w:pgMar w:left="320" w:top="1417" w:right="659" w:bottom="1440" w:gutter="0" w:footer="0" w:header="0"/>
          <w:type w:val="continuous"/>
        </w:sectPr>
      </w:pPr>
    </w:p>
    <w:p>
      <w:pPr>
        <w:ind w:left="48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w:t>
      </w:r>
    </w:p>
    <w:p>
      <w:pPr>
        <w:spacing w:after="0" w:line="211" w:lineRule="exact"/>
        <w:rPr>
          <w:sz w:val="20"/>
          <w:szCs w:val="20"/>
          <w:color w:val="auto"/>
        </w:rPr>
      </w:pPr>
    </w:p>
    <w:p>
      <w:pPr>
        <w:sectPr>
          <w:pgSz w:w="11900" w:h="16838" w:orient="portrait"/>
          <w:cols w:equalWidth="0" w:num="2">
            <w:col w:w="5200" w:space="580"/>
            <w:col w:w="5140"/>
          </w:cols>
          <w:pgMar w:left="320" w:top="1417"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DATED: October 27, 2020</w:t>
      </w:r>
    </w:p>
    <w:p>
      <w:pPr>
        <w:sectPr>
          <w:pgSz w:w="11900" w:h="16838" w:orient="portrait"/>
          <w:cols w:equalWidth="0" w:num="1">
            <w:col w:w="10920"/>
          </w:cols>
          <w:pgMar w:left="320" w:top="1417" w:right="65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10.1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INDEMNIFICATION AGREEMENT</w:t>
      </w:r>
    </w:p>
    <w:p>
      <w:pPr>
        <w:spacing w:after="0" w:line="30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Indemnification Agreement (“Agreement”) is made as of _______, __, 20__ by and between California Resources</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Corporation, a Delaware corporation (the “Company”), and _______________ (“Indemnitee”). This Agreement supersedes and</w:t>
      </w:r>
    </w:p>
    <w:p>
      <w:pPr>
        <w:spacing w:after="0" w:line="11" w:lineRule="exact"/>
        <w:rPr>
          <w:sz w:val="20"/>
          <w:szCs w:val="20"/>
          <w:color w:val="auto"/>
        </w:rPr>
      </w:pPr>
    </w:p>
    <w:p>
      <w:pPr>
        <w:jc w:val="center"/>
        <w:ind w:right="180"/>
        <w:spacing w:after="0" w:line="425" w:lineRule="auto"/>
        <w:rPr>
          <w:sz w:val="20"/>
          <w:szCs w:val="20"/>
          <w:color w:val="auto"/>
        </w:rPr>
      </w:pPr>
      <w:r>
        <w:rPr>
          <w:rFonts w:ascii="Arial" w:cs="Arial" w:eastAsia="Arial" w:hAnsi="Arial"/>
          <w:sz w:val="22"/>
          <w:szCs w:val="22"/>
          <w:color w:val="auto"/>
        </w:rPr>
        <w:t xml:space="preserve">replaces any and all previous Agreements between the Company and Indemnitee covering the subject matter of this Agreement. </w:t>
      </w:r>
      <w:r>
        <w:rPr>
          <w:rFonts w:ascii="Arial" w:cs="Arial" w:eastAsia="Arial" w:hAnsi="Arial"/>
          <w:sz w:val="22"/>
          <w:szCs w:val="22"/>
          <w:b w:val="1"/>
          <w:bCs w:val="1"/>
          <w:color w:val="auto"/>
        </w:rPr>
        <w:t>RECITALS</w:t>
      </w:r>
    </w:p>
    <w:p>
      <w:pPr>
        <w:spacing w:after="0" w:line="8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WHEREAS, highly competent persons have become more reluctant to serve publicly-held corporations as directors or in other capacities unless they are provided with adequate protection through insurance or adequate indemnification against inordinate risks of claims and actions against them arising out of their service to and activities on behalf of the corporation;</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WHEREAS, the Board of Directors of the Company (the “Board”)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Bylaws of the Company (the “Bylaws”) require indemnification of the officers and directors of the Company. Indemnitee may also be entitled to indemnification pursuant to the General Corporation Law of the State of Delaware (the “DGCL”).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39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WHEREAS, the uncertainties relating to such insurance and to indemnification have increased the difficulty of attracting and retaining such persons;</w:t>
      </w:r>
    </w:p>
    <w:p>
      <w:pPr>
        <w:spacing w:after="0" w:line="171"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WHEREAS, the Board has determined that the increased difficulty in attracting and retaining such persons is detrimental to the best interests of the Company and its stockholders and that the Company should act to assure such persons that there will be increased certainty of such protection in the future;</w:t>
      </w:r>
    </w:p>
    <w:p>
      <w:pPr>
        <w:spacing w:after="0" w:line="174"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ectPr>
          <w:pgSz w:w="11900" w:h="16838" w:orient="portrait"/>
          <w:cols w:equalWidth="0" w:num="1">
            <w:col w:w="11240"/>
          </w:cols>
          <w:pgMar w:left="320" w:top="1413" w:right="339" w:bottom="1440" w:gutter="0" w:footer="0" w:header="0"/>
        </w:sectPr>
      </w:pPr>
    </w:p>
    <w:bookmarkStart w:id="8" w:name="page9"/>
    <w:bookmarkEnd w:id="8"/>
    <w:p>
      <w:pPr>
        <w:jc w:val="both"/>
        <w:ind w:firstLine="648"/>
        <w:spacing w:after="0" w:line="313" w:lineRule="auto"/>
        <w:rPr>
          <w:sz w:val="20"/>
          <w:szCs w:val="20"/>
          <w:color w:val="auto"/>
        </w:rPr>
      </w:pPr>
      <w:r>
        <w:rPr>
          <w:rFonts w:ascii="Arial" w:cs="Arial" w:eastAsia="Arial" w:hAnsi="Arial"/>
          <w:sz w:val="19"/>
          <w:szCs w:val="19"/>
          <w:color w:val="auto"/>
        </w:rPr>
        <w:t>WHEREAS, this Agreement is a supplement to and in furtherance of the Bylaws and any resolutions adopted pursuant thereto, and shall not be deemed a substitute therefor, nor to diminish or abrogate any rights of Indemnitee thereunder;</w:t>
      </w:r>
    </w:p>
    <w:p>
      <w:pPr>
        <w:spacing w:after="0" w:line="10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1"/>
          <w:szCs w:val="21"/>
          <w:color w:val="auto"/>
        </w:rPr>
        <w:t>WHEREAS, Indemnitee does not regard the protection available under the Bylaws and insurance as adequate in the present circumstances, and may not be willing to serve as an officer or director without adequate protection, and the Company desires Indemnitee to serve in such capacity. Indemnitee is willing to serve, continue to serve and to take on additional service for or on behalf of the Company on the condition that he be so indemnified; and</w:t>
      </w:r>
    </w:p>
    <w:p>
      <w:pPr>
        <w:spacing w:after="0" w:line="172"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22"/>
          <w:szCs w:val="22"/>
          <w:color w:val="auto"/>
        </w:rPr>
        <w:t>NOW, THEREFORE, in consideration of the premises and the covenants contained herein, the Company and Indemnitee do hereby covenant and agree as follows:</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Services to the Company.</w:t>
      </w:r>
      <w:r>
        <w:rPr>
          <w:rFonts w:ascii="Arial" w:cs="Arial" w:eastAsia="Arial" w:hAnsi="Arial"/>
          <w:sz w:val="19"/>
          <w:szCs w:val="19"/>
          <w:color w:val="auto"/>
        </w:rPr>
        <w:t xml:space="preserve"> Indemnitee agrees to serve as a director of the Company.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Indemnitee’s employment with the Company (or any of its subsidiaries or any Enterprise), if any, is at will, and the Indemnitee may be discharged at any time for any reason, with or without cause, except as may be otherwise provided in any written employment contract between Indemnitee and the Company (or any of its subsidiaries or any Enterprise), other applicable formal severance policies duly adopted by the Board, or, with respect to service as a director or officer of the Company, by the Certificate of Incorporation, the Company’s Bylaws, and the DGCL. The foregoing notwithstanding, this Agreement shall continue in force after Indemnitee has ceased to serve as a director of the Company, as provided in Section 16 hereof.</w:t>
      </w:r>
    </w:p>
    <w:p>
      <w:pPr>
        <w:spacing w:after="0" w:line="15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 xml:space="preserve">Definitions. </w:t>
      </w:r>
      <w:r>
        <w:rPr>
          <w:rFonts w:ascii="Arial" w:cs="Arial" w:eastAsia="Arial" w:hAnsi="Arial"/>
          <w:sz w:val="19"/>
          <w:szCs w:val="19"/>
          <w:color w:val="auto"/>
        </w:rPr>
        <w:t>As used in this Agreement:</w:t>
      </w:r>
    </w:p>
    <w:p>
      <w:pPr>
        <w:spacing w:after="0" w:line="193" w:lineRule="exact"/>
        <w:rPr>
          <w:sz w:val="20"/>
          <w:szCs w:val="20"/>
          <w:color w:val="auto"/>
        </w:rPr>
      </w:pPr>
    </w:p>
    <w:p>
      <w:pPr>
        <w:jc w:val="both"/>
        <w:ind w:firstLine="1304"/>
        <w:spacing w:after="0" w:line="226" w:lineRule="auto"/>
        <w:tabs>
          <w:tab w:leader="none" w:pos="1786" w:val="left"/>
        </w:tabs>
        <w:numPr>
          <w:ilvl w:val="0"/>
          <w:numId w:val="3"/>
        </w:numPr>
        <w:rPr>
          <w:rFonts w:ascii="Arial" w:cs="Arial" w:eastAsia="Arial" w:hAnsi="Arial"/>
          <w:sz w:val="22"/>
          <w:szCs w:val="22"/>
          <w:color w:val="auto"/>
        </w:rPr>
      </w:pPr>
      <w:r>
        <w:rPr>
          <w:rFonts w:ascii="Arial" w:cs="Arial" w:eastAsia="Arial" w:hAnsi="Arial"/>
          <w:sz w:val="22"/>
          <w:szCs w:val="22"/>
          <w:color w:val="auto"/>
        </w:rPr>
        <w:t>References to “agent”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2" w:lineRule="exact"/>
        <w:rPr>
          <w:rFonts w:ascii="Arial" w:cs="Arial" w:eastAsia="Arial" w:hAnsi="Arial"/>
          <w:sz w:val="22"/>
          <w:szCs w:val="22"/>
          <w:color w:val="auto"/>
        </w:rPr>
      </w:pPr>
    </w:p>
    <w:p>
      <w:pPr>
        <w:ind w:firstLine="1304"/>
        <w:spacing w:after="0" w:line="239" w:lineRule="auto"/>
        <w:tabs>
          <w:tab w:leader="none" w:pos="1754" w:val="left"/>
        </w:tabs>
        <w:numPr>
          <w:ilvl w:val="0"/>
          <w:numId w:val="3"/>
        </w:numPr>
        <w:rPr>
          <w:rFonts w:ascii="Arial" w:cs="Arial" w:eastAsia="Arial" w:hAnsi="Arial"/>
          <w:sz w:val="22"/>
          <w:szCs w:val="22"/>
          <w:color w:val="auto"/>
        </w:rPr>
      </w:pPr>
      <w:r>
        <w:rPr>
          <w:rFonts w:ascii="Arial" w:cs="Arial" w:eastAsia="Arial" w:hAnsi="Arial"/>
          <w:sz w:val="22"/>
          <w:szCs w:val="22"/>
          <w:color w:val="auto"/>
        </w:rPr>
        <w:t>A “Change in Control” shall be deemed to occur upon the earliest to occur after the date of this Agreement of any of the following events:</w:t>
      </w:r>
    </w:p>
    <w:p>
      <w:pPr>
        <w:spacing w:after="0" w:line="171" w:lineRule="exact"/>
        <w:rPr>
          <w:rFonts w:ascii="Arial" w:cs="Arial" w:eastAsia="Arial" w:hAnsi="Arial"/>
          <w:sz w:val="22"/>
          <w:szCs w:val="22"/>
          <w:color w:val="auto"/>
        </w:rPr>
      </w:pPr>
    </w:p>
    <w:p>
      <w:pPr>
        <w:jc w:val="both"/>
        <w:ind w:firstLine="1952"/>
        <w:spacing w:after="0" w:line="226" w:lineRule="auto"/>
        <w:tabs>
          <w:tab w:leader="none" w:pos="2395" w:val="left"/>
        </w:tabs>
        <w:numPr>
          <w:ilvl w:val="1"/>
          <w:numId w:val="3"/>
        </w:numPr>
        <w:rPr>
          <w:rFonts w:ascii="Arial" w:cs="Arial" w:eastAsia="Arial" w:hAnsi="Arial"/>
          <w:sz w:val="22"/>
          <w:szCs w:val="22"/>
          <w:color w:val="auto"/>
        </w:rPr>
      </w:pPr>
      <w:r>
        <w:rPr>
          <w:rFonts w:ascii="Arial" w:cs="Arial" w:eastAsia="Arial" w:hAnsi="Arial"/>
          <w:sz w:val="22"/>
          <w:szCs w:val="22"/>
          <w:i w:val="1"/>
          <w:iCs w:val="1"/>
          <w:u w:val="single" w:color="auto"/>
          <w:color w:val="auto"/>
        </w:rPr>
        <w:t>Acquisition of Stock by Third Party</w:t>
      </w:r>
      <w:r>
        <w:rPr>
          <w:rFonts w:ascii="Arial" w:cs="Arial" w:eastAsia="Arial" w:hAnsi="Arial"/>
          <w:sz w:val="22"/>
          <w:szCs w:val="22"/>
          <w:color w:val="auto"/>
        </w:rPr>
        <w:t>. Any Person (as defined below) is or becomes the Beneficial</w:t>
      </w:r>
      <w:r>
        <w:rPr>
          <w:rFonts w:ascii="Arial" w:cs="Arial" w:eastAsia="Arial" w:hAnsi="Arial"/>
          <w:sz w:val="22"/>
          <w:szCs w:val="22"/>
          <w:i w:val="1"/>
          <w:iCs w:val="1"/>
          <w:color w:val="auto"/>
        </w:rPr>
        <w:t xml:space="preserve"> </w:t>
      </w:r>
      <w:r>
        <w:rPr>
          <w:rFonts w:ascii="Arial" w:cs="Arial" w:eastAsia="Arial" w:hAnsi="Arial"/>
          <w:sz w:val="22"/>
          <w:szCs w:val="22"/>
          <w:color w:val="auto"/>
        </w:rPr>
        <w:t>Owner (as defined below), directly or indirectly, of securities of the Company representing fifteen percent (15%)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2</w:t>
      </w:r>
      <w:r>
        <w:rPr>
          <w:rFonts w:ascii="Arial" w:cs="Arial" w:eastAsia="Arial" w:hAnsi="Arial"/>
          <w:sz w:val="18"/>
          <w:szCs w:val="18"/>
          <w:color w:val="auto"/>
        </w:rPr>
        <w:t>-</w:t>
      </w:r>
    </w:p>
    <w:p>
      <w:pPr>
        <w:sectPr>
          <w:pgSz w:w="11900" w:h="16838" w:orient="portrait"/>
          <w:cols w:equalWidth="0" w:num="1">
            <w:col w:w="11240"/>
          </w:cols>
          <w:pgMar w:left="320" w:top="1414" w:right="339" w:bottom="1440" w:gutter="0" w:footer="0" w:header="0"/>
        </w:sectPr>
      </w:pPr>
    </w:p>
    <w:bookmarkStart w:id="9" w:name="page10"/>
    <w:bookmarkEnd w:id="9"/>
    <w:p>
      <w:pPr>
        <w:jc w:val="both"/>
        <w:ind w:firstLine="1952"/>
        <w:spacing w:after="0" w:line="234" w:lineRule="auto"/>
        <w:tabs>
          <w:tab w:leader="none" w:pos="2429" w:val="left"/>
        </w:tabs>
        <w:numPr>
          <w:ilvl w:val="0"/>
          <w:numId w:val="4"/>
        </w:numPr>
        <w:rPr>
          <w:rFonts w:ascii="Arial" w:cs="Arial" w:eastAsia="Arial" w:hAnsi="Arial"/>
          <w:sz w:val="21"/>
          <w:szCs w:val="21"/>
          <w:color w:val="auto"/>
        </w:rPr>
      </w:pPr>
      <w:r>
        <w:rPr>
          <w:rFonts w:ascii="Arial" w:cs="Arial" w:eastAsia="Arial" w:hAnsi="Arial"/>
          <w:sz w:val="21"/>
          <w:szCs w:val="21"/>
          <w:i w:val="1"/>
          <w:iCs w:val="1"/>
          <w:u w:val="single" w:color="auto"/>
          <w:color w:val="auto"/>
        </w:rPr>
        <w:t>Change in Board of Directors</w:t>
      </w:r>
      <w:r>
        <w:rPr>
          <w:rFonts w:ascii="Arial" w:cs="Arial" w:eastAsia="Arial" w:hAnsi="Arial"/>
          <w:sz w:val="21"/>
          <w:szCs w:val="21"/>
          <w:color w:val="auto"/>
        </w:rPr>
        <w:t>. During any period of two (2) consecutive years (not including any</w:t>
      </w:r>
      <w:r>
        <w:rPr>
          <w:rFonts w:ascii="Arial" w:cs="Arial" w:eastAsia="Arial" w:hAnsi="Arial"/>
          <w:sz w:val="21"/>
          <w:szCs w:val="21"/>
          <w:i w:val="1"/>
          <w:iCs w:val="1"/>
          <w:color w:val="auto"/>
        </w:rPr>
        <w:t xml:space="preserve"> </w:t>
      </w:r>
      <w:r>
        <w:rPr>
          <w:rFonts w:ascii="Arial" w:cs="Arial" w:eastAsia="Arial" w:hAnsi="Arial"/>
          <w:sz w:val="21"/>
          <w:szCs w:val="21"/>
          <w:color w:val="auto"/>
        </w:rPr>
        <w:t>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2(b)(i), 2(b)(iii) or 2(b)(iv))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74" w:lineRule="exact"/>
        <w:rPr>
          <w:rFonts w:ascii="Arial" w:cs="Arial" w:eastAsia="Arial" w:hAnsi="Arial"/>
          <w:sz w:val="21"/>
          <w:szCs w:val="21"/>
          <w:color w:val="auto"/>
        </w:rPr>
      </w:pPr>
    </w:p>
    <w:p>
      <w:pPr>
        <w:jc w:val="both"/>
        <w:ind w:firstLine="1952"/>
        <w:spacing w:after="0" w:line="235" w:lineRule="auto"/>
        <w:tabs>
          <w:tab w:leader="none" w:pos="2461" w:val="left"/>
        </w:tabs>
        <w:numPr>
          <w:ilvl w:val="0"/>
          <w:numId w:val="4"/>
        </w:numPr>
        <w:rPr>
          <w:rFonts w:ascii="Arial" w:cs="Arial" w:eastAsia="Arial" w:hAnsi="Arial"/>
          <w:sz w:val="21"/>
          <w:szCs w:val="21"/>
          <w:color w:val="auto"/>
        </w:rPr>
      </w:pPr>
      <w:r>
        <w:rPr>
          <w:rFonts w:ascii="Arial" w:cs="Arial" w:eastAsia="Arial" w:hAnsi="Arial"/>
          <w:sz w:val="21"/>
          <w:szCs w:val="21"/>
          <w:i w:val="1"/>
          <w:iCs w:val="1"/>
          <w:u w:val="single" w:color="auto"/>
          <w:color w:val="auto"/>
        </w:rPr>
        <w:t>Corporate Transactions</w:t>
      </w:r>
      <w:r>
        <w:rPr>
          <w:rFonts w:ascii="Arial" w:cs="Arial" w:eastAsia="Arial" w:hAnsi="Arial"/>
          <w:sz w:val="21"/>
          <w:szCs w:val="21"/>
          <w:color w:val="auto"/>
        </w:rPr>
        <w:t>. The effective date of a merger or consolidation of the Company with any</w:t>
      </w:r>
      <w:r>
        <w:rPr>
          <w:rFonts w:ascii="Arial" w:cs="Arial" w:eastAsia="Arial" w:hAnsi="Arial"/>
          <w:sz w:val="21"/>
          <w:szCs w:val="21"/>
          <w:i w:val="1"/>
          <w:iCs w:val="1"/>
          <w:color w:val="auto"/>
        </w:rPr>
        <w:t xml:space="preserve"> </w:t>
      </w:r>
      <w:r>
        <w:rPr>
          <w:rFonts w:ascii="Arial" w:cs="Arial" w:eastAsia="Arial" w:hAnsi="Arial"/>
          <w:sz w:val="21"/>
          <w:szCs w:val="21"/>
          <w:color w:val="auto"/>
        </w:rPr>
        <w:t>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51%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74" w:lineRule="exact"/>
        <w:rPr>
          <w:rFonts w:ascii="Arial" w:cs="Arial" w:eastAsia="Arial" w:hAnsi="Arial"/>
          <w:sz w:val="21"/>
          <w:szCs w:val="21"/>
          <w:color w:val="auto"/>
        </w:rPr>
      </w:pPr>
    </w:p>
    <w:p>
      <w:pPr>
        <w:ind w:firstLine="1952"/>
        <w:spacing w:after="0" w:line="313" w:lineRule="auto"/>
        <w:tabs>
          <w:tab w:leader="none" w:pos="2503" w:val="left"/>
        </w:tabs>
        <w:numPr>
          <w:ilvl w:val="0"/>
          <w:numId w:val="4"/>
        </w:numPr>
        <w:rPr>
          <w:rFonts w:ascii="Arial" w:cs="Arial" w:eastAsia="Arial" w:hAnsi="Arial"/>
          <w:sz w:val="19"/>
          <w:szCs w:val="19"/>
          <w:color w:val="auto"/>
        </w:rPr>
      </w:pPr>
      <w:r>
        <w:rPr>
          <w:rFonts w:ascii="Arial" w:cs="Arial" w:eastAsia="Arial" w:hAnsi="Arial"/>
          <w:sz w:val="19"/>
          <w:szCs w:val="19"/>
          <w:i w:val="1"/>
          <w:iCs w:val="1"/>
          <w:u w:val="single" w:color="auto"/>
          <w:color w:val="auto"/>
        </w:rPr>
        <w:t>Liquidation</w:t>
      </w:r>
      <w:r>
        <w:rPr>
          <w:rFonts w:ascii="Arial" w:cs="Arial" w:eastAsia="Arial" w:hAnsi="Arial"/>
          <w:sz w:val="19"/>
          <w:szCs w:val="19"/>
          <w:color w:val="auto"/>
        </w:rPr>
        <w:t>. The approval by the stockholders of the Company of a complete liquidation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or an agreement for the sale or disposition by the Company of all or substantially all of the Company’s assets; and</w:t>
      </w:r>
    </w:p>
    <w:p>
      <w:pPr>
        <w:spacing w:after="0" w:line="105" w:lineRule="exact"/>
        <w:rPr>
          <w:rFonts w:ascii="Arial" w:cs="Arial" w:eastAsia="Arial" w:hAnsi="Arial"/>
          <w:sz w:val="19"/>
          <w:szCs w:val="19"/>
          <w:color w:val="auto"/>
        </w:rPr>
      </w:pPr>
    </w:p>
    <w:p>
      <w:pPr>
        <w:jc w:val="both"/>
        <w:ind w:firstLine="1952"/>
        <w:spacing w:after="0" w:line="228" w:lineRule="auto"/>
        <w:tabs>
          <w:tab w:leader="none" w:pos="2443" w:val="left"/>
        </w:tabs>
        <w:numPr>
          <w:ilvl w:val="0"/>
          <w:numId w:val="4"/>
        </w:numPr>
        <w:rPr>
          <w:rFonts w:ascii="Arial" w:cs="Arial" w:eastAsia="Arial" w:hAnsi="Arial"/>
          <w:sz w:val="22"/>
          <w:szCs w:val="22"/>
          <w:color w:val="auto"/>
        </w:rPr>
      </w:pPr>
      <w:r>
        <w:rPr>
          <w:rFonts w:ascii="Arial" w:cs="Arial" w:eastAsia="Arial" w:hAnsi="Arial"/>
          <w:sz w:val="22"/>
          <w:szCs w:val="22"/>
          <w:i w:val="1"/>
          <w:iCs w:val="1"/>
          <w:u w:val="single" w:color="auto"/>
          <w:color w:val="auto"/>
        </w:rPr>
        <w:t>Other Events</w:t>
      </w:r>
      <w:r>
        <w:rPr>
          <w:rFonts w:ascii="Arial" w:cs="Arial" w:eastAsia="Arial" w:hAnsi="Arial"/>
          <w:sz w:val="22"/>
          <w:szCs w:val="22"/>
          <w:color w:val="auto"/>
        </w:rPr>
        <w:t>. There occurs any other event of a nature that would be required to be reported in</w:t>
      </w:r>
      <w:r>
        <w:rPr>
          <w:rFonts w:ascii="Arial" w:cs="Arial" w:eastAsia="Arial" w:hAnsi="Arial"/>
          <w:sz w:val="22"/>
          <w:szCs w:val="22"/>
          <w:i w:val="1"/>
          <w:iCs w:val="1"/>
          <w:color w:val="auto"/>
        </w:rPr>
        <w:t xml:space="preserve"> </w:t>
      </w:r>
      <w:r>
        <w:rPr>
          <w:rFonts w:ascii="Arial" w:cs="Arial" w:eastAsia="Arial" w:hAnsi="Arial"/>
          <w:sz w:val="22"/>
          <w:szCs w:val="22"/>
          <w:color w:val="auto"/>
        </w:rPr>
        <w:t>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Section 2(b), the following terms shall have the following meanings:</w:t>
      </w:r>
    </w:p>
    <w:p>
      <w:pPr>
        <w:spacing w:after="0" w:line="187" w:lineRule="exact"/>
        <w:rPr>
          <w:sz w:val="20"/>
          <w:szCs w:val="20"/>
          <w:color w:val="auto"/>
        </w:rPr>
      </w:pPr>
    </w:p>
    <w:p>
      <w:pPr>
        <w:ind w:left="2540" w:hanging="588"/>
        <w:spacing w:after="0"/>
        <w:tabs>
          <w:tab w:leader="none" w:pos="2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“Exchange Act” shall mean the Securities Exchange Act of 1934, as amended from</w:t>
      </w:r>
    </w:p>
    <w:p>
      <w:pPr>
        <w:ind w:left="1300"/>
        <w:spacing w:after="0"/>
        <w:rPr>
          <w:rFonts w:ascii="Arial" w:cs="Arial" w:eastAsia="Arial" w:hAnsi="Arial"/>
          <w:sz w:val="22"/>
          <w:szCs w:val="22"/>
          <w:color w:val="auto"/>
        </w:rPr>
      </w:pPr>
      <w:r>
        <w:rPr>
          <w:rFonts w:ascii="Arial" w:cs="Arial" w:eastAsia="Arial" w:hAnsi="Arial"/>
          <w:sz w:val="22"/>
          <w:szCs w:val="22"/>
          <w:color w:val="auto"/>
        </w:rPr>
        <w:t>time to time.</w:t>
      </w:r>
    </w:p>
    <w:p>
      <w:pPr>
        <w:spacing w:after="0" w:line="174" w:lineRule="exact"/>
        <w:rPr>
          <w:rFonts w:ascii="Arial" w:cs="Arial" w:eastAsia="Arial" w:hAnsi="Arial"/>
          <w:sz w:val="22"/>
          <w:szCs w:val="22"/>
          <w:color w:val="auto"/>
        </w:rPr>
      </w:pPr>
    </w:p>
    <w:p>
      <w:pPr>
        <w:jc w:val="both"/>
        <w:ind w:left="1300" w:right="1300" w:firstLine="652"/>
        <w:spacing w:after="0" w:line="237" w:lineRule="auto"/>
        <w:tabs>
          <w:tab w:leader="none" w:pos="2605" w:val="left"/>
        </w:tabs>
        <w:numPr>
          <w:ilvl w:val="0"/>
          <w:numId w:val="5"/>
        </w:numPr>
        <w:rPr>
          <w:rFonts w:ascii="Arial" w:cs="Arial" w:eastAsia="Arial" w:hAnsi="Arial"/>
          <w:sz w:val="21"/>
          <w:szCs w:val="21"/>
          <w:color w:val="auto"/>
        </w:rPr>
      </w:pPr>
      <w:r>
        <w:rPr>
          <w:rFonts w:ascii="Arial" w:cs="Arial" w:eastAsia="Arial" w:hAnsi="Arial"/>
          <w:sz w:val="21"/>
          <w:szCs w:val="21"/>
          <w:color w:val="auto"/>
        </w:rPr>
        <w:t>“Person” shall have the meaning as set forth in Sections 13(d) and 14(d) of the Exchange Act; provided, however, that Person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71" w:lineRule="exact"/>
        <w:rPr>
          <w:rFonts w:ascii="Arial" w:cs="Arial" w:eastAsia="Arial" w:hAnsi="Arial"/>
          <w:sz w:val="21"/>
          <w:szCs w:val="21"/>
          <w:color w:val="auto"/>
        </w:rPr>
      </w:pPr>
    </w:p>
    <w:p>
      <w:pPr>
        <w:jc w:val="both"/>
        <w:ind w:left="1300" w:right="1300" w:firstLine="652"/>
        <w:spacing w:after="0" w:line="228" w:lineRule="auto"/>
        <w:tabs>
          <w:tab w:leader="none" w:pos="2519" w:val="left"/>
        </w:tabs>
        <w:numPr>
          <w:ilvl w:val="0"/>
          <w:numId w:val="5"/>
        </w:numPr>
        <w:rPr>
          <w:rFonts w:ascii="Arial" w:cs="Arial" w:eastAsia="Arial" w:hAnsi="Arial"/>
          <w:sz w:val="22"/>
          <w:szCs w:val="22"/>
          <w:color w:val="auto"/>
        </w:rPr>
      </w:pPr>
      <w:r>
        <w:rPr>
          <w:rFonts w:ascii="Arial" w:cs="Arial" w:eastAsia="Arial" w:hAnsi="Arial"/>
          <w:sz w:val="22"/>
          <w:szCs w:val="22"/>
          <w:color w:val="auto"/>
        </w:rPr>
        <w:t>“Beneficial Owner” shall have the meaning given to such term in Rule 13d-3 under the Exchange Act; provided, however, that Beneficial Owner shall exclude any Person otherwise becoming a Beneficial Owner by reason of the stockholders of the Company approving a merger of the Company with another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3</w:t>
      </w:r>
      <w:r>
        <w:rPr>
          <w:rFonts w:ascii="Arial" w:cs="Arial" w:eastAsia="Arial" w:hAnsi="Arial"/>
          <w:sz w:val="18"/>
          <w:szCs w:val="18"/>
          <w:color w:val="auto"/>
        </w:rPr>
        <w:t>-</w:t>
      </w:r>
    </w:p>
    <w:p>
      <w:pPr>
        <w:sectPr>
          <w:pgSz w:w="11900" w:h="16838" w:orient="portrait"/>
          <w:cols w:equalWidth="0" w:num="1">
            <w:col w:w="11240"/>
          </w:cols>
          <w:pgMar w:left="320" w:top="1414" w:right="339" w:bottom="1440" w:gutter="0" w:footer="0" w:header="0"/>
        </w:sectPr>
      </w:pPr>
    </w:p>
    <w:bookmarkStart w:id="10" w:name="page11"/>
    <w:bookmarkEnd w:id="10"/>
    <w:p>
      <w:pPr>
        <w:jc w:val="both"/>
        <w:ind w:firstLine="1304"/>
        <w:spacing w:after="0" w:line="282" w:lineRule="auto"/>
        <w:tabs>
          <w:tab w:leader="none" w:pos="1879" w:val="left"/>
        </w:tabs>
        <w:numPr>
          <w:ilvl w:val="0"/>
          <w:numId w:val="6"/>
        </w:numPr>
        <w:rPr>
          <w:rFonts w:ascii="Arial" w:cs="Arial" w:eastAsia="Arial" w:hAnsi="Arial"/>
          <w:sz w:val="19"/>
          <w:szCs w:val="19"/>
          <w:color w:val="auto"/>
        </w:rPr>
      </w:pPr>
      <w:r>
        <w:rPr>
          <w:rFonts w:ascii="Arial" w:cs="Arial" w:eastAsia="Arial" w:hAnsi="Arial"/>
          <w:sz w:val="19"/>
          <w:szCs w:val="19"/>
          <w:color w:val="auto"/>
        </w:rPr>
        <w:t>“Corporate Status” describes the status of a person who is or was a director, trustee, partner, managing member, manager, fiduciary, officer, employee or agent of the Company or of any other corporation, limited liability company, partnership or joint venture, trust or other enterprise which such person is or was serving at the request of the Company.</w:t>
      </w:r>
    </w:p>
    <w:p>
      <w:pPr>
        <w:spacing w:after="0" w:line="134" w:lineRule="exact"/>
        <w:rPr>
          <w:rFonts w:ascii="Arial" w:cs="Arial" w:eastAsia="Arial" w:hAnsi="Arial"/>
          <w:sz w:val="19"/>
          <w:szCs w:val="19"/>
          <w:color w:val="auto"/>
        </w:rPr>
      </w:pPr>
    </w:p>
    <w:p>
      <w:pPr>
        <w:ind w:firstLine="1304"/>
        <w:spacing w:after="0" w:line="239" w:lineRule="auto"/>
        <w:tabs>
          <w:tab w:leader="none" w:pos="1914" w:val="left"/>
        </w:tabs>
        <w:numPr>
          <w:ilvl w:val="0"/>
          <w:numId w:val="6"/>
        </w:numPr>
        <w:rPr>
          <w:rFonts w:ascii="Arial" w:cs="Arial" w:eastAsia="Arial" w:hAnsi="Arial"/>
          <w:sz w:val="22"/>
          <w:szCs w:val="22"/>
          <w:color w:val="auto"/>
        </w:rPr>
      </w:pPr>
      <w:r>
        <w:rPr>
          <w:rFonts w:ascii="Arial" w:cs="Arial" w:eastAsia="Arial" w:hAnsi="Arial"/>
          <w:sz w:val="22"/>
          <w:szCs w:val="22"/>
          <w:color w:val="auto"/>
        </w:rPr>
        <w:t>“Disinterested Director” shall mean a director of the Company who is not and was not a party to the Proceeding in respect of which indemnification is sought by Indemnitee.</w:t>
      </w:r>
    </w:p>
    <w:p>
      <w:pPr>
        <w:spacing w:after="0" w:line="171" w:lineRule="exact"/>
        <w:rPr>
          <w:rFonts w:ascii="Arial" w:cs="Arial" w:eastAsia="Arial" w:hAnsi="Arial"/>
          <w:sz w:val="22"/>
          <w:szCs w:val="22"/>
          <w:color w:val="auto"/>
        </w:rPr>
      </w:pPr>
    </w:p>
    <w:p>
      <w:pPr>
        <w:jc w:val="both"/>
        <w:ind w:firstLine="1304"/>
        <w:spacing w:after="0" w:line="231" w:lineRule="auto"/>
        <w:tabs>
          <w:tab w:leader="none" w:pos="1764" w:val="left"/>
        </w:tabs>
        <w:numPr>
          <w:ilvl w:val="0"/>
          <w:numId w:val="6"/>
        </w:numPr>
        <w:rPr>
          <w:rFonts w:ascii="Arial" w:cs="Arial" w:eastAsia="Arial" w:hAnsi="Arial"/>
          <w:sz w:val="22"/>
          <w:szCs w:val="22"/>
          <w:color w:val="auto"/>
        </w:rPr>
      </w:pPr>
      <w:r>
        <w:rPr>
          <w:rFonts w:ascii="Arial" w:cs="Arial" w:eastAsia="Arial" w:hAnsi="Arial"/>
          <w:sz w:val="22"/>
          <w:szCs w:val="22"/>
          <w:color w:val="auto"/>
        </w:rPr>
        <w:t>“Enterprise” shall mean the Company and any other corporation, limited liability company, partnership, joint venture, trust or other enterprise of which Indemnitee is or was serving at the request of the Company as a director, officer, trustee, partner, managing member, manager, employee, agent or fiduciary.</w:t>
      </w:r>
    </w:p>
    <w:p>
      <w:pPr>
        <w:spacing w:after="0" w:line="174" w:lineRule="exact"/>
        <w:rPr>
          <w:rFonts w:ascii="Arial" w:cs="Arial" w:eastAsia="Arial" w:hAnsi="Arial"/>
          <w:sz w:val="22"/>
          <w:szCs w:val="22"/>
          <w:color w:val="auto"/>
        </w:rPr>
      </w:pPr>
    </w:p>
    <w:p>
      <w:pPr>
        <w:jc w:val="both"/>
        <w:ind w:firstLine="1304"/>
        <w:spacing w:after="0" w:line="256" w:lineRule="auto"/>
        <w:tabs>
          <w:tab w:leader="none" w:pos="1752" w:val="left"/>
        </w:tabs>
        <w:numPr>
          <w:ilvl w:val="0"/>
          <w:numId w:val="6"/>
        </w:numPr>
        <w:rPr>
          <w:rFonts w:ascii="Arial" w:cs="Arial" w:eastAsia="Arial" w:hAnsi="Arial"/>
          <w:sz w:val="19"/>
          <w:szCs w:val="19"/>
          <w:color w:val="auto"/>
        </w:rPr>
      </w:pPr>
      <w:r>
        <w:rPr>
          <w:rFonts w:ascii="Arial" w:cs="Arial" w:eastAsia="Arial" w:hAnsi="Arial"/>
          <w:sz w:val="19"/>
          <w:szCs w:val="19"/>
          <w:color w:val="auto"/>
        </w:rPr>
        <w:t>“Expenses” shall include all reasonable attorneys’ fees, retainers, court costs, transcript costs, fees of experts and other professionals, witness fees, travel expenses, duplicating costs, printing and binding costs, telephone charges, postage, delivery service fees, any federal, state, local or foreign taxes imposed on Indemnitee as a result of the actual or deemed receipt of any payments under this Agreement, ERISA excise taxes and penalties, and all other disbursements or expenses of the types customarily incurred in connection with, or as a result of, prosecuting, defending, preparing to prosecute or defend, investigating, being or preparing to be a deponent or witness in, or otherwise participating in, a Proceeding. Expenses also shall include (i) Expenses incurred in connection with any appeal resulting from any Proceeding, including without limitation the premium, security for, and other costs relating to any cost bond, supersedeas bond, or other appeal bond or its equivalent, (ii) expenses incurred in connection with recovery under any directors’ and officers’ liability insurance policies maintained by the Company, and (iii) for purposes of Section 14(d) only, Expenses incurred by or on behalf of Indemnitee in connection with the interpretation, enforcement or defense of Indemnitee’s rights under this Agreement, the Certificate of Incorporation, the Bylaws or under any directors’ and officers’ liability insurance policies maintained by the Company, by litigation or otherwise. The parties agree that for the purposes of any advancement of Expenses for which Indemnitee has made written demand to the Company in accordance with this Agreement, all Expenses included in such demand that are certified by affidavit of Indemnitee’s counsel as being reasonable shall be presumed conclusively to be reasonable. Expenses, however, shall not include amounts paid in settlement by Indemnitee or the amount of judgments or fines against Indemnitee.</w:t>
      </w:r>
    </w:p>
    <w:p>
      <w:pPr>
        <w:spacing w:after="0" w:line="159" w:lineRule="exact"/>
        <w:rPr>
          <w:rFonts w:ascii="Arial" w:cs="Arial" w:eastAsia="Arial" w:hAnsi="Arial"/>
          <w:sz w:val="19"/>
          <w:szCs w:val="19"/>
          <w:color w:val="auto"/>
        </w:rPr>
      </w:pPr>
    </w:p>
    <w:p>
      <w:pPr>
        <w:jc w:val="both"/>
        <w:ind w:firstLine="1304"/>
        <w:spacing w:after="0" w:line="259" w:lineRule="auto"/>
        <w:tabs>
          <w:tab w:leader="none" w:pos="1811" w:val="left"/>
        </w:tabs>
        <w:numPr>
          <w:ilvl w:val="0"/>
          <w:numId w:val="6"/>
        </w:numPr>
        <w:rPr>
          <w:rFonts w:ascii="Arial" w:cs="Arial" w:eastAsia="Arial" w:hAnsi="Arial"/>
          <w:sz w:val="19"/>
          <w:szCs w:val="19"/>
          <w:color w:val="auto"/>
        </w:rPr>
      </w:pPr>
      <w:r>
        <w:rPr>
          <w:rFonts w:ascii="Arial" w:cs="Arial" w:eastAsia="Arial" w:hAnsi="Arial"/>
          <w:sz w:val="19"/>
          <w:szCs w:val="19"/>
          <w:color w:val="auto"/>
        </w:rPr>
        <w:t>“Independent Counsel” shall mean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4</w:t>
      </w:r>
      <w:r>
        <w:rPr>
          <w:rFonts w:ascii="Arial" w:cs="Arial" w:eastAsia="Arial" w:hAnsi="Arial"/>
          <w:sz w:val="18"/>
          <w:szCs w:val="18"/>
          <w:color w:val="auto"/>
        </w:rPr>
        <w:t>-</w:t>
      </w:r>
    </w:p>
    <w:p>
      <w:pPr>
        <w:sectPr>
          <w:pgSz w:w="11900" w:h="16838" w:orient="portrait"/>
          <w:cols w:equalWidth="0" w:num="1">
            <w:col w:w="11240"/>
          </w:cols>
          <w:pgMar w:left="320" w:top="1414" w:right="339" w:bottom="1440" w:gutter="0" w:footer="0" w:header="0"/>
        </w:sectPr>
      </w:pPr>
    </w:p>
    <w:bookmarkStart w:id="11" w:name="page12"/>
    <w:bookmarkEnd w:id="11"/>
    <w:p>
      <w:pPr>
        <w:jc w:val="both"/>
        <w:ind w:firstLine="1304"/>
        <w:spacing w:after="0" w:line="258" w:lineRule="auto"/>
        <w:tabs>
          <w:tab w:leader="none" w:pos="1789"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term “Proceeding” shall include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legislative, regulatory or investigative (formal or informal) nature, including any appeal therefrom, in which Indemnitee was, is or will be involved as a party, potential party, non-party witness or otherwise by reason of the Indemnitee’s Corporate Status, by reason of any action taken by him (or a failure to take action by him) or of any action (or failure to act) on his part while acting pursuant to his Corporate Status, in each case whether or not serving in such capacity at the time any liability or Expense is incurred for which indemnification, reimbursement, or advancement of Expenses can be provided under this Agreement. If the Indemnitee believes in good faith that a given situation may lead to or culminate in the institution of a Proceeding, this shall be considered a Proceeding under this paragraph.</w:t>
      </w:r>
    </w:p>
    <w:p>
      <w:pPr>
        <w:spacing w:after="0" w:line="162" w:lineRule="exact"/>
        <w:rPr>
          <w:rFonts w:ascii="Arial" w:cs="Arial" w:eastAsia="Arial" w:hAnsi="Arial"/>
          <w:sz w:val="19"/>
          <w:szCs w:val="19"/>
          <w:color w:val="auto"/>
        </w:rPr>
      </w:pPr>
    </w:p>
    <w:p>
      <w:pPr>
        <w:jc w:val="both"/>
        <w:ind w:firstLine="1304"/>
        <w:spacing w:after="0" w:line="223" w:lineRule="auto"/>
        <w:tabs>
          <w:tab w:leader="none" w:pos="1761" w:val="left"/>
        </w:tabs>
        <w:numPr>
          <w:ilvl w:val="0"/>
          <w:numId w:val="7"/>
        </w:numPr>
        <w:rPr>
          <w:rFonts w:ascii="Arial" w:cs="Arial" w:eastAsia="Arial" w:hAnsi="Arial"/>
          <w:sz w:val="22"/>
          <w:szCs w:val="22"/>
          <w:color w:val="auto"/>
        </w:rPr>
      </w:pPr>
      <w:r>
        <w:rPr>
          <w:rFonts w:ascii="Arial" w:cs="Arial" w:eastAsia="Arial" w:hAnsi="Arial"/>
          <w:sz w:val="22"/>
          <w:szCs w:val="22"/>
          <w:color w:val="auto"/>
        </w:rPr>
        <w:t>Reference to “other enterprise” shall include employee benefit plans; references to “fines” shall include any excise tax assessed with respect to any employee benefit plan;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manner “not opposed to the best interests of the Company” as referred to in this Agreement.</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Indemnity in Third-Party Proceedings.</w:t>
      </w:r>
      <w:r>
        <w:rPr>
          <w:rFonts w:ascii="Arial" w:cs="Arial" w:eastAsia="Arial" w:hAnsi="Arial"/>
          <w:sz w:val="19"/>
          <w:szCs w:val="19"/>
          <w:color w:val="auto"/>
        </w:rPr>
        <w:t xml:space="preserve"> The Company shall indemnify Indemnitee in accordance with the provisions of this Section 3 if Indemnitee is, or is threatened to be made, a party to or a participant in any Proceeding, other than a Proceeding by or in the right of the Company to procure a judgment in its favor. Pursuant to this Section 3, Indemnitee shall be indemnified to the fullest extent permitted by applicable law against all Expenses, judgments, fines, penalties, amounts paid in settlement and other liability and loss suffered (including all interest, assessments and other charges paid or payable in connection with or in respect of such Expenses, judgments, fines, penalties, amounts paid in settlement and other liability and loss suffered) actually and reasonably incurred by Indemnitee or on his behalf in connection with such Proceeding or any claim, issue or matter therein, if Indemnitee acted in good faith and in a manner he reasonably believed to be in or not opposed to the best interests of the Company and, in the case of a criminal Proceeding had no reasonable cause to believe that his conduct was unlawful. The parties hereto intend that this Agreement shall provide to the fullest extent permitted by law for indemnification in excess of that expressly permitted by statute, including, without limitation, any indemnification provided by the Certificate of Incorporation, the Bylaws, vote of its stockholders or disinterested directors or applicable law.</w:t>
      </w:r>
    </w:p>
    <w:p>
      <w:pPr>
        <w:spacing w:after="0" w:line="16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Indemnity in Proceedings by or in the Right of the Company.</w:t>
      </w:r>
      <w:r>
        <w:rPr>
          <w:rFonts w:ascii="Arial" w:cs="Arial" w:eastAsia="Arial" w:hAnsi="Arial"/>
          <w:sz w:val="22"/>
          <w:szCs w:val="22"/>
          <w:color w:val="auto"/>
        </w:rPr>
        <w:t xml:space="preserve"> The Company shall indemnify Indemnitee in accordance with the provisions of this Section 4 if Indemnitee is, or is threatened to be made, a party to or a participant in any Proceeding by or in the right of the Company to procure a judgment in its favor. Pursuant to this Section 4, Indemnitee shall be indemnified to the fullest extent permitted by applicable law against all Expenses, judgments, fines, penalties, amounts paid in settlement and other liability and loss (including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5</w:t>
      </w:r>
      <w:r>
        <w:rPr>
          <w:rFonts w:ascii="Arial" w:cs="Arial" w:eastAsia="Arial" w:hAnsi="Arial"/>
          <w:sz w:val="18"/>
          <w:szCs w:val="18"/>
          <w:color w:val="auto"/>
        </w:rPr>
        <w:t>-</w:t>
      </w:r>
    </w:p>
    <w:p>
      <w:pPr>
        <w:sectPr>
          <w:pgSz w:w="11900" w:h="16838" w:orient="portrait"/>
          <w:cols w:equalWidth="0" w:num="1">
            <w:col w:w="11240"/>
          </w:cols>
          <w:pgMar w:left="320" w:top="1414" w:right="339" w:bottom="1440" w:gutter="0" w:footer="0" w:header="0"/>
        </w:sectPr>
      </w:pPr>
    </w:p>
    <w:bookmarkStart w:id="12" w:name="page13"/>
    <w:bookmarkEnd w:id="12"/>
    <w:p>
      <w:pPr>
        <w:jc w:val="both"/>
        <w:ind w:firstLine="6"/>
        <w:spacing w:after="0" w:line="258" w:lineRule="auto"/>
        <w:rPr>
          <w:sz w:val="20"/>
          <w:szCs w:val="20"/>
          <w:color w:val="auto"/>
        </w:rPr>
      </w:pPr>
      <w:r>
        <w:rPr>
          <w:rFonts w:ascii="Arial" w:cs="Arial" w:eastAsia="Arial" w:hAnsi="Arial"/>
          <w:sz w:val="19"/>
          <w:szCs w:val="19"/>
          <w:color w:val="auto"/>
        </w:rPr>
        <w:t>interest, assessments and other charges paid or payable in connection with or in respect of such Expenses, judgments, fines, penalties, amounts paid in settlement and other liability and loss suffered) actually and reasonably incurred by him or on his behalf in connection with such Proceeding or any claim, issue or matter therein, if Indemnitee acted in good faith and in a manner he reasonably believed to be in or not opposed to the best interests of the Company. No indemnification for Expenses, judgments, fines, penalties, amounts paid in settlement and other liability and loss (including all interest, assessments and other charges paid or payable in connection with or in respect of such Expenses, judgments, fines, penalties, amounts paid in settlement and other liability and loss suffered) shall be made under this Section 4 in respect of any claim, issue or matter as to which Indemnitee shall have been finally adjudged by a court of competent jurisdiction (after the time for an appeal has expired)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w:t>
      </w:r>
    </w:p>
    <w:p>
      <w:pPr>
        <w:spacing w:after="0" w:line="15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Indemnification for Expenses of a Party Who is Wholly or Partly Successful.</w:t>
      </w:r>
      <w:r>
        <w:rPr>
          <w:rFonts w:ascii="Arial" w:cs="Arial" w:eastAsia="Arial" w:hAnsi="Arial"/>
          <w:sz w:val="21"/>
          <w:szCs w:val="21"/>
          <w:color w:val="auto"/>
        </w:rPr>
        <w:t xml:space="preserve"> Notwithstanding any other provisions of this Agreement, to the fullest extent permitted by applicable law and to the extent that Indemnitee is a party to (or a participant in) and is successful, on the merits or otherwise, in any Proceeding or in defense of any claim, issue or matter therein, in whole or in part, the Company shall indemnify Indemnitee against all Expenses actually and reasonably incurred by him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on his behalf in connection with or related to each successfully resolved claim, issue or matter to the fullest extent permitted by law. For purposes of this Section and without limitation, the termination of any claim, issue or matter in such a Proceeding by dismissal, with or without prejudice, shall be deemed to be a successful result as to such claim, issue or matter.</w:t>
      </w:r>
    </w:p>
    <w:p>
      <w:pPr>
        <w:spacing w:after="0" w:line="177"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Indemnification For Expenses of a Witness.</w:t>
      </w:r>
      <w:r>
        <w:rPr>
          <w:rFonts w:ascii="Arial" w:cs="Arial" w:eastAsia="Arial" w:hAnsi="Arial"/>
          <w:sz w:val="22"/>
          <w:szCs w:val="22"/>
          <w:color w:val="auto"/>
        </w:rPr>
        <w:t xml:space="preserve"> Notwithstanding any other provision of this Agreement, to the fullest extent permitted by applicable law and to the extent that Indemnitee is, by reason of his Corporate Status, a witness, is required to respond to discovery requests in any Proceeding or otherwise asked to participate in any Proceeding to which Indemnitee is not a party, he shall be indemnified against all Expenses actually and reasonably incurred by him or on his behalf in connection therewith.</w:t>
      </w:r>
    </w:p>
    <w:p>
      <w:pPr>
        <w:spacing w:after="0" w:line="17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Partial Indemnification.</w:t>
      </w:r>
      <w:r>
        <w:rPr>
          <w:rFonts w:ascii="Arial" w:cs="Arial" w:eastAsia="Arial" w:hAnsi="Arial"/>
          <w:sz w:val="22"/>
          <w:szCs w:val="22"/>
          <w:color w:val="auto"/>
        </w:rPr>
        <w:t xml:space="preserve">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w:t>
      </w:r>
    </w:p>
    <w:p>
      <w:pPr>
        <w:spacing w:after="0" w:line="18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u w:val="single" w:color="auto"/>
          <w:color w:val="auto"/>
        </w:rPr>
        <w:t>Additional Indemnification.</w:t>
      </w:r>
    </w:p>
    <w:p>
      <w:pPr>
        <w:spacing w:after="0" w:line="206" w:lineRule="exact"/>
        <w:rPr>
          <w:sz w:val="20"/>
          <w:szCs w:val="20"/>
          <w:color w:val="auto"/>
        </w:rPr>
      </w:pPr>
    </w:p>
    <w:p>
      <w:pPr>
        <w:jc w:val="both"/>
        <w:ind w:firstLine="1304"/>
        <w:spacing w:after="0" w:line="282" w:lineRule="auto"/>
        <w:tabs>
          <w:tab w:leader="none" w:pos="1782" w:val="left"/>
        </w:tabs>
        <w:numPr>
          <w:ilvl w:val="0"/>
          <w:numId w:val="8"/>
        </w:numPr>
        <w:rPr>
          <w:rFonts w:ascii="Arial" w:cs="Arial" w:eastAsia="Arial" w:hAnsi="Arial"/>
          <w:sz w:val="19"/>
          <w:szCs w:val="19"/>
          <w:color w:val="auto"/>
        </w:rPr>
      </w:pPr>
      <w:r>
        <w:rPr>
          <w:rFonts w:ascii="Arial" w:cs="Arial" w:eastAsia="Arial" w:hAnsi="Arial"/>
          <w:sz w:val="19"/>
          <w:szCs w:val="19"/>
          <w:color w:val="auto"/>
        </w:rPr>
        <w:t>Notwithstanding any limitation in Sections 3, 4, or 5, the Company shall indemnify Indemnitee to the fullest extent permitted by applicable law if Indemnitee, by reason of his Corporate Status, is a party to or threatened to be made a party to any Proceeding (including a Proceeding by or in the right of the Company to procure a judgment in its favor) against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6</w:t>
      </w:r>
      <w:r>
        <w:rPr>
          <w:rFonts w:ascii="Arial" w:cs="Arial" w:eastAsia="Arial" w:hAnsi="Arial"/>
          <w:sz w:val="18"/>
          <w:szCs w:val="18"/>
          <w:color w:val="auto"/>
        </w:rPr>
        <w:t>-</w:t>
      </w:r>
    </w:p>
    <w:p>
      <w:pPr>
        <w:sectPr>
          <w:pgSz w:w="11900" w:h="16838" w:orient="portrait"/>
          <w:cols w:equalWidth="0" w:num="1">
            <w:col w:w="11240"/>
          </w:cols>
          <w:pgMar w:left="320" w:top="1414" w:right="339" w:bottom="1440" w:gutter="0" w:footer="0" w:header="0"/>
        </w:sectPr>
      </w:pPr>
    </w:p>
    <w:bookmarkStart w:id="13" w:name="page14"/>
    <w:bookmarkEnd w:id="13"/>
    <w:p>
      <w:pPr>
        <w:jc w:val="both"/>
        <w:ind w:firstLine="13"/>
        <w:spacing w:after="0" w:line="228" w:lineRule="auto"/>
        <w:rPr>
          <w:sz w:val="20"/>
          <w:szCs w:val="20"/>
          <w:color w:val="auto"/>
        </w:rPr>
      </w:pPr>
      <w:r>
        <w:rPr>
          <w:rFonts w:ascii="Arial" w:cs="Arial" w:eastAsia="Arial" w:hAnsi="Arial"/>
          <w:sz w:val="22"/>
          <w:szCs w:val="22"/>
          <w:color w:val="auto"/>
        </w:rPr>
        <w:t>Expenses, judgments, fines, penalties, amounts paid in settlement and other liability and loss suffered (including all interest, assessments and other charges paid or payable in connection with or in respect of such Expenses, judgments, fines, penalties, amounts paid in settlement and other liability and loss suffered) actually and reasonably incurred by Indemnitee in connection with the Proceeding.</w:t>
      </w:r>
    </w:p>
    <w:p>
      <w:pPr>
        <w:spacing w:after="0" w:line="173" w:lineRule="exact"/>
        <w:rPr>
          <w:sz w:val="20"/>
          <w:szCs w:val="20"/>
          <w:color w:val="auto"/>
        </w:rPr>
      </w:pPr>
    </w:p>
    <w:p>
      <w:pPr>
        <w:ind w:firstLine="1304"/>
        <w:spacing w:after="0" w:line="239" w:lineRule="auto"/>
        <w:tabs>
          <w:tab w:leader="none" w:pos="1820" w:val="left"/>
        </w:tabs>
        <w:numPr>
          <w:ilvl w:val="0"/>
          <w:numId w:val="9"/>
        </w:numPr>
        <w:rPr>
          <w:rFonts w:ascii="Arial" w:cs="Arial" w:eastAsia="Arial" w:hAnsi="Arial"/>
          <w:sz w:val="22"/>
          <w:szCs w:val="22"/>
          <w:color w:val="auto"/>
        </w:rPr>
      </w:pPr>
      <w:r>
        <w:rPr>
          <w:rFonts w:ascii="Arial" w:cs="Arial" w:eastAsia="Arial" w:hAnsi="Arial"/>
          <w:sz w:val="22"/>
          <w:szCs w:val="22"/>
          <w:color w:val="auto"/>
        </w:rPr>
        <w:t>For purposes of Section 8(a), the meaning of the phrase “to the fullest extent permitted by applicable law” shall include, but not be limited to:</w:t>
      </w:r>
    </w:p>
    <w:p>
      <w:pPr>
        <w:spacing w:after="0" w:line="171" w:lineRule="exact"/>
        <w:rPr>
          <w:rFonts w:ascii="Arial" w:cs="Arial" w:eastAsia="Arial" w:hAnsi="Arial"/>
          <w:sz w:val="22"/>
          <w:szCs w:val="22"/>
          <w:color w:val="auto"/>
        </w:rPr>
      </w:pPr>
    </w:p>
    <w:p>
      <w:pPr>
        <w:ind w:firstLine="1952"/>
        <w:spacing w:after="0" w:line="313" w:lineRule="auto"/>
        <w:tabs>
          <w:tab w:leader="none" w:pos="2294" w:val="left"/>
        </w:tabs>
        <w:numPr>
          <w:ilvl w:val="1"/>
          <w:numId w:val="9"/>
        </w:numPr>
        <w:rPr>
          <w:rFonts w:ascii="Arial" w:cs="Arial" w:eastAsia="Arial" w:hAnsi="Arial"/>
          <w:sz w:val="19"/>
          <w:szCs w:val="19"/>
          <w:color w:val="auto"/>
        </w:rPr>
      </w:pPr>
      <w:r>
        <w:rPr>
          <w:rFonts w:ascii="Arial" w:cs="Arial" w:eastAsia="Arial" w:hAnsi="Arial"/>
          <w:sz w:val="19"/>
          <w:szCs w:val="19"/>
          <w:color w:val="auto"/>
        </w:rPr>
        <w:t>to the fullest extent permitted by the provision of the DGCL that authorizes or contemplates additional indemnification by agreement, or the corresponding provision of any amendment to or replacement of the DGCL, and</w:t>
      </w:r>
    </w:p>
    <w:p>
      <w:pPr>
        <w:spacing w:after="0" w:line="105" w:lineRule="exact"/>
        <w:rPr>
          <w:rFonts w:ascii="Arial" w:cs="Arial" w:eastAsia="Arial" w:hAnsi="Arial"/>
          <w:sz w:val="19"/>
          <w:szCs w:val="19"/>
          <w:color w:val="auto"/>
        </w:rPr>
      </w:pPr>
    </w:p>
    <w:p>
      <w:pPr>
        <w:ind w:firstLine="1952"/>
        <w:spacing w:after="0" w:line="313" w:lineRule="auto"/>
        <w:tabs>
          <w:tab w:leader="none" w:pos="2445" w:val="left"/>
        </w:tabs>
        <w:numPr>
          <w:ilvl w:val="1"/>
          <w:numId w:val="9"/>
        </w:numPr>
        <w:rPr>
          <w:rFonts w:ascii="Arial" w:cs="Arial" w:eastAsia="Arial" w:hAnsi="Arial"/>
          <w:sz w:val="19"/>
          <w:szCs w:val="19"/>
          <w:color w:val="auto"/>
        </w:rPr>
      </w:pPr>
      <w:r>
        <w:rPr>
          <w:rFonts w:ascii="Arial" w:cs="Arial" w:eastAsia="Arial" w:hAnsi="Arial"/>
          <w:sz w:val="19"/>
          <w:szCs w:val="19"/>
          <w:color w:val="auto"/>
        </w:rPr>
        <w:t>to the fullest extent authorized or permitted by any amendments to or replacements of the DGCL adopted after the date of this Agreement that increase the extent to which a corporation may indemnify its officers and directors.</w:t>
      </w:r>
    </w:p>
    <w:p>
      <w:pPr>
        <w:spacing w:after="0" w:line="10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u w:val="single" w:color="auto"/>
          <w:color w:val="auto"/>
        </w:rPr>
        <w:t xml:space="preserve">Exclusions. </w:t>
      </w:r>
      <w:r>
        <w:rPr>
          <w:rFonts w:ascii="Arial" w:cs="Arial" w:eastAsia="Arial" w:hAnsi="Arial"/>
          <w:sz w:val="19"/>
          <w:szCs w:val="19"/>
          <w:color w:val="auto"/>
        </w:rPr>
        <w:t>Notwithstanding any provision in this Agreement, the Company shall not be obligated under this</w:t>
      </w:r>
    </w:p>
    <w:p>
      <w:pPr>
        <w:spacing w:after="0"/>
        <w:rPr>
          <w:sz w:val="20"/>
          <w:szCs w:val="20"/>
          <w:color w:val="auto"/>
        </w:rPr>
      </w:pPr>
      <w:r>
        <w:rPr>
          <w:rFonts w:ascii="Arial" w:cs="Arial" w:eastAsia="Arial" w:hAnsi="Arial"/>
          <w:sz w:val="22"/>
          <w:szCs w:val="22"/>
          <w:color w:val="auto"/>
        </w:rPr>
        <w:t>Agreement to make any indemnification payment in connection with any claim made against Indemnitee:</w:t>
      </w:r>
    </w:p>
    <w:p>
      <w:pPr>
        <w:spacing w:after="0" w:line="175" w:lineRule="exact"/>
        <w:rPr>
          <w:sz w:val="20"/>
          <w:szCs w:val="20"/>
          <w:color w:val="auto"/>
        </w:rPr>
      </w:pPr>
    </w:p>
    <w:p>
      <w:pPr>
        <w:jc w:val="both"/>
        <w:ind w:firstLine="1304"/>
        <w:spacing w:after="0" w:line="231" w:lineRule="auto"/>
        <w:tabs>
          <w:tab w:leader="none" w:pos="1766" w:val="left"/>
        </w:tabs>
        <w:numPr>
          <w:ilvl w:val="0"/>
          <w:numId w:val="10"/>
        </w:numPr>
        <w:rPr>
          <w:rFonts w:ascii="Arial" w:cs="Arial" w:eastAsia="Arial" w:hAnsi="Arial"/>
          <w:sz w:val="22"/>
          <w:szCs w:val="22"/>
          <w:color w:val="auto"/>
        </w:rPr>
      </w:pPr>
      <w:r>
        <w:rPr>
          <w:rFonts w:ascii="Arial" w:cs="Arial" w:eastAsia="Arial" w:hAnsi="Arial"/>
          <w:sz w:val="22"/>
          <w:szCs w:val="22"/>
          <w:color w:val="auto"/>
        </w:rPr>
        <w:t>for which payment has actually been made to or on behalf of Indemnitee under any insurance policy or other indemnity provision, except with respect to any excess beyond the amount paid under any insurance policy or other indemnity provision; or</w:t>
      </w:r>
    </w:p>
    <w:p>
      <w:pPr>
        <w:spacing w:after="0" w:line="174" w:lineRule="exact"/>
        <w:rPr>
          <w:rFonts w:ascii="Arial" w:cs="Arial" w:eastAsia="Arial" w:hAnsi="Arial"/>
          <w:sz w:val="22"/>
          <w:szCs w:val="22"/>
          <w:color w:val="auto"/>
        </w:rPr>
      </w:pPr>
    </w:p>
    <w:p>
      <w:pPr>
        <w:jc w:val="both"/>
        <w:ind w:firstLine="1304"/>
        <w:spacing w:after="0" w:line="232" w:lineRule="auto"/>
        <w:tabs>
          <w:tab w:leader="none" w:pos="1847" w:val="left"/>
        </w:tabs>
        <w:numPr>
          <w:ilvl w:val="0"/>
          <w:numId w:val="10"/>
        </w:numPr>
        <w:rPr>
          <w:rFonts w:ascii="Arial" w:cs="Arial" w:eastAsia="Arial" w:hAnsi="Arial"/>
          <w:sz w:val="21"/>
          <w:szCs w:val="21"/>
          <w:color w:val="auto"/>
        </w:rPr>
      </w:pPr>
      <w:r>
        <w:rPr>
          <w:rFonts w:ascii="Arial" w:cs="Arial" w:eastAsia="Arial" w:hAnsi="Arial"/>
          <w:sz w:val="21"/>
          <w:szCs w:val="21"/>
          <w:color w:val="auto"/>
        </w:rPr>
        <w:t>for (i) an accounting of profits made from the purchase and sale (or sale and purchase) by Indemnitee of securities of the Company within the meaning of Section 16(b) of the Exchange Act (as defined in Section 2(b) hereof) or similar provisions of state statutory law or common law, or (ii)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Indemnitee of securities in violation of Section 306 of the Sarbanes-Oxley Act), or (iii)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or</w:t>
      </w:r>
    </w:p>
    <w:p>
      <w:pPr>
        <w:spacing w:after="0" w:line="172" w:lineRule="exact"/>
        <w:rPr>
          <w:rFonts w:ascii="Arial" w:cs="Arial" w:eastAsia="Arial" w:hAnsi="Arial"/>
          <w:sz w:val="21"/>
          <w:szCs w:val="21"/>
          <w:color w:val="auto"/>
        </w:rPr>
      </w:pPr>
    </w:p>
    <w:p>
      <w:pPr>
        <w:jc w:val="both"/>
        <w:ind w:firstLine="1304"/>
        <w:spacing w:after="0" w:line="249" w:lineRule="auto"/>
        <w:tabs>
          <w:tab w:leader="none" w:pos="1765" w:val="left"/>
        </w:tabs>
        <w:numPr>
          <w:ilvl w:val="0"/>
          <w:numId w:val="10"/>
        </w:numPr>
        <w:rPr>
          <w:rFonts w:ascii="Arial" w:cs="Arial" w:eastAsia="Arial" w:hAnsi="Arial"/>
          <w:sz w:val="21"/>
          <w:szCs w:val="21"/>
          <w:color w:val="auto"/>
        </w:rPr>
      </w:pPr>
      <w:r>
        <w:rPr>
          <w:rFonts w:ascii="Arial" w:cs="Arial" w:eastAsia="Arial" w:hAnsi="Arial"/>
          <w:sz w:val="21"/>
          <w:szCs w:val="21"/>
          <w:color w:val="auto"/>
        </w:rPr>
        <w:t>except as provided in Section 14(d) of this Agreement,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(ii) such payment arises in connection with any mandatory counterclaim or cross-claim or affirmative defense brought or raised by Indemnitee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7</w:t>
      </w:r>
      <w:r>
        <w:rPr>
          <w:rFonts w:ascii="Arial" w:cs="Arial" w:eastAsia="Arial" w:hAnsi="Arial"/>
          <w:sz w:val="18"/>
          <w:szCs w:val="18"/>
          <w:color w:val="auto"/>
        </w:rPr>
        <w:t>-</w:t>
      </w:r>
    </w:p>
    <w:p>
      <w:pPr>
        <w:sectPr>
          <w:pgSz w:w="11900" w:h="16838" w:orient="portrait"/>
          <w:cols w:equalWidth="0" w:num="1">
            <w:col w:w="11240"/>
          </w:cols>
          <w:pgMar w:left="320" w:top="1414" w:right="339" w:bottom="1440" w:gutter="0" w:footer="0" w:header="0"/>
        </w:sectPr>
      </w:pPr>
    </w:p>
    <w:bookmarkStart w:id="14" w:name="page15"/>
    <w:bookmarkEnd w:id="14"/>
    <w:p>
      <w:pPr>
        <w:jc w:val="both"/>
        <w:ind w:firstLine="13"/>
        <w:spacing w:after="0" w:line="250" w:lineRule="auto"/>
        <w:rPr>
          <w:sz w:val="20"/>
          <w:szCs w:val="20"/>
          <w:color w:val="auto"/>
        </w:rPr>
      </w:pPr>
      <w:r>
        <w:rPr>
          <w:rFonts w:ascii="Arial" w:cs="Arial" w:eastAsia="Arial" w:hAnsi="Arial"/>
          <w:sz w:val="22"/>
          <w:szCs w:val="22"/>
          <w:color w:val="auto"/>
        </w:rPr>
        <w:t>any Proceeding (or any part of any Proceeding), or (iii) the Company provides the indemnification, in its sole discretion, pursuant to the powers vested in the Company under applicable law.</w:t>
      </w:r>
    </w:p>
    <w:p>
      <w:pPr>
        <w:spacing w:after="0" w:line="1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Advances of Expenses.</w:t>
      </w:r>
      <w:r>
        <w:rPr>
          <w:rFonts w:ascii="Arial" w:cs="Arial" w:eastAsia="Arial" w:hAnsi="Arial"/>
          <w:sz w:val="19"/>
          <w:szCs w:val="19"/>
          <w:color w:val="auto"/>
        </w:rPr>
        <w:t xml:space="preserve"> Notwithstanding any provision of this Agreement to the contrary (other than Section 14(d)), the Company shall advance, to the extent not prohibited by law, the Expenses incurred by Indemnitee in connection with any Proceeding (or any part of any Proceeding) not initiated by Indemnitee, and such advancement shall be made within thirty</w:t>
      </w:r>
    </w:p>
    <w:p>
      <w:pPr>
        <w:spacing w:after="0" w:line="2" w:lineRule="exact"/>
        <w:rPr>
          <w:sz w:val="20"/>
          <w:szCs w:val="20"/>
          <w:color w:val="auto"/>
        </w:rPr>
      </w:pPr>
    </w:p>
    <w:p>
      <w:pPr>
        <w:jc w:val="both"/>
        <w:ind w:firstLine="8"/>
        <w:spacing w:after="0" w:line="230" w:lineRule="auto"/>
        <w:tabs>
          <w:tab w:leader="none" w:pos="435" w:val="left"/>
        </w:tabs>
        <w:numPr>
          <w:ilvl w:val="0"/>
          <w:numId w:val="11"/>
        </w:numPr>
        <w:rPr>
          <w:rFonts w:ascii="Arial" w:cs="Arial" w:eastAsia="Arial" w:hAnsi="Arial"/>
          <w:sz w:val="21"/>
          <w:szCs w:val="21"/>
          <w:color w:val="auto"/>
        </w:rPr>
      </w:pPr>
      <w:r>
        <w:rPr>
          <w:rFonts w:ascii="Arial" w:cs="Arial" w:eastAsia="Arial" w:hAnsi="Arial"/>
          <w:sz w:val="21"/>
          <w:szCs w:val="21"/>
          <w:color w:val="auto"/>
        </w:rPr>
        <w:t>days after the receipt by the Company of a statement or statements requesting such advances from time to time, whether prior to or after final disposition of any Proceeding. Advances shall be unsecured and interest free. Advances shall be made without regard to Indemnitee’s ability to repay the Expenses and without regard to Indemnitee’s ultimate entitlement to indemnification under the other provisions of this Agreement. In accordance with Section 14(d), advances shall include any and all reasonable Expenses incurred pursuing an action to enforce this right of advancement, including Expenses incurred preparing and forwarding statements to the Company to support the advances claimed. The Indemnitee shall qualify for advances upon the execution and delivery to the Company of this Agreement, which shall constitute an undertaking providing that the Indemnitee undertakes to repay the amounts advanced (without interest) to the extent that it is ultimately determined that Indemnitee is not entitled to be indemnified by the Company. No other form of undertaking shall be required other than the execution of this Agreement. This Section 10 shall not apply to any claim made by Indemnitee for which indemnity is excluded pursuant to Section 9.</w:t>
      </w:r>
    </w:p>
    <w:p>
      <w:pPr>
        <w:spacing w:after="0" w:line="17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Procedure for Notification and Defense of Claim.</w:t>
      </w:r>
    </w:p>
    <w:p>
      <w:pPr>
        <w:spacing w:after="0" w:line="193" w:lineRule="exact"/>
        <w:rPr>
          <w:sz w:val="20"/>
          <w:szCs w:val="20"/>
          <w:color w:val="auto"/>
        </w:rPr>
      </w:pPr>
    </w:p>
    <w:p>
      <w:pPr>
        <w:jc w:val="both"/>
        <w:ind w:firstLine="1304"/>
        <w:spacing w:after="0" w:line="258" w:lineRule="auto"/>
        <w:tabs>
          <w:tab w:leader="none" w:pos="1817" w:val="left"/>
        </w:tabs>
        <w:numPr>
          <w:ilvl w:val="0"/>
          <w:numId w:val="12"/>
        </w:numPr>
        <w:rPr>
          <w:rFonts w:ascii="Arial" w:cs="Arial" w:eastAsia="Arial" w:hAnsi="Arial"/>
          <w:sz w:val="19"/>
          <w:szCs w:val="19"/>
          <w:color w:val="auto"/>
        </w:rPr>
      </w:pPr>
      <w:r>
        <w:rPr>
          <w:rFonts w:ascii="Arial" w:cs="Arial" w:eastAsia="Arial" w:hAnsi="Arial"/>
          <w:sz w:val="19"/>
          <w:szCs w:val="19"/>
          <w:color w:val="auto"/>
        </w:rPr>
        <w:t>Indemnitee shall notify the Company in writing of any matter with respect to which Indemnitee intends to seek indemnification or advancement of Expenses hereunder as soon as reasonably practicable following the receipt by Indemnitee of written notice thereof. The written notification to the Company shall include a description of the nature of the Proceeding and the facts underlying the Proceeding, in each case, to the extent known to Indemnitee.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following the final disposition of such Proceeding. The omission by Indemnitee to notify the Company hereunder will not relieve the Company from any liability which it may have to Indemnitee hereunder or otherwise than under this Agreement, and any delay in so notifying the Company shall not constitute a waiver by Indemnitee of any rights under this Agreement. The Secretary of the Company shall, promptly upon receipt of such a request for indemnification, advise the Board in writing that Indemnitee has requested indemnification.</w:t>
      </w:r>
    </w:p>
    <w:p>
      <w:pPr>
        <w:spacing w:after="0" w:line="156" w:lineRule="exact"/>
        <w:rPr>
          <w:rFonts w:ascii="Arial" w:cs="Arial" w:eastAsia="Arial" w:hAnsi="Arial"/>
          <w:sz w:val="19"/>
          <w:szCs w:val="19"/>
          <w:color w:val="auto"/>
        </w:rPr>
      </w:pPr>
    </w:p>
    <w:p>
      <w:pPr>
        <w:ind w:left="1760" w:hanging="456"/>
        <w:spacing w:after="0"/>
        <w:tabs>
          <w:tab w:leader="none" w:pos="17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Company will be entitled to participate in the Proceeding at its own expense.</w:t>
      </w:r>
    </w:p>
    <w:p>
      <w:pPr>
        <w:spacing w:after="0" w:line="19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Procedure Upon Application for Indemnification.</w:t>
      </w:r>
    </w:p>
    <w:p>
      <w:pPr>
        <w:spacing w:after="0" w:line="193" w:lineRule="exact"/>
        <w:rPr>
          <w:sz w:val="20"/>
          <w:szCs w:val="20"/>
          <w:color w:val="auto"/>
        </w:rPr>
      </w:pPr>
    </w:p>
    <w:p>
      <w:pPr>
        <w:jc w:val="both"/>
        <w:ind w:firstLine="1304"/>
        <w:spacing w:after="0" w:line="231" w:lineRule="auto"/>
        <w:tabs>
          <w:tab w:leader="none" w:pos="1752" w:val="left"/>
        </w:tabs>
        <w:numPr>
          <w:ilvl w:val="0"/>
          <w:numId w:val="13"/>
        </w:numPr>
        <w:rPr>
          <w:rFonts w:ascii="Arial" w:cs="Arial" w:eastAsia="Arial" w:hAnsi="Arial"/>
          <w:sz w:val="22"/>
          <w:szCs w:val="22"/>
          <w:color w:val="auto"/>
        </w:rPr>
      </w:pPr>
      <w:r>
        <w:rPr>
          <w:rFonts w:ascii="Arial" w:cs="Arial" w:eastAsia="Arial" w:hAnsi="Arial"/>
          <w:sz w:val="22"/>
          <w:szCs w:val="22"/>
          <w:color w:val="auto"/>
        </w:rPr>
        <w:t>Upon written request by Indemnitee for indemnification pursuant to Section 11(a), a determination, if required by applicable law, with respect to Indemnitee’s entitlement thereto shall be made in the specific case: (i) if a Change in Control shall have occurred,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8</w:t>
      </w:r>
      <w:r>
        <w:rPr>
          <w:rFonts w:ascii="Arial" w:cs="Arial" w:eastAsia="Arial" w:hAnsi="Arial"/>
          <w:sz w:val="18"/>
          <w:szCs w:val="18"/>
          <w:color w:val="auto"/>
        </w:rPr>
        <w:t>-</w:t>
      </w:r>
    </w:p>
    <w:p>
      <w:pPr>
        <w:sectPr>
          <w:pgSz w:w="11900" w:h="16838" w:orient="portrait"/>
          <w:cols w:equalWidth="0" w:num="1">
            <w:col w:w="11240"/>
          </w:cols>
          <w:pgMar w:left="320" w:top="1414" w:right="339" w:bottom="1440" w:gutter="0" w:footer="0" w:header="0"/>
        </w:sectPr>
      </w:pPr>
    </w:p>
    <w:bookmarkStart w:id="15" w:name="page16"/>
    <w:bookmarkEnd w:id="15"/>
    <w:p>
      <w:pPr>
        <w:jc w:val="both"/>
        <w:ind w:firstLine="13"/>
        <w:spacing w:after="0" w:line="256" w:lineRule="auto"/>
        <w:rPr>
          <w:sz w:val="20"/>
          <w:szCs w:val="20"/>
          <w:color w:val="auto"/>
        </w:rPr>
      </w:pPr>
      <w:r>
        <w:rPr>
          <w:rFonts w:ascii="Arial" w:cs="Arial" w:eastAsia="Arial" w:hAnsi="Arial"/>
          <w:sz w:val="19"/>
          <w:szCs w:val="19"/>
          <w:color w:val="auto"/>
        </w:rPr>
        <w:t>Independent Counsel in a written opinion to the Board, a copy of which shall be delivered to Indemnitee; or (ii) if a Change in Control shall not have occurred, (A) if requested by Indemnitee, by Independent Counsel, a copy of which shall be delivered to Indemnitee, (B) by a majority vote of the Disinterested Directors, even though less than a quorum of the Board, (C) by a committee of Disinterested Directors designated by a majority vote of the Disinterested Directors, even though less than a quorum of the Board, (D) if there are no such Disinterested Directors or, if such Disinterested Directors so direct, by Independent Counsel in a written opinion to the Board, a copy of which shall be delivered to Indemnitee or (E) if so directed by the Board, by the stockholders of the Company; and, if it is so determined that Indemnitee is entitled to indemnification, payment to Indemnitee shall be made within ten (10) days after such determination.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 The Company promptly will advise Indemnitee in writing with respect to any determination that Indemnitee is or is not entitled to indemnification, including a description of any reason or basis for which indemnification has been denied.</w:t>
      </w:r>
    </w:p>
    <w:p>
      <w:pPr>
        <w:spacing w:after="0" w:line="159" w:lineRule="exact"/>
        <w:rPr>
          <w:sz w:val="20"/>
          <w:szCs w:val="20"/>
          <w:color w:val="auto"/>
        </w:rPr>
      </w:pPr>
    </w:p>
    <w:p>
      <w:pPr>
        <w:jc w:val="both"/>
        <w:ind w:firstLine="1304"/>
        <w:spacing w:after="0" w:line="255" w:lineRule="auto"/>
        <w:tabs>
          <w:tab w:leader="none" w:pos="1895" w:val="left"/>
        </w:tabs>
        <w:numPr>
          <w:ilvl w:val="0"/>
          <w:numId w:val="14"/>
        </w:numPr>
        <w:rPr>
          <w:rFonts w:ascii="Arial" w:cs="Arial" w:eastAsia="Arial" w:hAnsi="Arial"/>
          <w:sz w:val="19"/>
          <w:szCs w:val="19"/>
          <w:color w:val="auto"/>
        </w:rPr>
      </w:pPr>
      <w:r>
        <w:rPr>
          <w:rFonts w:ascii="Arial" w:cs="Arial" w:eastAsia="Arial" w:hAnsi="Arial"/>
          <w:sz w:val="19"/>
          <w:szCs w:val="19"/>
          <w:color w:val="auto"/>
        </w:rPr>
        <w:t xml:space="preserve">In the event the determination of entitlement to indemnification is to be made by Independent Counsel pursuant to Section 12(a) hereof, the Independent Counsel shall be selected as provided in this Section 12(b). If a Change in Control shall not have occurred, the Independent Counsel shall be selected by the Board, and the Company shall give written notice to Indemnitee advising him of the identity of the Independent Counsel so selected. If a Change in Control shall have occurred, the Independent Counsel shall be selected by Indemnitee (unless Indemnitee shall request that such selection be made by the Board, in which event the preceding sentence shall apply), and Indemnitee shall give written notice to the Company advising it of the identity of the Independent Counsel so selected. In either event, Indemnitee or the Company, as the case may be, may, within ten (10) days after such written notice of selection shall have been given, deliver to the Company or to Indemnitee, as the case may be, a written objection to such selection;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submission by Indemnitee of a written request for indemnification pursuant to Section 11(a) hereof and the final disposition of the Proceeding,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such court or by such other person as such court shall designate, and the person with respect to whom all objections are so resolved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9</w:t>
      </w:r>
      <w:r>
        <w:rPr>
          <w:rFonts w:ascii="Arial" w:cs="Arial" w:eastAsia="Arial" w:hAnsi="Arial"/>
          <w:sz w:val="18"/>
          <w:szCs w:val="18"/>
          <w:color w:val="auto"/>
        </w:rPr>
        <w:t>-</w:t>
      </w:r>
    </w:p>
    <w:p>
      <w:pPr>
        <w:sectPr>
          <w:pgSz w:w="11900" w:h="16838" w:orient="portrait"/>
          <w:cols w:equalWidth="0" w:num="1">
            <w:col w:w="11240"/>
          </w:cols>
          <w:pgMar w:left="320" w:top="1414" w:right="339" w:bottom="1440" w:gutter="0" w:footer="0" w:header="0"/>
        </w:sectPr>
      </w:pPr>
    </w:p>
    <w:bookmarkStart w:id="16" w:name="page17"/>
    <w:bookmarkEnd w:id="16"/>
    <w:p>
      <w:pPr>
        <w:jc w:val="both"/>
        <w:ind w:firstLine="13"/>
        <w:spacing w:after="0" w:line="228" w:lineRule="auto"/>
        <w:rPr>
          <w:sz w:val="20"/>
          <w:szCs w:val="20"/>
          <w:color w:val="auto"/>
        </w:rPr>
      </w:pPr>
      <w:r>
        <w:rPr>
          <w:rFonts w:ascii="Arial" w:cs="Arial" w:eastAsia="Arial" w:hAnsi="Arial"/>
          <w:sz w:val="22"/>
          <w:szCs w:val="22"/>
          <w:color w:val="auto"/>
        </w:rPr>
        <w:t>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7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19"/>
          <w:szCs w:val="19"/>
          <w:u w:val="single" w:color="auto"/>
          <w:color w:val="auto"/>
        </w:rPr>
        <w:t>Presumptions and Effect of Certain Proceedings.</w:t>
      </w:r>
    </w:p>
    <w:p>
      <w:pPr>
        <w:spacing w:after="0" w:line="193" w:lineRule="exact"/>
        <w:rPr>
          <w:sz w:val="20"/>
          <w:szCs w:val="20"/>
          <w:color w:val="auto"/>
        </w:rPr>
      </w:pPr>
    </w:p>
    <w:p>
      <w:pPr>
        <w:jc w:val="both"/>
        <w:ind w:firstLine="1304"/>
        <w:spacing w:after="0" w:line="258" w:lineRule="auto"/>
        <w:tabs>
          <w:tab w:leader="none" w:pos="1772" w:val="left"/>
        </w:tabs>
        <w:numPr>
          <w:ilvl w:val="0"/>
          <w:numId w:val="15"/>
        </w:numPr>
        <w:rPr>
          <w:rFonts w:ascii="Arial" w:cs="Arial" w:eastAsia="Arial" w:hAnsi="Arial"/>
          <w:sz w:val="19"/>
          <w:szCs w:val="19"/>
          <w:color w:val="auto"/>
        </w:rPr>
      </w:pPr>
      <w:r>
        <w:rPr>
          <w:rFonts w:ascii="Arial" w:cs="Arial" w:eastAsia="Arial" w:hAnsi="Arial"/>
          <w:sz w:val="19"/>
          <w:szCs w:val="19"/>
          <w:color w:val="auto"/>
        </w:rPr>
        <w:t>In making a determination with respect to entitlement to indemnification hereunder, the person or persons or entity making such determination shall, to the fullest extent not prohibited by law, presume that Indemnitee is entitled to indemnification under this Agreement if Indemnitee has submitted a request for indemnification in accordance with Section 11(a) of this Agreement, and the Company shall, to the fullest extent not prohibited by law,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62" w:lineRule="exact"/>
        <w:rPr>
          <w:rFonts w:ascii="Arial" w:cs="Arial" w:eastAsia="Arial" w:hAnsi="Arial"/>
          <w:sz w:val="19"/>
          <w:szCs w:val="19"/>
          <w:color w:val="auto"/>
        </w:rPr>
      </w:pPr>
    </w:p>
    <w:p>
      <w:pPr>
        <w:jc w:val="both"/>
        <w:ind w:firstLine="1304"/>
        <w:spacing w:after="0" w:line="255" w:lineRule="auto"/>
        <w:tabs>
          <w:tab w:leader="none" w:pos="1856" w:val="left"/>
        </w:tabs>
        <w:numPr>
          <w:ilvl w:val="0"/>
          <w:numId w:val="15"/>
        </w:numPr>
        <w:rPr>
          <w:rFonts w:ascii="Arial" w:cs="Arial" w:eastAsia="Arial" w:hAnsi="Arial"/>
          <w:sz w:val="19"/>
          <w:szCs w:val="19"/>
          <w:color w:val="auto"/>
        </w:rPr>
      </w:pPr>
      <w:r>
        <w:rPr>
          <w:rFonts w:ascii="Arial" w:cs="Arial" w:eastAsia="Arial" w:hAnsi="Arial"/>
          <w:sz w:val="19"/>
          <w:szCs w:val="19"/>
          <w:color w:val="auto"/>
        </w:rPr>
        <w:t>Subject to Section 14(e), if the person, persons or entity empowered or selected under Section 12 of this Agreement to determine whether Indemnitee is entitled to indemnification shall not have made a determination within sixty (60) days after receipt by the Company of the request therefor, the requisite determination of entitlement to indemnification shall, to the fullest extent not prohibited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60-day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that the foregoing provisions of this Section 13(b) shall not apply (i) if the determination of entitlement to indemnification is to be made by the stockholders pursuant to Section 12(a) of this Agreement and if (A) within fifteen (15) days after receipt by the Company of the request for such determination the Board has resolved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 or (ii) if the determination of entitlement to indemnification is to be made by Independent Counsel pursuant to Section 12(a) of this Agreement.</w:t>
      </w:r>
    </w:p>
    <w:p>
      <w:pPr>
        <w:spacing w:after="0" w:line="171" w:lineRule="exact"/>
        <w:rPr>
          <w:rFonts w:ascii="Arial" w:cs="Arial" w:eastAsia="Arial" w:hAnsi="Arial"/>
          <w:sz w:val="19"/>
          <w:szCs w:val="19"/>
          <w:color w:val="auto"/>
        </w:rPr>
      </w:pPr>
    </w:p>
    <w:p>
      <w:pPr>
        <w:ind w:right="20" w:firstLine="1304"/>
        <w:spacing w:after="0" w:line="239" w:lineRule="auto"/>
        <w:tabs>
          <w:tab w:leader="none" w:pos="1763" w:val="left"/>
        </w:tabs>
        <w:numPr>
          <w:ilvl w:val="0"/>
          <w:numId w:val="15"/>
        </w:numPr>
        <w:rPr>
          <w:rFonts w:ascii="Arial" w:cs="Arial" w:eastAsia="Arial" w:hAnsi="Arial"/>
          <w:sz w:val="22"/>
          <w:szCs w:val="22"/>
          <w:color w:val="auto"/>
        </w:rPr>
      </w:pPr>
      <w:r>
        <w:rPr>
          <w:rFonts w:ascii="Arial" w:cs="Arial" w:eastAsia="Arial" w:hAnsi="Arial"/>
          <w:sz w:val="22"/>
          <w:szCs w:val="22"/>
          <w:color w:val="auto"/>
        </w:rPr>
        <w:t xml:space="preserve">The termination of any Proceeding or of any claim, issue or matter therein, by judgment, order, settlement or conviction, or upon a plea of </w:t>
      </w:r>
      <w:r>
        <w:rPr>
          <w:rFonts w:ascii="Arial" w:cs="Arial" w:eastAsia="Arial" w:hAnsi="Arial"/>
          <w:sz w:val="22"/>
          <w:szCs w:val="22"/>
          <w:u w:val="single" w:color="auto"/>
          <w:color w:val="auto"/>
        </w:rPr>
        <w:t>nolo contendere</w:t>
      </w:r>
      <w:r>
        <w:rPr>
          <w:rFonts w:ascii="Arial" w:cs="Arial" w:eastAsia="Arial" w:hAnsi="Arial"/>
          <w:sz w:val="22"/>
          <w:szCs w:val="22"/>
          <w:color w:val="auto"/>
        </w:rPr>
        <w:t xml:space="preserve"> or its equivalent,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10</w:t>
      </w:r>
      <w:r>
        <w:rPr>
          <w:rFonts w:ascii="Arial" w:cs="Arial" w:eastAsia="Arial" w:hAnsi="Arial"/>
          <w:sz w:val="18"/>
          <w:szCs w:val="18"/>
          <w:color w:val="auto"/>
        </w:rPr>
        <w:t>-</w:t>
      </w:r>
    </w:p>
    <w:p>
      <w:pPr>
        <w:sectPr>
          <w:pgSz w:w="11900" w:h="16838" w:orient="portrait"/>
          <w:cols w:equalWidth="0" w:num="1">
            <w:col w:w="11240"/>
          </w:cols>
          <w:pgMar w:left="320" w:top="1414" w:right="339" w:bottom="1440" w:gutter="0" w:footer="0" w:header="0"/>
        </w:sectPr>
      </w:pPr>
    </w:p>
    <w:bookmarkStart w:id="17" w:name="page18"/>
    <w:bookmarkEnd w:id="17"/>
    <w:p>
      <w:pPr>
        <w:jc w:val="both"/>
        <w:ind w:firstLine="13"/>
        <w:spacing w:after="0" w:line="238" w:lineRule="auto"/>
        <w:rPr>
          <w:sz w:val="20"/>
          <w:szCs w:val="20"/>
          <w:color w:val="auto"/>
        </w:rPr>
      </w:pPr>
      <w:r>
        <w:rPr>
          <w:rFonts w:ascii="Arial" w:cs="Arial" w:eastAsia="Arial" w:hAnsi="Arial"/>
          <w:sz w:val="22"/>
          <w:szCs w:val="22"/>
          <w:color w:val="auto"/>
        </w:rPr>
        <w:t>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w:t>
      </w:r>
    </w:p>
    <w:p>
      <w:pPr>
        <w:spacing w:after="0" w:line="185" w:lineRule="exact"/>
        <w:rPr>
          <w:sz w:val="20"/>
          <w:szCs w:val="20"/>
          <w:color w:val="auto"/>
        </w:rPr>
      </w:pPr>
    </w:p>
    <w:p>
      <w:pPr>
        <w:jc w:val="both"/>
        <w:ind w:firstLine="1304"/>
        <w:spacing w:after="0" w:line="277" w:lineRule="auto"/>
        <w:tabs>
          <w:tab w:leader="none" w:pos="1810" w:val="left"/>
        </w:tabs>
        <w:numPr>
          <w:ilvl w:val="0"/>
          <w:numId w:val="16"/>
        </w:numPr>
        <w:rPr>
          <w:rFonts w:ascii="Arial" w:cs="Arial" w:eastAsia="Arial" w:hAnsi="Arial"/>
          <w:sz w:val="19"/>
          <w:szCs w:val="19"/>
          <w:color w:val="auto"/>
        </w:rPr>
      </w:pPr>
      <w:r>
        <w:rPr>
          <w:rFonts w:ascii="Arial" w:cs="Arial" w:eastAsia="Arial" w:hAnsi="Arial"/>
          <w:sz w:val="19"/>
          <w:szCs w:val="19"/>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or officers of the Enterprise in the course of their duties, or on the advice of legal counsel for the Enterprise or on information or records given or reports made to the Enterprise by an independent certified public accountant or by an appraiser or other expert selected with the reasonable care by the Enterprise. The provisions of this Section 13(d) shall not be deemed to be exclusive or to limit in any way the other circumstances in which the Indemnitee may be deemed to have met the applicable standard of conduct set forth in this Agreement.</w:t>
      </w:r>
    </w:p>
    <w:p>
      <w:pPr>
        <w:spacing w:after="0" w:line="151" w:lineRule="exact"/>
        <w:rPr>
          <w:rFonts w:ascii="Arial" w:cs="Arial" w:eastAsia="Arial" w:hAnsi="Arial"/>
          <w:sz w:val="19"/>
          <w:szCs w:val="19"/>
          <w:color w:val="auto"/>
        </w:rPr>
      </w:pPr>
    </w:p>
    <w:p>
      <w:pPr>
        <w:jc w:val="both"/>
        <w:ind w:firstLine="1304"/>
        <w:spacing w:after="0"/>
        <w:tabs>
          <w:tab w:leader="none" w:pos="1796"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knowledge and/or actions, or failure to act, of any director, officer, trustee, partner, managing member, fiduciary, agent or employee of the Enterprise shall not be imputed to Indemnitee for purposes of determining the right to indemnification under this Agreement.</w:t>
      </w:r>
    </w:p>
    <w:p>
      <w:pPr>
        <w:spacing w:after="0" w:line="18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Remedies of Indemnitee.</w:t>
      </w:r>
    </w:p>
    <w:p>
      <w:pPr>
        <w:spacing w:after="0" w:line="206" w:lineRule="exact"/>
        <w:rPr>
          <w:sz w:val="20"/>
          <w:szCs w:val="20"/>
          <w:color w:val="auto"/>
        </w:rPr>
      </w:pPr>
    </w:p>
    <w:p>
      <w:pPr>
        <w:jc w:val="both"/>
        <w:ind w:firstLine="1304"/>
        <w:spacing w:after="0" w:line="270" w:lineRule="auto"/>
        <w:tabs>
          <w:tab w:leader="none" w:pos="1921"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Subject to Section 14(e), in the event that (i) a determination is made pursuant to Section 12 of this Agreement that Indemnitee is not entitled to indemnification under this Agreement, (ii) advancement of Expenses is not timely made pursuant to Section 10 of this Agreement, (iii) no determination of entitlement to indemnification shall have been made pursuant to Section 12(a) of this Agreement within ninety (90) days after receipt by the Company of the request for indemnification, (iv) payment of indemnification is not made pursuant to Section 5, 6 or 7 or the last sentence of Section 12(a) of this Agreement within ten (10) days after receipt by the Company of a written request therefor, (v) payment of indemnification pursuant to Section 3, 4 or 8 of this Agreement is not made within ten (10) days after a determination has been made that Indemnitee is entitled to indemnification, or (vi) 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Indemnitee shall be entitled to an adjudication by a court of his entitlement to such indemnification or advancement of Expenses. Alternatively, Indemnitee, at his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14(a);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clause shall not apply in respect of a proceeding brought by Indemnitee to enforce his rights under Section 5 of this Agreement. The Company shall not oppose Indemnitee’s right to seek any such adjudication or award in arbitration.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11</w:t>
      </w:r>
      <w:r>
        <w:rPr>
          <w:rFonts w:ascii="Arial" w:cs="Arial" w:eastAsia="Arial" w:hAnsi="Arial"/>
          <w:sz w:val="18"/>
          <w:szCs w:val="18"/>
          <w:color w:val="auto"/>
        </w:rPr>
        <w:t>-</w:t>
      </w:r>
    </w:p>
    <w:p>
      <w:pPr>
        <w:sectPr>
          <w:pgSz w:w="11900" w:h="16838" w:orient="portrait"/>
          <w:cols w:equalWidth="0" w:num="1">
            <w:col w:w="11240"/>
          </w:cols>
          <w:pgMar w:left="320" w:top="1414" w:right="339" w:bottom="1440" w:gutter="0" w:footer="0" w:header="0"/>
        </w:sectPr>
      </w:pPr>
    </w:p>
    <w:bookmarkStart w:id="18" w:name="page19"/>
    <w:bookmarkEnd w:id="18"/>
    <w:p>
      <w:pPr>
        <w:jc w:val="both"/>
        <w:ind w:right="20" w:firstLine="1304"/>
        <w:spacing w:after="0" w:line="267" w:lineRule="auto"/>
        <w:tabs>
          <w:tab w:leader="none" w:pos="1864" w:val="left"/>
        </w:tabs>
        <w:numPr>
          <w:ilvl w:val="1"/>
          <w:numId w:val="18"/>
        </w:numPr>
        <w:rPr>
          <w:rFonts w:ascii="Arial" w:cs="Arial" w:eastAsia="Arial" w:hAnsi="Arial"/>
          <w:sz w:val="19"/>
          <w:szCs w:val="19"/>
          <w:color w:val="auto"/>
        </w:rPr>
      </w:pPr>
      <w:r>
        <w:rPr>
          <w:rFonts w:ascii="Arial" w:cs="Arial" w:eastAsia="Arial" w:hAnsi="Arial"/>
          <w:sz w:val="19"/>
          <w:szCs w:val="19"/>
          <w:color w:val="auto"/>
        </w:rPr>
        <w:t xml:space="preserve">In the event that a determination shall have been made pursuant to Section 12(a) of this Agreement that Indemnitee is not entitled to indemnification, any judicial proceeding or arbitration commenced pursuant to this Section 14 shall be conducted in all respects as a </w:t>
      </w:r>
      <w:r>
        <w:rPr>
          <w:rFonts w:ascii="Arial" w:cs="Arial" w:eastAsia="Arial" w:hAnsi="Arial"/>
          <w:sz w:val="19"/>
          <w:szCs w:val="19"/>
          <w:u w:val="single" w:color="auto"/>
          <w:color w:val="auto"/>
        </w:rPr>
        <w:t>de novo</w:t>
      </w:r>
      <w:r>
        <w:rPr>
          <w:rFonts w:ascii="Arial" w:cs="Arial" w:eastAsia="Arial" w:hAnsi="Arial"/>
          <w:sz w:val="19"/>
          <w:szCs w:val="19"/>
          <w:color w:val="auto"/>
        </w:rPr>
        <w:t xml:space="preserve"> trial, or arbitration, on the merits and Indemnitee shall not be prejudiced by reason of that adverse determination. In any judicial proceeding or arbitration commenced pursuant to this Section 14 the Company shall have the burden of proving Indemnitee is not entitled to indemnification or advancement of Expenses, as the case may be.</w:t>
      </w:r>
    </w:p>
    <w:p>
      <w:pPr>
        <w:spacing w:after="0" w:line="148" w:lineRule="exact"/>
        <w:rPr>
          <w:rFonts w:ascii="Arial" w:cs="Arial" w:eastAsia="Arial" w:hAnsi="Arial"/>
          <w:sz w:val="19"/>
          <w:szCs w:val="19"/>
          <w:color w:val="auto"/>
        </w:rPr>
      </w:pPr>
    </w:p>
    <w:p>
      <w:pPr>
        <w:jc w:val="both"/>
        <w:ind w:firstLine="1304"/>
        <w:spacing w:after="0" w:line="257" w:lineRule="auto"/>
        <w:tabs>
          <w:tab w:leader="none" w:pos="1865" w:val="left"/>
        </w:tabs>
        <w:numPr>
          <w:ilvl w:val="1"/>
          <w:numId w:val="18"/>
        </w:numPr>
        <w:rPr>
          <w:rFonts w:ascii="Arial" w:cs="Arial" w:eastAsia="Arial" w:hAnsi="Arial"/>
          <w:sz w:val="19"/>
          <w:szCs w:val="19"/>
          <w:color w:val="auto"/>
        </w:rPr>
      </w:pPr>
      <w:r>
        <w:rPr>
          <w:rFonts w:ascii="Arial" w:cs="Arial" w:eastAsia="Arial" w:hAnsi="Arial"/>
          <w:sz w:val="19"/>
          <w:szCs w:val="19"/>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w:t>
      </w:r>
    </w:p>
    <w:p>
      <w:pPr>
        <w:ind w:left="320" w:hanging="312"/>
        <w:spacing w:after="0"/>
        <w:tabs>
          <w:tab w:leader="none" w:pos="3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 prohibition of such indemnification under applicable law.</w:t>
      </w:r>
    </w:p>
    <w:p>
      <w:pPr>
        <w:spacing w:after="0" w:line="174" w:lineRule="exact"/>
        <w:rPr>
          <w:rFonts w:ascii="Arial" w:cs="Arial" w:eastAsia="Arial" w:hAnsi="Arial"/>
          <w:sz w:val="22"/>
          <w:szCs w:val="22"/>
          <w:color w:val="auto"/>
        </w:rPr>
      </w:pPr>
    </w:p>
    <w:p>
      <w:pPr>
        <w:jc w:val="both"/>
        <w:ind w:firstLine="1304"/>
        <w:spacing w:after="0" w:line="256" w:lineRule="auto"/>
        <w:tabs>
          <w:tab w:leader="none" w:pos="1819" w:val="left"/>
        </w:tabs>
        <w:numPr>
          <w:ilvl w:val="1"/>
          <w:numId w:val="19"/>
        </w:numPr>
        <w:rPr>
          <w:rFonts w:ascii="Arial" w:cs="Arial" w:eastAsia="Arial" w:hAnsi="Arial"/>
          <w:sz w:val="19"/>
          <w:szCs w:val="19"/>
          <w:color w:val="auto"/>
        </w:rPr>
      </w:pPr>
      <w:r>
        <w:rPr>
          <w:rFonts w:ascii="Arial" w:cs="Arial" w:eastAsia="Arial" w:hAnsi="Arial"/>
          <w:sz w:val="19"/>
          <w:szCs w:val="19"/>
          <w:color w:val="auto"/>
        </w:rPr>
        <w:t>The Company shall, to the fullest extent not prohibited by law,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 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The Company shall, to the fullest extent permitted by law, indemnify Indemnitee against any and all Expenses and, if requested by Indemnitee, shall (within ten (10) days after receipt by the Company of a written request therefor)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if, in the case of indemnification, Indemnitee is wholly successful on the underlying claims; if Indemnitee is not wholly successful on the underlying claims, then such indemnification shall be only to the extent Indemnitee is successful on such underlying claims or otherwise as permitted by law, whichever is greater.</w:t>
      </w:r>
    </w:p>
    <w:p>
      <w:pPr>
        <w:spacing w:after="0" w:line="399" w:lineRule="exact"/>
        <w:rPr>
          <w:rFonts w:ascii="Arial" w:cs="Arial" w:eastAsia="Arial" w:hAnsi="Arial"/>
          <w:sz w:val="19"/>
          <w:szCs w:val="19"/>
          <w:color w:val="auto"/>
        </w:rPr>
      </w:pPr>
    </w:p>
    <w:p>
      <w:pPr>
        <w:ind w:firstLine="1304"/>
        <w:spacing w:after="0" w:line="313" w:lineRule="auto"/>
        <w:tabs>
          <w:tab w:leader="none" w:pos="1752" w:val="left"/>
        </w:tabs>
        <w:numPr>
          <w:ilvl w:val="1"/>
          <w:numId w:val="19"/>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no determination as to entitlement of Indemnitee to indemnification under this Agreement shall be required to be made prior to the final disposition of the Proceeding.</w:t>
      </w:r>
    </w:p>
    <w:p>
      <w:pPr>
        <w:spacing w:after="0" w:line="10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15.</w:t>
      </w:r>
      <w:r>
        <w:rPr>
          <w:sz w:val="20"/>
          <w:szCs w:val="20"/>
          <w:color w:val="auto"/>
        </w:rPr>
        <w:tab/>
      </w:r>
      <w:r>
        <w:rPr>
          <w:rFonts w:ascii="Arial" w:cs="Arial" w:eastAsia="Arial" w:hAnsi="Arial"/>
          <w:sz w:val="19"/>
          <w:szCs w:val="19"/>
          <w:u w:val="single" w:color="auto"/>
          <w:color w:val="auto"/>
        </w:rPr>
        <w:t>Non-exclusivity; Survival of Rights; Insurance; Subrogation.</w:t>
      </w:r>
    </w:p>
    <w:p>
      <w:pPr>
        <w:spacing w:after="0" w:line="193" w:lineRule="exact"/>
        <w:rPr>
          <w:sz w:val="20"/>
          <w:szCs w:val="20"/>
          <w:color w:val="auto"/>
        </w:rPr>
      </w:pPr>
    </w:p>
    <w:p>
      <w:pPr>
        <w:jc w:val="both"/>
        <w:ind w:firstLine="1304"/>
        <w:spacing w:after="0" w:line="224" w:lineRule="auto"/>
        <w:tabs>
          <w:tab w:leader="none" w:pos="1798"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rights of indemnification and to receive advancement of Expenses as provided by this Agreement shall not be deemed exclusive of any other rights to which Indemnitee may at any time be entitled under applicable law, the Certificate of Incorporation,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12</w:t>
      </w:r>
      <w:r>
        <w:rPr>
          <w:rFonts w:ascii="Arial" w:cs="Arial" w:eastAsia="Arial" w:hAnsi="Arial"/>
          <w:sz w:val="18"/>
          <w:szCs w:val="18"/>
          <w:color w:val="auto"/>
        </w:rPr>
        <w:t>-</w:t>
      </w:r>
    </w:p>
    <w:p>
      <w:pPr>
        <w:sectPr>
          <w:pgSz w:w="11900" w:h="16838" w:orient="portrait"/>
          <w:cols w:equalWidth="0" w:num="1">
            <w:col w:w="11240"/>
          </w:cols>
          <w:pgMar w:left="320" w:top="1414" w:right="339" w:bottom="1440" w:gutter="0" w:footer="0" w:header="0"/>
        </w:sectPr>
      </w:pPr>
    </w:p>
    <w:bookmarkStart w:id="19" w:name="page20"/>
    <w:bookmarkEnd w:id="19"/>
    <w:p>
      <w:pPr>
        <w:jc w:val="both"/>
        <w:ind w:firstLine="13"/>
        <w:spacing w:after="0" w:line="264" w:lineRule="auto"/>
        <w:rPr>
          <w:sz w:val="20"/>
          <w:szCs w:val="20"/>
          <w:color w:val="auto"/>
        </w:rPr>
      </w:pPr>
      <w:r>
        <w:rPr>
          <w:rFonts w:ascii="Arial" w:cs="Arial" w:eastAsia="Arial" w:hAnsi="Arial"/>
          <w:sz w:val="19"/>
          <w:szCs w:val="19"/>
          <w:color w:val="auto"/>
        </w:rPr>
        <w:t>Delaware law, whether by statute or judicial decision, permits greater indemnification or advancement of Expenses than would be afforded currently under the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51" w:lineRule="exact"/>
        <w:rPr>
          <w:sz w:val="20"/>
          <w:szCs w:val="20"/>
          <w:color w:val="auto"/>
        </w:rPr>
      </w:pPr>
    </w:p>
    <w:p>
      <w:pPr>
        <w:jc w:val="both"/>
        <w:ind w:firstLine="1304"/>
        <w:spacing w:after="0" w:line="260" w:lineRule="auto"/>
        <w:tabs>
          <w:tab w:leader="none" w:pos="1834" w:val="left"/>
        </w:tabs>
        <w:numPr>
          <w:ilvl w:val="0"/>
          <w:numId w:val="21"/>
        </w:numPr>
        <w:rPr>
          <w:rFonts w:ascii="Arial" w:cs="Arial" w:eastAsia="Arial" w:hAnsi="Arial"/>
          <w:sz w:val="19"/>
          <w:szCs w:val="19"/>
          <w:color w:val="auto"/>
        </w:rPr>
      </w:pPr>
      <w:r>
        <w:rPr>
          <w:rFonts w:ascii="Arial" w:cs="Arial" w:eastAsia="Arial" w:hAnsi="Arial"/>
          <w:sz w:val="19"/>
          <w:szCs w:val="19"/>
          <w:color w:val="auto"/>
        </w:rPr>
        <w:t>To the extent that the Company maintains an insurance policy or policies providing liability insurance for directors, officers, employees, or agents of the Enterprise, Indemnitee shall be covered by such policy or policies in accordance with its or their terms to the maximum extent of the coverage available for any such director, officer, employee or agent under such policy or policies. If, at the time of the receipt of a notice of a claim pursuant to the terms hereof, the Company has director and officer liability insurance in effect, the Company shall give prompt notice of such claim or of the commencement of a Proceeding, as the case may be,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58" w:lineRule="exact"/>
        <w:rPr>
          <w:rFonts w:ascii="Arial" w:cs="Arial" w:eastAsia="Arial" w:hAnsi="Arial"/>
          <w:sz w:val="19"/>
          <w:szCs w:val="19"/>
          <w:color w:val="auto"/>
        </w:rPr>
      </w:pPr>
    </w:p>
    <w:p>
      <w:pPr>
        <w:jc w:val="both"/>
        <w:ind w:firstLine="1304"/>
        <w:spacing w:after="0" w:line="228" w:lineRule="auto"/>
        <w:tabs>
          <w:tab w:leader="none" w:pos="1813" w:val="left"/>
        </w:tabs>
        <w:numPr>
          <w:ilvl w:val="0"/>
          <w:numId w:val="21"/>
        </w:numPr>
        <w:rPr>
          <w:rFonts w:ascii="Arial" w:cs="Arial" w:eastAsia="Arial" w:hAnsi="Arial"/>
          <w:sz w:val="22"/>
          <w:szCs w:val="22"/>
          <w:color w:val="auto"/>
        </w:rPr>
      </w:pPr>
      <w:r>
        <w:rPr>
          <w:rFonts w:ascii="Arial" w:cs="Arial" w:eastAsia="Arial" w:hAnsi="Arial"/>
          <w:sz w:val="22"/>
          <w:szCs w:val="22"/>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72" w:lineRule="exact"/>
        <w:rPr>
          <w:rFonts w:ascii="Arial" w:cs="Arial" w:eastAsia="Arial" w:hAnsi="Arial"/>
          <w:sz w:val="22"/>
          <w:szCs w:val="22"/>
          <w:color w:val="auto"/>
        </w:rPr>
      </w:pPr>
    </w:p>
    <w:p>
      <w:pPr>
        <w:jc w:val="both"/>
        <w:ind w:firstLine="1304"/>
        <w:spacing w:after="0" w:line="244" w:lineRule="auto"/>
        <w:tabs>
          <w:tab w:leader="none" w:pos="1950" w:val="left"/>
        </w:tabs>
        <w:numPr>
          <w:ilvl w:val="0"/>
          <w:numId w:val="21"/>
        </w:numPr>
        <w:rPr>
          <w:rFonts w:ascii="Arial" w:cs="Arial" w:eastAsia="Arial" w:hAnsi="Arial"/>
          <w:sz w:val="21"/>
          <w:szCs w:val="21"/>
          <w:color w:val="auto"/>
        </w:rPr>
      </w:pPr>
      <w:r>
        <w:rPr>
          <w:rFonts w:ascii="Arial" w:cs="Arial" w:eastAsia="Arial" w:hAnsi="Arial"/>
          <w:sz w:val="21"/>
          <w:szCs w:val="21"/>
          <w:color w:val="auto"/>
        </w:rPr>
        <w:t>The Company shall not be liable under this Agreement to make any payment of amounts otherwise indemnifiable (or for which advancement is provided hereunder) hereunder if and to the extent that Indemnitee has otherwise actually received such payment under any insurance policy, contract, agreement or otherwise.</w:t>
      </w:r>
    </w:p>
    <w:p>
      <w:pPr>
        <w:spacing w:after="0" w:line="167" w:lineRule="exact"/>
        <w:rPr>
          <w:rFonts w:ascii="Arial" w:cs="Arial" w:eastAsia="Arial" w:hAnsi="Arial"/>
          <w:sz w:val="21"/>
          <w:szCs w:val="21"/>
          <w:color w:val="auto"/>
        </w:rPr>
      </w:pPr>
    </w:p>
    <w:p>
      <w:pPr>
        <w:jc w:val="both"/>
        <w:ind w:firstLine="1304"/>
        <w:spacing w:after="0" w:line="237" w:lineRule="auto"/>
        <w:tabs>
          <w:tab w:leader="none" w:pos="1756" w:val="left"/>
        </w:tabs>
        <w:numPr>
          <w:ilvl w:val="0"/>
          <w:numId w:val="21"/>
        </w:numPr>
        <w:rPr>
          <w:rFonts w:ascii="Arial" w:cs="Arial" w:eastAsia="Arial" w:hAnsi="Arial"/>
          <w:sz w:val="21"/>
          <w:szCs w:val="21"/>
          <w:color w:val="auto"/>
        </w:rPr>
      </w:pPr>
      <w:r>
        <w:rPr>
          <w:rFonts w:ascii="Arial" w:cs="Arial" w:eastAsia="Arial" w:hAnsi="Arial"/>
          <w:sz w:val="21"/>
          <w:szCs w:val="21"/>
          <w:color w:val="auto"/>
        </w:rPr>
        <w:t>The Company’s obligation to indemnify or advance Expenses hereunder to Indemnitee who is or was serving at the request of the Company as a director, officer, trustee, partner, managing member, fiduciary, employee or agent of any other corporation, limited liability company, partnership, joint venture, trust, employee benefit plan or other enterprise shall be reduced by any amount Indemnitee has actually received as indemnification or advancement of Expenses from such other corporation, limited liability company, partnership, joint venture, trust or other enterprise.</w:t>
      </w:r>
    </w:p>
    <w:p>
      <w:pPr>
        <w:spacing w:after="0" w:line="171" w:lineRule="exact"/>
        <w:rPr>
          <w:rFonts w:ascii="Arial" w:cs="Arial" w:eastAsia="Arial" w:hAnsi="Arial"/>
          <w:sz w:val="21"/>
          <w:szCs w:val="21"/>
          <w:color w:val="auto"/>
        </w:rPr>
      </w:pPr>
    </w:p>
    <w:p>
      <w:pPr>
        <w:jc w:val="both"/>
        <w:ind w:firstLine="1304"/>
        <w:spacing w:after="0" w:line="264" w:lineRule="auto"/>
        <w:tabs>
          <w:tab w:leader="none" w:pos="1728"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Company hereby acknowledges that Indemnitee may have certain rights to indemnification, advancement and insurance provided by one or more Persons with whom or which Indemnitee may be associated. The Company hereby acknowledges and agrees that (i) the Company shall be the indemnitor of first resort with respect to any Proceeding, Expense, liability or matter that is the subject of the Indemnity Obligations (as defined below), (ii) the Company shall be primarily liable for all Indemnity Obligations and any indemnification afforded to Indemnitee in respect of any Proceeding, Expense, liability or matter that is the subject of Indemnity Obligations, whether created by applicable law, organizational or constituent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13</w:t>
      </w:r>
      <w:r>
        <w:rPr>
          <w:rFonts w:ascii="Arial" w:cs="Arial" w:eastAsia="Arial" w:hAnsi="Arial"/>
          <w:sz w:val="18"/>
          <w:szCs w:val="18"/>
          <w:color w:val="auto"/>
        </w:rPr>
        <w:t>-</w:t>
      </w:r>
    </w:p>
    <w:p>
      <w:pPr>
        <w:sectPr>
          <w:pgSz w:w="11900" w:h="16838" w:orient="portrait"/>
          <w:cols w:equalWidth="0" w:num="1">
            <w:col w:w="11240"/>
          </w:cols>
          <w:pgMar w:left="320" w:top="1414" w:right="339" w:bottom="1440" w:gutter="0" w:footer="0" w:header="0"/>
        </w:sectPr>
      </w:pPr>
    </w:p>
    <w:bookmarkStart w:id="20" w:name="page21"/>
    <w:bookmarkEnd w:id="20"/>
    <w:p>
      <w:pPr>
        <w:jc w:val="both"/>
        <w:ind w:firstLine="13"/>
        <w:spacing w:after="0" w:line="270" w:lineRule="auto"/>
        <w:rPr>
          <w:sz w:val="20"/>
          <w:szCs w:val="20"/>
          <w:color w:val="auto"/>
        </w:rPr>
      </w:pPr>
      <w:r>
        <w:rPr>
          <w:rFonts w:ascii="Arial" w:cs="Arial" w:eastAsia="Arial" w:hAnsi="Arial"/>
          <w:sz w:val="19"/>
          <w:szCs w:val="19"/>
          <w:color w:val="auto"/>
        </w:rPr>
        <w:t>documents, contract (including this Agreement) or otherwise, (iii) any obligation of any other Persons with whom or which Indemnitee may be associated to indemnify Indemnitee or advance Expenses or liabilities to Indemnitee in respect of any Proceeding shall be secondary to the obligations of the Company hereunder, (iv) the Company shall be required to indemnify Indemnitee and advance Expenses or liabilities to Indemnitee hereunder to the fullest extent provided herein without regard to any rights Indemnitee may have against any other Person with whom or which Indemnitee may be associated or insurer of any such Person and (v) the Company irrevocably waives, relinquishes and releases any other Person with whom or which Indemnitee may be associated from any claim of contribution, subrogation or any other recovery of any kind in respect of amounts paid by the Company hereunder. In the event any other Person with whom or which Indemnitee may be associated or their insurers advances or extinguishes any liability or loss which is the subject of any Indemnity Obligation owed by the Company or payable under any Company insurance policy, the payor shall have a right of subrogation against the Company or its insurer or insurers for all amounts so paid which would otherwise be payable by the Company or its insurer or insurers under this Agreement. In no event will payment of an Indemnity Obligation by any other Person with whom or which Indemnitee may be associated or their insurers affect the obligations of the Company hereunder or shift primary liability for any Indemnity Obligation to any other Person with whom or which Indemnitee may be associated. Any indemnification, insurance or advancement provided by any other Person with whom or which Indemnitee may be associated with respect to any liability arising as a result of Indemnitee’s status as director, officer, employee or agent of the Company or capacity as an officer or director of any Person is specifically in excess over any Indemnity Obligation of the Company or valid and any collectible insurance (including but not limited to any malpractice insurance or professional errors and omissions insurance) provided by the Company under this Agreement. As used herein, the term “Indemnity Obligations” shall mean all obligations of the Company to Indemnitee under the Certificate of Incorporation, the Bylaws, this Agreement or otherwise, including the Company’s obligations to provide indemnification to Indemnitee and advance Expenses to Indemnitee under this Agreement.</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Section 16. </w:t>
      </w:r>
      <w:r>
        <w:rPr>
          <w:rFonts w:ascii="Arial" w:cs="Arial" w:eastAsia="Arial" w:hAnsi="Arial"/>
          <w:sz w:val="19"/>
          <w:szCs w:val="19"/>
          <w:u w:val="single" w:color="auto"/>
          <w:color w:val="auto"/>
        </w:rPr>
        <w:t>Duration of Agreement.</w:t>
      </w:r>
      <w:r>
        <w:rPr>
          <w:rFonts w:ascii="Arial" w:cs="Arial" w:eastAsia="Arial" w:hAnsi="Arial"/>
          <w:sz w:val="19"/>
          <w:szCs w:val="19"/>
          <w:color w:val="auto"/>
        </w:rPr>
        <w:t xml:space="preserve"> This Agreement shall continue for so long as Indemnitee serves as a director, officer, employee, agent or fiduciary of the Company or, at the request of the Company, as a director, officer, partner, member, venturer, proprietor, trustee, employee, agent, fiduciary or similar functionary of another foreign or domestic corporation, partnership, limited liability company, joint venture, sole proprietorship, trust, employee benefit plan or other enterprise, and shall continue thereafter so long as Indemnitee shall be subject to any possible Proceeding (including any rights of appeal thereto and any Proceeding commenced by Indemnitee pursuant to Section 14 of this Agreement) by reason of Indemnitee’s Corporate Status, whether or not Indemnitee is acting in any such capacity at the time any liability or expense is incurred for which indemnification or advancement can be provided under this Agreement. The indemnification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of any other Enterprise, and shall inure to the benefit of Indemnitee and his or her spouse, assigns, heirs, devisees, executors and administrators and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14</w:t>
      </w:r>
      <w:r>
        <w:rPr>
          <w:rFonts w:ascii="Arial" w:cs="Arial" w:eastAsia="Arial" w:hAnsi="Arial"/>
          <w:sz w:val="18"/>
          <w:szCs w:val="18"/>
          <w:color w:val="auto"/>
        </w:rPr>
        <w:t>-</w:t>
      </w:r>
    </w:p>
    <w:p>
      <w:pPr>
        <w:sectPr>
          <w:pgSz w:w="11900" w:h="16838" w:orient="portrait"/>
          <w:cols w:equalWidth="0" w:num="1">
            <w:col w:w="11240"/>
          </w:cols>
          <w:pgMar w:left="320" w:top="1414" w:right="339" w:bottom="1440" w:gutter="0" w:footer="0" w:header="0"/>
        </w:sectPr>
      </w:pPr>
    </w:p>
    <w:bookmarkStart w:id="21" w:name="page22"/>
    <w:bookmarkEnd w:id="21"/>
    <w:p>
      <w:pPr>
        <w:jc w:val="both"/>
        <w:ind w:firstLine="648"/>
        <w:spacing w:after="0" w:line="245" w:lineRule="auto"/>
        <w:rPr>
          <w:sz w:val="20"/>
          <w:szCs w:val="20"/>
          <w:color w:val="auto"/>
        </w:rPr>
      </w:pPr>
      <w:r>
        <w:rPr>
          <w:rFonts w:ascii="Arial" w:cs="Arial" w:eastAsia="Arial" w:hAnsi="Arial"/>
          <w:sz w:val="21"/>
          <w:szCs w:val="21"/>
          <w:color w:val="auto"/>
        </w:rPr>
        <w:t xml:space="preserve">Section 17. </w:t>
      </w:r>
      <w:r>
        <w:rPr>
          <w:rFonts w:ascii="Arial" w:cs="Arial" w:eastAsia="Arial" w:hAnsi="Arial"/>
          <w:sz w:val="21"/>
          <w:szCs w:val="21"/>
          <w:u w:val="single" w:color="auto"/>
          <w:color w:val="auto"/>
        </w:rPr>
        <w:t>Severability.</w:t>
      </w:r>
      <w:r>
        <w:rPr>
          <w:rFonts w:ascii="Arial" w:cs="Arial" w:eastAsia="Arial" w:hAnsi="Arial"/>
          <w:sz w:val="21"/>
          <w:szCs w:val="21"/>
          <w:color w:val="auto"/>
        </w:rPr>
        <w:t xml:space="preserve">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8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18.</w:t>
      </w:r>
      <w:r>
        <w:rPr>
          <w:sz w:val="20"/>
          <w:szCs w:val="20"/>
          <w:color w:val="auto"/>
        </w:rPr>
        <w:tab/>
      </w:r>
      <w:r>
        <w:rPr>
          <w:rFonts w:ascii="Arial" w:cs="Arial" w:eastAsia="Arial" w:hAnsi="Arial"/>
          <w:sz w:val="19"/>
          <w:szCs w:val="19"/>
          <w:u w:val="single" w:color="auto"/>
          <w:color w:val="auto"/>
        </w:rPr>
        <w:t>Enforcement.</w:t>
      </w:r>
    </w:p>
    <w:p>
      <w:pPr>
        <w:spacing w:after="0" w:line="206" w:lineRule="exact"/>
        <w:rPr>
          <w:sz w:val="20"/>
          <w:szCs w:val="20"/>
          <w:color w:val="auto"/>
        </w:rPr>
      </w:pPr>
    </w:p>
    <w:p>
      <w:pPr>
        <w:jc w:val="both"/>
        <w:ind w:firstLine="1304"/>
        <w:spacing w:after="0" w:line="297" w:lineRule="auto"/>
        <w:tabs>
          <w:tab w:leader="none" w:pos="1907"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as a director or officer of the Company.</w:t>
      </w:r>
    </w:p>
    <w:p>
      <w:pPr>
        <w:spacing w:after="0" w:line="133" w:lineRule="exact"/>
        <w:rPr>
          <w:rFonts w:ascii="Arial" w:cs="Arial" w:eastAsia="Arial" w:hAnsi="Arial"/>
          <w:sz w:val="19"/>
          <w:szCs w:val="19"/>
          <w:color w:val="auto"/>
        </w:rPr>
      </w:pPr>
    </w:p>
    <w:p>
      <w:pPr>
        <w:jc w:val="both"/>
        <w:ind w:firstLine="1304"/>
        <w:spacing w:after="0" w:line="236" w:lineRule="auto"/>
        <w:tabs>
          <w:tab w:leader="none" w:pos="1768"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Certificate of Incorporation, the Bylaws and applicable law, and shall not be deemed a substitute therefor, nor to diminish or abrogate any rights of Indemnitee thereunder.</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19. </w:t>
      </w:r>
      <w:r>
        <w:rPr>
          <w:rFonts w:ascii="Arial" w:cs="Arial" w:eastAsia="Arial" w:hAnsi="Arial"/>
          <w:sz w:val="19"/>
          <w:szCs w:val="19"/>
          <w:u w:val="single" w:color="auto"/>
          <w:color w:val="auto"/>
        </w:rPr>
        <w:t>Modification and Waiver.</w:t>
      </w:r>
      <w:r>
        <w:rPr>
          <w:rFonts w:ascii="Arial" w:cs="Arial" w:eastAsia="Arial" w:hAnsi="Arial"/>
          <w:sz w:val="19"/>
          <w:szCs w:val="19"/>
          <w:color w:val="auto"/>
        </w:rPr>
        <w:t xml:space="preserve"> No supplement, modification or amendment of this Agreement shall be binding unless executed in writing by the parties hereto. No waiver of any of the provisions of this Agreement shall be deemed or shall constitute a waiver of any other provisions of this Agreement nor shall any waiver constitute a continuing waiver.</w:t>
      </w:r>
    </w:p>
    <w:p>
      <w:pPr>
        <w:spacing w:after="0" w:line="1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Section 20. </w:t>
      </w:r>
      <w:r>
        <w:rPr>
          <w:rFonts w:ascii="Arial" w:cs="Arial" w:eastAsia="Arial" w:hAnsi="Arial"/>
          <w:sz w:val="22"/>
          <w:szCs w:val="22"/>
          <w:u w:val="single" w:color="auto"/>
          <w:color w:val="auto"/>
        </w:rPr>
        <w:t>Notice by Indemnitee.</w:t>
      </w:r>
      <w:r>
        <w:rPr>
          <w:rFonts w:ascii="Arial" w:cs="Arial" w:eastAsia="Arial" w:hAnsi="Arial"/>
          <w:sz w:val="22"/>
          <w:szCs w:val="22"/>
          <w:color w:val="auto"/>
        </w:rPr>
        <w:t xml:space="preserve"> Indemnitee agrees promptly to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shall not relieve the Company of any obligation which it may have to the Indemnitee under this Agreement or otherwise.</w:t>
      </w:r>
    </w:p>
    <w:p>
      <w:pPr>
        <w:spacing w:after="0" w:line="18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All notices, requests, demands and other communications under this Agreement shall be in writing and shall be deemed to have been duly given if (a) delivered by hand and receipted for by the party to whom said notice or other communication shall have been directed, (b) mailed by certified or registered mail with postage prepaid, on the third business day after the date on which it is so mailed, (c) mailed by reputable overnight courier and receipted for by the party to whom said notice or other communication shall have been directed, (d) sent by facsimile transmission, with receipt of oral confirmation that such transmission has been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15</w:t>
      </w:r>
      <w:r>
        <w:rPr>
          <w:rFonts w:ascii="Arial" w:cs="Arial" w:eastAsia="Arial" w:hAnsi="Arial"/>
          <w:sz w:val="18"/>
          <w:szCs w:val="18"/>
          <w:color w:val="auto"/>
        </w:rPr>
        <w:t>-</w:t>
      </w:r>
    </w:p>
    <w:p>
      <w:pPr>
        <w:sectPr>
          <w:pgSz w:w="11900" w:h="16838" w:orient="portrait"/>
          <w:cols w:equalWidth="0" w:num="1">
            <w:col w:w="11240"/>
          </w:cols>
          <w:pgMar w:left="320" w:top="1414"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22"/>
          <w:szCs w:val="22"/>
          <w:color w:val="auto"/>
        </w:rPr>
        <w:t>or (e) sent by e-mail, with receipt of written confirmation by e-mail that such transmission has been received:</w:t>
      </w:r>
    </w:p>
    <w:p>
      <w:pPr>
        <w:spacing w:after="0" w:line="206" w:lineRule="exact"/>
        <w:rPr>
          <w:sz w:val="20"/>
          <w:szCs w:val="20"/>
          <w:color w:val="auto"/>
        </w:rPr>
      </w:pPr>
    </w:p>
    <w:p>
      <w:pPr>
        <w:ind w:firstLine="1304"/>
        <w:spacing w:after="0" w:line="250" w:lineRule="auto"/>
        <w:tabs>
          <w:tab w:leader="none" w:pos="1801" w:val="left"/>
        </w:tabs>
        <w:numPr>
          <w:ilvl w:val="0"/>
          <w:numId w:val="23"/>
        </w:numPr>
        <w:rPr>
          <w:rFonts w:ascii="Arial" w:cs="Arial" w:eastAsia="Arial" w:hAnsi="Arial"/>
          <w:sz w:val="22"/>
          <w:szCs w:val="22"/>
          <w:color w:val="auto"/>
        </w:rPr>
      </w:pPr>
      <w:r>
        <w:rPr>
          <w:rFonts w:ascii="Arial" w:cs="Arial" w:eastAsia="Arial" w:hAnsi="Arial"/>
          <w:sz w:val="22"/>
          <w:szCs w:val="22"/>
          <w:color w:val="auto"/>
        </w:rPr>
        <w:t>If to Indemnitee, at the address indicated on the signature page of this Agreement, or such other address as Indemnitee shall provide to the Company.</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If to the Company to</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California Resources Corporation</w:t>
      </w:r>
    </w:p>
    <w:p>
      <w:pPr>
        <w:ind w:left="1300"/>
        <w:spacing w:after="0" w:line="238" w:lineRule="auto"/>
        <w:rPr>
          <w:sz w:val="20"/>
          <w:szCs w:val="20"/>
          <w:color w:val="auto"/>
        </w:rPr>
      </w:pPr>
      <w:r>
        <w:rPr>
          <w:rFonts w:ascii="Arial" w:cs="Arial" w:eastAsia="Arial" w:hAnsi="Arial"/>
          <w:sz w:val="22"/>
          <w:szCs w:val="22"/>
          <w:color w:val="auto"/>
        </w:rPr>
        <w:t>27200 Tourney Road, Suite 315</w:t>
      </w:r>
    </w:p>
    <w:p>
      <w:pPr>
        <w:ind w:left="1300"/>
        <w:spacing w:after="0" w:line="230" w:lineRule="auto"/>
        <w:rPr>
          <w:sz w:val="20"/>
          <w:szCs w:val="20"/>
          <w:color w:val="auto"/>
        </w:rPr>
      </w:pPr>
      <w:r>
        <w:rPr>
          <w:rFonts w:ascii="Arial" w:cs="Arial" w:eastAsia="Arial" w:hAnsi="Arial"/>
          <w:sz w:val="22"/>
          <w:szCs w:val="22"/>
          <w:color w:val="auto"/>
        </w:rPr>
        <w:t>Santa Clarita, CA 91355</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or to any other address as may have been furnished to Indemnitee by the Company.</w:t>
      </w:r>
    </w:p>
    <w:p>
      <w:pPr>
        <w:spacing w:after="0" w:line="206" w:lineRule="exact"/>
        <w:rPr>
          <w:sz w:val="20"/>
          <w:szCs w:val="20"/>
          <w:color w:val="auto"/>
        </w:rPr>
      </w:pPr>
    </w:p>
    <w:p>
      <w:pPr>
        <w:ind w:left="700"/>
        <w:spacing w:after="0"/>
        <w:tabs>
          <w:tab w:leader="none" w:pos="186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Contribution.</w:t>
      </w:r>
    </w:p>
    <w:p>
      <w:pPr>
        <w:spacing w:after="0" w:line="206" w:lineRule="exact"/>
        <w:rPr>
          <w:sz w:val="20"/>
          <w:szCs w:val="20"/>
          <w:color w:val="auto"/>
        </w:rPr>
      </w:pPr>
    </w:p>
    <w:p>
      <w:pPr>
        <w:jc w:val="both"/>
        <w:ind w:firstLine="1304"/>
        <w:spacing w:after="0" w:line="234" w:lineRule="auto"/>
        <w:tabs>
          <w:tab w:leader="none" w:pos="1853" w:val="left"/>
        </w:tabs>
        <w:numPr>
          <w:ilvl w:val="0"/>
          <w:numId w:val="24"/>
        </w:numPr>
        <w:rPr>
          <w:rFonts w:ascii="Arial" w:cs="Arial" w:eastAsia="Arial" w:hAnsi="Arial"/>
          <w:sz w:val="22"/>
          <w:szCs w:val="22"/>
          <w:color w:val="auto"/>
        </w:rPr>
      </w:pPr>
      <w:r>
        <w:rPr>
          <w:rFonts w:ascii="Arial" w:cs="Arial" w:eastAsia="Arial" w:hAnsi="Arial"/>
          <w:sz w:val="22"/>
          <w:szCs w:val="22"/>
          <w:color w:val="auto"/>
        </w:rPr>
        <w:t>To the fullest extent permitted by law, whether or not the indemnification provided in this Agreement is available, in respect of any threatened, pending or completed action, suit or Proceeding in which the Company is jointly liable with Indemnitee (or would be if joined in such action,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enter into any settlement of any action, suit or Proceeding in which the Company is jointly liable with Indemnitee (or would be if joined in such action, suit or Proceeding) unless such settlement provides for a full and final release of all claims asserted against Indemnitee.</w:t>
      </w:r>
    </w:p>
    <w:p>
      <w:pPr>
        <w:spacing w:after="0" w:line="186" w:lineRule="exact"/>
        <w:rPr>
          <w:rFonts w:ascii="Arial" w:cs="Arial" w:eastAsia="Arial" w:hAnsi="Arial"/>
          <w:sz w:val="22"/>
          <w:szCs w:val="22"/>
          <w:color w:val="auto"/>
        </w:rPr>
      </w:pPr>
    </w:p>
    <w:p>
      <w:pPr>
        <w:jc w:val="both"/>
        <w:ind w:firstLine="1304"/>
        <w:spacing w:after="0" w:line="272" w:lineRule="auto"/>
        <w:tabs>
          <w:tab w:leader="none" w:pos="1771" w:val="left"/>
        </w:tabs>
        <w:numPr>
          <w:ilvl w:val="0"/>
          <w:numId w:val="24"/>
        </w:numPr>
        <w:rPr>
          <w:rFonts w:ascii="Arial" w:cs="Arial" w:eastAsia="Arial" w:hAnsi="Arial"/>
          <w:sz w:val="19"/>
          <w:szCs w:val="19"/>
          <w:color w:val="auto"/>
        </w:rPr>
      </w:pPr>
      <w:r>
        <w:rPr>
          <w:rFonts w:ascii="Arial" w:cs="Arial" w:eastAsia="Arial" w:hAnsi="Arial"/>
          <w:sz w:val="19"/>
          <w:szCs w:val="19"/>
          <w:color w:val="auto"/>
        </w:rPr>
        <w:t>Without diminishing or impairing the obligations of the Company set forth in the preceding subparagraph,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or events from which such action, suit or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transaction or events that resulted in such Expenses, judgments, fines or settlement amounts, as well as any other equitable considerations that applicable law may require to be considered.</w:t>
      </w:r>
    </w:p>
    <w:p>
      <w:pPr>
        <w:spacing w:after="0" w:line="155" w:lineRule="exact"/>
        <w:rPr>
          <w:rFonts w:ascii="Arial" w:cs="Arial" w:eastAsia="Arial" w:hAnsi="Arial"/>
          <w:sz w:val="19"/>
          <w:szCs w:val="19"/>
          <w:color w:val="auto"/>
        </w:rPr>
      </w:pPr>
    </w:p>
    <w:p>
      <w:pPr>
        <w:ind w:firstLine="1304"/>
        <w:spacing w:after="0" w:line="250" w:lineRule="auto"/>
        <w:tabs>
          <w:tab w:leader="none" w:pos="1816"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Company hereby agrees, to the fullest extent permitted by applicable law, to fully indemnify and hold Indemnitee harmless from any claims of contribution that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16</w:t>
      </w:r>
      <w:r>
        <w:rPr>
          <w:rFonts w:ascii="Arial" w:cs="Arial" w:eastAsia="Arial" w:hAnsi="Arial"/>
          <w:sz w:val="18"/>
          <w:szCs w:val="18"/>
          <w:color w:val="auto"/>
        </w:rPr>
        <w:t>-</w:t>
      </w:r>
    </w:p>
    <w:p>
      <w:pPr>
        <w:sectPr>
          <w:pgSz w:w="11900" w:h="16838" w:orient="portrait"/>
          <w:cols w:equalWidth="0" w:num="1">
            <w:col w:w="11240"/>
          </w:cols>
          <w:pgMar w:left="320" w:top="1414"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19"/>
          <w:szCs w:val="19"/>
          <w:color w:val="auto"/>
        </w:rPr>
        <w:t>brought by officers, directors or employees of the Company, other than Indemnitee, who may be jointly liable with Indemnitee.</w:t>
      </w:r>
    </w:p>
    <w:p>
      <w:pPr>
        <w:spacing w:after="0" w:line="241" w:lineRule="exact"/>
        <w:rPr>
          <w:sz w:val="20"/>
          <w:szCs w:val="20"/>
          <w:color w:val="auto"/>
        </w:rPr>
      </w:pPr>
    </w:p>
    <w:p>
      <w:pPr>
        <w:jc w:val="both"/>
        <w:ind w:firstLine="1304"/>
        <w:spacing w:after="0" w:line="269" w:lineRule="auto"/>
        <w:tabs>
          <w:tab w:leader="none" w:pos="1808" w:val="left"/>
        </w:tabs>
        <w:numPr>
          <w:ilvl w:val="1"/>
          <w:numId w:val="25"/>
        </w:numPr>
        <w:rPr>
          <w:rFonts w:ascii="Arial" w:cs="Arial" w:eastAsia="Arial" w:hAnsi="Arial"/>
          <w:sz w:val="19"/>
          <w:szCs w:val="19"/>
          <w:color w:val="auto"/>
        </w:rPr>
      </w:pPr>
      <w:r>
        <w:rPr>
          <w:rFonts w:ascii="Arial" w:cs="Arial" w:eastAsia="Arial" w:hAnsi="Arial"/>
          <w:sz w:val="19"/>
          <w:szCs w:val="19"/>
          <w:color w:val="auto"/>
        </w:rPr>
        <w:t>To the fullest extent permissible under applicable law and without diminishing or impairing the obligations of the Company set forth in the preceding subparagraphs of this Section 22,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w:t>
      </w:r>
    </w:p>
    <w:p>
      <w:pPr>
        <w:spacing w:after="0" w:line="4" w:lineRule="exact"/>
        <w:rPr>
          <w:rFonts w:ascii="Arial" w:cs="Arial" w:eastAsia="Arial" w:hAnsi="Arial"/>
          <w:sz w:val="19"/>
          <w:szCs w:val="19"/>
          <w:color w:val="auto"/>
        </w:rPr>
      </w:pPr>
    </w:p>
    <w:p>
      <w:pPr>
        <w:ind w:firstLine="8"/>
        <w:spacing w:after="0" w:line="236" w:lineRule="auto"/>
        <w:tabs>
          <w:tab w:leader="none" w:pos="329"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relative fault of the Company (and its directors, officers, employees and agents) and Indemnitee in connection with such event(s) and/or transaction(s).</w:t>
      </w:r>
    </w:p>
    <w:p>
      <w:pPr>
        <w:spacing w:after="0" w:line="186" w:lineRule="exact"/>
        <w:rPr>
          <w:rFonts w:ascii="Arial" w:cs="Arial" w:eastAsia="Arial" w:hAnsi="Arial"/>
          <w:sz w:val="22"/>
          <w:szCs w:val="22"/>
          <w:color w:val="auto"/>
        </w:rPr>
      </w:pPr>
    </w:p>
    <w:p>
      <w:pPr>
        <w:jc w:val="both"/>
        <w:ind w:firstLine="1304"/>
        <w:spacing w:after="0" w:line="273" w:lineRule="auto"/>
        <w:tabs>
          <w:tab w:leader="none" w:pos="1910" w:val="left"/>
        </w:tabs>
        <w:numPr>
          <w:ilvl w:val="1"/>
          <w:numId w:val="26"/>
        </w:numPr>
        <w:rPr>
          <w:rFonts w:ascii="Arial" w:cs="Arial" w:eastAsia="Arial" w:hAnsi="Arial"/>
          <w:sz w:val="19"/>
          <w:szCs w:val="19"/>
          <w:color w:val="auto"/>
        </w:rPr>
      </w:pPr>
      <w:r>
        <w:rPr>
          <w:rFonts w:ascii="Arial" w:cs="Arial" w:eastAsia="Arial" w:hAnsi="Arial"/>
          <w:sz w:val="19"/>
          <w:szCs w:val="19"/>
          <w:color w:val="auto"/>
        </w:rPr>
        <w:t>The relative fault of Indemnitee, on the one hand, and of the Company and any and all other parties (including officers and directors of the Company other than Indemnitee) who may be at fault with respect to such matter shall be determined (i) by reference to the relative fault of Indemnitee as determined by the court or other governmental agency assessing the contribution amounts or (ii) to the extent such court or other governmental agency does not apportion relative fault, by the Independent Counsel (or such other party that makes a determination under this Agreement) after giving effect to, among other things, the degree to which their actions were motivated by intent to gain personal profit or advantage, the degree to which their liability is primary or secondary, the degree to which their conduct is active or passive, the degree of the knowledge, access to information, and opportunity to prevent or correct the subject matter of the Proceedings and other relevant equitable considerations of each party. The Company and Indemnitee agree that it would not be just and equitable if contribution pursuant to this Section 22 were determined by pro rata allocation or by any other method of allocation that does not take account of the equitable considerations referred to in this Section 22.</w:t>
      </w:r>
    </w:p>
    <w:p>
      <w:pPr>
        <w:spacing w:after="0" w:line="15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Section 23. </w:t>
      </w:r>
      <w:r>
        <w:rPr>
          <w:rFonts w:ascii="Arial" w:cs="Arial" w:eastAsia="Arial" w:hAnsi="Arial"/>
          <w:sz w:val="21"/>
          <w:szCs w:val="21"/>
          <w:u w:val="single" w:color="auto"/>
          <w:color w:val="auto"/>
        </w:rPr>
        <w:t>Applicable Law and Consent to Jurisdiction.</w:t>
      </w:r>
      <w:r>
        <w:rPr>
          <w:rFonts w:ascii="Arial" w:cs="Arial" w:eastAsia="Arial" w:hAnsi="Arial"/>
          <w:sz w:val="21"/>
          <w:szCs w:val="21"/>
          <w:color w:val="auto"/>
        </w:rPr>
        <w:t xml:space="preserve">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(i) agree that any action or proceeding arising out of or in connection with this Agreement shall be brought only in the Chancery Court of the State of Delaware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appoint, to the extent such party is not otherwise subject to service of process in the State of Delaware, irrevocably The Corporation Trust Company, 1209 Orange Street, Wilmington, Delaware 19801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 (v) waive, and agree not to plead or to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17</w:t>
      </w:r>
      <w:r>
        <w:rPr>
          <w:rFonts w:ascii="Arial" w:cs="Arial" w:eastAsia="Arial" w:hAnsi="Arial"/>
          <w:sz w:val="18"/>
          <w:szCs w:val="18"/>
          <w:color w:val="auto"/>
        </w:rPr>
        <w:t>-</w:t>
      </w:r>
    </w:p>
    <w:p>
      <w:pPr>
        <w:sectPr>
          <w:pgSz w:w="11900" w:h="16838" w:orient="portrait"/>
          <w:cols w:equalWidth="0" w:num="1">
            <w:col w:w="11240"/>
          </w:cols>
          <w:pgMar w:left="320" w:top="1414" w:right="339" w:bottom="1440" w:gutter="0" w:footer="0" w:header="0"/>
        </w:sectPr>
      </w:pPr>
    </w:p>
    <w:bookmarkStart w:id="24" w:name="page25"/>
    <w:bookmarkEnd w:id="24"/>
    <w:p>
      <w:pPr>
        <w:jc w:val="both"/>
        <w:ind w:firstLine="6"/>
        <w:spacing w:after="0" w:line="250" w:lineRule="auto"/>
        <w:rPr>
          <w:sz w:val="20"/>
          <w:szCs w:val="20"/>
          <w:color w:val="auto"/>
        </w:rPr>
      </w:pPr>
      <w:r>
        <w:rPr>
          <w:rFonts w:ascii="Arial" w:cs="Arial" w:eastAsia="Arial" w:hAnsi="Arial"/>
          <w:sz w:val="22"/>
          <w:szCs w:val="22"/>
          <w:color w:val="auto"/>
        </w:rPr>
        <w:t>any claim that any such action or proceeding brought in the Delaware Court has been brought in an improper or inconvenient forum.</w:t>
      </w:r>
    </w:p>
    <w:p>
      <w:pPr>
        <w:spacing w:after="0" w:line="17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Section 24. </w:t>
      </w:r>
      <w:r>
        <w:rPr>
          <w:rFonts w:ascii="Arial" w:cs="Arial" w:eastAsia="Arial" w:hAnsi="Arial"/>
          <w:sz w:val="22"/>
          <w:szCs w:val="22"/>
          <w:u w:val="single" w:color="auto"/>
          <w:color w:val="auto"/>
        </w:rPr>
        <w:t>Identical Counterparts.</w:t>
      </w:r>
      <w:r>
        <w:rPr>
          <w:rFonts w:ascii="Arial" w:cs="Arial" w:eastAsia="Arial" w:hAnsi="Arial"/>
          <w:sz w:val="22"/>
          <w:szCs w:val="22"/>
          <w:color w:val="auto"/>
        </w:rPr>
        <w:t xml:space="preserve">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25. </w:t>
      </w:r>
      <w:r>
        <w:rPr>
          <w:rFonts w:ascii="Arial" w:cs="Arial" w:eastAsia="Arial" w:hAnsi="Arial"/>
          <w:sz w:val="22"/>
          <w:szCs w:val="22"/>
          <w:u w:val="single" w:color="auto"/>
          <w:color w:val="auto"/>
        </w:rPr>
        <w:t>Miscellaneous.</w:t>
      </w:r>
      <w:r>
        <w:rPr>
          <w:rFonts w:ascii="Arial" w:cs="Arial" w:eastAsia="Arial" w:hAnsi="Arial"/>
          <w:sz w:val="22"/>
          <w:szCs w:val="22"/>
          <w:color w:val="auto"/>
        </w:rPr>
        <w:t xml:space="preserve"> Use of the masculine pronoun shall be deemed to include usage of the feminine pronoun where appropriate. The headings of this Agreement are inserted for convenience only and shall not be deemed to constitute part of this Agreement or to affect the construction thereof.</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have caused this Agreement to be signed as of the day and year first above written.</w:t>
      </w:r>
    </w:p>
    <w:p>
      <w:pPr>
        <w:spacing w:after="0" w:line="200" w:lineRule="exact"/>
        <w:rPr>
          <w:sz w:val="20"/>
          <w:szCs w:val="20"/>
          <w:color w:val="auto"/>
        </w:rPr>
      </w:pPr>
    </w:p>
    <w:p>
      <w:pPr>
        <w:spacing w:after="0" w:line="28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CALIFORNIA RESOURCES CORPORATION</w:t>
      </w: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-17780</wp:posOffset>
            </wp:positionV>
            <wp:extent cx="6858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ind w:left="1520"/>
        <w:spacing w:after="0" w:line="238" w:lineRule="auto"/>
        <w:rPr>
          <w:sz w:val="20"/>
          <w:szCs w:val="20"/>
          <w:color w:val="auto"/>
        </w:rPr>
      </w:pPr>
      <w:r>
        <w:rPr>
          <w:rFonts w:ascii="Arial" w:cs="Arial" w:eastAsia="Arial" w:hAnsi="Arial"/>
          <w:sz w:val="22"/>
          <w:szCs w:val="22"/>
          <w:color w:val="auto"/>
        </w:rPr>
        <w:t>Name: Michael L. Preston</w:t>
      </w:r>
    </w:p>
    <w:p>
      <w:pPr>
        <w:ind w:left="220"/>
        <w:spacing w:after="0" w:line="230" w:lineRule="auto"/>
        <w:rPr>
          <w:sz w:val="20"/>
          <w:szCs w:val="20"/>
          <w:color w:val="auto"/>
        </w:rPr>
      </w:pPr>
      <w:r>
        <w:rPr>
          <w:rFonts w:ascii="Arial" w:cs="Arial" w:eastAsia="Arial" w:hAnsi="Arial"/>
          <w:sz w:val="22"/>
          <w:szCs w:val="22"/>
          <w:color w:val="auto"/>
        </w:rPr>
        <w:t>Office: Senior Executive Vice President,</w:t>
      </w:r>
    </w:p>
    <w:p>
      <w:pPr>
        <w:ind w:left="220"/>
        <w:spacing w:after="0" w:line="231" w:lineRule="auto"/>
        <w:rPr>
          <w:sz w:val="20"/>
          <w:szCs w:val="20"/>
          <w:color w:val="auto"/>
        </w:rPr>
      </w:pPr>
      <w:r>
        <w:rPr>
          <w:rFonts w:ascii="Arial" w:cs="Arial" w:eastAsia="Arial" w:hAnsi="Arial"/>
          <w:sz w:val="22"/>
          <w:szCs w:val="22"/>
          <w:color w:val="auto"/>
        </w:rPr>
        <w:t>General Counsel and Corporate</w:t>
      </w:r>
    </w:p>
    <w:p>
      <w:pPr>
        <w:ind w:left="220"/>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23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INDEMNITEE</w:t>
      </w: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-17780</wp:posOffset>
            </wp:positionV>
            <wp:extent cx="6858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Name:</w:t>
      </w:r>
    </w:p>
    <w:p>
      <w:pPr>
        <w:spacing w:after="0" w:line="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18</w:t>
      </w:r>
      <w:r>
        <w:rPr>
          <w:rFonts w:ascii="Arial" w:cs="Arial" w:eastAsia="Arial" w:hAnsi="Arial"/>
          <w:sz w:val="18"/>
          <w:szCs w:val="18"/>
          <w:color w:val="auto"/>
        </w:rPr>
        <w:t>-</w:t>
      </w:r>
    </w:p>
    <w:p>
      <w:pPr>
        <w:sectPr>
          <w:pgSz w:w="11900" w:h="16838" w:orient="portrait"/>
          <w:cols w:equalWidth="0" w:num="1">
            <w:col w:w="11240"/>
          </w:cols>
          <w:pgMar w:left="320" w:top="1414" w:right="339" w:bottom="1440" w:gutter="0" w:footer="0" w:header="0"/>
        </w:sectPr>
      </w:pPr>
    </w:p>
    <w:bookmarkStart w:id="25" w:name="page26"/>
    <w:bookmarkEnd w:id="25"/>
    <w:p>
      <w:pPr>
        <w:ind w:left="10000"/>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13970</wp:posOffset>
            </wp:positionV>
            <wp:extent cx="1628775"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8775" cy="41148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NEWS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 immediate release</w:t>
      </w:r>
    </w:p>
    <w:p>
      <w:pPr>
        <w:spacing w:after="0" w:line="196" w:lineRule="exact"/>
        <w:rPr>
          <w:sz w:val="20"/>
          <w:szCs w:val="20"/>
          <w:color w:val="auto"/>
        </w:rPr>
      </w:pPr>
    </w:p>
    <w:p>
      <w:pPr>
        <w:sectPr>
          <w:pgSz w:w="11900" w:h="16838" w:orient="portrait"/>
          <w:cols w:equalWidth="0" w:num="2">
            <w:col w:w="4040" w:space="720"/>
            <w:col w:w="6480"/>
          </w:cols>
          <w:pgMar w:left="320" w:top="118" w:right="339" w:bottom="1440" w:gutter="0" w:footer="0" w:header="0"/>
          <w:type w:val="continuous"/>
        </w:sectPr>
      </w:pPr>
    </w:p>
    <w:p>
      <w:pPr>
        <w:jc w:val="center"/>
        <w:spacing w:after="0"/>
        <w:rPr>
          <w:sz w:val="20"/>
          <w:szCs w:val="20"/>
          <w:color w:val="auto"/>
        </w:rPr>
      </w:pPr>
      <w:r>
        <w:rPr>
          <w:rFonts w:ascii="Arial" w:cs="Arial" w:eastAsia="Arial" w:hAnsi="Arial"/>
          <w:sz w:val="29"/>
          <w:szCs w:val="29"/>
          <w:b w:val="1"/>
          <w:bCs w:val="1"/>
          <w:color w:val="auto"/>
        </w:rPr>
        <w:t>California Resources Corporation Completes Financial Restructuring</w:t>
      </w:r>
    </w:p>
    <w:p>
      <w:pPr>
        <w:spacing w:after="0" w:line="186" w:lineRule="exact"/>
        <w:rPr>
          <w:sz w:val="20"/>
          <w:szCs w:val="20"/>
          <w:color w:val="auto"/>
        </w:rPr>
      </w:pPr>
    </w:p>
    <w:p>
      <w:pPr>
        <w:ind w:left="980" w:hanging="405"/>
        <w:spacing w:after="0"/>
        <w:tabs>
          <w:tab w:leader="none" w:pos="9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Trading of New Common Stock to Commence on NYSE on October 28, 2020</w:t>
      </w:r>
    </w:p>
    <w:p>
      <w:pPr>
        <w:spacing w:after="0" w:line="71" w:lineRule="exact"/>
        <w:rPr>
          <w:rFonts w:ascii="Arial" w:cs="Arial" w:eastAsia="Arial" w:hAnsi="Arial"/>
          <w:sz w:val="22"/>
          <w:szCs w:val="22"/>
          <w:color w:val="auto"/>
        </w:rPr>
      </w:pPr>
    </w:p>
    <w:p>
      <w:pPr>
        <w:ind w:left="980" w:hanging="405"/>
        <w:spacing w:after="0"/>
        <w:tabs>
          <w:tab w:leader="none" w:pos="980" w:val="left"/>
        </w:tabs>
        <w:numPr>
          <w:ilvl w:val="0"/>
          <w:numId w:val="27"/>
        </w:numPr>
        <w:rPr>
          <w:rFonts w:ascii="Arial" w:cs="Arial" w:eastAsia="Arial" w:hAnsi="Arial"/>
          <w:sz w:val="21"/>
          <w:szCs w:val="21"/>
          <w:color w:val="auto"/>
        </w:rPr>
      </w:pPr>
      <w:r>
        <w:rPr>
          <w:rFonts w:ascii="Arial" w:cs="Arial" w:eastAsia="Arial" w:hAnsi="Arial"/>
          <w:sz w:val="21"/>
          <w:szCs w:val="21"/>
          <w:color w:val="auto"/>
        </w:rPr>
        <w:t>Chapter 11 Restructuring Eliminates Pre-Existing Debt and Midstream JV Interests in Exchange for Equity</w:t>
      </w:r>
    </w:p>
    <w:p>
      <w:pPr>
        <w:spacing w:after="0" w:line="82" w:lineRule="exact"/>
        <w:rPr>
          <w:rFonts w:ascii="Arial" w:cs="Arial" w:eastAsia="Arial" w:hAnsi="Arial"/>
          <w:sz w:val="21"/>
          <w:szCs w:val="21"/>
          <w:color w:val="auto"/>
        </w:rPr>
      </w:pPr>
    </w:p>
    <w:p>
      <w:pPr>
        <w:ind w:left="980" w:right="660" w:hanging="405"/>
        <w:spacing w:after="0" w:line="313" w:lineRule="auto"/>
        <w:tabs>
          <w:tab w:leader="none" w:pos="975" w:val="left"/>
        </w:tabs>
        <w:numPr>
          <w:ilvl w:val="0"/>
          <w:numId w:val="27"/>
        </w:numPr>
        <w:rPr>
          <w:rFonts w:ascii="Arial" w:cs="Arial" w:eastAsia="Arial" w:hAnsi="Arial"/>
          <w:sz w:val="22"/>
          <w:szCs w:val="22"/>
          <w:color w:val="auto"/>
        </w:rPr>
      </w:pPr>
      <w:r>
        <w:rPr>
          <w:rFonts w:ascii="Arial" w:cs="Arial" w:eastAsia="Arial" w:hAnsi="Arial"/>
          <w:sz w:val="22"/>
          <w:szCs w:val="22"/>
          <w:color w:val="auto"/>
        </w:rPr>
        <w:t>CRC Emerges With a $540 Million Revolving Credit Facility, $300 Million of Secured Notes and $200 Million of Second Lien Term Loan</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Santa Clarita, California, October 27, 2020 – California Resources Corporation (NYSE: CRC) (“CRC” or the “Company”) announced that it will today complete its financial restructuring and emerge from the bankruptcy process with a significantly stronger balance sheet. CRC’s Joint Plan of Reorganization (“Plan”) in its Chapter 11 case cancelled pre-existing debt, consolidated CRC’s ownership in the Elk Hills power plant and cryogenic gas plant, and provided for the payment in full of all valid and undisputed trade and contingent claims in the ordinary course of business. Today, CRC will officially conclude its reorganization after completing all required actions and satisfying the remaining conditions of the Plan.</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Todd Stevens, President and CEO of CRC, noted, “With the full support of our stakeholders and a much stronger balance sheet, the restructured CRC is well designed to withstand price cycles and continue delivering affordable, sustainable and reliable energy that is so essential to Californians. You can expect CRC to build upon the fundamental strengths of our business that provide us a high degree of operating flexibility, including our low-decline conventional oil production, low capital intensity, exposure to the Brent crude oil markets, substantial mineral ownership in fee, and integrated infrastructure. We believe the streamlined CRC and our commitment to disciplined capital allocation will serve as a strong foundation to deliver free cash flow. CRC is committed to fostering sustainable energy production to meet the future needs of all Californians. I would also like to thank our employees for their dedication, focus and effort to sustain our proven track record of safety, environmental stewardship and operational excellence during the restructuring process."</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As previously reported, CRC entered into a Settlement and Assumption Agreement with certain affiliates of Ares Management L.P. (“Ares”) related to CRC’s and Ares’ Elk Hills joint venture. Under this agreement, CRC acquired the equity interests of the joint venture and 100% ownership of the Elk Hills power plant and a cryogenic gas processing plant in exchange for approximately 20.8% of the new common stock in CRC and $300 million of secured notes issued by EHP Midco Holding Company, LLC, a subsidiary of CRC. As a result, the joint venture’s assets are now wholly owned by CRC.</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Under the Plan approved by the bankruptcy court, approximately $4.4 billion of loans and notes outstanding as of June 30, 2020 have been equitized. Additionally, all of the</w:t>
      </w:r>
    </w:p>
    <w:p>
      <w:pPr>
        <w:sectPr>
          <w:pgSz w:w="11900" w:h="16838" w:orient="portrait"/>
          <w:cols w:equalWidth="0" w:num="1">
            <w:col w:w="11240"/>
          </w:cols>
          <w:pgMar w:left="320" w:top="118"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5711825</wp:posOffset>
            </wp:positionH>
            <wp:positionV relativeFrom="page">
              <wp:posOffset>88900</wp:posOffset>
            </wp:positionV>
            <wp:extent cx="1628775"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628775" cy="411480"/>
                    </a:xfrm>
                    <a:prstGeom prst="rect">
                      <a:avLst/>
                    </a:prstGeom>
                    <a:noFill/>
                  </pic:spPr>
                </pic:pic>
              </a:graphicData>
            </a:graphic>
          </wp:anchor>
        </w:drawing>
        <w:t>Page 2</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Company’s previously existing equity interests have been cancelled and ceased to exist after the market close on October 27, 2020. In connection with its emergence, shares of the Company’s new common stock have been approved for listing on the New York Stock Exchange under the ticker symbol “CRC” and trading is expected to commence on October 28, 2020. At emergence, CRC will have approximately 83.3 million shares of new common stock issued and outstanding, which includes shares representing 32.5% of our new common stock issued to holders of loans and notes pursuant to the Plan, shares representing 45.7% of our new common stock issued in connection with a fully backstopped $450 million rights offering that was fully subscribed and is effective upon emergence, as well as shares representing 20.8% of our new common stock issued in the Ares settlement described above. CRC also issued Tier 1 Warrants and Tier 2 Warrants (each as defined in the Plan) to acquire up to 2% and 3% of new common stock, respectively, at a “strike price” to be calculated using a $3 billion aggregate equity value, which are valid for four years.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At emergence, CRC entered into a new revolving credit facility with a $1.2 billion borrowing base and a commitment level of $540 million. The facility matures on April 27, 2024. CRC has a net borrowed position of approximately $37 million on the facility at emergence, which is net of unrestricted cash of $70 million and $118 million used to cash collateralize on an interim basis certain letters of credit outstanding under CRC’s senior debtor-in-possession credit facility. CRC’s capital structure also includes a $200 million second lien term loan and $300 million of secured notes due 2027 issued to Ares in connection with the Ares settlement described above. CRC is well-capitalized at emergence with over $345 million of available liquidity.</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Capital Structure Summary</w:t>
      </w:r>
    </w:p>
    <w:p>
      <w:pPr>
        <w:spacing w:after="0" w:line="151" w:lineRule="exact"/>
        <w:rPr>
          <w:sz w:val="20"/>
          <w:szCs w:val="20"/>
          <w:color w:val="auto"/>
        </w:rPr>
      </w:pPr>
    </w:p>
    <w:p>
      <w:pPr>
        <w:ind w:right="940"/>
        <w:spacing w:after="0" w:line="262" w:lineRule="auto"/>
        <w:rPr>
          <w:sz w:val="20"/>
          <w:szCs w:val="20"/>
          <w:color w:val="auto"/>
        </w:rPr>
      </w:pPr>
      <w:r>
        <w:rPr>
          <w:rFonts w:ascii="Arial" w:cs="Arial" w:eastAsia="Arial" w:hAnsi="Arial"/>
          <w:sz w:val="22"/>
          <w:szCs w:val="22"/>
          <w:color w:val="auto"/>
        </w:rPr>
        <w:t>The following table shows CRC’s principal amount of debt and mezzanine equity as of June 30, 2020 and at emergence: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67119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gridSpan w:val="2"/>
          </w:tcPr>
          <w:p>
            <w:pPr>
              <w:ind w:left="20"/>
              <w:spacing w:after="0"/>
              <w:rPr>
                <w:sz w:val="20"/>
                <w:szCs w:val="20"/>
                <w:color w:val="auto"/>
              </w:rPr>
            </w:pPr>
            <w:r>
              <w:rPr>
                <w:rFonts w:ascii="Arial" w:cs="Arial" w:eastAsia="Arial" w:hAnsi="Arial"/>
                <w:sz w:val="18"/>
                <w:szCs w:val="18"/>
                <w:b w:val="1"/>
                <w:bCs w:val="1"/>
                <w:color w:val="31849B"/>
              </w:rPr>
              <w:t>Capital Structure</w:t>
            </w:r>
          </w:p>
        </w:tc>
        <w:tc>
          <w:tcPr>
            <w:tcW w:w="3060" w:type="dxa"/>
            <w:vAlign w:val="bottom"/>
          </w:tcPr>
          <w:p>
            <w:pPr>
              <w:ind w:left="540"/>
              <w:spacing w:after="0"/>
              <w:rPr>
                <w:sz w:val="20"/>
                <w:szCs w:val="20"/>
                <w:color w:val="auto"/>
              </w:rPr>
            </w:pPr>
            <w:r>
              <w:rPr>
                <w:rFonts w:ascii="Arial" w:cs="Arial" w:eastAsia="Arial" w:hAnsi="Arial"/>
                <w:sz w:val="18"/>
                <w:szCs w:val="18"/>
                <w:b w:val="1"/>
                <w:bCs w:val="1"/>
                <w:color w:val="31849B"/>
              </w:rPr>
              <w:t>As of</w:t>
            </w:r>
          </w:p>
        </w:tc>
        <w:tc>
          <w:tcPr>
            <w:tcW w:w="3720" w:type="dxa"/>
            <w:vAlign w:val="bottom"/>
          </w:tcPr>
          <w:p>
            <w:pPr>
              <w:ind w:left="1360"/>
              <w:spacing w:after="0"/>
              <w:rPr>
                <w:sz w:val="20"/>
                <w:szCs w:val="20"/>
                <w:color w:val="auto"/>
              </w:rPr>
            </w:pPr>
            <w:r>
              <w:rPr>
                <w:rFonts w:ascii="Arial" w:cs="Arial" w:eastAsia="Arial" w:hAnsi="Arial"/>
                <w:sz w:val="18"/>
                <w:szCs w:val="18"/>
                <w:b w:val="1"/>
                <w:bCs w:val="1"/>
                <w:color w:val="31849B"/>
              </w:rPr>
              <w:t>At Emergence</w:t>
            </w:r>
          </w:p>
        </w:tc>
        <w:tc>
          <w:tcPr>
            <w:tcW w:w="0" w:type="dxa"/>
            <w:vAlign w:val="bottom"/>
          </w:tcPr>
          <w:p>
            <w:pPr>
              <w:spacing w:after="0"/>
              <w:rPr>
                <w:sz w:val="1"/>
                <w:szCs w:val="1"/>
                <w:color w:val="auto"/>
              </w:rPr>
            </w:pPr>
          </w:p>
        </w:tc>
      </w:tr>
      <w:tr>
        <w:trPr>
          <w:trHeight w:val="239"/>
        </w:trPr>
        <w:tc>
          <w:tcPr>
            <w:tcW w:w="38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31849B"/>
              </w:rPr>
              <w:t>(in Millions)</w:t>
            </w:r>
          </w:p>
        </w:tc>
        <w:tc>
          <w:tcPr>
            <w:tcW w:w="3060" w:type="dxa"/>
            <w:vAlign w:val="bottom"/>
          </w:tcPr>
          <w:p>
            <w:pPr>
              <w:ind w:left="540"/>
              <w:spacing w:after="0"/>
              <w:rPr>
                <w:sz w:val="20"/>
                <w:szCs w:val="20"/>
                <w:color w:val="auto"/>
              </w:rPr>
            </w:pPr>
            <w:r>
              <w:rPr>
                <w:rFonts w:ascii="Arial" w:cs="Arial" w:eastAsia="Arial" w:hAnsi="Arial"/>
                <w:sz w:val="18"/>
                <w:szCs w:val="18"/>
                <w:b w:val="1"/>
                <w:bCs w:val="1"/>
                <w:color w:val="31849B"/>
              </w:rPr>
              <w:t>June 30, 2020</w:t>
            </w: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800" w:type="dxa"/>
            <w:vAlign w:val="bottom"/>
            <w:gridSpan w:val="2"/>
            <w:vMerge w:val="continue"/>
          </w:tcPr>
          <w:p>
            <w:pPr>
              <w:spacing w:after="0"/>
              <w:rPr>
                <w:sz w:val="14"/>
                <w:szCs w:val="14"/>
                <w:color w:val="auto"/>
              </w:rPr>
            </w:pPr>
          </w:p>
        </w:tc>
        <w:tc>
          <w:tcPr>
            <w:tcW w:w="30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800" w:type="dxa"/>
            <w:vAlign w:val="bottom"/>
            <w:tcBorders>
              <w:bottom w:val="single" w:sz="8" w:color="4BACC6"/>
            </w:tcBorders>
            <w:gridSpan w:val="2"/>
          </w:tcPr>
          <w:p>
            <w:pPr>
              <w:spacing w:after="0"/>
              <w:rPr>
                <w:sz w:val="2"/>
                <w:szCs w:val="2"/>
                <w:color w:val="auto"/>
              </w:rPr>
            </w:pPr>
          </w:p>
        </w:tc>
        <w:tc>
          <w:tcPr>
            <w:tcW w:w="3060" w:type="dxa"/>
            <w:vAlign w:val="bottom"/>
            <w:tcBorders>
              <w:bottom w:val="single" w:sz="8" w:color="4BACC6"/>
            </w:tcBorders>
          </w:tcPr>
          <w:p>
            <w:pPr>
              <w:spacing w:after="0"/>
              <w:rPr>
                <w:sz w:val="2"/>
                <w:szCs w:val="2"/>
                <w:color w:val="auto"/>
              </w:rPr>
            </w:pPr>
          </w:p>
        </w:tc>
        <w:tc>
          <w:tcPr>
            <w:tcW w:w="3720" w:type="dxa"/>
            <w:vAlign w:val="bottom"/>
            <w:tcBorders>
              <w:bottom w:val="single" w:sz="8" w:color="4BACC6"/>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3800" w:type="dxa"/>
            <w:vAlign w:val="bottom"/>
            <w:gridSpan w:val="2"/>
            <w:shd w:val="clear" w:color="auto" w:fill="D2EAF1"/>
          </w:tcPr>
          <w:p>
            <w:pPr>
              <w:ind w:left="20"/>
              <w:spacing w:after="0"/>
              <w:rPr>
                <w:sz w:val="20"/>
                <w:szCs w:val="20"/>
                <w:color w:val="auto"/>
              </w:rPr>
            </w:pPr>
            <w:r>
              <w:rPr>
                <w:rFonts w:ascii="Arial" w:cs="Arial" w:eastAsia="Arial" w:hAnsi="Arial"/>
                <w:sz w:val="22"/>
                <w:szCs w:val="22"/>
                <w:b w:val="1"/>
                <w:bCs w:val="1"/>
                <w:color w:val="31849B"/>
              </w:rPr>
              <w:t>Debt:</w:t>
            </w:r>
          </w:p>
        </w:tc>
        <w:tc>
          <w:tcPr>
            <w:tcW w:w="3060" w:type="dxa"/>
            <w:vAlign w:val="bottom"/>
            <w:shd w:val="clear" w:color="auto" w:fill="D2EAF1"/>
          </w:tcPr>
          <w:p>
            <w:pPr>
              <w:spacing w:after="0"/>
              <w:rPr>
                <w:sz w:val="24"/>
                <w:szCs w:val="24"/>
                <w:color w:val="auto"/>
              </w:rPr>
            </w:pPr>
          </w:p>
        </w:tc>
        <w:tc>
          <w:tcPr>
            <w:tcW w:w="3720" w:type="dxa"/>
            <w:vAlign w:val="bottom"/>
            <w:shd w:val="clear" w:color="auto" w:fill="D2EAF1"/>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540" w:type="dxa"/>
            <w:vAlign w:val="bottom"/>
          </w:tcPr>
          <w:p>
            <w:pPr>
              <w:ind w:left="20"/>
              <w:spacing w:after="0"/>
              <w:rPr>
                <w:sz w:val="20"/>
                <w:szCs w:val="20"/>
                <w:color w:val="auto"/>
              </w:rPr>
            </w:pPr>
            <w:r>
              <w:rPr>
                <w:rFonts w:ascii="Arial" w:cs="Arial" w:eastAsia="Arial" w:hAnsi="Arial"/>
                <w:sz w:val="22"/>
                <w:szCs w:val="22"/>
                <w:color w:val="31849B"/>
              </w:rPr>
              <w:t>2014</w:t>
            </w:r>
          </w:p>
        </w:tc>
        <w:tc>
          <w:tcPr>
            <w:tcW w:w="3260" w:type="dxa"/>
            <w:vAlign w:val="bottom"/>
          </w:tcPr>
          <w:p>
            <w:pPr>
              <w:ind w:left="20"/>
              <w:spacing w:after="0"/>
              <w:rPr>
                <w:sz w:val="20"/>
                <w:szCs w:val="20"/>
                <w:color w:val="auto"/>
              </w:rPr>
            </w:pPr>
            <w:r>
              <w:rPr>
                <w:rFonts w:ascii="Arial" w:cs="Arial" w:eastAsia="Arial" w:hAnsi="Arial"/>
                <w:sz w:val="22"/>
                <w:szCs w:val="22"/>
                <w:color w:val="31849B"/>
              </w:rPr>
              <w:t>Old Revolving Credit Facility</w:t>
            </w:r>
          </w:p>
        </w:tc>
        <w:tc>
          <w:tcPr>
            <w:tcW w:w="3060" w:type="dxa"/>
            <w:vAlign w:val="bottom"/>
          </w:tcPr>
          <w:p>
            <w:pPr>
              <w:ind w:left="540"/>
              <w:spacing w:after="0"/>
              <w:rPr>
                <w:sz w:val="20"/>
                <w:szCs w:val="20"/>
                <w:color w:val="auto"/>
              </w:rPr>
            </w:pPr>
            <w:r>
              <w:rPr>
                <w:rFonts w:ascii="Arial" w:cs="Arial" w:eastAsia="Arial" w:hAnsi="Arial"/>
                <w:sz w:val="22"/>
                <w:szCs w:val="22"/>
                <w:color w:val="31849B"/>
              </w:rPr>
              <w:t>$731</w:t>
            </w:r>
          </w:p>
        </w:tc>
        <w:tc>
          <w:tcPr>
            <w:tcW w:w="3720" w:type="dxa"/>
            <w:vAlign w:val="bottom"/>
          </w:tcPr>
          <w:p>
            <w:pPr>
              <w:ind w:left="1360"/>
              <w:spacing w:after="0"/>
              <w:rPr>
                <w:sz w:val="20"/>
                <w:szCs w:val="20"/>
                <w:color w:val="auto"/>
              </w:rPr>
            </w:pPr>
            <w:r>
              <w:rPr>
                <w:rFonts w:ascii="Arial" w:cs="Arial" w:eastAsia="Arial" w:hAnsi="Arial"/>
                <w:sz w:val="22"/>
                <w:szCs w:val="22"/>
                <w:color w:val="31849B"/>
              </w:rPr>
              <w:t>---</w:t>
            </w:r>
          </w:p>
        </w:tc>
        <w:tc>
          <w:tcPr>
            <w:tcW w:w="0" w:type="dxa"/>
            <w:vAlign w:val="bottom"/>
          </w:tcPr>
          <w:p>
            <w:pPr>
              <w:spacing w:after="0"/>
              <w:rPr>
                <w:sz w:val="1"/>
                <w:szCs w:val="1"/>
                <w:color w:val="auto"/>
              </w:rPr>
            </w:pPr>
          </w:p>
        </w:tc>
      </w:tr>
      <w:tr>
        <w:trPr>
          <w:trHeight w:val="305"/>
        </w:trPr>
        <w:tc>
          <w:tcPr>
            <w:tcW w:w="3800" w:type="dxa"/>
            <w:vAlign w:val="bottom"/>
            <w:gridSpan w:val="2"/>
            <w:shd w:val="clear" w:color="auto" w:fill="D2EAF1"/>
          </w:tcPr>
          <w:p>
            <w:pPr>
              <w:ind w:left="20"/>
              <w:spacing w:after="0"/>
              <w:rPr>
                <w:sz w:val="20"/>
                <w:szCs w:val="20"/>
                <w:color w:val="auto"/>
              </w:rPr>
            </w:pPr>
            <w:r>
              <w:rPr>
                <w:rFonts w:ascii="Arial" w:cs="Arial" w:eastAsia="Arial" w:hAnsi="Arial"/>
                <w:sz w:val="22"/>
                <w:szCs w:val="22"/>
                <w:color w:val="31849B"/>
              </w:rPr>
              <w:t>NEW Revolving Credit Facility</w:t>
            </w:r>
          </w:p>
        </w:tc>
        <w:tc>
          <w:tcPr>
            <w:tcW w:w="3060" w:type="dxa"/>
            <w:vAlign w:val="bottom"/>
            <w:shd w:val="clear" w:color="auto" w:fill="D2EAF1"/>
          </w:tcPr>
          <w:p>
            <w:pPr>
              <w:ind w:left="540"/>
              <w:spacing w:after="0"/>
              <w:rPr>
                <w:sz w:val="20"/>
                <w:szCs w:val="20"/>
                <w:color w:val="auto"/>
              </w:rPr>
            </w:pPr>
            <w:r>
              <w:rPr>
                <w:rFonts w:ascii="Arial" w:cs="Arial" w:eastAsia="Arial" w:hAnsi="Arial"/>
                <w:sz w:val="22"/>
                <w:szCs w:val="22"/>
                <w:color w:val="31849B"/>
              </w:rPr>
              <w:t>---</w:t>
            </w:r>
          </w:p>
        </w:tc>
        <w:tc>
          <w:tcPr>
            <w:tcW w:w="3720" w:type="dxa"/>
            <w:vAlign w:val="bottom"/>
            <w:shd w:val="clear" w:color="auto" w:fill="D2EAF1"/>
          </w:tcPr>
          <w:p>
            <w:pPr>
              <w:ind w:left="1360"/>
              <w:spacing w:after="0"/>
              <w:rPr>
                <w:sz w:val="20"/>
                <w:szCs w:val="20"/>
                <w:color w:val="auto"/>
              </w:rPr>
            </w:pPr>
            <w:r>
              <w:rPr>
                <w:rFonts w:ascii="Arial" w:cs="Arial" w:eastAsia="Arial" w:hAnsi="Arial"/>
                <w:sz w:val="22"/>
                <w:szCs w:val="22"/>
                <w:color w:val="31849B"/>
              </w:rPr>
              <w:t>$225*</w:t>
            </w:r>
          </w:p>
        </w:tc>
        <w:tc>
          <w:tcPr>
            <w:tcW w:w="0" w:type="dxa"/>
            <w:vAlign w:val="bottom"/>
          </w:tcPr>
          <w:p>
            <w:pPr>
              <w:spacing w:after="0"/>
              <w:rPr>
                <w:sz w:val="1"/>
                <w:szCs w:val="1"/>
                <w:color w:val="auto"/>
              </w:rPr>
            </w:pPr>
          </w:p>
        </w:tc>
      </w:tr>
      <w:tr>
        <w:trPr>
          <w:trHeight w:val="288"/>
        </w:trPr>
        <w:tc>
          <w:tcPr>
            <w:tcW w:w="540" w:type="dxa"/>
            <w:vAlign w:val="bottom"/>
          </w:tcPr>
          <w:p>
            <w:pPr>
              <w:ind w:left="20"/>
              <w:spacing w:after="0"/>
              <w:rPr>
                <w:sz w:val="20"/>
                <w:szCs w:val="20"/>
                <w:color w:val="auto"/>
              </w:rPr>
            </w:pPr>
            <w:r>
              <w:rPr>
                <w:rFonts w:ascii="Arial" w:cs="Arial" w:eastAsia="Arial" w:hAnsi="Arial"/>
                <w:sz w:val="22"/>
                <w:szCs w:val="22"/>
                <w:color w:val="31849B"/>
              </w:rPr>
              <w:t>2017</w:t>
            </w:r>
          </w:p>
        </w:tc>
        <w:tc>
          <w:tcPr>
            <w:tcW w:w="3260" w:type="dxa"/>
            <w:vAlign w:val="bottom"/>
          </w:tcPr>
          <w:p>
            <w:pPr>
              <w:ind w:left="20"/>
              <w:spacing w:after="0"/>
              <w:rPr>
                <w:sz w:val="20"/>
                <w:szCs w:val="20"/>
                <w:color w:val="auto"/>
              </w:rPr>
            </w:pPr>
            <w:r>
              <w:rPr>
                <w:rFonts w:ascii="Arial" w:cs="Arial" w:eastAsia="Arial" w:hAnsi="Arial"/>
                <w:sz w:val="22"/>
                <w:szCs w:val="22"/>
                <w:color w:val="31849B"/>
              </w:rPr>
              <w:t>Term Loan</w:t>
            </w:r>
          </w:p>
        </w:tc>
        <w:tc>
          <w:tcPr>
            <w:tcW w:w="3060" w:type="dxa"/>
            <w:vAlign w:val="bottom"/>
          </w:tcPr>
          <w:p>
            <w:pPr>
              <w:ind w:left="540"/>
              <w:spacing w:after="0"/>
              <w:rPr>
                <w:sz w:val="20"/>
                <w:szCs w:val="20"/>
                <w:color w:val="auto"/>
              </w:rPr>
            </w:pPr>
            <w:r>
              <w:rPr>
                <w:rFonts w:ascii="Arial" w:cs="Arial" w:eastAsia="Arial" w:hAnsi="Arial"/>
                <w:sz w:val="22"/>
                <w:szCs w:val="22"/>
                <w:color w:val="31849B"/>
              </w:rPr>
              <w:t>$1,300</w:t>
            </w:r>
          </w:p>
        </w:tc>
        <w:tc>
          <w:tcPr>
            <w:tcW w:w="3720" w:type="dxa"/>
            <w:vAlign w:val="bottom"/>
          </w:tcPr>
          <w:p>
            <w:pPr>
              <w:ind w:left="1360"/>
              <w:spacing w:after="0"/>
              <w:rPr>
                <w:sz w:val="20"/>
                <w:szCs w:val="20"/>
                <w:color w:val="auto"/>
              </w:rPr>
            </w:pPr>
            <w:r>
              <w:rPr>
                <w:rFonts w:ascii="Arial" w:cs="Arial" w:eastAsia="Arial" w:hAnsi="Arial"/>
                <w:sz w:val="22"/>
                <w:szCs w:val="22"/>
                <w:color w:val="31849B"/>
              </w:rPr>
              <w:t>---</w:t>
            </w:r>
          </w:p>
        </w:tc>
        <w:tc>
          <w:tcPr>
            <w:tcW w:w="0" w:type="dxa"/>
            <w:vAlign w:val="bottom"/>
          </w:tcPr>
          <w:p>
            <w:pPr>
              <w:spacing w:after="0"/>
              <w:rPr>
                <w:sz w:val="1"/>
                <w:szCs w:val="1"/>
                <w:color w:val="auto"/>
              </w:rPr>
            </w:pPr>
          </w:p>
        </w:tc>
      </w:tr>
      <w:tr>
        <w:trPr>
          <w:trHeight w:val="305"/>
        </w:trPr>
        <w:tc>
          <w:tcPr>
            <w:tcW w:w="540" w:type="dxa"/>
            <w:vAlign w:val="bottom"/>
            <w:shd w:val="clear" w:color="auto" w:fill="D2EAF1"/>
          </w:tcPr>
          <w:p>
            <w:pPr>
              <w:ind w:left="20"/>
              <w:spacing w:after="0"/>
              <w:rPr>
                <w:sz w:val="20"/>
                <w:szCs w:val="20"/>
                <w:color w:val="auto"/>
              </w:rPr>
            </w:pPr>
            <w:r>
              <w:rPr>
                <w:rFonts w:ascii="Arial" w:cs="Arial" w:eastAsia="Arial" w:hAnsi="Arial"/>
                <w:sz w:val="22"/>
                <w:szCs w:val="22"/>
                <w:color w:val="31849B"/>
              </w:rPr>
              <w:t>2016</w:t>
            </w:r>
          </w:p>
        </w:tc>
        <w:tc>
          <w:tcPr>
            <w:tcW w:w="3260" w:type="dxa"/>
            <w:vAlign w:val="bottom"/>
            <w:shd w:val="clear" w:color="auto" w:fill="D2EAF1"/>
          </w:tcPr>
          <w:p>
            <w:pPr>
              <w:ind w:left="20"/>
              <w:spacing w:after="0"/>
              <w:rPr>
                <w:sz w:val="20"/>
                <w:szCs w:val="20"/>
                <w:color w:val="auto"/>
              </w:rPr>
            </w:pPr>
            <w:r>
              <w:rPr>
                <w:rFonts w:ascii="Arial" w:cs="Arial" w:eastAsia="Arial" w:hAnsi="Arial"/>
                <w:sz w:val="22"/>
                <w:szCs w:val="22"/>
                <w:color w:val="31849B"/>
              </w:rPr>
              <w:t>Term Loan</w:t>
            </w:r>
          </w:p>
        </w:tc>
        <w:tc>
          <w:tcPr>
            <w:tcW w:w="3060" w:type="dxa"/>
            <w:vAlign w:val="bottom"/>
            <w:shd w:val="clear" w:color="auto" w:fill="D2EAF1"/>
          </w:tcPr>
          <w:p>
            <w:pPr>
              <w:ind w:left="540"/>
              <w:spacing w:after="0"/>
              <w:rPr>
                <w:sz w:val="20"/>
                <w:szCs w:val="20"/>
                <w:color w:val="auto"/>
              </w:rPr>
            </w:pPr>
            <w:r>
              <w:rPr>
                <w:rFonts w:ascii="Arial" w:cs="Arial" w:eastAsia="Arial" w:hAnsi="Arial"/>
                <w:sz w:val="22"/>
                <w:szCs w:val="22"/>
                <w:color w:val="31849B"/>
              </w:rPr>
              <w:t>$1,000</w:t>
            </w:r>
          </w:p>
        </w:tc>
        <w:tc>
          <w:tcPr>
            <w:tcW w:w="3720" w:type="dxa"/>
            <w:vAlign w:val="bottom"/>
            <w:shd w:val="clear" w:color="auto" w:fill="D2EAF1"/>
          </w:tcPr>
          <w:p>
            <w:pPr>
              <w:ind w:left="1360"/>
              <w:spacing w:after="0"/>
              <w:rPr>
                <w:sz w:val="20"/>
                <w:szCs w:val="20"/>
                <w:color w:val="auto"/>
              </w:rPr>
            </w:pPr>
            <w:r>
              <w:rPr>
                <w:rFonts w:ascii="Arial" w:cs="Arial" w:eastAsia="Arial" w:hAnsi="Arial"/>
                <w:sz w:val="22"/>
                <w:szCs w:val="22"/>
                <w:color w:val="31849B"/>
              </w:rPr>
              <w:t>---</w:t>
            </w:r>
          </w:p>
        </w:tc>
        <w:tc>
          <w:tcPr>
            <w:tcW w:w="0" w:type="dxa"/>
            <w:vAlign w:val="bottom"/>
          </w:tcPr>
          <w:p>
            <w:pPr>
              <w:spacing w:after="0"/>
              <w:rPr>
                <w:sz w:val="1"/>
                <w:szCs w:val="1"/>
                <w:color w:val="auto"/>
              </w:rPr>
            </w:pPr>
          </w:p>
        </w:tc>
      </w:tr>
      <w:tr>
        <w:trPr>
          <w:trHeight w:val="289"/>
        </w:trPr>
        <w:tc>
          <w:tcPr>
            <w:tcW w:w="3800" w:type="dxa"/>
            <w:vAlign w:val="bottom"/>
            <w:gridSpan w:val="2"/>
          </w:tcPr>
          <w:p>
            <w:pPr>
              <w:ind w:left="20"/>
              <w:spacing w:after="0"/>
              <w:rPr>
                <w:sz w:val="20"/>
                <w:szCs w:val="20"/>
                <w:color w:val="auto"/>
              </w:rPr>
            </w:pPr>
            <w:r>
              <w:rPr>
                <w:rFonts w:ascii="Arial" w:cs="Arial" w:eastAsia="Arial" w:hAnsi="Arial"/>
                <w:sz w:val="22"/>
                <w:szCs w:val="22"/>
                <w:color w:val="31849B"/>
              </w:rPr>
              <w:t>NEW Second Lien Term Loan</w:t>
            </w:r>
          </w:p>
        </w:tc>
        <w:tc>
          <w:tcPr>
            <w:tcW w:w="3060" w:type="dxa"/>
            <w:vAlign w:val="bottom"/>
          </w:tcPr>
          <w:p>
            <w:pPr>
              <w:ind w:left="540"/>
              <w:spacing w:after="0"/>
              <w:rPr>
                <w:sz w:val="20"/>
                <w:szCs w:val="20"/>
                <w:color w:val="auto"/>
              </w:rPr>
            </w:pPr>
            <w:r>
              <w:rPr>
                <w:rFonts w:ascii="Arial" w:cs="Arial" w:eastAsia="Arial" w:hAnsi="Arial"/>
                <w:sz w:val="22"/>
                <w:szCs w:val="22"/>
                <w:color w:val="31849B"/>
              </w:rPr>
              <w:t>---</w:t>
            </w:r>
          </w:p>
        </w:tc>
        <w:tc>
          <w:tcPr>
            <w:tcW w:w="3720" w:type="dxa"/>
            <w:vAlign w:val="bottom"/>
          </w:tcPr>
          <w:p>
            <w:pPr>
              <w:ind w:left="1360"/>
              <w:spacing w:after="0"/>
              <w:rPr>
                <w:sz w:val="20"/>
                <w:szCs w:val="20"/>
                <w:color w:val="auto"/>
              </w:rPr>
            </w:pPr>
            <w:r>
              <w:rPr>
                <w:rFonts w:ascii="Arial" w:cs="Arial" w:eastAsia="Arial" w:hAnsi="Arial"/>
                <w:sz w:val="22"/>
                <w:szCs w:val="22"/>
                <w:color w:val="31849B"/>
              </w:rPr>
              <w:t>$200</w:t>
            </w:r>
          </w:p>
        </w:tc>
        <w:tc>
          <w:tcPr>
            <w:tcW w:w="0" w:type="dxa"/>
            <w:vAlign w:val="bottom"/>
          </w:tcPr>
          <w:p>
            <w:pPr>
              <w:spacing w:after="0"/>
              <w:rPr>
                <w:sz w:val="1"/>
                <w:szCs w:val="1"/>
                <w:color w:val="auto"/>
              </w:rPr>
            </w:pPr>
          </w:p>
        </w:tc>
      </w:tr>
      <w:tr>
        <w:trPr>
          <w:trHeight w:val="305"/>
        </w:trPr>
        <w:tc>
          <w:tcPr>
            <w:tcW w:w="3800" w:type="dxa"/>
            <w:vAlign w:val="bottom"/>
            <w:gridSpan w:val="2"/>
            <w:shd w:val="clear" w:color="auto" w:fill="D2EAF1"/>
          </w:tcPr>
          <w:p>
            <w:pPr>
              <w:ind w:left="20"/>
              <w:spacing w:after="0"/>
              <w:rPr>
                <w:sz w:val="20"/>
                <w:szCs w:val="20"/>
                <w:color w:val="auto"/>
              </w:rPr>
            </w:pPr>
            <w:r>
              <w:rPr>
                <w:rFonts w:ascii="Arial" w:cs="Arial" w:eastAsia="Arial" w:hAnsi="Arial"/>
                <w:sz w:val="22"/>
                <w:szCs w:val="22"/>
                <w:color w:val="31849B"/>
              </w:rPr>
              <w:t>8% Second Lien Notes due 2022</w:t>
            </w:r>
          </w:p>
        </w:tc>
        <w:tc>
          <w:tcPr>
            <w:tcW w:w="3060" w:type="dxa"/>
            <w:vAlign w:val="bottom"/>
            <w:shd w:val="clear" w:color="auto" w:fill="D2EAF1"/>
          </w:tcPr>
          <w:p>
            <w:pPr>
              <w:ind w:left="540"/>
              <w:spacing w:after="0"/>
              <w:rPr>
                <w:sz w:val="20"/>
                <w:szCs w:val="20"/>
                <w:color w:val="auto"/>
              </w:rPr>
            </w:pPr>
            <w:r>
              <w:rPr>
                <w:rFonts w:ascii="Arial" w:cs="Arial" w:eastAsia="Arial" w:hAnsi="Arial"/>
                <w:sz w:val="22"/>
                <w:szCs w:val="22"/>
                <w:color w:val="31849B"/>
              </w:rPr>
              <w:t>$1,808</w:t>
            </w:r>
          </w:p>
        </w:tc>
        <w:tc>
          <w:tcPr>
            <w:tcW w:w="3720" w:type="dxa"/>
            <w:vAlign w:val="bottom"/>
            <w:shd w:val="clear" w:color="auto" w:fill="D2EAF1"/>
          </w:tcPr>
          <w:p>
            <w:pPr>
              <w:ind w:left="1360"/>
              <w:spacing w:after="0"/>
              <w:rPr>
                <w:sz w:val="20"/>
                <w:szCs w:val="20"/>
                <w:color w:val="auto"/>
              </w:rPr>
            </w:pPr>
            <w:r>
              <w:rPr>
                <w:rFonts w:ascii="Arial" w:cs="Arial" w:eastAsia="Arial" w:hAnsi="Arial"/>
                <w:sz w:val="22"/>
                <w:szCs w:val="22"/>
                <w:color w:val="31849B"/>
              </w:rPr>
              <w:t>---</w:t>
            </w:r>
          </w:p>
        </w:tc>
        <w:tc>
          <w:tcPr>
            <w:tcW w:w="0" w:type="dxa"/>
            <w:vAlign w:val="bottom"/>
          </w:tcPr>
          <w:p>
            <w:pPr>
              <w:spacing w:after="0"/>
              <w:rPr>
                <w:sz w:val="1"/>
                <w:szCs w:val="1"/>
                <w:color w:val="auto"/>
              </w:rPr>
            </w:pPr>
          </w:p>
        </w:tc>
      </w:tr>
      <w:tr>
        <w:trPr>
          <w:trHeight w:val="290"/>
        </w:trPr>
        <w:tc>
          <w:tcPr>
            <w:tcW w:w="3800" w:type="dxa"/>
            <w:vAlign w:val="bottom"/>
            <w:tcBorders>
              <w:bottom w:val="single" w:sz="8" w:color="4BACC6"/>
            </w:tcBorders>
            <w:gridSpan w:val="2"/>
          </w:tcPr>
          <w:p>
            <w:pPr>
              <w:ind w:left="20"/>
              <w:spacing w:after="0"/>
              <w:rPr>
                <w:sz w:val="20"/>
                <w:szCs w:val="20"/>
                <w:color w:val="auto"/>
              </w:rPr>
            </w:pPr>
            <w:r>
              <w:rPr>
                <w:rFonts w:ascii="Arial" w:cs="Arial" w:eastAsia="Arial" w:hAnsi="Arial"/>
                <w:sz w:val="22"/>
                <w:szCs w:val="22"/>
                <w:color w:val="31849B"/>
              </w:rPr>
              <w:t>5.5% Unsecured Notes due 2021</w:t>
            </w:r>
          </w:p>
        </w:tc>
        <w:tc>
          <w:tcPr>
            <w:tcW w:w="3060" w:type="dxa"/>
            <w:vAlign w:val="bottom"/>
            <w:tcBorders>
              <w:bottom w:val="single" w:sz="8" w:color="4BACC6"/>
            </w:tcBorders>
          </w:tcPr>
          <w:p>
            <w:pPr>
              <w:ind w:left="540"/>
              <w:spacing w:after="0"/>
              <w:rPr>
                <w:sz w:val="20"/>
                <w:szCs w:val="20"/>
                <w:color w:val="auto"/>
              </w:rPr>
            </w:pPr>
            <w:r>
              <w:rPr>
                <w:rFonts w:ascii="Arial" w:cs="Arial" w:eastAsia="Arial" w:hAnsi="Arial"/>
                <w:sz w:val="22"/>
                <w:szCs w:val="22"/>
                <w:color w:val="31849B"/>
              </w:rPr>
              <w:t>$100</w:t>
            </w:r>
          </w:p>
        </w:tc>
        <w:tc>
          <w:tcPr>
            <w:tcW w:w="3720" w:type="dxa"/>
            <w:vAlign w:val="bottom"/>
            <w:tcBorders>
              <w:bottom w:val="single" w:sz="8" w:color="4BACC6"/>
            </w:tcBorders>
          </w:tcPr>
          <w:p>
            <w:pPr>
              <w:ind w:left="1360"/>
              <w:spacing w:after="0"/>
              <w:rPr>
                <w:sz w:val="20"/>
                <w:szCs w:val="20"/>
                <w:color w:val="auto"/>
              </w:rPr>
            </w:pPr>
            <w:r>
              <w:rPr>
                <w:rFonts w:ascii="Arial" w:cs="Arial" w:eastAsia="Arial" w:hAnsi="Arial"/>
                <w:sz w:val="22"/>
                <w:szCs w:val="22"/>
                <w:color w:val="31849B"/>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797" w:right="339" w:bottom="1440" w:gutter="0" w:footer="0" w:header="0"/>
        </w:sectPr>
      </w:pPr>
    </w:p>
    <w:bookmarkStart w:id="27" w:name="page28"/>
    <w:bookmarkEnd w:id="27"/>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5711825</wp:posOffset>
            </wp:positionH>
            <wp:positionV relativeFrom="page">
              <wp:posOffset>88900</wp:posOffset>
            </wp:positionV>
            <wp:extent cx="1628775"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628775" cy="411480"/>
                    </a:xfrm>
                    <a:prstGeom prst="rect">
                      <a:avLst/>
                    </a:prstGeom>
                    <a:noFill/>
                  </pic:spPr>
                </pic:pic>
              </a:graphicData>
            </a:graphic>
          </wp:anchor>
        </w:drawing>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67119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ind w:left="20"/>
              <w:spacing w:after="0"/>
              <w:rPr>
                <w:sz w:val="20"/>
                <w:szCs w:val="20"/>
                <w:color w:val="auto"/>
              </w:rPr>
            </w:pPr>
            <w:r>
              <w:rPr>
                <w:rFonts w:ascii="Arial" w:cs="Arial" w:eastAsia="Arial" w:hAnsi="Arial"/>
                <w:sz w:val="18"/>
                <w:szCs w:val="18"/>
                <w:b w:val="1"/>
                <w:bCs w:val="1"/>
                <w:color w:val="31849B"/>
              </w:rPr>
              <w:t>Capital Structure</w:t>
            </w:r>
          </w:p>
        </w:tc>
        <w:tc>
          <w:tcPr>
            <w:tcW w:w="2860" w:type="dxa"/>
            <w:vAlign w:val="bottom"/>
          </w:tcPr>
          <w:p>
            <w:pPr>
              <w:ind w:left="340"/>
              <w:spacing w:after="0"/>
              <w:rPr>
                <w:sz w:val="20"/>
                <w:szCs w:val="20"/>
                <w:color w:val="auto"/>
              </w:rPr>
            </w:pPr>
            <w:r>
              <w:rPr>
                <w:rFonts w:ascii="Arial" w:cs="Arial" w:eastAsia="Arial" w:hAnsi="Arial"/>
                <w:sz w:val="18"/>
                <w:szCs w:val="18"/>
                <w:b w:val="1"/>
                <w:bCs w:val="1"/>
                <w:color w:val="31849B"/>
              </w:rPr>
              <w:t>As of</w:t>
            </w:r>
          </w:p>
        </w:tc>
        <w:tc>
          <w:tcPr>
            <w:tcW w:w="3720" w:type="dxa"/>
            <w:vAlign w:val="bottom"/>
          </w:tcPr>
          <w:p>
            <w:pPr>
              <w:ind w:left="1360"/>
              <w:spacing w:after="0"/>
              <w:rPr>
                <w:sz w:val="20"/>
                <w:szCs w:val="20"/>
                <w:color w:val="auto"/>
              </w:rPr>
            </w:pPr>
            <w:r>
              <w:rPr>
                <w:rFonts w:ascii="Arial" w:cs="Arial" w:eastAsia="Arial" w:hAnsi="Arial"/>
                <w:sz w:val="18"/>
                <w:szCs w:val="18"/>
                <w:b w:val="1"/>
                <w:bCs w:val="1"/>
                <w:color w:val="31849B"/>
              </w:rPr>
              <w:t>At Emergence</w:t>
            </w:r>
          </w:p>
        </w:tc>
        <w:tc>
          <w:tcPr>
            <w:tcW w:w="0" w:type="dxa"/>
            <w:vAlign w:val="bottom"/>
          </w:tcPr>
          <w:p>
            <w:pPr>
              <w:spacing w:after="0"/>
              <w:rPr>
                <w:sz w:val="1"/>
                <w:szCs w:val="1"/>
                <w:color w:val="auto"/>
              </w:rPr>
            </w:pPr>
          </w:p>
        </w:tc>
      </w:tr>
      <w:tr>
        <w:trPr>
          <w:trHeight w:val="239"/>
        </w:trPr>
        <w:tc>
          <w:tcPr>
            <w:tcW w:w="4000" w:type="dxa"/>
            <w:vAlign w:val="bottom"/>
            <w:vMerge w:val="restart"/>
          </w:tcPr>
          <w:p>
            <w:pPr>
              <w:ind w:left="20"/>
              <w:spacing w:after="0"/>
              <w:rPr>
                <w:sz w:val="20"/>
                <w:szCs w:val="20"/>
                <w:color w:val="auto"/>
              </w:rPr>
            </w:pPr>
            <w:r>
              <w:rPr>
                <w:rFonts w:ascii="Arial" w:cs="Arial" w:eastAsia="Arial" w:hAnsi="Arial"/>
                <w:sz w:val="18"/>
                <w:szCs w:val="18"/>
                <w:b w:val="1"/>
                <w:bCs w:val="1"/>
                <w:color w:val="31849B"/>
              </w:rPr>
              <w:t>(in Millions)</w:t>
            </w:r>
          </w:p>
        </w:tc>
        <w:tc>
          <w:tcPr>
            <w:tcW w:w="2860" w:type="dxa"/>
            <w:vAlign w:val="bottom"/>
          </w:tcPr>
          <w:p>
            <w:pPr>
              <w:ind w:left="340"/>
              <w:spacing w:after="0"/>
              <w:rPr>
                <w:sz w:val="20"/>
                <w:szCs w:val="20"/>
                <w:color w:val="auto"/>
              </w:rPr>
            </w:pPr>
            <w:r>
              <w:rPr>
                <w:rFonts w:ascii="Arial" w:cs="Arial" w:eastAsia="Arial" w:hAnsi="Arial"/>
                <w:sz w:val="18"/>
                <w:szCs w:val="18"/>
                <w:b w:val="1"/>
                <w:bCs w:val="1"/>
                <w:color w:val="31849B"/>
              </w:rPr>
              <w:t>June 30, 2020</w:t>
            </w: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000" w:type="dxa"/>
            <w:vAlign w:val="bottom"/>
            <w:vMerge w:val="continue"/>
          </w:tcPr>
          <w:p>
            <w:pPr>
              <w:spacing w:after="0"/>
              <w:rPr>
                <w:sz w:val="14"/>
                <w:szCs w:val="14"/>
                <w:color w:val="auto"/>
              </w:rPr>
            </w:pPr>
          </w:p>
        </w:tc>
        <w:tc>
          <w:tcPr>
            <w:tcW w:w="28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4BACC6"/>
            </w:tcBorders>
          </w:tcPr>
          <w:p>
            <w:pPr>
              <w:spacing w:after="0"/>
              <w:rPr>
                <w:sz w:val="2"/>
                <w:szCs w:val="2"/>
                <w:color w:val="auto"/>
              </w:rPr>
            </w:pPr>
          </w:p>
        </w:tc>
        <w:tc>
          <w:tcPr>
            <w:tcW w:w="2860" w:type="dxa"/>
            <w:vAlign w:val="bottom"/>
            <w:tcBorders>
              <w:bottom w:val="single" w:sz="8" w:color="4BACC6"/>
            </w:tcBorders>
          </w:tcPr>
          <w:p>
            <w:pPr>
              <w:spacing w:after="0"/>
              <w:rPr>
                <w:sz w:val="2"/>
                <w:szCs w:val="2"/>
                <w:color w:val="auto"/>
              </w:rPr>
            </w:pPr>
          </w:p>
        </w:tc>
        <w:tc>
          <w:tcPr>
            <w:tcW w:w="3720" w:type="dxa"/>
            <w:vAlign w:val="bottom"/>
            <w:tcBorders>
              <w:bottom w:val="single" w:sz="8" w:color="4BACC6"/>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4000" w:type="dxa"/>
            <w:vAlign w:val="bottom"/>
            <w:shd w:val="clear" w:color="auto" w:fill="D2EAF1"/>
          </w:tcPr>
          <w:p>
            <w:pPr>
              <w:ind w:left="20"/>
              <w:spacing w:after="0"/>
              <w:rPr>
                <w:sz w:val="20"/>
                <w:szCs w:val="20"/>
                <w:color w:val="auto"/>
              </w:rPr>
            </w:pPr>
            <w:r>
              <w:rPr>
                <w:rFonts w:ascii="Arial" w:cs="Arial" w:eastAsia="Arial" w:hAnsi="Arial"/>
                <w:sz w:val="22"/>
                <w:szCs w:val="22"/>
                <w:color w:val="31849B"/>
              </w:rPr>
              <w:t>6% Unsecured Notes due 2024</w:t>
            </w:r>
          </w:p>
        </w:tc>
        <w:tc>
          <w:tcPr>
            <w:tcW w:w="2860" w:type="dxa"/>
            <w:vAlign w:val="bottom"/>
            <w:shd w:val="clear" w:color="auto" w:fill="D2EAF1"/>
          </w:tcPr>
          <w:p>
            <w:pPr>
              <w:ind w:left="340"/>
              <w:spacing w:after="0"/>
              <w:rPr>
                <w:sz w:val="20"/>
                <w:szCs w:val="20"/>
                <w:color w:val="auto"/>
              </w:rPr>
            </w:pPr>
            <w:r>
              <w:rPr>
                <w:rFonts w:ascii="Arial" w:cs="Arial" w:eastAsia="Arial" w:hAnsi="Arial"/>
                <w:sz w:val="22"/>
                <w:szCs w:val="22"/>
                <w:color w:val="31849B"/>
              </w:rPr>
              <w:t>$144</w:t>
            </w:r>
          </w:p>
        </w:tc>
        <w:tc>
          <w:tcPr>
            <w:tcW w:w="3720" w:type="dxa"/>
            <w:vAlign w:val="bottom"/>
            <w:shd w:val="clear" w:color="auto" w:fill="D2EAF1"/>
          </w:tcPr>
          <w:p>
            <w:pPr>
              <w:ind w:left="1360"/>
              <w:spacing w:after="0"/>
              <w:rPr>
                <w:sz w:val="20"/>
                <w:szCs w:val="20"/>
                <w:color w:val="auto"/>
              </w:rPr>
            </w:pPr>
            <w:r>
              <w:rPr>
                <w:rFonts w:ascii="Arial" w:cs="Arial" w:eastAsia="Arial" w:hAnsi="Arial"/>
                <w:sz w:val="22"/>
                <w:szCs w:val="22"/>
                <w:color w:val="31849B"/>
              </w:rPr>
              <w:t>---</w:t>
            </w:r>
          </w:p>
        </w:tc>
        <w:tc>
          <w:tcPr>
            <w:tcW w:w="0" w:type="dxa"/>
            <w:vAlign w:val="bottom"/>
          </w:tcPr>
          <w:p>
            <w:pPr>
              <w:spacing w:after="0"/>
              <w:rPr>
                <w:sz w:val="1"/>
                <w:szCs w:val="1"/>
                <w:color w:val="auto"/>
              </w:rPr>
            </w:pPr>
          </w:p>
        </w:tc>
      </w:tr>
      <w:tr>
        <w:trPr>
          <w:trHeight w:val="288"/>
        </w:trPr>
        <w:tc>
          <w:tcPr>
            <w:tcW w:w="4000" w:type="dxa"/>
            <w:vAlign w:val="bottom"/>
          </w:tcPr>
          <w:p>
            <w:pPr>
              <w:ind w:left="20"/>
              <w:spacing w:after="0"/>
              <w:rPr>
                <w:sz w:val="20"/>
                <w:szCs w:val="20"/>
                <w:color w:val="auto"/>
              </w:rPr>
            </w:pPr>
            <w:r>
              <w:rPr>
                <w:rFonts w:ascii="Arial" w:cs="Arial" w:eastAsia="Arial" w:hAnsi="Arial"/>
                <w:sz w:val="22"/>
                <w:szCs w:val="22"/>
                <w:color w:val="31849B"/>
              </w:rPr>
              <w:t>NEW Secured Notes due 2027</w:t>
            </w:r>
          </w:p>
        </w:tc>
        <w:tc>
          <w:tcPr>
            <w:tcW w:w="2860" w:type="dxa"/>
            <w:vAlign w:val="bottom"/>
          </w:tcPr>
          <w:p>
            <w:pPr>
              <w:ind w:left="340"/>
              <w:spacing w:after="0"/>
              <w:rPr>
                <w:sz w:val="20"/>
                <w:szCs w:val="20"/>
                <w:color w:val="auto"/>
              </w:rPr>
            </w:pPr>
            <w:r>
              <w:rPr>
                <w:rFonts w:ascii="Arial" w:cs="Arial" w:eastAsia="Arial" w:hAnsi="Arial"/>
                <w:sz w:val="22"/>
                <w:szCs w:val="22"/>
                <w:color w:val="31849B"/>
              </w:rPr>
              <w:t>---</w:t>
            </w:r>
          </w:p>
        </w:tc>
        <w:tc>
          <w:tcPr>
            <w:tcW w:w="3720" w:type="dxa"/>
            <w:vAlign w:val="bottom"/>
          </w:tcPr>
          <w:p>
            <w:pPr>
              <w:ind w:left="1360"/>
              <w:spacing w:after="0"/>
              <w:rPr>
                <w:sz w:val="20"/>
                <w:szCs w:val="20"/>
                <w:color w:val="auto"/>
              </w:rPr>
            </w:pPr>
            <w:r>
              <w:rPr>
                <w:rFonts w:ascii="Arial" w:cs="Arial" w:eastAsia="Arial" w:hAnsi="Arial"/>
                <w:sz w:val="22"/>
                <w:szCs w:val="22"/>
                <w:color w:val="31849B"/>
              </w:rPr>
              <w:t>$300</w:t>
            </w:r>
          </w:p>
        </w:tc>
        <w:tc>
          <w:tcPr>
            <w:tcW w:w="0" w:type="dxa"/>
            <w:vAlign w:val="bottom"/>
          </w:tcPr>
          <w:p>
            <w:pPr>
              <w:spacing w:after="0"/>
              <w:rPr>
                <w:sz w:val="1"/>
                <w:szCs w:val="1"/>
                <w:color w:val="auto"/>
              </w:rPr>
            </w:pPr>
          </w:p>
        </w:tc>
      </w:tr>
      <w:tr>
        <w:trPr>
          <w:trHeight w:val="306"/>
        </w:trPr>
        <w:tc>
          <w:tcPr>
            <w:tcW w:w="4000" w:type="dxa"/>
            <w:vAlign w:val="bottom"/>
            <w:shd w:val="clear" w:color="auto" w:fill="D2EAF1"/>
          </w:tcPr>
          <w:p>
            <w:pPr>
              <w:ind w:left="20"/>
              <w:spacing w:after="0"/>
              <w:rPr>
                <w:sz w:val="20"/>
                <w:szCs w:val="20"/>
                <w:color w:val="auto"/>
              </w:rPr>
            </w:pPr>
            <w:r>
              <w:rPr>
                <w:rFonts w:ascii="Arial" w:cs="Arial" w:eastAsia="Arial" w:hAnsi="Arial"/>
                <w:sz w:val="22"/>
                <w:szCs w:val="22"/>
                <w:b w:val="1"/>
                <w:bCs w:val="1"/>
                <w:color w:val="31849B"/>
              </w:rPr>
              <w:t>Mezzanine Equity:</w:t>
            </w:r>
          </w:p>
        </w:tc>
        <w:tc>
          <w:tcPr>
            <w:tcW w:w="2860" w:type="dxa"/>
            <w:vAlign w:val="bottom"/>
            <w:shd w:val="clear" w:color="auto" w:fill="D2EAF1"/>
          </w:tcPr>
          <w:p>
            <w:pPr>
              <w:spacing w:after="0"/>
              <w:rPr>
                <w:sz w:val="24"/>
                <w:szCs w:val="24"/>
                <w:color w:val="auto"/>
              </w:rPr>
            </w:pPr>
          </w:p>
        </w:tc>
        <w:tc>
          <w:tcPr>
            <w:tcW w:w="3720" w:type="dxa"/>
            <w:vAlign w:val="bottom"/>
            <w:shd w:val="clear" w:color="auto" w:fill="D2EAF1"/>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00" w:type="dxa"/>
            <w:vAlign w:val="bottom"/>
          </w:tcPr>
          <w:p>
            <w:pPr>
              <w:ind w:left="20"/>
              <w:spacing w:after="0"/>
              <w:rPr>
                <w:sz w:val="20"/>
                <w:szCs w:val="20"/>
                <w:color w:val="auto"/>
              </w:rPr>
            </w:pPr>
            <w:r>
              <w:rPr>
                <w:rFonts w:ascii="Arial" w:cs="Arial" w:eastAsia="Arial" w:hAnsi="Arial"/>
                <w:sz w:val="22"/>
                <w:szCs w:val="22"/>
                <w:color w:val="31849B"/>
              </w:rPr>
              <w:t>Elk Hills Power Noncontrolling interest</w:t>
            </w:r>
          </w:p>
        </w:tc>
        <w:tc>
          <w:tcPr>
            <w:tcW w:w="2860" w:type="dxa"/>
            <w:vAlign w:val="bottom"/>
          </w:tcPr>
          <w:p>
            <w:pPr>
              <w:ind w:left="340"/>
              <w:spacing w:after="0"/>
              <w:rPr>
                <w:sz w:val="20"/>
                <w:szCs w:val="20"/>
                <w:color w:val="auto"/>
              </w:rPr>
            </w:pPr>
            <w:r>
              <w:rPr>
                <w:rFonts w:ascii="Arial" w:cs="Arial" w:eastAsia="Arial" w:hAnsi="Arial"/>
                <w:sz w:val="22"/>
                <w:szCs w:val="22"/>
                <w:color w:val="31849B"/>
              </w:rPr>
              <w:t>$827</w:t>
            </w:r>
          </w:p>
        </w:tc>
        <w:tc>
          <w:tcPr>
            <w:tcW w:w="3720" w:type="dxa"/>
            <w:vAlign w:val="bottom"/>
          </w:tcPr>
          <w:p>
            <w:pPr>
              <w:ind w:left="1360"/>
              <w:spacing w:after="0"/>
              <w:rPr>
                <w:sz w:val="20"/>
                <w:szCs w:val="20"/>
                <w:color w:val="auto"/>
              </w:rPr>
            </w:pPr>
            <w:r>
              <w:rPr>
                <w:rFonts w:ascii="Arial" w:cs="Arial" w:eastAsia="Arial" w:hAnsi="Arial"/>
                <w:sz w:val="22"/>
                <w:szCs w:val="22"/>
                <w:b w:val="1"/>
                <w:bCs w:val="1"/>
                <w:color w:val="31849B"/>
              </w:rPr>
              <w:t>---</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4BACC6"/>
            </w:tcBorders>
            <w:shd w:val="clear" w:color="auto" w:fill="D2EAF1"/>
          </w:tcPr>
          <w:p>
            <w:pPr>
              <w:ind w:left="20"/>
              <w:spacing w:after="0"/>
              <w:rPr>
                <w:sz w:val="20"/>
                <w:szCs w:val="20"/>
                <w:color w:val="auto"/>
              </w:rPr>
            </w:pPr>
            <w:r>
              <w:rPr>
                <w:rFonts w:ascii="Arial" w:cs="Arial" w:eastAsia="Arial" w:hAnsi="Arial"/>
                <w:sz w:val="22"/>
                <w:szCs w:val="22"/>
                <w:b w:val="1"/>
                <w:bCs w:val="1"/>
                <w:color w:val="31849B"/>
              </w:rPr>
              <w:t>Total Debt &amp; Mezzanine Equity</w:t>
            </w:r>
          </w:p>
        </w:tc>
        <w:tc>
          <w:tcPr>
            <w:tcW w:w="2860" w:type="dxa"/>
            <w:vAlign w:val="bottom"/>
            <w:tcBorders>
              <w:bottom w:val="single" w:sz="8" w:color="4BACC6"/>
            </w:tcBorders>
            <w:shd w:val="clear" w:color="auto" w:fill="D2EAF1"/>
          </w:tcPr>
          <w:p>
            <w:pPr>
              <w:ind w:left="340"/>
              <w:spacing w:after="0"/>
              <w:rPr>
                <w:sz w:val="20"/>
                <w:szCs w:val="20"/>
                <w:color w:val="auto"/>
              </w:rPr>
            </w:pPr>
            <w:r>
              <w:rPr>
                <w:rFonts w:ascii="Arial" w:cs="Arial" w:eastAsia="Arial" w:hAnsi="Arial"/>
                <w:sz w:val="22"/>
                <w:szCs w:val="22"/>
                <w:b w:val="1"/>
                <w:bCs w:val="1"/>
                <w:color w:val="31849B"/>
              </w:rPr>
              <w:t>$5,910</w:t>
            </w:r>
          </w:p>
        </w:tc>
        <w:tc>
          <w:tcPr>
            <w:tcW w:w="3720" w:type="dxa"/>
            <w:vAlign w:val="bottom"/>
            <w:tcBorders>
              <w:bottom w:val="single" w:sz="8" w:color="4BACC6"/>
            </w:tcBorders>
            <w:shd w:val="clear" w:color="auto" w:fill="D2EAF1"/>
          </w:tcPr>
          <w:p>
            <w:pPr>
              <w:ind w:left="1360"/>
              <w:spacing w:after="0"/>
              <w:rPr>
                <w:sz w:val="20"/>
                <w:szCs w:val="20"/>
                <w:color w:val="auto"/>
              </w:rPr>
            </w:pPr>
            <w:r>
              <w:rPr>
                <w:rFonts w:ascii="Arial" w:cs="Arial" w:eastAsia="Arial" w:hAnsi="Arial"/>
                <w:sz w:val="22"/>
                <w:szCs w:val="22"/>
                <w:b w:val="1"/>
                <w:bCs w:val="1"/>
                <w:color w:val="31849B"/>
              </w:rPr>
              <w:t>$725</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60" w:firstLine="8"/>
        <w:spacing w:after="0" w:line="269" w:lineRule="auto"/>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Certain letters of credit outstanding under our senior debtor-in-possession facility have been cash-collateralized on an interim basis until transferred to our New Revolving Credit Facility. This interim cash collateralization resulted in $118 million temporarily funded under the New Revolving Credit Facility. Excluding this amount, the balance outstanding on our New Revolving Credit Facility, net of unrestricted cash of $70 million, would have been $37 million.</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Newly Appointed Board of Directors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In accordance with the Plan, CRC has a new Board of Directors (“Board”) effective today. The new Board members are Chairperson Mark A. McFarland, Douglas E. Brooks, Tiffany (TJ) Thom Cepak, James N. Chapman, Julio M. Quintana, William B. Roby and Brian Steck. President and CEO Todd Stevens will also continue to serve as a director of CRC. The Board has standing Audit, Compensation, Nominating and Governance Committees. The formation and composition of a Sustainability Committee will be addressed following emergence.</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Information</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 xml:space="preserve">Additional information regarding CRC’s Chapter 11 filing is available at </w:t>
      </w:r>
      <w:r>
        <w:rPr>
          <w:rFonts w:ascii="Arial" w:cs="Arial" w:eastAsia="Arial" w:hAnsi="Arial"/>
          <w:sz w:val="20"/>
          <w:szCs w:val="20"/>
          <w:u w:val="single" w:color="auto"/>
          <w:color w:val="0000FF"/>
        </w:rPr>
        <w:t>https://investors.crc.com/Corporate-Restructuring-Information/default.aspx</w:t>
      </w:r>
      <w:r>
        <w:rPr>
          <w:rFonts w:ascii="Arial" w:cs="Arial" w:eastAsia="Arial" w:hAnsi="Arial"/>
          <w:sz w:val="20"/>
          <w:szCs w:val="20"/>
          <w:color w:val="0000FF"/>
        </w:rPr>
        <w:t xml:space="preserve"> </w:t>
      </w:r>
      <w:r>
        <w:rPr>
          <w:rFonts w:ascii="Arial" w:cs="Arial" w:eastAsia="Arial" w:hAnsi="Arial"/>
          <w:sz w:val="20"/>
          <w:szCs w:val="20"/>
          <w:color w:val="000000"/>
        </w:rPr>
        <w:t>and will be provided in a Form 8-K, which can be viewed on the Company’s website at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www.crc.com</w:t>
      </w:r>
      <w:r>
        <w:rPr>
          <w:rFonts w:ascii="Arial" w:cs="Arial" w:eastAsia="Arial" w:hAnsi="Arial"/>
          <w:sz w:val="20"/>
          <w:szCs w:val="20"/>
          <w:color w:val="0000FF"/>
        </w:rPr>
        <w:t xml:space="preserve"> </w:t>
      </w:r>
      <w:r>
        <w:rPr>
          <w:rFonts w:ascii="Arial" w:cs="Arial" w:eastAsia="Arial" w:hAnsi="Arial"/>
          <w:sz w:val="20"/>
          <w:szCs w:val="20"/>
          <w:color w:val="000000"/>
        </w:rPr>
        <w:t>or</w:t>
      </w:r>
      <w:r>
        <w:rPr>
          <w:rFonts w:ascii="Arial" w:cs="Arial" w:eastAsia="Arial" w:hAnsi="Arial"/>
          <w:sz w:val="20"/>
          <w:szCs w:val="20"/>
          <w:color w:val="0000FF"/>
        </w:rPr>
        <w:t xml:space="preserve"> </w:t>
      </w:r>
      <w:r>
        <w:rPr>
          <w:rFonts w:ascii="Arial" w:cs="Arial" w:eastAsia="Arial" w:hAnsi="Arial"/>
          <w:sz w:val="20"/>
          <w:szCs w:val="20"/>
          <w:color w:val="000000"/>
        </w:rPr>
        <w:t xml:space="preserve">the SEC’s website at </w:t>
      </w:r>
      <w:r>
        <w:rPr>
          <w:rFonts w:ascii="Arial" w:cs="Arial" w:eastAsia="Arial" w:hAnsi="Arial"/>
          <w:sz w:val="20"/>
          <w:szCs w:val="20"/>
          <w:u w:val="single" w:color="auto"/>
          <w:color w:val="0000FF"/>
        </w:rPr>
        <w:t>www.sec.gov</w:t>
      </w:r>
      <w:r>
        <w:rPr>
          <w:rFonts w:ascii="Arial" w:cs="Arial" w:eastAsia="Arial" w:hAnsi="Arial"/>
          <w:sz w:val="20"/>
          <w:szCs w:val="20"/>
          <w:color w:val="000000"/>
        </w:rPr>
        <w:t xml:space="preserve">. Copies of the signed orders and the full court docket for this case can be found online at </w:t>
      </w:r>
      <w:r>
        <w:rPr>
          <w:rFonts w:ascii="Arial" w:cs="Arial" w:eastAsia="Arial" w:hAnsi="Arial"/>
          <w:sz w:val="20"/>
          <w:szCs w:val="20"/>
          <w:u w:val="single" w:color="auto"/>
          <w:color w:val="0000FF"/>
        </w:rPr>
        <w:t>https://dm.epiq11.com/CaliforniaResources</w:t>
      </w:r>
      <w:r>
        <w:rPr>
          <w:rFonts w:ascii="Arial" w:cs="Arial" w:eastAsia="Arial" w:hAnsi="Arial"/>
          <w:sz w:val="20"/>
          <w:szCs w:val="20"/>
          <w:color w:val="0000FF"/>
        </w:rPr>
        <w:t xml:space="preserve"> </w:t>
      </w:r>
      <w:r>
        <w:rPr>
          <w:rFonts w:ascii="Arial" w:cs="Arial" w:eastAsia="Arial" w:hAnsi="Arial"/>
          <w:sz w:val="20"/>
          <w:szCs w:val="20"/>
          <w:color w:val="000000"/>
        </w:rPr>
        <w:t>and questions regarding the bankruptcy specifics should be directed to the</w:t>
      </w:r>
      <w:r>
        <w:rPr>
          <w:rFonts w:ascii="Arial" w:cs="Arial" w:eastAsia="Arial" w:hAnsi="Arial"/>
          <w:sz w:val="20"/>
          <w:szCs w:val="20"/>
          <w:color w:val="0000FF"/>
        </w:rPr>
        <w:t xml:space="preserve"> </w:t>
      </w:r>
      <w:r>
        <w:rPr>
          <w:rFonts w:ascii="Arial" w:cs="Arial" w:eastAsia="Arial" w:hAnsi="Arial"/>
          <w:sz w:val="20"/>
          <w:szCs w:val="20"/>
          <w:color w:val="000000"/>
        </w:rPr>
        <w:t xml:space="preserve">Company’s claim agent by emailing </w:t>
      </w:r>
      <w:r>
        <w:rPr>
          <w:rFonts w:ascii="Arial" w:cs="Arial" w:eastAsia="Arial" w:hAnsi="Arial"/>
          <w:sz w:val="20"/>
          <w:szCs w:val="20"/>
          <w:u w:val="single" w:color="auto"/>
          <w:color w:val="3051F2"/>
        </w:rPr>
        <w:t>CRCinquiries@epiqglobal.com</w:t>
      </w:r>
      <w:r>
        <w:rPr>
          <w:rFonts w:ascii="Arial" w:cs="Arial" w:eastAsia="Arial" w:hAnsi="Arial"/>
          <w:sz w:val="20"/>
          <w:szCs w:val="20"/>
          <w:color w:val="000000"/>
        </w:rPr>
        <w:t xml:space="preserve"> or by calling (855) 917-3506.</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 Disclosure</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333333"/>
        </w:rPr>
        <w:t>This release contains forward-looking statements that involve risks and uncertainties that could materially affect our expected results of operations, liquidity, cash flows and business prospects. Such statements include those regarding our expectations as to our future: financial position, liquidity, cash flows and results of operations; business prospects; transactions and projects; operating costs; operations and operational results including capital investment and expected VCI; and budgets.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333333"/>
        </w:rPr>
        <w:t>Actual results may differ from anticipated results, sometimes materially, and reported results should not be considered an indication of future performance. While we believe the assumptions or bases underlying our expectations are reasonable and make them in good faith, they almost always vary from actual results, sometimes materially. Factors (but not necessarily all the factors) that could cause results to differ include the factors discussed in “Risk Factors” in our Annual Report on Form 10-K available on our website at www.crc.com.</w:t>
      </w:r>
    </w:p>
    <w:p>
      <w:pPr>
        <w:sectPr>
          <w:pgSz w:w="11900" w:h="16838" w:orient="portrait"/>
          <w:cols w:equalWidth="0" w:num="1">
            <w:col w:w="11240"/>
          </w:cols>
          <w:pgMar w:left="320" w:top="797" w:right="339" w:bottom="1440" w:gutter="0" w:footer="0" w:header="0"/>
        </w:sectPr>
      </w:pPr>
    </w:p>
    <w:bookmarkStart w:id="28" w:name="page29"/>
    <w:bookmarkEnd w:id="28"/>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5711825</wp:posOffset>
            </wp:positionH>
            <wp:positionV relativeFrom="page">
              <wp:posOffset>88900</wp:posOffset>
            </wp:positionV>
            <wp:extent cx="1628775"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628775" cy="411480"/>
                    </a:xfrm>
                    <a:prstGeom prst="rect">
                      <a:avLst/>
                    </a:prstGeom>
                    <a:noFill/>
                  </pic:spPr>
                </pic:pic>
              </a:graphicData>
            </a:graphic>
          </wp:anchor>
        </w:drawing>
        <w:t>Page 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333333"/>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California Resources Corporation</w:t>
      </w:r>
    </w:p>
    <w:p>
      <w:pPr>
        <w:spacing w:after="0" w:line="253"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333333"/>
        </w:rPr>
        <w:t xml:space="preserve">California Resources Corporation is an independent exploration and production company and the largest producer of oil and natural gas in California. The Company operates its world class resource base exclusively within the State of California, applying complementary and integrated infrastructure to gather, process and market its production. Using advanced technology, California Resources Corporation </w:t>
      </w:r>
      <w:r>
        <w:rPr>
          <w:rFonts w:ascii="Arial" w:cs="Arial" w:eastAsia="Arial" w:hAnsi="Arial"/>
          <w:sz w:val="19"/>
          <w:szCs w:val="19"/>
          <w:color w:val="000000"/>
        </w:rPr>
        <w:t>focuses on safely and responsibly supplying affordable energy for California by Californians.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CRC Contacts:</w:t>
      </w:r>
    </w:p>
    <w:p>
      <w:pPr>
        <w:spacing w:after="0" w:line="266" w:lineRule="exact"/>
        <w:rPr>
          <w:sz w:val="20"/>
          <w:szCs w:val="20"/>
          <w:color w:val="auto"/>
        </w:rPr>
      </w:pPr>
    </w:p>
    <w:p>
      <w:pPr>
        <w:spacing w:after="0"/>
        <w:tabs>
          <w:tab w:leader="none" w:pos="3580" w:val="left"/>
        </w:tabs>
        <w:rPr>
          <w:sz w:val="20"/>
          <w:szCs w:val="20"/>
          <w:color w:val="auto"/>
        </w:rPr>
      </w:pPr>
      <w:r>
        <w:rPr>
          <w:rFonts w:ascii="Arial" w:cs="Arial" w:eastAsia="Arial" w:hAnsi="Arial"/>
          <w:sz w:val="20"/>
          <w:szCs w:val="20"/>
          <w:color w:val="auto"/>
        </w:rPr>
        <w:t>Scott Espenshade (Investor Relations)</w:t>
      </w:r>
      <w:r>
        <w:rPr>
          <w:sz w:val="20"/>
          <w:szCs w:val="20"/>
          <w:color w:val="auto"/>
        </w:rPr>
        <w:tab/>
      </w:r>
      <w:r>
        <w:rPr>
          <w:rFonts w:ascii="Arial" w:cs="Arial" w:eastAsia="Arial" w:hAnsi="Arial"/>
          <w:sz w:val="19"/>
          <w:szCs w:val="19"/>
          <w:color w:val="auto"/>
        </w:rPr>
        <w:t>Margita Thompson (Media)</w:t>
      </w:r>
    </w:p>
    <w:p>
      <w:pPr>
        <w:ind w:right="5960" w:firstLine="8"/>
        <w:spacing w:after="0" w:line="246" w:lineRule="auto"/>
        <w:tabs>
          <w:tab w:leader="none" w:pos="517" w:val="left"/>
        </w:tabs>
        <w:numPr>
          <w:ilvl w:val="0"/>
          <w:numId w:val="29"/>
        </w:numPr>
        <w:rPr>
          <w:rFonts w:ascii="Arial" w:cs="Arial" w:eastAsia="Arial" w:hAnsi="Arial"/>
          <w:sz w:val="20"/>
          <w:szCs w:val="20"/>
          <w:color w:val="auto"/>
        </w:rPr>
      </w:pPr>
      <w:r>
        <w:rPr>
          <w:rFonts w:ascii="Arial" w:cs="Arial" w:eastAsia="Arial" w:hAnsi="Arial"/>
          <w:sz w:val="20"/>
          <w:szCs w:val="20"/>
          <w:color w:val="auto"/>
        </w:rPr>
        <w:t xml:space="preserve">661-6010 (818) 661-6005 </w:t>
      </w:r>
      <w:r>
        <w:rPr>
          <w:rFonts w:ascii="Arial" w:cs="Arial" w:eastAsia="Arial" w:hAnsi="Arial"/>
          <w:sz w:val="20"/>
          <w:szCs w:val="20"/>
          <w:u w:val="single" w:color="auto"/>
          <w:color w:val="3051F2"/>
        </w:rPr>
        <w:t>Scott.Espenshade@crc.com Margita.Thompson@crc.com</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240"/>
          </w:cols>
          <w:pgMar w:left="320" w:top="797" w:right="339" w:bottom="1440" w:gutter="0" w:footer="0" w:header="0"/>
        </w:sectPr>
      </w:pPr>
    </w:p>
    <w:bookmarkStart w:id="29" w:name="page30"/>
    <w:bookmarkEnd w:id="29"/>
    <w:p>
      <w:pPr>
        <w:ind w:left="8880"/>
        <w:spacing w:after="0"/>
        <w:rPr>
          <w:sz w:val="20"/>
          <w:szCs w:val="20"/>
          <w:color w:val="auto"/>
        </w:rPr>
      </w:pPr>
      <w:r>
        <w:rPr>
          <w:rFonts w:ascii="Arial" w:cs="Arial" w:eastAsia="Arial" w:hAnsi="Arial"/>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168275</wp:posOffset>
            </wp:positionV>
            <wp:extent cx="6172200" cy="3472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72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72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72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72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72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72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72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72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72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72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72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72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72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72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72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72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04"/>
    </w:lvl>
  </w:abstractNum>
  <w:abstractNum w:abstractNumId="2">
    <w:nsid w:val="6B68079A"/>
    <w:multiLevelType w:val="hybridMultilevel"/>
    <w:lvl w:ilvl="0">
      <w:lvlJc w:val="left"/>
      <w:lvlText w:val="(%1)"/>
      <w:numFmt w:val="lowerLetter"/>
      <w:start w:val="1"/>
    </w:lvl>
    <w:lvl w:ilvl="1">
      <w:lvlJc w:val="left"/>
      <w:lvlText w:val="%2."/>
      <w:numFmt w:val="lowerRoman"/>
      <w:start w:val="1"/>
    </w:lvl>
  </w:abstractNum>
  <w:abstractNum w:abstractNumId="3">
    <w:nsid w:val="4E6AFB66"/>
    <w:multiLevelType w:val="hybridMultilevel"/>
    <w:lvl w:ilvl="0">
      <w:lvlJc w:val="left"/>
      <w:lvlText w:val="%1."/>
      <w:numFmt w:val="lowerRoman"/>
      <w:start w:val="2"/>
    </w:lvl>
  </w:abstractNum>
  <w:abstractNum w:abstractNumId="4">
    <w:nsid w:val="25E45D32"/>
    <w:multiLevelType w:val="hybridMultilevel"/>
    <w:lvl w:ilvl="0">
      <w:lvlJc w:val="left"/>
      <w:lvlText w:val="(%1)"/>
      <w:numFmt w:val="upperLetter"/>
      <w:start w:val="1"/>
    </w:lvl>
  </w:abstractNum>
  <w:abstractNum w:abstractNumId="5">
    <w:nsid w:val="519B500D"/>
    <w:multiLevelType w:val="hybridMultilevel"/>
    <w:lvl w:ilvl="0">
      <w:lvlJc w:val="left"/>
      <w:lvlText w:val="(%1)"/>
      <w:numFmt w:val="lowerLetter"/>
      <w:start w:val="3"/>
    </w:lvl>
  </w:abstractNum>
  <w:abstractNum w:abstractNumId="6">
    <w:nsid w:val="431BD7B7"/>
    <w:multiLevelType w:val="hybridMultilevel"/>
    <w:lvl w:ilvl="0">
      <w:lvlJc w:val="left"/>
      <w:lvlText w:val="(%1)"/>
      <w:numFmt w:val="lowerLetter"/>
      <w:start w:val="8"/>
    </w:lvl>
  </w:abstractNum>
  <w:abstractNum w:abstractNumId="7">
    <w:nsid w:val="3F2DBA31"/>
    <w:multiLevelType w:val="hybridMultilevel"/>
    <w:lvl w:ilvl="0">
      <w:lvlJc w:val="left"/>
      <w:lvlText w:val="(%1)"/>
      <w:numFmt w:val="lowerLetter"/>
      <w:start w:val="1"/>
    </w:lvl>
  </w:abstractNum>
  <w:abstractNum w:abstractNumId="8">
    <w:nsid w:val="7C83E458"/>
    <w:multiLevelType w:val="hybridMultilevel"/>
    <w:lvl w:ilvl="0">
      <w:lvlJc w:val="left"/>
      <w:lvlText w:val="(%1)"/>
      <w:numFmt w:val="lowerLetter"/>
      <w:start w:val="2"/>
    </w:lvl>
    <w:lvl w:ilvl="1">
      <w:lvlJc w:val="left"/>
      <w:lvlText w:val="%2."/>
      <w:numFmt w:val="lowerRoman"/>
      <w:start w:val="1"/>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1)"/>
      <w:numFmt w:val="decimal"/>
      <w:start w:val="30"/>
    </w:lvl>
  </w:abstractNum>
  <w:abstractNum w:abstractNumId="11">
    <w:nsid w:val="436C6125"/>
    <w:multiLevelType w:val="hybridMultilevel"/>
    <w:lvl w:ilvl="0">
      <w:lvlJc w:val="left"/>
      <w:lvlText w:val="(%1)"/>
      <w:numFmt w:val="lowerLetter"/>
      <w:start w:val="1"/>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lowerLetter"/>
      <w:start w:val="2"/>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lowerLetter"/>
      <w:start w:val="4"/>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1"/>
      <w:numFmt w:val="lowerLetter"/>
      <w:start w:val="1"/>
    </w:lvl>
    <w:lvl w:ilvl="1">
      <w:lvlJc w:val="left"/>
      <w:lvlText w:val="(%2)"/>
      <w:numFmt w:val="lowerLetter"/>
      <w:start w:val="2"/>
    </w:lvl>
  </w:abstractNum>
  <w:abstractNum w:abstractNumId="18">
    <w:nsid w:val="75A2A8D4"/>
    <w:multiLevelType w:val="hybridMultilevel"/>
    <w:lvl w:ilvl="0">
      <w:lvlJc w:val="left"/>
      <w:lvlText w:val="(%1)"/>
      <w:numFmt w:val="lowerLetter"/>
      <w:start w:val="35"/>
    </w:lvl>
    <w:lvl w:ilvl="1">
      <w:lvlJc w:val="left"/>
      <w:lvlText w:val="(%2)"/>
      <w:numFmt w:val="lowerLetter"/>
      <w:start w:val="4"/>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2"/>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1"/>
    </w:lvl>
    <w:lvl w:ilvl="1">
      <w:lvlJc w:val="left"/>
      <w:lvlText w:val="(%2)"/>
      <w:numFmt w:val="lowerLetter"/>
      <w:start w:val="4"/>
    </w:lvl>
  </w:abstractNum>
  <w:abstractNum w:abstractNumId="25">
    <w:nsid w:val="71F32454"/>
    <w:multiLevelType w:val="hybridMultilevel"/>
    <w:lvl w:ilvl="0">
      <w:lvlJc w:val="left"/>
      <w:lvlText w:val="(%1)"/>
      <w:numFmt w:val="lowerLetter"/>
      <w:start w:val="35"/>
    </w:lvl>
    <w:lvl w:ilvl="1">
      <w:lvlJc w:val="left"/>
      <w:lvlText w:val="(%2)"/>
      <w:numFmt w:val="lowerLetter"/>
      <w:start w:val="5"/>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1)"/>
      <w:numFmt w:val="decimal"/>
      <w:start w:val="8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2020-10-27T15:47:46Z</dcterms:created>
  <dcterms:modified xsi:type="dcterms:W3CDTF">2020-10-27T15:47:46Z</dcterms:modified>
</cp:coreProperties>
</file>