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26,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2"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On June 26, 2026, California Resources Corporation (the “Company”) completed its previously announced private offering of $550 million aggregate principal amount of its 7.250% senior unsecured notes due 2035 (the “Notes”). The terms of the Notes are governed by the Indenture, dated as of June 26, 2026 (the “Indenture”), by and among the Company, the guarantors party thereto (the “Guarantors”) and Wilmington Trust, National Association, as trustee (the “Trustee”). The Notes will mature on January 15, 2035. Interest accrues from June 26, 2026 and will be payable semi-annually on January 15 and July 15 of each year, commencing January 15, 2027.</w:t>
      </w:r>
    </w:p>
    <w:p>
      <w:pPr>
        <w:spacing w:after="0" w:line="144"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together with cash on hand and/or borrowings under its revolving credit facility, to fund the redemption of all outstanding $550 million in aggregate principal amount of its 8.250% senior unsecured notes due 2029 (the “2029 Notes”) at a redemption price of 104.125% thereof, and accrued and unpaid interest to, but excluding, the date of redemption. The redemption of the 2029 Notes closed on June 26, 2026.</w:t>
      </w:r>
    </w:p>
    <w:p>
      <w:pPr>
        <w:spacing w:after="0" w:line="153"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The Notes are guaranteed on a senior unsecured basis by all of the Company’s existing subsidiaries that guarantee its obligations under its revolving credit facility and its existing 7.000% senior notes due 2034, and the Notes will be guaranteed by certain of the Company’s future subsidiaries. The Notes and the guarantees thereof are unsecured, rank equally in right of payment with all senior unsecured debt of the Company and the Guarantors and rank senior to all of the existing and future subordinated debt of the Company and the Guarantors.</w:t>
      </w:r>
    </w:p>
    <w:p>
      <w:pPr>
        <w:spacing w:after="0" w:line="140"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The Company may, at its option, redeem some or all of the Notes at any time on or after July 15, 2029 at the redemption prices specified in the Indenture. Prior to such time, the Company may, at its option, redeem up to 40% of the aggregate principal amount of the Notes with an amount of cash not greater than the net cash proceeds from certain equity offerings at the redemption price specified in the Indenture. In addition, before July 15, 2029,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if any, on the Notes repurchased to, but excluding, the date of purchase. The Indenture contains other customary terms, events of default and covenants.</w:t>
      </w:r>
    </w:p>
    <w:p>
      <w:pPr>
        <w:spacing w:after="0" w:line="147" w:lineRule="exact"/>
        <w:rPr>
          <w:sz w:val="20"/>
          <w:szCs w:val="20"/>
          <w:color w:val="auto"/>
        </w:rPr>
      </w:pPr>
    </w:p>
    <w:p>
      <w:pPr>
        <w:ind w:right="500" w:firstLine="320"/>
        <w:spacing w:after="0" w:line="276" w:lineRule="auto"/>
        <w:rPr>
          <w:sz w:val="20"/>
          <w:szCs w:val="20"/>
          <w:color w:val="auto"/>
        </w:rPr>
      </w:pPr>
      <w:r>
        <w:rPr>
          <w:rFonts w:ascii="Times New Roman" w:cs="Times New Roman" w:eastAsia="Times New Roman" w:hAnsi="Times New Roman"/>
          <w:sz w:val="18"/>
          <w:szCs w:val="18"/>
          <w:color w:val="auto"/>
        </w:rPr>
        <w:t>The above description of the Indenture is not complete and is qualified in its entirety by reference to the full text of the Indenture, which is filed as Exhibit 4.1 hereto and incorporated by reference herein.</w:t>
      </w:r>
    </w:p>
    <w:p>
      <w:pPr>
        <w:spacing w:after="0" w:line="36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w:t>
      </w:r>
    </w:p>
    <w:p>
      <w:pPr>
        <w:spacing w:after="0" w:line="182" w:lineRule="exact"/>
        <w:rPr>
          <w:sz w:val="20"/>
          <w:szCs w:val="20"/>
          <w:color w:val="auto"/>
        </w:rPr>
      </w:pPr>
    </w:p>
    <w:p>
      <w:pPr>
        <w:ind w:right="800" w:firstLine="320"/>
        <w:spacing w:after="0" w:line="276"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Notes, the Indenture and the related guarantees is incorporated by reference into this Item 2.03.</w:t>
      </w:r>
    </w:p>
    <w:p>
      <w:pPr>
        <w:spacing w:after="0" w:line="3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580" w:type="dxa"/>
            <w:vAlign w:val="bottom"/>
          </w:tcPr>
          <w:p>
            <w:pPr>
              <w:spacing w:after="0"/>
              <w:rPr>
                <w:sz w:val="20"/>
                <w:szCs w:val="20"/>
                <w:color w:val="auto"/>
              </w:rPr>
            </w:pPr>
          </w:p>
        </w:tc>
      </w:tr>
      <w:tr>
        <w:trPr>
          <w:trHeight w:val="426"/>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5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4.1</w:t>
            </w:r>
          </w:p>
        </w:tc>
        <w:tc>
          <w:tcPr>
            <w:tcW w:w="6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Indenture, dated June 26, 2026, by and among the Company, the Guarantors and the Trustee.</w:t>
            </w: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ectPr>
          <w:pgSz w:w="11900" w:h="16838" w:orient="portrait"/>
          <w:cols w:equalWidth="0" w:num="1">
            <w:col w:w="11240"/>
          </w:cols>
          <w:pgMar w:left="320" w:top="13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540385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 EACH OF THE GUARANTORS PARTY HERETO</w:t>
      </w:r>
    </w:p>
    <w:p>
      <w:pPr>
        <w:spacing w:after="0" w:line="24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7.250% SENIOR NOTES DUE 2035</w:t>
      </w:r>
    </w:p>
    <w:p>
      <w:pPr>
        <w:spacing w:after="0" w:line="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1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INDENTURE</w:t>
      </w:r>
    </w:p>
    <w:p>
      <w:pPr>
        <w:spacing w:after="0" w:line="22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Dated as of June 26, 2026</w:t>
      </w:r>
    </w:p>
    <w:p>
      <w:pPr>
        <w:spacing w:after="0" w:line="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Trustee</w:t>
      </w:r>
    </w:p>
    <w:p>
      <w:pPr>
        <w:spacing w:after="0" w:line="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____________________</w:t>
      </w:r>
    </w:p>
    <w:p>
      <w:pPr>
        <w:sectPr>
          <w:pgSz w:w="11900" w:h="16838" w:orient="portrait"/>
          <w:cols w:equalWidth="0" w:num="1">
            <w:col w:w="10120"/>
          </w:cols>
          <w:pgMar w:left="1440" w:top="1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Page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 AND INCORPORATION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REFERENCE</w:t>
      </w:r>
    </w:p>
    <w:p>
      <w:pPr>
        <w:spacing w:after="0" w:line="102" w:lineRule="exact"/>
        <w:rPr>
          <w:sz w:val="20"/>
          <w:szCs w:val="20"/>
          <w:color w:val="auto"/>
        </w:rPr>
      </w:pPr>
    </w:p>
    <w:p>
      <w:pPr>
        <w:spacing w:after="0"/>
        <w:tabs>
          <w:tab w:leader="none" w:pos="1160" w:val="left"/>
          <w:tab w:leader="none" w:pos="2280" w:val="left"/>
        </w:tabs>
        <w:rPr>
          <w:sz w:val="20"/>
          <w:szCs w:val="20"/>
          <w:color w:val="auto"/>
        </w:rPr>
      </w:pPr>
      <w:r>
        <w:rPr>
          <w:rFonts w:ascii="Times New Roman" w:cs="Times New Roman" w:eastAsia="Times New Roman" w:hAnsi="Times New Roman"/>
          <w:sz w:val="20"/>
          <w:szCs w:val="20"/>
          <w:color w:val="auto"/>
        </w:rPr>
        <w:t>Section 1.01</w:t>
        <w:tab/>
        <w:t>Definitions.</w:t>
        <w:tab/>
        <w:t>1</w:t>
      </w:r>
    </w:p>
    <w:p>
      <w:pPr>
        <w:spacing w:after="0" w:line="19" w:lineRule="exact"/>
        <w:rPr>
          <w:sz w:val="20"/>
          <w:szCs w:val="20"/>
          <w:color w:val="auto"/>
        </w:rPr>
      </w:pPr>
    </w:p>
    <w:p>
      <w:pPr>
        <w:spacing w:after="0"/>
        <w:tabs>
          <w:tab w:leader="none" w:pos="1160" w:val="left"/>
          <w:tab w:leader="none" w:pos="2780" w:val="left"/>
        </w:tabs>
        <w:rPr>
          <w:sz w:val="20"/>
          <w:szCs w:val="20"/>
          <w:color w:val="auto"/>
        </w:rPr>
      </w:pPr>
      <w:r>
        <w:rPr>
          <w:rFonts w:ascii="Times New Roman" w:cs="Times New Roman" w:eastAsia="Times New Roman" w:hAnsi="Times New Roman"/>
          <w:sz w:val="20"/>
          <w:szCs w:val="20"/>
          <w:color w:val="auto"/>
        </w:rPr>
        <w:t>Section 1.02</w:t>
        <w:tab/>
        <w:t>Other Definitions.</w:t>
        <w:tab/>
        <w:t>35</w:t>
      </w:r>
    </w:p>
    <w:p>
      <w:pPr>
        <w:spacing w:after="0" w:line="2" w:lineRule="exact"/>
        <w:rPr>
          <w:sz w:val="20"/>
          <w:szCs w:val="20"/>
          <w:color w:val="auto"/>
        </w:rPr>
      </w:pPr>
    </w:p>
    <w:p>
      <w:pPr>
        <w:ind w:right="5400"/>
        <w:spacing w:after="0" w:line="243" w:lineRule="auto"/>
        <w:rPr>
          <w:sz w:val="20"/>
          <w:szCs w:val="20"/>
          <w:color w:val="auto"/>
        </w:rPr>
      </w:pPr>
      <w:r>
        <w:rPr>
          <w:rFonts w:ascii="Times New Roman" w:cs="Times New Roman" w:eastAsia="Times New Roman" w:hAnsi="Times New Roman"/>
          <w:sz w:val="20"/>
          <w:szCs w:val="20"/>
          <w:color w:val="auto"/>
        </w:rPr>
        <w:t>Section 1.03 No Incorporation by Reference of Trust Indenture Act. 36 Section 1.04 Rules of Construction. 36</w:t>
      </w:r>
    </w:p>
    <w:p>
      <w:pPr>
        <w:spacing w:after="0" w:line="1" w:lineRule="exact"/>
        <w:rPr>
          <w:sz w:val="20"/>
          <w:szCs w:val="20"/>
          <w:color w:val="auto"/>
        </w:rPr>
      </w:pPr>
    </w:p>
    <w:p>
      <w:pPr>
        <w:spacing w:after="0"/>
        <w:tabs>
          <w:tab w:leader="none" w:pos="1160" w:val="left"/>
          <w:tab w:leader="none" w:pos="3900" w:val="left"/>
        </w:tabs>
        <w:rPr>
          <w:sz w:val="20"/>
          <w:szCs w:val="20"/>
          <w:color w:val="auto"/>
        </w:rPr>
      </w:pPr>
      <w:r>
        <w:rPr>
          <w:rFonts w:ascii="Times New Roman" w:cs="Times New Roman" w:eastAsia="Times New Roman" w:hAnsi="Times New Roman"/>
          <w:sz w:val="20"/>
          <w:szCs w:val="20"/>
          <w:color w:val="auto"/>
        </w:rPr>
        <w:t>Section 1.05</w:t>
        <w:tab/>
        <w:t>Limited Condition Transactions.</w:t>
      </w:r>
      <w:r>
        <w:rPr>
          <w:sz w:val="20"/>
          <w:szCs w:val="20"/>
          <w:color w:val="auto"/>
        </w:rPr>
        <w:tab/>
      </w:r>
      <w:r>
        <w:rPr>
          <w:rFonts w:ascii="Times New Roman" w:cs="Times New Roman" w:eastAsia="Times New Roman" w:hAnsi="Times New Roman"/>
          <w:sz w:val="18"/>
          <w:szCs w:val="18"/>
          <w:color w:val="auto"/>
        </w:rPr>
        <w:t>37</w:t>
      </w:r>
    </w:p>
    <w:p>
      <w:pPr>
        <w:spacing w:after="0" w:line="10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ARTICLE 2</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THE NOTES</w:t>
      </w:r>
    </w:p>
    <w:p>
      <w:pPr>
        <w:spacing w:after="0" w:line="95" w:lineRule="exact"/>
        <w:rPr>
          <w:sz w:val="20"/>
          <w:szCs w:val="20"/>
          <w:color w:val="auto"/>
        </w:rPr>
      </w:pPr>
    </w:p>
    <w:p>
      <w:pPr>
        <w:spacing w:after="0"/>
        <w:tabs>
          <w:tab w:leader="none" w:pos="1160" w:val="left"/>
          <w:tab w:leader="none" w:pos="2740" w:val="left"/>
        </w:tabs>
        <w:rPr>
          <w:sz w:val="20"/>
          <w:szCs w:val="20"/>
          <w:color w:val="auto"/>
        </w:rPr>
      </w:pPr>
      <w:r>
        <w:rPr>
          <w:rFonts w:ascii="Times New Roman" w:cs="Times New Roman" w:eastAsia="Times New Roman" w:hAnsi="Times New Roman"/>
          <w:sz w:val="20"/>
          <w:szCs w:val="20"/>
          <w:color w:val="auto"/>
        </w:rPr>
        <w:t>Section 2.01</w:t>
        <w:tab/>
        <w:t>Form and Dating.</w:t>
        <w:tab/>
        <w:t>38</w:t>
      </w:r>
    </w:p>
    <w:p>
      <w:pPr>
        <w:spacing w:after="0" w:line="19" w:lineRule="exact"/>
        <w:rPr>
          <w:sz w:val="20"/>
          <w:szCs w:val="20"/>
          <w:color w:val="auto"/>
        </w:rPr>
      </w:pPr>
    </w:p>
    <w:p>
      <w:pPr>
        <w:spacing w:after="0"/>
        <w:tabs>
          <w:tab w:leader="none" w:pos="1160" w:val="left"/>
          <w:tab w:leader="none" w:pos="3740" w:val="left"/>
        </w:tabs>
        <w:rPr>
          <w:sz w:val="20"/>
          <w:szCs w:val="20"/>
          <w:color w:val="auto"/>
        </w:rPr>
      </w:pPr>
      <w:r>
        <w:rPr>
          <w:rFonts w:ascii="Times New Roman" w:cs="Times New Roman" w:eastAsia="Times New Roman" w:hAnsi="Times New Roman"/>
          <w:sz w:val="20"/>
          <w:szCs w:val="20"/>
          <w:color w:val="auto"/>
        </w:rPr>
        <w:t>Section 2.02</w:t>
        <w:tab/>
        <w:t>Execution and Authentication.</w:t>
        <w:tab/>
        <w:t>39</w:t>
      </w:r>
    </w:p>
    <w:p>
      <w:pPr>
        <w:spacing w:after="0" w:line="2" w:lineRule="exact"/>
        <w:rPr>
          <w:sz w:val="20"/>
          <w:szCs w:val="20"/>
          <w:color w:val="auto"/>
        </w:rPr>
      </w:pPr>
    </w:p>
    <w:p>
      <w:pPr>
        <w:spacing w:after="0"/>
        <w:tabs>
          <w:tab w:leader="none" w:pos="1160" w:val="left"/>
          <w:tab w:leader="none" w:pos="3560" w:val="left"/>
        </w:tabs>
        <w:rPr>
          <w:sz w:val="20"/>
          <w:szCs w:val="20"/>
          <w:color w:val="auto"/>
        </w:rPr>
      </w:pPr>
      <w:r>
        <w:rPr>
          <w:rFonts w:ascii="Times New Roman" w:cs="Times New Roman" w:eastAsia="Times New Roman" w:hAnsi="Times New Roman"/>
          <w:sz w:val="20"/>
          <w:szCs w:val="20"/>
          <w:color w:val="auto"/>
        </w:rPr>
        <w:t>Section 2.03</w:t>
        <w:tab/>
        <w:t>Registrar and Paying Agent.</w:t>
        <w:tab/>
        <w:t>39</w:t>
      </w:r>
    </w:p>
    <w:p>
      <w:pPr>
        <w:spacing w:after="0" w:line="10" w:lineRule="exact"/>
        <w:rPr>
          <w:sz w:val="20"/>
          <w:szCs w:val="20"/>
          <w:color w:val="auto"/>
        </w:rPr>
      </w:pPr>
    </w:p>
    <w:p>
      <w:pPr>
        <w:spacing w:after="0"/>
        <w:tabs>
          <w:tab w:leader="none" w:pos="1160" w:val="left"/>
          <w:tab w:leader="none" w:pos="4360" w:val="left"/>
        </w:tabs>
        <w:rPr>
          <w:sz w:val="20"/>
          <w:szCs w:val="20"/>
          <w:color w:val="auto"/>
        </w:rPr>
      </w:pPr>
      <w:r>
        <w:rPr>
          <w:rFonts w:ascii="Times New Roman" w:cs="Times New Roman" w:eastAsia="Times New Roman" w:hAnsi="Times New Roman"/>
          <w:sz w:val="20"/>
          <w:szCs w:val="20"/>
          <w:color w:val="auto"/>
        </w:rPr>
        <w:t>Section 2.04</w:t>
        <w:tab/>
        <w:t>Paying Agent to Hold Money in Trust.</w:t>
        <w:tab/>
        <w:t>39</w:t>
      </w:r>
    </w:p>
    <w:p>
      <w:pPr>
        <w:spacing w:after="0" w:line="4" w:lineRule="exact"/>
        <w:rPr>
          <w:sz w:val="20"/>
          <w:szCs w:val="20"/>
          <w:color w:val="auto"/>
        </w:rPr>
      </w:pPr>
    </w:p>
    <w:p>
      <w:pPr>
        <w:spacing w:after="0"/>
        <w:tabs>
          <w:tab w:leader="none" w:pos="1160" w:val="left"/>
          <w:tab w:leader="none" w:pos="2380" w:val="left"/>
        </w:tabs>
        <w:rPr>
          <w:sz w:val="20"/>
          <w:szCs w:val="20"/>
          <w:color w:val="auto"/>
        </w:rPr>
      </w:pPr>
      <w:r>
        <w:rPr>
          <w:rFonts w:ascii="Times New Roman" w:cs="Times New Roman" w:eastAsia="Times New Roman" w:hAnsi="Times New Roman"/>
          <w:sz w:val="20"/>
          <w:szCs w:val="20"/>
          <w:color w:val="auto"/>
        </w:rPr>
        <w:t>Section 2.05</w:t>
        <w:tab/>
        <w:t>Holder Lists.</w:t>
      </w:r>
      <w:r>
        <w:rPr>
          <w:sz w:val="20"/>
          <w:szCs w:val="20"/>
          <w:color w:val="auto"/>
        </w:rPr>
        <w:tab/>
      </w:r>
      <w:r>
        <w:rPr>
          <w:rFonts w:ascii="Times New Roman" w:cs="Times New Roman" w:eastAsia="Times New Roman" w:hAnsi="Times New Roman"/>
          <w:sz w:val="18"/>
          <w:szCs w:val="18"/>
          <w:color w:val="auto"/>
        </w:rPr>
        <w:t>40</w:t>
      </w:r>
    </w:p>
    <w:p>
      <w:pPr>
        <w:spacing w:after="0" w:line="2" w:lineRule="exact"/>
        <w:rPr>
          <w:sz w:val="20"/>
          <w:szCs w:val="20"/>
          <w:color w:val="auto"/>
        </w:rPr>
      </w:pPr>
    </w:p>
    <w:p>
      <w:pPr>
        <w:spacing w:after="0"/>
        <w:tabs>
          <w:tab w:leader="none" w:pos="1160" w:val="left"/>
          <w:tab w:leader="none" w:pos="3200" w:val="left"/>
        </w:tabs>
        <w:rPr>
          <w:sz w:val="20"/>
          <w:szCs w:val="20"/>
          <w:color w:val="auto"/>
        </w:rPr>
      </w:pPr>
      <w:r>
        <w:rPr>
          <w:rFonts w:ascii="Times New Roman" w:cs="Times New Roman" w:eastAsia="Times New Roman" w:hAnsi="Times New Roman"/>
          <w:sz w:val="20"/>
          <w:szCs w:val="20"/>
          <w:color w:val="auto"/>
        </w:rPr>
        <w:t>Section 2.06</w:t>
        <w:tab/>
        <w:t>Transfer and Exchange.</w:t>
        <w:tab/>
        <w:t>40</w:t>
      </w:r>
    </w:p>
    <w:p>
      <w:pPr>
        <w:spacing w:after="0" w:line="4" w:lineRule="exact"/>
        <w:rPr>
          <w:sz w:val="20"/>
          <w:szCs w:val="20"/>
          <w:color w:val="auto"/>
        </w:rPr>
      </w:pPr>
    </w:p>
    <w:p>
      <w:pPr>
        <w:spacing w:after="0"/>
        <w:tabs>
          <w:tab w:leader="none" w:pos="1160" w:val="left"/>
          <w:tab w:leader="none" w:pos="2920" w:val="left"/>
        </w:tabs>
        <w:rPr>
          <w:sz w:val="20"/>
          <w:szCs w:val="20"/>
          <w:color w:val="auto"/>
        </w:rPr>
      </w:pPr>
      <w:r>
        <w:rPr>
          <w:rFonts w:ascii="Times New Roman" w:cs="Times New Roman" w:eastAsia="Times New Roman" w:hAnsi="Times New Roman"/>
          <w:sz w:val="20"/>
          <w:szCs w:val="20"/>
          <w:color w:val="auto"/>
        </w:rPr>
        <w:t>Section 2.07</w:t>
        <w:tab/>
        <w:t>Replacement Notes.</w:t>
        <w:tab/>
        <w:t>52</w:t>
      </w:r>
    </w:p>
    <w:p>
      <w:pPr>
        <w:spacing w:after="0" w:line="2" w:lineRule="exact"/>
        <w:rPr>
          <w:sz w:val="20"/>
          <w:szCs w:val="20"/>
          <w:color w:val="auto"/>
        </w:rPr>
      </w:pPr>
    </w:p>
    <w:p>
      <w:pPr>
        <w:spacing w:after="0"/>
        <w:tabs>
          <w:tab w:leader="none" w:pos="1160" w:val="left"/>
          <w:tab w:leader="none" w:pos="2860" w:val="left"/>
        </w:tabs>
        <w:rPr>
          <w:sz w:val="20"/>
          <w:szCs w:val="20"/>
          <w:color w:val="auto"/>
        </w:rPr>
      </w:pPr>
      <w:r>
        <w:rPr>
          <w:rFonts w:ascii="Times New Roman" w:cs="Times New Roman" w:eastAsia="Times New Roman" w:hAnsi="Times New Roman"/>
          <w:sz w:val="20"/>
          <w:szCs w:val="20"/>
          <w:color w:val="auto"/>
        </w:rPr>
        <w:t>Section 2.08</w:t>
        <w:tab/>
        <w:t>Outstanding Notes.</w:t>
        <w:tab/>
        <w:t>52</w:t>
      </w:r>
    </w:p>
    <w:p>
      <w:pPr>
        <w:spacing w:after="0" w:line="4" w:lineRule="exact"/>
        <w:rPr>
          <w:sz w:val="20"/>
          <w:szCs w:val="20"/>
          <w:color w:val="auto"/>
        </w:rPr>
      </w:pPr>
    </w:p>
    <w:p>
      <w:pPr>
        <w:spacing w:after="0"/>
        <w:tabs>
          <w:tab w:leader="none" w:pos="1160" w:val="left"/>
          <w:tab w:leader="none" w:pos="2600" w:val="left"/>
        </w:tabs>
        <w:rPr>
          <w:sz w:val="20"/>
          <w:szCs w:val="20"/>
          <w:color w:val="auto"/>
        </w:rPr>
      </w:pPr>
      <w:r>
        <w:rPr>
          <w:rFonts w:ascii="Times New Roman" w:cs="Times New Roman" w:eastAsia="Times New Roman" w:hAnsi="Times New Roman"/>
          <w:sz w:val="20"/>
          <w:szCs w:val="20"/>
          <w:color w:val="auto"/>
        </w:rPr>
        <w:t>Section 2.09</w:t>
        <w:tab/>
        <w:t>Treasury Notes.</w:t>
      </w:r>
      <w:r>
        <w:rPr>
          <w:sz w:val="20"/>
          <w:szCs w:val="20"/>
          <w:color w:val="auto"/>
        </w:rPr>
        <w:tab/>
      </w:r>
      <w:r>
        <w:rPr>
          <w:rFonts w:ascii="Times New Roman" w:cs="Times New Roman" w:eastAsia="Times New Roman" w:hAnsi="Times New Roman"/>
          <w:sz w:val="18"/>
          <w:szCs w:val="18"/>
          <w:color w:val="auto"/>
        </w:rPr>
        <w:t>53</w:t>
      </w:r>
    </w:p>
    <w:p>
      <w:pPr>
        <w:spacing w:after="0" w:line="2" w:lineRule="exact"/>
        <w:rPr>
          <w:sz w:val="20"/>
          <w:szCs w:val="20"/>
          <w:color w:val="auto"/>
        </w:rPr>
      </w:pPr>
    </w:p>
    <w:p>
      <w:pPr>
        <w:spacing w:after="0"/>
        <w:tabs>
          <w:tab w:leader="none" w:pos="1160" w:val="left"/>
          <w:tab w:leader="none" w:pos="2760" w:val="left"/>
        </w:tabs>
        <w:rPr>
          <w:sz w:val="20"/>
          <w:szCs w:val="20"/>
          <w:color w:val="auto"/>
        </w:rPr>
      </w:pPr>
      <w:r>
        <w:rPr>
          <w:rFonts w:ascii="Times New Roman" w:cs="Times New Roman" w:eastAsia="Times New Roman" w:hAnsi="Times New Roman"/>
          <w:sz w:val="20"/>
          <w:szCs w:val="20"/>
          <w:color w:val="auto"/>
        </w:rPr>
        <w:t>Section 2.10</w:t>
        <w:tab/>
        <w:t>Temporary Notes.</w:t>
        <w:tab/>
        <w:t>53</w:t>
      </w:r>
    </w:p>
    <w:p>
      <w:pPr>
        <w:spacing w:after="0" w:line="10" w:lineRule="exact"/>
        <w:rPr>
          <w:sz w:val="20"/>
          <w:szCs w:val="20"/>
          <w:color w:val="auto"/>
        </w:rPr>
      </w:pPr>
    </w:p>
    <w:p>
      <w:pPr>
        <w:spacing w:after="0"/>
        <w:tabs>
          <w:tab w:leader="none" w:pos="1160" w:val="left"/>
          <w:tab w:leader="none" w:pos="2380" w:val="left"/>
        </w:tabs>
        <w:rPr>
          <w:sz w:val="20"/>
          <w:szCs w:val="20"/>
          <w:color w:val="auto"/>
        </w:rPr>
      </w:pPr>
      <w:r>
        <w:rPr>
          <w:rFonts w:ascii="Times New Roman" w:cs="Times New Roman" w:eastAsia="Times New Roman" w:hAnsi="Times New Roman"/>
          <w:sz w:val="20"/>
          <w:szCs w:val="20"/>
          <w:color w:val="auto"/>
        </w:rPr>
        <w:t>Section 2.11</w:t>
        <w:tab/>
        <w:t>Cancellation.</w:t>
        <w:tab/>
        <w:t>53</w:t>
      </w:r>
    </w:p>
    <w:p>
      <w:pPr>
        <w:spacing w:after="0" w:line="4" w:lineRule="exact"/>
        <w:rPr>
          <w:sz w:val="20"/>
          <w:szCs w:val="20"/>
          <w:color w:val="auto"/>
        </w:rPr>
      </w:pPr>
    </w:p>
    <w:p>
      <w:pPr>
        <w:spacing w:after="0"/>
        <w:tabs>
          <w:tab w:leader="none" w:pos="1160" w:val="left"/>
          <w:tab w:leader="none" w:pos="2800" w:val="left"/>
        </w:tabs>
        <w:rPr>
          <w:sz w:val="20"/>
          <w:szCs w:val="20"/>
          <w:color w:val="auto"/>
        </w:rPr>
      </w:pPr>
      <w:r>
        <w:rPr>
          <w:rFonts w:ascii="Times New Roman" w:cs="Times New Roman" w:eastAsia="Times New Roman" w:hAnsi="Times New Roman"/>
          <w:sz w:val="20"/>
          <w:szCs w:val="20"/>
          <w:color w:val="auto"/>
        </w:rPr>
        <w:t>Section 2.12</w:t>
        <w:tab/>
        <w:t>Defaulted Interest.</w:t>
        <w:tab/>
        <w:t>53</w:t>
      </w:r>
    </w:p>
    <w:p>
      <w:pPr>
        <w:spacing w:after="0" w:line="2" w:lineRule="exact"/>
        <w:rPr>
          <w:sz w:val="20"/>
          <w:szCs w:val="20"/>
          <w:color w:val="auto"/>
        </w:rPr>
      </w:pPr>
    </w:p>
    <w:p>
      <w:pPr>
        <w:spacing w:after="0"/>
        <w:tabs>
          <w:tab w:leader="none" w:pos="1160" w:val="left"/>
          <w:tab w:leader="none" w:pos="3680" w:val="left"/>
        </w:tabs>
        <w:rPr>
          <w:sz w:val="20"/>
          <w:szCs w:val="20"/>
          <w:color w:val="auto"/>
        </w:rPr>
      </w:pPr>
      <w:r>
        <w:rPr>
          <w:rFonts w:ascii="Times New Roman" w:cs="Times New Roman" w:eastAsia="Times New Roman" w:hAnsi="Times New Roman"/>
          <w:sz w:val="20"/>
          <w:szCs w:val="20"/>
          <w:color w:val="auto"/>
        </w:rPr>
        <w:t>Section 2.13</w:t>
        <w:tab/>
        <w:t>Issuance of Additional Notes.</w:t>
        <w:tab/>
        <w:t>54</w:t>
      </w:r>
    </w:p>
    <w:p>
      <w:pPr>
        <w:spacing w:after="0" w:line="4" w:lineRule="exact"/>
        <w:rPr>
          <w:sz w:val="20"/>
          <w:szCs w:val="20"/>
          <w:color w:val="auto"/>
        </w:rPr>
      </w:pPr>
    </w:p>
    <w:p>
      <w:pPr>
        <w:spacing w:after="0"/>
        <w:tabs>
          <w:tab w:leader="none" w:pos="1160" w:val="left"/>
          <w:tab w:leader="none" w:pos="3260" w:val="left"/>
        </w:tabs>
        <w:rPr>
          <w:sz w:val="20"/>
          <w:szCs w:val="20"/>
          <w:color w:val="auto"/>
        </w:rPr>
      </w:pPr>
      <w:r>
        <w:rPr>
          <w:rFonts w:ascii="Times New Roman" w:cs="Times New Roman" w:eastAsia="Times New Roman" w:hAnsi="Times New Roman"/>
          <w:sz w:val="20"/>
          <w:szCs w:val="20"/>
          <w:color w:val="auto"/>
        </w:rPr>
        <w:t>Section 2.14</w:t>
        <w:tab/>
        <w:t>Computation of Interest.</w:t>
        <w:tab/>
        <w:t>54</w:t>
      </w:r>
    </w:p>
    <w:p>
      <w:pPr>
        <w:spacing w:after="0" w:line="2" w:lineRule="exact"/>
        <w:rPr>
          <w:sz w:val="20"/>
          <w:szCs w:val="20"/>
          <w:color w:val="auto"/>
        </w:rPr>
      </w:pPr>
    </w:p>
    <w:p>
      <w:pPr>
        <w:spacing w:after="0"/>
        <w:tabs>
          <w:tab w:leader="none" w:pos="1160" w:val="left"/>
          <w:tab w:leader="none" w:pos="2640" w:val="left"/>
        </w:tabs>
        <w:rPr>
          <w:sz w:val="20"/>
          <w:szCs w:val="20"/>
          <w:color w:val="auto"/>
        </w:rPr>
      </w:pPr>
      <w:r>
        <w:rPr>
          <w:rFonts w:ascii="Times New Roman" w:cs="Times New Roman" w:eastAsia="Times New Roman" w:hAnsi="Times New Roman"/>
          <w:sz w:val="20"/>
          <w:szCs w:val="20"/>
          <w:color w:val="auto"/>
        </w:rPr>
        <w:t>Section 2.15</w:t>
        <w:tab/>
        <w:t>CUSIP Number.</w:t>
      </w:r>
      <w:r>
        <w:rPr>
          <w:sz w:val="20"/>
          <w:szCs w:val="20"/>
          <w:color w:val="auto"/>
        </w:rPr>
        <w:tab/>
      </w:r>
      <w:r>
        <w:rPr>
          <w:rFonts w:ascii="Times New Roman" w:cs="Times New Roman" w:eastAsia="Times New Roman" w:hAnsi="Times New Roman"/>
          <w:sz w:val="18"/>
          <w:szCs w:val="18"/>
          <w:color w:val="auto"/>
        </w:rPr>
        <w:t>54</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REDEMPTION AND PREPAYMENT</w:t>
      </w:r>
    </w:p>
    <w:p>
      <w:pPr>
        <w:spacing w:after="0" w:line="95" w:lineRule="exact"/>
        <w:rPr>
          <w:sz w:val="20"/>
          <w:szCs w:val="20"/>
          <w:color w:val="auto"/>
        </w:rPr>
      </w:pPr>
    </w:p>
    <w:p>
      <w:pPr>
        <w:spacing w:after="0"/>
        <w:tabs>
          <w:tab w:leader="none" w:pos="1160" w:val="left"/>
          <w:tab w:leader="none" w:pos="2820" w:val="left"/>
        </w:tabs>
        <w:rPr>
          <w:sz w:val="20"/>
          <w:szCs w:val="20"/>
          <w:color w:val="auto"/>
        </w:rPr>
      </w:pPr>
      <w:r>
        <w:rPr>
          <w:rFonts w:ascii="Times New Roman" w:cs="Times New Roman" w:eastAsia="Times New Roman" w:hAnsi="Times New Roman"/>
          <w:sz w:val="20"/>
          <w:szCs w:val="20"/>
          <w:color w:val="auto"/>
        </w:rPr>
        <w:t>Section 3.01</w:t>
        <w:tab/>
        <w:t>Notices to Trustee.</w:t>
        <w:tab/>
        <w:t>55</w:t>
      </w:r>
    </w:p>
    <w:p>
      <w:pPr>
        <w:spacing w:after="0" w:line="19" w:lineRule="exact"/>
        <w:rPr>
          <w:sz w:val="20"/>
          <w:szCs w:val="20"/>
          <w:color w:val="auto"/>
        </w:rPr>
      </w:pPr>
    </w:p>
    <w:p>
      <w:pPr>
        <w:spacing w:after="0"/>
        <w:tabs>
          <w:tab w:leader="none" w:pos="1160" w:val="left"/>
          <w:tab w:leader="none" w:pos="4180" w:val="left"/>
        </w:tabs>
        <w:rPr>
          <w:sz w:val="20"/>
          <w:szCs w:val="20"/>
          <w:color w:val="auto"/>
        </w:rPr>
      </w:pPr>
      <w:r>
        <w:rPr>
          <w:rFonts w:ascii="Times New Roman" w:cs="Times New Roman" w:eastAsia="Times New Roman" w:hAnsi="Times New Roman"/>
          <w:sz w:val="20"/>
          <w:szCs w:val="20"/>
          <w:color w:val="auto"/>
        </w:rPr>
        <w:t>Section 3.02</w:t>
        <w:tab/>
        <w:t>Selection of Notes to Be Redeemed.</w:t>
        <w:tab/>
        <w:t>55</w:t>
      </w:r>
    </w:p>
    <w:p>
      <w:pPr>
        <w:spacing w:after="0" w:line="2" w:lineRule="exact"/>
        <w:rPr>
          <w:sz w:val="20"/>
          <w:szCs w:val="20"/>
          <w:color w:val="auto"/>
        </w:rPr>
      </w:pPr>
    </w:p>
    <w:p>
      <w:pPr>
        <w:spacing w:after="0"/>
        <w:tabs>
          <w:tab w:leader="none" w:pos="1160" w:val="left"/>
          <w:tab w:leader="none" w:pos="3140" w:val="left"/>
        </w:tabs>
        <w:rPr>
          <w:sz w:val="20"/>
          <w:szCs w:val="20"/>
          <w:color w:val="auto"/>
        </w:rPr>
      </w:pPr>
      <w:r>
        <w:rPr>
          <w:rFonts w:ascii="Times New Roman" w:cs="Times New Roman" w:eastAsia="Times New Roman" w:hAnsi="Times New Roman"/>
          <w:sz w:val="20"/>
          <w:szCs w:val="20"/>
          <w:color w:val="auto"/>
        </w:rPr>
        <w:t>Section 3.03</w:t>
        <w:tab/>
        <w:t>Notice of Redemption.</w:t>
        <w:tab/>
        <w:t>55</w:t>
      </w:r>
    </w:p>
    <w:p>
      <w:pPr>
        <w:spacing w:after="0" w:line="10" w:lineRule="exact"/>
        <w:rPr>
          <w:sz w:val="20"/>
          <w:szCs w:val="20"/>
          <w:color w:val="auto"/>
        </w:rPr>
      </w:pPr>
    </w:p>
    <w:p>
      <w:pPr>
        <w:spacing w:after="0"/>
        <w:tabs>
          <w:tab w:leader="none" w:pos="1160" w:val="left"/>
          <w:tab w:leader="none" w:pos="3880" w:val="left"/>
        </w:tabs>
        <w:rPr>
          <w:sz w:val="20"/>
          <w:szCs w:val="20"/>
          <w:color w:val="auto"/>
        </w:rPr>
      </w:pPr>
      <w:r>
        <w:rPr>
          <w:rFonts w:ascii="Times New Roman" w:cs="Times New Roman" w:eastAsia="Times New Roman" w:hAnsi="Times New Roman"/>
          <w:sz w:val="20"/>
          <w:szCs w:val="20"/>
          <w:color w:val="auto"/>
        </w:rPr>
        <w:t>Section 3.04</w:t>
        <w:tab/>
        <w:t>Effect of Notice of Redemption.</w:t>
      </w:r>
      <w:r>
        <w:rPr>
          <w:sz w:val="20"/>
          <w:szCs w:val="20"/>
          <w:color w:val="auto"/>
        </w:rPr>
        <w:tab/>
      </w:r>
      <w:r>
        <w:rPr>
          <w:rFonts w:ascii="Times New Roman" w:cs="Times New Roman" w:eastAsia="Times New Roman" w:hAnsi="Times New Roman"/>
          <w:sz w:val="18"/>
          <w:szCs w:val="18"/>
          <w:color w:val="auto"/>
        </w:rPr>
        <w:t>56</w:t>
      </w:r>
    </w:p>
    <w:p>
      <w:pPr>
        <w:spacing w:after="0" w:line="4" w:lineRule="exact"/>
        <w:rPr>
          <w:sz w:val="20"/>
          <w:szCs w:val="20"/>
          <w:color w:val="auto"/>
        </w:rPr>
      </w:pPr>
    </w:p>
    <w:p>
      <w:pPr>
        <w:spacing w:after="0"/>
        <w:tabs>
          <w:tab w:leader="none" w:pos="1160" w:val="left"/>
          <w:tab w:leader="none" w:pos="3680" w:val="left"/>
        </w:tabs>
        <w:rPr>
          <w:sz w:val="20"/>
          <w:szCs w:val="20"/>
          <w:color w:val="auto"/>
        </w:rPr>
      </w:pPr>
      <w:r>
        <w:rPr>
          <w:rFonts w:ascii="Times New Roman" w:cs="Times New Roman" w:eastAsia="Times New Roman" w:hAnsi="Times New Roman"/>
          <w:sz w:val="20"/>
          <w:szCs w:val="20"/>
          <w:color w:val="auto"/>
        </w:rPr>
        <w:t>Section 3.05</w:t>
        <w:tab/>
        <w:t>Deposit of Redemption Price.</w:t>
        <w:tab/>
        <w:t>57</w:t>
      </w:r>
    </w:p>
    <w:p>
      <w:pPr>
        <w:spacing w:after="0" w:line="2" w:lineRule="exact"/>
        <w:rPr>
          <w:sz w:val="20"/>
          <w:szCs w:val="20"/>
          <w:color w:val="auto"/>
        </w:rPr>
      </w:pPr>
    </w:p>
    <w:p>
      <w:pPr>
        <w:spacing w:after="0"/>
        <w:tabs>
          <w:tab w:leader="none" w:pos="1160" w:val="left"/>
          <w:tab w:leader="none" w:pos="3300" w:val="left"/>
        </w:tabs>
        <w:rPr>
          <w:sz w:val="20"/>
          <w:szCs w:val="20"/>
          <w:color w:val="auto"/>
        </w:rPr>
      </w:pPr>
      <w:r>
        <w:rPr>
          <w:rFonts w:ascii="Times New Roman" w:cs="Times New Roman" w:eastAsia="Times New Roman" w:hAnsi="Times New Roman"/>
          <w:sz w:val="20"/>
          <w:szCs w:val="20"/>
          <w:color w:val="auto"/>
        </w:rPr>
        <w:t>Section 3.06</w:t>
        <w:tab/>
        <w:t>Notes Redeemed in Part.</w:t>
        <w:tab/>
        <w:t>57</w:t>
      </w:r>
    </w:p>
    <w:p>
      <w:pPr>
        <w:spacing w:after="0" w:line="4" w:lineRule="exact"/>
        <w:rPr>
          <w:sz w:val="20"/>
          <w:szCs w:val="20"/>
          <w:color w:val="auto"/>
        </w:rPr>
      </w:pPr>
    </w:p>
    <w:p>
      <w:pPr>
        <w:spacing w:after="0"/>
        <w:tabs>
          <w:tab w:leader="none" w:pos="1160" w:val="left"/>
          <w:tab w:leader="none" w:pos="2260" w:val="left"/>
        </w:tabs>
        <w:rPr>
          <w:sz w:val="20"/>
          <w:szCs w:val="20"/>
          <w:color w:val="auto"/>
        </w:rPr>
      </w:pPr>
      <w:r>
        <w:rPr>
          <w:rFonts w:ascii="Times New Roman" w:cs="Times New Roman" w:eastAsia="Times New Roman" w:hAnsi="Times New Roman"/>
          <w:sz w:val="20"/>
          <w:szCs w:val="20"/>
          <w:color w:val="auto"/>
        </w:rPr>
        <w:t>Section 3.07</w:t>
        <w:tab/>
        <w:t>[Reserved].</w:t>
        <w:tab/>
        <w:t>57</w:t>
      </w:r>
    </w:p>
    <w:p>
      <w:pPr>
        <w:spacing w:after="0" w:line="2" w:lineRule="exact"/>
        <w:rPr>
          <w:sz w:val="20"/>
          <w:szCs w:val="20"/>
          <w:color w:val="auto"/>
        </w:rPr>
      </w:pPr>
    </w:p>
    <w:p>
      <w:pPr>
        <w:spacing w:after="0"/>
        <w:tabs>
          <w:tab w:leader="none" w:pos="1160" w:val="left"/>
          <w:tab w:leader="none" w:pos="3080" w:val="left"/>
        </w:tabs>
        <w:rPr>
          <w:sz w:val="20"/>
          <w:szCs w:val="20"/>
          <w:color w:val="auto"/>
        </w:rPr>
      </w:pPr>
      <w:r>
        <w:rPr>
          <w:rFonts w:ascii="Times New Roman" w:cs="Times New Roman" w:eastAsia="Times New Roman" w:hAnsi="Times New Roman"/>
          <w:sz w:val="20"/>
          <w:szCs w:val="20"/>
          <w:color w:val="auto"/>
        </w:rPr>
        <w:t>Section 3.08</w:t>
        <w:tab/>
        <w:t>Optional Redemption.</w:t>
        <w:tab/>
        <w:t>57</w:t>
      </w:r>
    </w:p>
    <w:p>
      <w:pPr>
        <w:spacing w:after="0" w:line="10" w:lineRule="exact"/>
        <w:rPr>
          <w:sz w:val="20"/>
          <w:szCs w:val="20"/>
          <w:color w:val="auto"/>
        </w:rPr>
      </w:pPr>
    </w:p>
    <w:p>
      <w:pPr>
        <w:spacing w:after="0"/>
        <w:tabs>
          <w:tab w:leader="none" w:pos="1160" w:val="left"/>
          <w:tab w:leader="none" w:pos="3260" w:val="left"/>
        </w:tabs>
        <w:rPr>
          <w:sz w:val="20"/>
          <w:szCs w:val="20"/>
          <w:color w:val="auto"/>
        </w:rPr>
      </w:pPr>
      <w:r>
        <w:rPr>
          <w:rFonts w:ascii="Times New Roman" w:cs="Times New Roman" w:eastAsia="Times New Roman" w:hAnsi="Times New Roman"/>
          <w:sz w:val="20"/>
          <w:szCs w:val="20"/>
          <w:color w:val="auto"/>
        </w:rPr>
        <w:t>Section 3.09</w:t>
        <w:tab/>
        <w:t>Mandatory Redemption.</w:t>
        <w:tab/>
        <w:t>58</w:t>
      </w:r>
    </w:p>
    <w:p>
      <w:pPr>
        <w:spacing w:after="0" w:line="4" w:lineRule="exact"/>
        <w:rPr>
          <w:sz w:val="20"/>
          <w:szCs w:val="20"/>
          <w:color w:val="auto"/>
        </w:rPr>
      </w:pPr>
    </w:p>
    <w:p>
      <w:pPr>
        <w:spacing w:after="0"/>
        <w:tabs>
          <w:tab w:leader="none" w:pos="1160" w:val="left"/>
          <w:tab w:leader="none" w:pos="5540" w:val="left"/>
        </w:tabs>
        <w:rPr>
          <w:sz w:val="20"/>
          <w:szCs w:val="20"/>
          <w:color w:val="auto"/>
        </w:rPr>
      </w:pPr>
      <w:r>
        <w:rPr>
          <w:rFonts w:ascii="Times New Roman" w:cs="Times New Roman" w:eastAsia="Times New Roman" w:hAnsi="Times New Roman"/>
          <w:sz w:val="20"/>
          <w:szCs w:val="20"/>
          <w:color w:val="auto"/>
        </w:rPr>
        <w:t>Section 3.10</w:t>
        <w:tab/>
        <w:t>Offer to Purchase by Application of Excess Proceeds.</w:t>
        <w:tab/>
        <w:t>58</w:t>
      </w:r>
    </w:p>
    <w:p>
      <w:pPr>
        <w:spacing w:after="0" w:line="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ARTICLE 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COVENANTS</w:t>
      </w:r>
    </w:p>
    <w:p>
      <w:pPr>
        <w:spacing w:after="0" w:line="95" w:lineRule="exact"/>
        <w:rPr>
          <w:sz w:val="20"/>
          <w:szCs w:val="20"/>
          <w:color w:val="auto"/>
        </w:rPr>
      </w:pPr>
    </w:p>
    <w:p>
      <w:pPr>
        <w:spacing w:after="0"/>
        <w:tabs>
          <w:tab w:leader="none" w:pos="1160" w:val="left"/>
          <w:tab w:leader="none" w:pos="2800" w:val="left"/>
        </w:tabs>
        <w:rPr>
          <w:sz w:val="20"/>
          <w:szCs w:val="20"/>
          <w:color w:val="auto"/>
        </w:rPr>
      </w:pPr>
      <w:r>
        <w:rPr>
          <w:rFonts w:ascii="Times New Roman" w:cs="Times New Roman" w:eastAsia="Times New Roman" w:hAnsi="Times New Roman"/>
          <w:sz w:val="20"/>
          <w:szCs w:val="20"/>
          <w:color w:val="auto"/>
        </w:rPr>
        <w:t>Section 4.01</w:t>
        <w:tab/>
        <w:t>Payment of Notes.</w:t>
        <w:tab/>
        <w:t>60</w:t>
      </w:r>
    </w:p>
    <w:p>
      <w:pPr>
        <w:sectPr>
          <w:pgSz w:w="11900" w:h="16838" w:orient="portrait"/>
          <w:cols w:equalWidth="0" w:num="1">
            <w:col w:w="11240"/>
          </w:cols>
          <w:pgMar w:left="320" w:top="1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396"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i w:val="1"/>
          <w:iCs w:val="1"/>
          <w:color w:val="auto"/>
        </w:rPr>
        <w:t>Page</w:t>
      </w:r>
    </w:p>
    <w:p>
      <w:pPr>
        <w:spacing w:after="0" w:line="220" w:lineRule="exact"/>
        <w:rPr>
          <w:sz w:val="20"/>
          <w:szCs w:val="20"/>
          <w:color w:val="auto"/>
        </w:rPr>
      </w:pPr>
    </w:p>
    <w:p>
      <w:pPr>
        <w:spacing w:after="0"/>
        <w:tabs>
          <w:tab w:leader="none" w:pos="1160" w:val="left"/>
          <w:tab w:leader="none" w:pos="4020" w:val="left"/>
        </w:tabs>
        <w:rPr>
          <w:sz w:val="20"/>
          <w:szCs w:val="20"/>
          <w:color w:val="auto"/>
        </w:rPr>
      </w:pPr>
      <w:r>
        <w:rPr>
          <w:rFonts w:ascii="Times New Roman" w:cs="Times New Roman" w:eastAsia="Times New Roman" w:hAnsi="Times New Roman"/>
          <w:sz w:val="20"/>
          <w:szCs w:val="20"/>
          <w:color w:val="auto"/>
        </w:rPr>
        <w:t>Section 4.02</w:t>
        <w:tab/>
        <w:t>Maintenance of Office or Agency.</w:t>
        <w:tab/>
        <w:t>60</w:t>
      </w:r>
    </w:p>
    <w:p>
      <w:pPr>
        <w:spacing w:after="0" w:line="24" w:lineRule="exact"/>
        <w:rPr>
          <w:sz w:val="20"/>
          <w:szCs w:val="20"/>
          <w:color w:val="auto"/>
        </w:rPr>
      </w:pPr>
    </w:p>
    <w:p>
      <w:pPr>
        <w:spacing w:after="0"/>
        <w:tabs>
          <w:tab w:leader="none" w:pos="1160" w:val="left"/>
          <w:tab w:leader="none" w:pos="2020" w:val="left"/>
        </w:tabs>
        <w:rPr>
          <w:sz w:val="20"/>
          <w:szCs w:val="20"/>
          <w:color w:val="auto"/>
        </w:rPr>
      </w:pPr>
      <w:r>
        <w:rPr>
          <w:rFonts w:ascii="Times New Roman" w:cs="Times New Roman" w:eastAsia="Times New Roman" w:hAnsi="Times New Roman"/>
          <w:sz w:val="20"/>
          <w:szCs w:val="20"/>
          <w:color w:val="auto"/>
        </w:rPr>
        <w:t>Section 4.03</w:t>
        <w:tab/>
        <w:t>Reports.</w:t>
      </w:r>
      <w:r>
        <w:rPr>
          <w:sz w:val="20"/>
          <w:szCs w:val="20"/>
          <w:color w:val="auto"/>
        </w:rPr>
        <w:tab/>
      </w:r>
      <w:r>
        <w:rPr>
          <w:rFonts w:ascii="Times New Roman" w:cs="Times New Roman" w:eastAsia="Times New Roman" w:hAnsi="Times New Roman"/>
          <w:sz w:val="18"/>
          <w:szCs w:val="18"/>
          <w:color w:val="auto"/>
        </w:rPr>
        <w:t>61</w:t>
      </w:r>
    </w:p>
    <w:p>
      <w:pPr>
        <w:spacing w:after="0" w:line="4" w:lineRule="exact"/>
        <w:rPr>
          <w:sz w:val="20"/>
          <w:szCs w:val="20"/>
          <w:color w:val="auto"/>
        </w:rPr>
      </w:pPr>
    </w:p>
    <w:p>
      <w:pPr>
        <w:spacing w:after="0"/>
        <w:tabs>
          <w:tab w:leader="none" w:pos="1160" w:val="left"/>
          <w:tab w:leader="none" w:pos="3220" w:val="left"/>
        </w:tabs>
        <w:rPr>
          <w:sz w:val="20"/>
          <w:szCs w:val="20"/>
          <w:color w:val="auto"/>
        </w:rPr>
      </w:pPr>
      <w:r>
        <w:rPr>
          <w:rFonts w:ascii="Times New Roman" w:cs="Times New Roman" w:eastAsia="Times New Roman" w:hAnsi="Times New Roman"/>
          <w:sz w:val="20"/>
          <w:szCs w:val="20"/>
          <w:color w:val="auto"/>
        </w:rPr>
        <w:t>Section 4.04</w:t>
        <w:tab/>
        <w:t>Compliance Certificate.</w:t>
        <w:tab/>
        <w:t>62</w:t>
      </w:r>
    </w:p>
    <w:p>
      <w:pPr>
        <w:spacing w:after="0" w:line="2" w:lineRule="exact"/>
        <w:rPr>
          <w:sz w:val="20"/>
          <w:szCs w:val="20"/>
          <w:color w:val="auto"/>
        </w:rPr>
      </w:pPr>
    </w:p>
    <w:p>
      <w:pPr>
        <w:spacing w:after="0"/>
        <w:tabs>
          <w:tab w:leader="none" w:pos="1160" w:val="left"/>
          <w:tab w:leader="none" w:pos="1860" w:val="left"/>
        </w:tabs>
        <w:rPr>
          <w:sz w:val="20"/>
          <w:szCs w:val="20"/>
          <w:color w:val="auto"/>
        </w:rPr>
      </w:pPr>
      <w:r>
        <w:rPr>
          <w:rFonts w:ascii="Times New Roman" w:cs="Times New Roman" w:eastAsia="Times New Roman" w:hAnsi="Times New Roman"/>
          <w:sz w:val="20"/>
          <w:szCs w:val="20"/>
          <w:color w:val="auto"/>
        </w:rPr>
        <w:t>Section 4.05</w:t>
        <w:tab/>
        <w:t>Taxes.</w:t>
      </w:r>
      <w:r>
        <w:rPr>
          <w:sz w:val="20"/>
          <w:szCs w:val="20"/>
          <w:color w:val="auto"/>
        </w:rPr>
        <w:tab/>
      </w:r>
      <w:r>
        <w:rPr>
          <w:rFonts w:ascii="Times New Roman" w:cs="Times New Roman" w:eastAsia="Times New Roman" w:hAnsi="Times New Roman"/>
          <w:sz w:val="18"/>
          <w:szCs w:val="18"/>
          <w:color w:val="auto"/>
        </w:rPr>
        <w:t>62</w:t>
      </w:r>
    </w:p>
    <w:p>
      <w:pPr>
        <w:spacing w:after="0" w:line="10" w:lineRule="exact"/>
        <w:rPr>
          <w:sz w:val="20"/>
          <w:szCs w:val="20"/>
          <w:color w:val="auto"/>
        </w:rPr>
      </w:pPr>
    </w:p>
    <w:p>
      <w:pPr>
        <w:spacing w:after="0"/>
        <w:tabs>
          <w:tab w:leader="none" w:pos="1160" w:val="left"/>
          <w:tab w:leader="none" w:pos="3940" w:val="left"/>
        </w:tabs>
        <w:rPr>
          <w:sz w:val="20"/>
          <w:szCs w:val="20"/>
          <w:color w:val="auto"/>
        </w:rPr>
      </w:pPr>
      <w:r>
        <w:rPr>
          <w:rFonts w:ascii="Times New Roman" w:cs="Times New Roman" w:eastAsia="Times New Roman" w:hAnsi="Times New Roman"/>
          <w:sz w:val="20"/>
          <w:szCs w:val="20"/>
          <w:color w:val="auto"/>
        </w:rPr>
        <w:t>Section 4.06</w:t>
        <w:tab/>
        <w:t>Stay, Extension and Usury Laws.</w:t>
        <w:tab/>
        <w:t>63</w:t>
      </w:r>
    </w:p>
    <w:p>
      <w:pPr>
        <w:spacing w:after="0" w:line="4" w:lineRule="exact"/>
        <w:rPr>
          <w:sz w:val="20"/>
          <w:szCs w:val="20"/>
          <w:color w:val="auto"/>
        </w:rPr>
      </w:pPr>
    </w:p>
    <w:p>
      <w:pPr>
        <w:spacing w:after="0"/>
        <w:tabs>
          <w:tab w:leader="none" w:pos="1160" w:val="left"/>
          <w:tab w:leader="none" w:pos="3000" w:val="left"/>
        </w:tabs>
        <w:rPr>
          <w:sz w:val="20"/>
          <w:szCs w:val="20"/>
          <w:color w:val="auto"/>
        </w:rPr>
      </w:pPr>
      <w:r>
        <w:rPr>
          <w:rFonts w:ascii="Times New Roman" w:cs="Times New Roman" w:eastAsia="Times New Roman" w:hAnsi="Times New Roman"/>
          <w:sz w:val="20"/>
          <w:szCs w:val="20"/>
          <w:color w:val="auto"/>
        </w:rPr>
        <w:t>Section 4.07</w:t>
        <w:tab/>
        <w:t>Restricted Payments.</w:t>
        <w:tab/>
        <w:t>63</w:t>
      </w:r>
    </w:p>
    <w:p>
      <w:pPr>
        <w:spacing w:after="0" w:line="2" w:lineRule="exact"/>
        <w:rPr>
          <w:sz w:val="20"/>
          <w:szCs w:val="20"/>
          <w:color w:val="auto"/>
        </w:rPr>
      </w:pPr>
    </w:p>
    <w:p>
      <w:pPr>
        <w:spacing w:after="0"/>
        <w:tabs>
          <w:tab w:leader="none" w:pos="1160" w:val="left"/>
          <w:tab w:leader="none" w:pos="7300" w:val="left"/>
        </w:tabs>
        <w:rPr>
          <w:sz w:val="20"/>
          <w:szCs w:val="20"/>
          <w:color w:val="auto"/>
        </w:rPr>
      </w:pPr>
      <w:r>
        <w:rPr>
          <w:rFonts w:ascii="Times New Roman" w:cs="Times New Roman" w:eastAsia="Times New Roman" w:hAnsi="Times New Roman"/>
          <w:sz w:val="20"/>
          <w:szCs w:val="20"/>
          <w:color w:val="auto"/>
        </w:rPr>
        <w:t>Section 4.08</w:t>
        <w:tab/>
        <w:t>Dividend and Other Payment Restrictions Affecting Restricted Subsidiaries.</w:t>
        <w:tab/>
        <w:t>68</w:t>
      </w:r>
    </w:p>
    <w:p>
      <w:pPr>
        <w:spacing w:after="0" w:line="4" w:lineRule="exact"/>
        <w:rPr>
          <w:sz w:val="20"/>
          <w:szCs w:val="20"/>
          <w:color w:val="auto"/>
        </w:rPr>
      </w:pPr>
    </w:p>
    <w:p>
      <w:pPr>
        <w:spacing w:after="0"/>
        <w:tabs>
          <w:tab w:leader="none" w:pos="1160" w:val="left"/>
          <w:tab w:leader="none" w:pos="6060" w:val="left"/>
        </w:tabs>
        <w:rPr>
          <w:sz w:val="20"/>
          <w:szCs w:val="20"/>
          <w:color w:val="auto"/>
        </w:rPr>
      </w:pPr>
      <w:r>
        <w:rPr>
          <w:rFonts w:ascii="Times New Roman" w:cs="Times New Roman" w:eastAsia="Times New Roman" w:hAnsi="Times New Roman"/>
          <w:sz w:val="20"/>
          <w:szCs w:val="20"/>
          <w:color w:val="auto"/>
        </w:rPr>
        <w:t>Section 4.09</w:t>
        <w:tab/>
        <w:t>Incurrence of Indebtedness and Issuance of Preferred Stock.</w:t>
      </w:r>
      <w:r>
        <w:rPr>
          <w:sz w:val="20"/>
          <w:szCs w:val="20"/>
          <w:color w:val="auto"/>
        </w:rPr>
        <w:tab/>
      </w:r>
      <w:r>
        <w:rPr>
          <w:rFonts w:ascii="Times New Roman" w:cs="Times New Roman" w:eastAsia="Times New Roman" w:hAnsi="Times New Roman"/>
          <w:sz w:val="18"/>
          <w:szCs w:val="18"/>
          <w:color w:val="auto"/>
        </w:rPr>
        <w:t>70</w:t>
      </w:r>
    </w:p>
    <w:p>
      <w:pPr>
        <w:spacing w:after="0" w:line="2" w:lineRule="exact"/>
        <w:rPr>
          <w:sz w:val="20"/>
          <w:szCs w:val="20"/>
          <w:color w:val="auto"/>
        </w:rPr>
      </w:pPr>
    </w:p>
    <w:p>
      <w:pPr>
        <w:spacing w:after="0"/>
        <w:tabs>
          <w:tab w:leader="none" w:pos="1140" w:val="left"/>
          <w:tab w:leader="none" w:pos="2280" w:val="left"/>
        </w:tabs>
        <w:rPr>
          <w:sz w:val="20"/>
          <w:szCs w:val="20"/>
          <w:color w:val="auto"/>
        </w:rPr>
      </w:pPr>
      <w:r>
        <w:rPr>
          <w:rFonts w:ascii="Times New Roman" w:cs="Times New Roman" w:eastAsia="Times New Roman" w:hAnsi="Times New Roman"/>
          <w:sz w:val="20"/>
          <w:szCs w:val="20"/>
          <w:color w:val="auto"/>
        </w:rPr>
        <w:t>Section 4.10</w:t>
        <w:tab/>
        <w:t>Asset Sales.</w:t>
        <w:tab/>
        <w:t>75</w:t>
      </w:r>
    </w:p>
    <w:p>
      <w:pPr>
        <w:spacing w:after="0" w:line="10" w:lineRule="exact"/>
        <w:rPr>
          <w:sz w:val="20"/>
          <w:szCs w:val="20"/>
          <w:color w:val="auto"/>
        </w:rPr>
      </w:pPr>
    </w:p>
    <w:p>
      <w:pPr>
        <w:spacing w:after="0"/>
        <w:tabs>
          <w:tab w:leader="none" w:pos="1140" w:val="left"/>
          <w:tab w:leader="none" w:pos="3560" w:val="left"/>
        </w:tabs>
        <w:rPr>
          <w:sz w:val="20"/>
          <w:szCs w:val="20"/>
          <w:color w:val="auto"/>
        </w:rPr>
      </w:pPr>
      <w:r>
        <w:rPr>
          <w:rFonts w:ascii="Times New Roman" w:cs="Times New Roman" w:eastAsia="Times New Roman" w:hAnsi="Times New Roman"/>
          <w:sz w:val="20"/>
          <w:szCs w:val="20"/>
          <w:color w:val="auto"/>
        </w:rPr>
        <w:t>Section 4.11</w:t>
        <w:tab/>
        <w:t>Transactions with Affiliates.</w:t>
        <w:tab/>
        <w:t>77</w:t>
      </w:r>
    </w:p>
    <w:p>
      <w:pPr>
        <w:spacing w:after="0" w:line="4" w:lineRule="exact"/>
        <w:rPr>
          <w:sz w:val="20"/>
          <w:szCs w:val="20"/>
          <w:color w:val="auto"/>
        </w:rPr>
      </w:pPr>
    </w:p>
    <w:p>
      <w:pPr>
        <w:spacing w:after="0"/>
        <w:tabs>
          <w:tab w:leader="none" w:pos="1160" w:val="left"/>
          <w:tab w:leader="none" w:pos="1840" w:val="left"/>
        </w:tabs>
        <w:rPr>
          <w:sz w:val="20"/>
          <w:szCs w:val="20"/>
          <w:color w:val="auto"/>
        </w:rPr>
      </w:pPr>
      <w:r>
        <w:rPr>
          <w:rFonts w:ascii="Times New Roman" w:cs="Times New Roman" w:eastAsia="Times New Roman" w:hAnsi="Times New Roman"/>
          <w:sz w:val="20"/>
          <w:szCs w:val="20"/>
          <w:color w:val="auto"/>
        </w:rPr>
        <w:t>Section 4.12</w:t>
        <w:tab/>
        <w:t>Liens.</w:t>
        <w:tab/>
        <w:t>79</w:t>
      </w:r>
    </w:p>
    <w:p>
      <w:pPr>
        <w:spacing w:after="0" w:line="2" w:lineRule="exact"/>
        <w:rPr>
          <w:sz w:val="20"/>
          <w:szCs w:val="20"/>
          <w:color w:val="auto"/>
        </w:rPr>
      </w:pPr>
    </w:p>
    <w:p>
      <w:pPr>
        <w:spacing w:after="0"/>
        <w:tabs>
          <w:tab w:leader="none" w:pos="1160" w:val="left"/>
          <w:tab w:leader="none" w:pos="2260" w:val="left"/>
        </w:tabs>
        <w:rPr>
          <w:sz w:val="20"/>
          <w:szCs w:val="20"/>
          <w:color w:val="auto"/>
        </w:rPr>
      </w:pPr>
      <w:r>
        <w:rPr>
          <w:rFonts w:ascii="Times New Roman" w:cs="Times New Roman" w:eastAsia="Times New Roman" w:hAnsi="Times New Roman"/>
          <w:sz w:val="20"/>
          <w:szCs w:val="20"/>
          <w:color w:val="auto"/>
        </w:rPr>
        <w:t>Section 4.13</w:t>
        <w:tab/>
        <w:t>[Reserved].</w:t>
        <w:tab/>
        <w:t>80</w:t>
      </w:r>
    </w:p>
    <w:p>
      <w:pPr>
        <w:spacing w:after="0" w:line="4" w:lineRule="exact"/>
        <w:rPr>
          <w:sz w:val="20"/>
          <w:szCs w:val="20"/>
          <w:color w:val="auto"/>
        </w:rPr>
      </w:pPr>
    </w:p>
    <w:p>
      <w:pPr>
        <w:spacing w:after="0"/>
        <w:tabs>
          <w:tab w:leader="none" w:pos="1160" w:val="left"/>
          <w:tab w:leader="none" w:pos="3360" w:val="left"/>
        </w:tabs>
        <w:rPr>
          <w:sz w:val="20"/>
          <w:szCs w:val="20"/>
          <w:color w:val="auto"/>
        </w:rPr>
      </w:pPr>
      <w:r>
        <w:rPr>
          <w:rFonts w:ascii="Times New Roman" w:cs="Times New Roman" w:eastAsia="Times New Roman" w:hAnsi="Times New Roman"/>
          <w:sz w:val="20"/>
          <w:szCs w:val="20"/>
          <w:color w:val="auto"/>
        </w:rPr>
        <w:t>Section 4.14</w:t>
        <w:tab/>
        <w:t>Organizational Existence.</w:t>
        <w:tab/>
        <w:t>80</w:t>
      </w:r>
    </w:p>
    <w:p>
      <w:pPr>
        <w:spacing w:after="0" w:line="2" w:lineRule="exact"/>
        <w:rPr>
          <w:sz w:val="20"/>
          <w:szCs w:val="20"/>
          <w:color w:val="auto"/>
        </w:rPr>
      </w:pPr>
    </w:p>
    <w:p>
      <w:pPr>
        <w:spacing w:after="0"/>
        <w:tabs>
          <w:tab w:leader="none" w:pos="1160" w:val="left"/>
          <w:tab w:leader="none" w:pos="6360" w:val="left"/>
        </w:tabs>
        <w:rPr>
          <w:sz w:val="20"/>
          <w:szCs w:val="20"/>
          <w:color w:val="auto"/>
        </w:rPr>
      </w:pPr>
      <w:r>
        <w:rPr>
          <w:rFonts w:ascii="Times New Roman" w:cs="Times New Roman" w:eastAsia="Times New Roman" w:hAnsi="Times New Roman"/>
          <w:sz w:val="20"/>
          <w:szCs w:val="20"/>
          <w:color w:val="auto"/>
        </w:rPr>
        <w:t>Section 4.15</w:t>
        <w:tab/>
        <w:t>Offer to Repurchase Upon Change of Control Triggering Event.</w:t>
      </w:r>
      <w:r>
        <w:rPr>
          <w:sz w:val="20"/>
          <w:szCs w:val="20"/>
          <w:color w:val="auto"/>
        </w:rPr>
        <w:tab/>
      </w:r>
      <w:r>
        <w:rPr>
          <w:rFonts w:ascii="Times New Roman" w:cs="Times New Roman" w:eastAsia="Times New Roman" w:hAnsi="Times New Roman"/>
          <w:sz w:val="18"/>
          <w:szCs w:val="18"/>
          <w:color w:val="auto"/>
        </w:rPr>
        <w:t>80</w:t>
      </w:r>
    </w:p>
    <w:p>
      <w:pPr>
        <w:spacing w:after="0" w:line="10" w:lineRule="exact"/>
        <w:rPr>
          <w:sz w:val="20"/>
          <w:szCs w:val="20"/>
          <w:color w:val="auto"/>
        </w:rPr>
      </w:pPr>
    </w:p>
    <w:p>
      <w:pPr>
        <w:spacing w:after="0"/>
        <w:tabs>
          <w:tab w:leader="none" w:pos="1140" w:val="left"/>
          <w:tab w:leader="none" w:pos="3160" w:val="left"/>
        </w:tabs>
        <w:rPr>
          <w:sz w:val="20"/>
          <w:szCs w:val="20"/>
          <w:color w:val="auto"/>
        </w:rPr>
      </w:pPr>
      <w:r>
        <w:rPr>
          <w:rFonts w:ascii="Times New Roman" w:cs="Times New Roman" w:eastAsia="Times New Roman" w:hAnsi="Times New Roman"/>
          <w:sz w:val="20"/>
          <w:szCs w:val="20"/>
          <w:color w:val="auto"/>
        </w:rPr>
        <w:t>Section 4.16</w:t>
        <w:tab/>
        <w:t>Additional Guarantees.</w:t>
        <w:tab/>
        <w:t>82</w:t>
      </w:r>
    </w:p>
    <w:p>
      <w:pPr>
        <w:spacing w:after="0" w:line="4" w:lineRule="exact"/>
        <w:rPr>
          <w:sz w:val="20"/>
          <w:szCs w:val="20"/>
          <w:color w:val="auto"/>
        </w:rPr>
      </w:pPr>
    </w:p>
    <w:p>
      <w:pPr>
        <w:ind w:right="5280"/>
        <w:spacing w:after="0" w:line="252" w:lineRule="auto"/>
        <w:rPr>
          <w:sz w:val="20"/>
          <w:szCs w:val="20"/>
          <w:color w:val="auto"/>
        </w:rPr>
      </w:pPr>
      <w:r>
        <w:rPr>
          <w:rFonts w:ascii="Times New Roman" w:cs="Times New Roman" w:eastAsia="Times New Roman" w:hAnsi="Times New Roman"/>
          <w:sz w:val="20"/>
          <w:szCs w:val="20"/>
          <w:color w:val="auto"/>
        </w:rPr>
        <w:t>Section 4.17 Designation of Restricted and Unrestricted Subsidiaries. 82 Section 4.18 Covenant Termination. 82</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SUCCESSORS</w:t>
      </w:r>
    </w:p>
    <w:p>
      <w:pPr>
        <w:spacing w:after="0" w:line="89" w:lineRule="exact"/>
        <w:rPr>
          <w:sz w:val="20"/>
          <w:szCs w:val="20"/>
          <w:color w:val="auto"/>
        </w:rPr>
      </w:pPr>
    </w:p>
    <w:p>
      <w:pPr>
        <w:spacing w:after="0"/>
        <w:tabs>
          <w:tab w:leader="none" w:pos="1160" w:val="left"/>
          <w:tab w:leader="none" w:pos="4520" w:val="left"/>
        </w:tabs>
        <w:rPr>
          <w:sz w:val="20"/>
          <w:szCs w:val="20"/>
          <w:color w:val="auto"/>
        </w:rPr>
      </w:pPr>
      <w:r>
        <w:rPr>
          <w:rFonts w:ascii="Times New Roman" w:cs="Times New Roman" w:eastAsia="Times New Roman" w:hAnsi="Times New Roman"/>
          <w:sz w:val="20"/>
          <w:szCs w:val="20"/>
          <w:color w:val="auto"/>
        </w:rPr>
        <w:t>Section 5.01</w:t>
        <w:tab/>
        <w:t>Merger, Consolidation or Sale of Assets.</w:t>
        <w:tab/>
        <w:t>83</w:t>
      </w:r>
    </w:p>
    <w:p>
      <w:pPr>
        <w:spacing w:after="0" w:line="24" w:lineRule="exact"/>
        <w:rPr>
          <w:sz w:val="20"/>
          <w:szCs w:val="20"/>
          <w:color w:val="auto"/>
        </w:rPr>
      </w:pPr>
    </w:p>
    <w:p>
      <w:pPr>
        <w:spacing w:after="0"/>
        <w:tabs>
          <w:tab w:leader="none" w:pos="1160" w:val="left"/>
          <w:tab w:leader="none" w:pos="3620" w:val="left"/>
        </w:tabs>
        <w:rPr>
          <w:sz w:val="20"/>
          <w:szCs w:val="20"/>
          <w:color w:val="auto"/>
        </w:rPr>
      </w:pPr>
      <w:r>
        <w:rPr>
          <w:rFonts w:ascii="Times New Roman" w:cs="Times New Roman" w:eastAsia="Times New Roman" w:hAnsi="Times New Roman"/>
          <w:sz w:val="20"/>
          <w:szCs w:val="20"/>
          <w:color w:val="auto"/>
        </w:rPr>
        <w:t>Section 5.02</w:t>
        <w:tab/>
        <w:t>Successor Issuer Substituted.</w:t>
        <w:tab/>
        <w:t>85</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DEFAULTS AND REMEDIES</w:t>
      </w:r>
    </w:p>
    <w:p>
      <w:pPr>
        <w:spacing w:after="0" w:line="95" w:lineRule="exact"/>
        <w:rPr>
          <w:sz w:val="20"/>
          <w:szCs w:val="20"/>
          <w:color w:val="auto"/>
        </w:rPr>
      </w:pPr>
    </w:p>
    <w:p>
      <w:pPr>
        <w:spacing w:after="0"/>
        <w:tabs>
          <w:tab w:leader="none" w:pos="1160" w:val="left"/>
          <w:tab w:leader="none" w:pos="2780" w:val="left"/>
        </w:tabs>
        <w:rPr>
          <w:sz w:val="20"/>
          <w:szCs w:val="20"/>
          <w:color w:val="auto"/>
        </w:rPr>
      </w:pPr>
      <w:r>
        <w:rPr>
          <w:rFonts w:ascii="Times New Roman" w:cs="Times New Roman" w:eastAsia="Times New Roman" w:hAnsi="Times New Roman"/>
          <w:sz w:val="20"/>
          <w:szCs w:val="20"/>
          <w:color w:val="auto"/>
        </w:rPr>
        <w:t>Section 6.01</w:t>
        <w:tab/>
        <w:t>Events of Default.</w:t>
        <w:tab/>
        <w:t>86</w:t>
      </w:r>
    </w:p>
    <w:p>
      <w:pPr>
        <w:spacing w:after="0" w:line="19" w:lineRule="exact"/>
        <w:rPr>
          <w:sz w:val="20"/>
          <w:szCs w:val="20"/>
          <w:color w:val="auto"/>
        </w:rPr>
      </w:pPr>
    </w:p>
    <w:p>
      <w:pPr>
        <w:spacing w:after="0"/>
        <w:tabs>
          <w:tab w:leader="none" w:pos="1140" w:val="left"/>
          <w:tab w:leader="none" w:pos="2380" w:val="left"/>
        </w:tabs>
        <w:rPr>
          <w:sz w:val="20"/>
          <w:szCs w:val="20"/>
          <w:color w:val="auto"/>
        </w:rPr>
      </w:pPr>
      <w:r>
        <w:rPr>
          <w:rFonts w:ascii="Times New Roman" w:cs="Times New Roman" w:eastAsia="Times New Roman" w:hAnsi="Times New Roman"/>
          <w:sz w:val="20"/>
          <w:szCs w:val="20"/>
          <w:color w:val="auto"/>
        </w:rPr>
        <w:t>Section 6.02</w:t>
        <w:tab/>
        <w:t>Acceleration.</w:t>
        <w:tab/>
        <w:t>89</w:t>
      </w:r>
    </w:p>
    <w:p>
      <w:pPr>
        <w:spacing w:after="0" w:line="2" w:lineRule="exact"/>
        <w:rPr>
          <w:sz w:val="20"/>
          <w:szCs w:val="20"/>
          <w:color w:val="auto"/>
        </w:rPr>
      </w:pPr>
    </w:p>
    <w:p>
      <w:pPr>
        <w:spacing w:after="0"/>
        <w:tabs>
          <w:tab w:leader="none" w:pos="1160" w:val="left"/>
          <w:tab w:leader="none" w:pos="2660" w:val="left"/>
        </w:tabs>
        <w:rPr>
          <w:sz w:val="20"/>
          <w:szCs w:val="20"/>
          <w:color w:val="auto"/>
        </w:rPr>
      </w:pPr>
      <w:r>
        <w:rPr>
          <w:rFonts w:ascii="Times New Roman" w:cs="Times New Roman" w:eastAsia="Times New Roman" w:hAnsi="Times New Roman"/>
          <w:sz w:val="20"/>
          <w:szCs w:val="20"/>
          <w:color w:val="auto"/>
        </w:rPr>
        <w:t>Section 6.03</w:t>
        <w:tab/>
        <w:t>Other Remedies.</w:t>
        <w:tab/>
        <w:t>89</w:t>
      </w:r>
    </w:p>
    <w:p>
      <w:pPr>
        <w:spacing w:after="0" w:line="10" w:lineRule="exact"/>
        <w:rPr>
          <w:sz w:val="20"/>
          <w:szCs w:val="20"/>
          <w:color w:val="auto"/>
        </w:rPr>
      </w:pPr>
    </w:p>
    <w:p>
      <w:pPr>
        <w:spacing w:after="0"/>
        <w:tabs>
          <w:tab w:leader="none" w:pos="1160" w:val="left"/>
          <w:tab w:leader="none" w:pos="3260" w:val="left"/>
        </w:tabs>
        <w:rPr>
          <w:sz w:val="20"/>
          <w:szCs w:val="20"/>
          <w:color w:val="auto"/>
        </w:rPr>
      </w:pPr>
      <w:r>
        <w:rPr>
          <w:rFonts w:ascii="Times New Roman" w:cs="Times New Roman" w:eastAsia="Times New Roman" w:hAnsi="Times New Roman"/>
          <w:sz w:val="20"/>
          <w:szCs w:val="20"/>
          <w:color w:val="auto"/>
        </w:rPr>
        <w:t>Section 6.04</w:t>
        <w:tab/>
        <w:t>Waiver of Past Defaults.</w:t>
        <w:tab/>
        <w:t>90</w:t>
      </w:r>
    </w:p>
    <w:p>
      <w:pPr>
        <w:spacing w:after="0" w:line="4" w:lineRule="exact"/>
        <w:rPr>
          <w:sz w:val="20"/>
          <w:szCs w:val="20"/>
          <w:color w:val="auto"/>
        </w:rPr>
      </w:pPr>
    </w:p>
    <w:p>
      <w:pPr>
        <w:spacing w:after="0"/>
        <w:tabs>
          <w:tab w:leader="none" w:pos="1160" w:val="left"/>
          <w:tab w:leader="none" w:pos="2960" w:val="left"/>
        </w:tabs>
        <w:rPr>
          <w:sz w:val="20"/>
          <w:szCs w:val="20"/>
          <w:color w:val="auto"/>
        </w:rPr>
      </w:pPr>
      <w:r>
        <w:rPr>
          <w:rFonts w:ascii="Times New Roman" w:cs="Times New Roman" w:eastAsia="Times New Roman" w:hAnsi="Times New Roman"/>
          <w:sz w:val="20"/>
          <w:szCs w:val="20"/>
          <w:color w:val="auto"/>
        </w:rPr>
        <w:t>Section 6.05</w:t>
        <w:tab/>
        <w:t>Control by Majority.</w:t>
        <w:tab/>
        <w:t>90</w:t>
      </w:r>
    </w:p>
    <w:p>
      <w:pPr>
        <w:spacing w:after="0" w:line="2" w:lineRule="exact"/>
        <w:rPr>
          <w:sz w:val="20"/>
          <w:szCs w:val="20"/>
          <w:color w:val="auto"/>
        </w:rPr>
      </w:pPr>
    </w:p>
    <w:p>
      <w:pPr>
        <w:spacing w:after="0"/>
        <w:tabs>
          <w:tab w:leader="none" w:pos="1160" w:val="left"/>
          <w:tab w:leader="none" w:pos="2920" w:val="left"/>
        </w:tabs>
        <w:rPr>
          <w:sz w:val="20"/>
          <w:szCs w:val="20"/>
          <w:color w:val="auto"/>
        </w:rPr>
      </w:pPr>
      <w:r>
        <w:rPr>
          <w:rFonts w:ascii="Times New Roman" w:cs="Times New Roman" w:eastAsia="Times New Roman" w:hAnsi="Times New Roman"/>
          <w:sz w:val="20"/>
          <w:szCs w:val="20"/>
          <w:color w:val="auto"/>
        </w:rPr>
        <w:t>Section 6.06</w:t>
        <w:tab/>
        <w:t>Limitation on Suits.</w:t>
      </w:r>
      <w:r>
        <w:rPr>
          <w:sz w:val="20"/>
          <w:szCs w:val="20"/>
          <w:color w:val="auto"/>
        </w:rPr>
        <w:tab/>
      </w:r>
      <w:r>
        <w:rPr>
          <w:rFonts w:ascii="Times New Roman" w:cs="Times New Roman" w:eastAsia="Times New Roman" w:hAnsi="Times New Roman"/>
          <w:sz w:val="18"/>
          <w:szCs w:val="18"/>
          <w:color w:val="auto"/>
        </w:rPr>
        <w:t>90</w:t>
      </w:r>
    </w:p>
    <w:p>
      <w:pPr>
        <w:spacing w:after="0" w:line="4" w:lineRule="exact"/>
        <w:rPr>
          <w:sz w:val="20"/>
          <w:szCs w:val="20"/>
          <w:color w:val="auto"/>
        </w:rPr>
      </w:pPr>
    </w:p>
    <w:p>
      <w:pPr>
        <w:spacing w:after="0"/>
        <w:tabs>
          <w:tab w:leader="none" w:pos="1160" w:val="left"/>
          <w:tab w:leader="none" w:pos="5120" w:val="left"/>
        </w:tabs>
        <w:rPr>
          <w:sz w:val="20"/>
          <w:szCs w:val="20"/>
          <w:color w:val="auto"/>
        </w:rPr>
      </w:pPr>
      <w:r>
        <w:rPr>
          <w:rFonts w:ascii="Times New Roman" w:cs="Times New Roman" w:eastAsia="Times New Roman" w:hAnsi="Times New Roman"/>
          <w:sz w:val="20"/>
          <w:szCs w:val="20"/>
          <w:color w:val="auto"/>
        </w:rPr>
        <w:t>Section 6.07</w:t>
        <w:tab/>
        <w:t>Rights of Holders of Notes to Receive Payment.</w:t>
        <w:tab/>
        <w:t>91</w:t>
      </w:r>
    </w:p>
    <w:p>
      <w:pPr>
        <w:spacing w:after="0" w:line="2" w:lineRule="exact"/>
        <w:rPr>
          <w:sz w:val="20"/>
          <w:szCs w:val="20"/>
          <w:color w:val="auto"/>
        </w:rPr>
      </w:pPr>
    </w:p>
    <w:p>
      <w:pPr>
        <w:spacing w:after="0"/>
        <w:tabs>
          <w:tab w:leader="none" w:pos="1160" w:val="left"/>
          <w:tab w:leader="none" w:pos="3460" w:val="left"/>
        </w:tabs>
        <w:rPr>
          <w:sz w:val="20"/>
          <w:szCs w:val="20"/>
          <w:color w:val="auto"/>
        </w:rPr>
      </w:pPr>
      <w:r>
        <w:rPr>
          <w:rFonts w:ascii="Times New Roman" w:cs="Times New Roman" w:eastAsia="Times New Roman" w:hAnsi="Times New Roman"/>
          <w:sz w:val="20"/>
          <w:szCs w:val="20"/>
          <w:color w:val="auto"/>
        </w:rPr>
        <w:t>Section 6.08</w:t>
        <w:tab/>
        <w:t>Collection Suit by Trustee.</w:t>
      </w:r>
      <w:r>
        <w:rPr>
          <w:sz w:val="20"/>
          <w:szCs w:val="20"/>
          <w:color w:val="auto"/>
        </w:rPr>
        <w:tab/>
      </w:r>
      <w:r>
        <w:rPr>
          <w:rFonts w:ascii="Times New Roman" w:cs="Times New Roman" w:eastAsia="Times New Roman" w:hAnsi="Times New Roman"/>
          <w:sz w:val="18"/>
          <w:szCs w:val="18"/>
          <w:color w:val="auto"/>
        </w:rPr>
        <w:t>91</w:t>
      </w:r>
    </w:p>
    <w:p>
      <w:pPr>
        <w:spacing w:after="0" w:line="10" w:lineRule="exact"/>
        <w:rPr>
          <w:sz w:val="20"/>
          <w:szCs w:val="20"/>
          <w:color w:val="auto"/>
        </w:rPr>
      </w:pPr>
    </w:p>
    <w:p>
      <w:pPr>
        <w:spacing w:after="0"/>
        <w:tabs>
          <w:tab w:leader="none" w:pos="1160" w:val="left"/>
          <w:tab w:leader="none" w:pos="4040" w:val="left"/>
        </w:tabs>
        <w:rPr>
          <w:sz w:val="20"/>
          <w:szCs w:val="20"/>
          <w:color w:val="auto"/>
        </w:rPr>
      </w:pPr>
      <w:r>
        <w:rPr>
          <w:rFonts w:ascii="Times New Roman" w:cs="Times New Roman" w:eastAsia="Times New Roman" w:hAnsi="Times New Roman"/>
          <w:sz w:val="20"/>
          <w:szCs w:val="20"/>
          <w:color w:val="auto"/>
        </w:rPr>
        <w:t>Section 6.09</w:t>
        <w:tab/>
        <w:t>Trustee May File Proofs of Claim.</w:t>
      </w:r>
      <w:r>
        <w:rPr>
          <w:sz w:val="20"/>
          <w:szCs w:val="20"/>
          <w:color w:val="auto"/>
        </w:rPr>
        <w:tab/>
      </w:r>
      <w:r>
        <w:rPr>
          <w:rFonts w:ascii="Times New Roman" w:cs="Times New Roman" w:eastAsia="Times New Roman" w:hAnsi="Times New Roman"/>
          <w:sz w:val="18"/>
          <w:szCs w:val="18"/>
          <w:color w:val="auto"/>
        </w:rPr>
        <w:t>91</w:t>
      </w:r>
    </w:p>
    <w:p>
      <w:pPr>
        <w:spacing w:after="0" w:line="4" w:lineRule="exact"/>
        <w:rPr>
          <w:sz w:val="20"/>
          <w:szCs w:val="20"/>
          <w:color w:val="auto"/>
        </w:rPr>
      </w:pPr>
    </w:p>
    <w:p>
      <w:pPr>
        <w:spacing w:after="0"/>
        <w:tabs>
          <w:tab w:leader="none" w:pos="1160" w:val="left"/>
          <w:tab w:leader="none" w:pos="2120" w:val="left"/>
        </w:tabs>
        <w:rPr>
          <w:sz w:val="20"/>
          <w:szCs w:val="20"/>
          <w:color w:val="auto"/>
        </w:rPr>
      </w:pPr>
      <w:r>
        <w:rPr>
          <w:rFonts w:ascii="Times New Roman" w:cs="Times New Roman" w:eastAsia="Times New Roman" w:hAnsi="Times New Roman"/>
          <w:sz w:val="20"/>
          <w:szCs w:val="20"/>
          <w:color w:val="auto"/>
        </w:rPr>
        <w:t>Section 6.10</w:t>
        <w:tab/>
        <w:t>Priorities.</w:t>
        <w:tab/>
        <w:t>91</w:t>
      </w:r>
    </w:p>
    <w:p>
      <w:pPr>
        <w:spacing w:after="0" w:line="2" w:lineRule="exact"/>
        <w:rPr>
          <w:sz w:val="20"/>
          <w:szCs w:val="20"/>
          <w:color w:val="auto"/>
        </w:rPr>
      </w:pPr>
    </w:p>
    <w:p>
      <w:pPr>
        <w:spacing w:after="0"/>
        <w:tabs>
          <w:tab w:leader="none" w:pos="1160" w:val="left"/>
          <w:tab w:leader="none" w:pos="3140" w:val="left"/>
        </w:tabs>
        <w:rPr>
          <w:sz w:val="20"/>
          <w:szCs w:val="20"/>
          <w:color w:val="auto"/>
        </w:rPr>
      </w:pPr>
      <w:r>
        <w:rPr>
          <w:rFonts w:ascii="Times New Roman" w:cs="Times New Roman" w:eastAsia="Times New Roman" w:hAnsi="Times New Roman"/>
          <w:sz w:val="20"/>
          <w:szCs w:val="20"/>
          <w:color w:val="auto"/>
        </w:rPr>
        <w:t>Section 6.11</w:t>
        <w:tab/>
        <w:t>Undertaking for Costs.</w:t>
      </w:r>
      <w:r>
        <w:rPr>
          <w:sz w:val="20"/>
          <w:szCs w:val="20"/>
          <w:color w:val="auto"/>
        </w:rPr>
        <w:tab/>
      </w:r>
      <w:r>
        <w:rPr>
          <w:rFonts w:ascii="Times New Roman" w:cs="Times New Roman" w:eastAsia="Times New Roman" w:hAnsi="Times New Roman"/>
          <w:sz w:val="18"/>
          <w:szCs w:val="18"/>
          <w:color w:val="auto"/>
        </w:rPr>
        <w:t>92</w:t>
      </w:r>
    </w:p>
    <w:p>
      <w:pPr>
        <w:spacing w:after="0" w:line="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ARTICLE 7</w:t>
      </w:r>
    </w:p>
    <w:p>
      <w:pPr>
        <w:spacing w:after="0" w:line="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TRUSTEE</w:t>
      </w:r>
    </w:p>
    <w:p>
      <w:pPr>
        <w:spacing w:after="0" w:line="102" w:lineRule="exact"/>
        <w:rPr>
          <w:sz w:val="20"/>
          <w:szCs w:val="20"/>
          <w:color w:val="auto"/>
        </w:rPr>
      </w:pPr>
    </w:p>
    <w:p>
      <w:pPr>
        <w:spacing w:after="0"/>
        <w:tabs>
          <w:tab w:leader="none" w:pos="1160" w:val="left"/>
          <w:tab w:leader="none" w:pos="2760" w:val="left"/>
        </w:tabs>
        <w:rPr>
          <w:sz w:val="20"/>
          <w:szCs w:val="20"/>
          <w:color w:val="auto"/>
        </w:rPr>
      </w:pPr>
      <w:r>
        <w:rPr>
          <w:rFonts w:ascii="Times New Roman" w:cs="Times New Roman" w:eastAsia="Times New Roman" w:hAnsi="Times New Roman"/>
          <w:sz w:val="20"/>
          <w:szCs w:val="20"/>
          <w:color w:val="auto"/>
        </w:rPr>
        <w:t>Section 7.01</w:t>
        <w:tab/>
        <w:t>Duties of Trustee.</w:t>
      </w:r>
      <w:r>
        <w:rPr>
          <w:sz w:val="20"/>
          <w:szCs w:val="20"/>
          <w:color w:val="auto"/>
        </w:rPr>
        <w:tab/>
      </w:r>
      <w:r>
        <w:rPr>
          <w:rFonts w:ascii="Times New Roman" w:cs="Times New Roman" w:eastAsia="Times New Roman" w:hAnsi="Times New Roman"/>
          <w:sz w:val="18"/>
          <w:szCs w:val="18"/>
          <w:color w:val="auto"/>
        </w:rPr>
        <w:t>92</w:t>
      </w:r>
    </w:p>
    <w:p>
      <w:pPr>
        <w:spacing w:after="0" w:line="19" w:lineRule="exact"/>
        <w:rPr>
          <w:sz w:val="20"/>
          <w:szCs w:val="20"/>
          <w:color w:val="auto"/>
        </w:rPr>
      </w:pPr>
    </w:p>
    <w:p>
      <w:pPr>
        <w:spacing w:after="0"/>
        <w:tabs>
          <w:tab w:leader="none" w:pos="1160" w:val="left"/>
          <w:tab w:leader="none" w:pos="2760" w:val="left"/>
        </w:tabs>
        <w:rPr>
          <w:sz w:val="20"/>
          <w:szCs w:val="20"/>
          <w:color w:val="auto"/>
        </w:rPr>
      </w:pPr>
      <w:r>
        <w:rPr>
          <w:rFonts w:ascii="Times New Roman" w:cs="Times New Roman" w:eastAsia="Times New Roman" w:hAnsi="Times New Roman"/>
          <w:sz w:val="20"/>
          <w:szCs w:val="20"/>
          <w:color w:val="auto"/>
        </w:rPr>
        <w:t>Section 7.02</w:t>
        <w:tab/>
        <w:t>Rights of Trustee.</w:t>
      </w:r>
      <w:r>
        <w:rPr>
          <w:sz w:val="20"/>
          <w:szCs w:val="20"/>
          <w:color w:val="auto"/>
        </w:rPr>
        <w:tab/>
      </w:r>
      <w:r>
        <w:rPr>
          <w:rFonts w:ascii="Times New Roman" w:cs="Times New Roman" w:eastAsia="Times New Roman" w:hAnsi="Times New Roman"/>
          <w:sz w:val="18"/>
          <w:szCs w:val="18"/>
          <w:color w:val="auto"/>
        </w:rPr>
        <w:t>93</w:t>
      </w:r>
    </w:p>
    <w:p>
      <w:pPr>
        <w:spacing w:after="0" w:line="2" w:lineRule="exact"/>
        <w:rPr>
          <w:sz w:val="20"/>
          <w:szCs w:val="20"/>
          <w:color w:val="auto"/>
        </w:rPr>
      </w:pPr>
    </w:p>
    <w:p>
      <w:pPr>
        <w:spacing w:after="0"/>
        <w:tabs>
          <w:tab w:leader="none" w:pos="1160" w:val="left"/>
          <w:tab w:leader="none" w:pos="3600" w:val="left"/>
        </w:tabs>
        <w:rPr>
          <w:sz w:val="20"/>
          <w:szCs w:val="20"/>
          <w:color w:val="auto"/>
        </w:rPr>
      </w:pPr>
      <w:r>
        <w:rPr>
          <w:rFonts w:ascii="Times New Roman" w:cs="Times New Roman" w:eastAsia="Times New Roman" w:hAnsi="Times New Roman"/>
          <w:sz w:val="20"/>
          <w:szCs w:val="20"/>
          <w:color w:val="auto"/>
        </w:rPr>
        <w:t>Section 7.03</w:t>
        <w:tab/>
        <w:t>Individual Rights of Trustee.</w:t>
        <w:tab/>
        <w:t>94</w:t>
      </w:r>
    </w:p>
    <w:p>
      <w:pPr>
        <w:spacing w:after="0" w:line="4" w:lineRule="exact"/>
        <w:rPr>
          <w:sz w:val="20"/>
          <w:szCs w:val="20"/>
          <w:color w:val="auto"/>
        </w:rPr>
      </w:pPr>
    </w:p>
    <w:p>
      <w:pPr>
        <w:spacing w:after="0"/>
        <w:tabs>
          <w:tab w:leader="none" w:pos="1160" w:val="left"/>
          <w:tab w:leader="none" w:pos="3000" w:val="left"/>
        </w:tabs>
        <w:rPr>
          <w:sz w:val="20"/>
          <w:szCs w:val="20"/>
          <w:color w:val="auto"/>
        </w:rPr>
      </w:pPr>
      <w:r>
        <w:rPr>
          <w:rFonts w:ascii="Times New Roman" w:cs="Times New Roman" w:eastAsia="Times New Roman" w:hAnsi="Times New Roman"/>
          <w:sz w:val="20"/>
          <w:szCs w:val="20"/>
          <w:color w:val="auto"/>
        </w:rPr>
        <w:t>Section 7.04</w:t>
        <w:tab/>
        <w:t>Trustee’s Disclaimer.</w:t>
        <w:tab/>
        <w:t>94</w:t>
      </w:r>
    </w:p>
    <w:p>
      <w:pPr>
        <w:spacing w:after="0" w:line="2" w:lineRule="exact"/>
        <w:rPr>
          <w:sz w:val="20"/>
          <w:szCs w:val="20"/>
          <w:color w:val="auto"/>
        </w:rPr>
      </w:pPr>
    </w:p>
    <w:p>
      <w:pPr>
        <w:spacing w:after="0"/>
        <w:tabs>
          <w:tab w:leader="none" w:pos="1160" w:val="left"/>
          <w:tab w:leader="none" w:pos="2840" w:val="left"/>
        </w:tabs>
        <w:rPr>
          <w:sz w:val="20"/>
          <w:szCs w:val="20"/>
          <w:color w:val="auto"/>
        </w:rPr>
      </w:pPr>
      <w:r>
        <w:rPr>
          <w:rFonts w:ascii="Times New Roman" w:cs="Times New Roman" w:eastAsia="Times New Roman" w:hAnsi="Times New Roman"/>
          <w:sz w:val="20"/>
          <w:szCs w:val="20"/>
          <w:color w:val="auto"/>
        </w:rPr>
        <w:t>Section 7.05</w:t>
        <w:tab/>
        <w:t>Notice of Defaults.</w:t>
        <w:tab/>
        <w:t>95</w:t>
      </w:r>
    </w:p>
    <w:p>
      <w:pPr>
        <w:spacing w:after="0" w:line="10" w:lineRule="exact"/>
        <w:rPr>
          <w:sz w:val="20"/>
          <w:szCs w:val="20"/>
          <w:color w:val="auto"/>
        </w:rPr>
      </w:pPr>
    </w:p>
    <w:p>
      <w:pPr>
        <w:spacing w:after="0"/>
        <w:tabs>
          <w:tab w:leader="none" w:pos="1160" w:val="left"/>
          <w:tab w:leader="none" w:pos="2260" w:val="left"/>
        </w:tabs>
        <w:rPr>
          <w:sz w:val="20"/>
          <w:szCs w:val="20"/>
          <w:color w:val="auto"/>
        </w:rPr>
      </w:pPr>
      <w:r>
        <w:rPr>
          <w:rFonts w:ascii="Times New Roman" w:cs="Times New Roman" w:eastAsia="Times New Roman" w:hAnsi="Times New Roman"/>
          <w:sz w:val="20"/>
          <w:szCs w:val="20"/>
          <w:color w:val="auto"/>
        </w:rPr>
        <w:t>Section 7.06</w:t>
        <w:tab/>
        <w:t>[Reserved].</w:t>
        <w:tab/>
        <w:t>95</w:t>
      </w:r>
    </w:p>
    <w:p>
      <w:pPr>
        <w:spacing w:after="0" w:line="4" w:lineRule="exact"/>
        <w:rPr>
          <w:sz w:val="20"/>
          <w:szCs w:val="20"/>
          <w:color w:val="auto"/>
        </w:rPr>
      </w:pPr>
    </w:p>
    <w:p>
      <w:pPr>
        <w:spacing w:after="0"/>
        <w:tabs>
          <w:tab w:leader="none" w:pos="1160" w:val="left"/>
          <w:tab w:leader="none" w:pos="3700" w:val="left"/>
        </w:tabs>
        <w:rPr>
          <w:sz w:val="20"/>
          <w:szCs w:val="20"/>
          <w:color w:val="auto"/>
        </w:rPr>
      </w:pPr>
      <w:r>
        <w:rPr>
          <w:rFonts w:ascii="Times New Roman" w:cs="Times New Roman" w:eastAsia="Times New Roman" w:hAnsi="Times New Roman"/>
          <w:sz w:val="20"/>
          <w:szCs w:val="20"/>
          <w:color w:val="auto"/>
        </w:rPr>
        <w:t>Section 7.07</w:t>
        <w:tab/>
        <w:t>Compensation and Indemnity.</w:t>
        <w:tab/>
        <w:t>95</w:t>
      </w: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40"/>
          </w:cols>
          <w:pgMar w:left="320" w:top="1401"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i w:val="1"/>
          <w:iCs w:val="1"/>
          <w:color w:val="auto"/>
        </w:rPr>
        <w:t>Page</w:t>
      </w:r>
    </w:p>
    <w:p>
      <w:pPr>
        <w:spacing w:after="0" w:line="220" w:lineRule="exact"/>
        <w:rPr>
          <w:sz w:val="20"/>
          <w:szCs w:val="20"/>
          <w:color w:val="auto"/>
        </w:rPr>
      </w:pPr>
    </w:p>
    <w:p>
      <w:pPr>
        <w:spacing w:after="0"/>
        <w:tabs>
          <w:tab w:leader="none" w:pos="1160" w:val="left"/>
          <w:tab w:leader="none" w:pos="3260" w:val="left"/>
        </w:tabs>
        <w:rPr>
          <w:sz w:val="20"/>
          <w:szCs w:val="20"/>
          <w:color w:val="auto"/>
        </w:rPr>
      </w:pPr>
      <w:r>
        <w:rPr>
          <w:rFonts w:ascii="Times New Roman" w:cs="Times New Roman" w:eastAsia="Times New Roman" w:hAnsi="Times New Roman"/>
          <w:sz w:val="20"/>
          <w:szCs w:val="20"/>
          <w:color w:val="auto"/>
        </w:rPr>
        <w:t>Section 7.08</w:t>
        <w:tab/>
        <w:t>Replacement of Trustee.</w:t>
        <w:tab/>
        <w:t>96</w:t>
      </w:r>
    </w:p>
    <w:p>
      <w:pPr>
        <w:spacing w:after="0" w:line="24" w:lineRule="exact"/>
        <w:rPr>
          <w:sz w:val="20"/>
          <w:szCs w:val="20"/>
          <w:color w:val="auto"/>
        </w:rPr>
      </w:pPr>
    </w:p>
    <w:p>
      <w:pPr>
        <w:spacing w:after="0"/>
        <w:tabs>
          <w:tab w:leader="none" w:pos="1160" w:val="left"/>
          <w:tab w:leader="none" w:pos="4000" w:val="left"/>
        </w:tabs>
        <w:rPr>
          <w:sz w:val="20"/>
          <w:szCs w:val="20"/>
          <w:color w:val="auto"/>
        </w:rPr>
      </w:pPr>
      <w:r>
        <w:rPr>
          <w:rFonts w:ascii="Times New Roman" w:cs="Times New Roman" w:eastAsia="Times New Roman" w:hAnsi="Times New Roman"/>
          <w:sz w:val="20"/>
          <w:szCs w:val="20"/>
          <w:color w:val="auto"/>
        </w:rPr>
        <w:t>Section 7.09</w:t>
        <w:tab/>
        <w:t>Successor Trustee by Merger, etc.</w:t>
      </w:r>
      <w:r>
        <w:rPr>
          <w:sz w:val="20"/>
          <w:szCs w:val="20"/>
          <w:color w:val="auto"/>
        </w:rPr>
        <w:tab/>
      </w:r>
      <w:r>
        <w:rPr>
          <w:rFonts w:ascii="Times New Roman" w:cs="Times New Roman" w:eastAsia="Times New Roman" w:hAnsi="Times New Roman"/>
          <w:sz w:val="18"/>
          <w:szCs w:val="18"/>
          <w:color w:val="auto"/>
        </w:rPr>
        <w:t>96</w:t>
      </w:r>
    </w:p>
    <w:p>
      <w:pPr>
        <w:spacing w:after="0" w:line="4" w:lineRule="exact"/>
        <w:rPr>
          <w:sz w:val="20"/>
          <w:szCs w:val="20"/>
          <w:color w:val="auto"/>
        </w:rPr>
      </w:pPr>
    </w:p>
    <w:p>
      <w:pPr>
        <w:spacing w:after="0"/>
        <w:tabs>
          <w:tab w:leader="none" w:pos="1160" w:val="left"/>
          <w:tab w:leader="none" w:pos="3560" w:val="left"/>
        </w:tabs>
        <w:rPr>
          <w:sz w:val="20"/>
          <w:szCs w:val="20"/>
          <w:color w:val="auto"/>
        </w:rPr>
      </w:pPr>
      <w:r>
        <w:rPr>
          <w:rFonts w:ascii="Times New Roman" w:cs="Times New Roman" w:eastAsia="Times New Roman" w:hAnsi="Times New Roman"/>
          <w:sz w:val="20"/>
          <w:szCs w:val="20"/>
          <w:color w:val="auto"/>
        </w:rPr>
        <w:t>Section 7.10</w:t>
        <w:tab/>
        <w:t>Eligibility; Disqualification.</w:t>
        <w:tab/>
        <w:t>97</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8</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LEGAL DEFEASANCE AND COVENANT DEFEASANCE</w:t>
      </w:r>
    </w:p>
    <w:p>
      <w:pPr>
        <w:spacing w:after="0" w:line="89" w:lineRule="exact"/>
        <w:rPr>
          <w:sz w:val="20"/>
          <w:szCs w:val="20"/>
          <w:color w:val="auto"/>
        </w:rPr>
      </w:pPr>
    </w:p>
    <w:p>
      <w:pPr>
        <w:spacing w:after="0"/>
        <w:tabs>
          <w:tab w:leader="none" w:pos="1160" w:val="left"/>
          <w:tab w:leader="none" w:pos="6060" w:val="left"/>
        </w:tabs>
        <w:rPr>
          <w:sz w:val="20"/>
          <w:szCs w:val="20"/>
          <w:color w:val="auto"/>
        </w:rPr>
      </w:pPr>
      <w:r>
        <w:rPr>
          <w:rFonts w:ascii="Times New Roman" w:cs="Times New Roman" w:eastAsia="Times New Roman" w:hAnsi="Times New Roman"/>
          <w:sz w:val="20"/>
          <w:szCs w:val="20"/>
          <w:color w:val="auto"/>
        </w:rPr>
        <w:t>Section 8.01</w:t>
        <w:tab/>
        <w:t>Option to Effect Legal Defeasance or Covenant Defeasance.</w:t>
        <w:tab/>
        <w:t>97</w:t>
      </w:r>
    </w:p>
    <w:p>
      <w:pPr>
        <w:spacing w:after="0" w:line="24" w:lineRule="exact"/>
        <w:rPr>
          <w:sz w:val="20"/>
          <w:szCs w:val="20"/>
          <w:color w:val="auto"/>
        </w:rPr>
      </w:pPr>
    </w:p>
    <w:p>
      <w:pPr>
        <w:spacing w:after="0"/>
        <w:tabs>
          <w:tab w:leader="none" w:pos="1160" w:val="left"/>
          <w:tab w:leader="none" w:pos="3960" w:val="left"/>
        </w:tabs>
        <w:rPr>
          <w:sz w:val="20"/>
          <w:szCs w:val="20"/>
          <w:color w:val="auto"/>
        </w:rPr>
      </w:pPr>
      <w:r>
        <w:rPr>
          <w:rFonts w:ascii="Times New Roman" w:cs="Times New Roman" w:eastAsia="Times New Roman" w:hAnsi="Times New Roman"/>
          <w:sz w:val="20"/>
          <w:szCs w:val="20"/>
          <w:color w:val="auto"/>
        </w:rPr>
        <w:t>Section 8.02</w:t>
        <w:tab/>
        <w:t>Legal Defeasance and Discharge.</w:t>
        <w:tab/>
        <w:t>97</w:t>
      </w:r>
    </w:p>
    <w:p>
      <w:pPr>
        <w:spacing w:after="0" w:line="4" w:lineRule="exact"/>
        <w:rPr>
          <w:sz w:val="20"/>
          <w:szCs w:val="20"/>
          <w:color w:val="auto"/>
        </w:rPr>
      </w:pPr>
    </w:p>
    <w:p>
      <w:pPr>
        <w:spacing w:after="0"/>
        <w:tabs>
          <w:tab w:leader="none" w:pos="1160" w:val="left"/>
          <w:tab w:leader="none" w:pos="3100" w:val="left"/>
        </w:tabs>
        <w:rPr>
          <w:sz w:val="20"/>
          <w:szCs w:val="20"/>
          <w:color w:val="auto"/>
        </w:rPr>
      </w:pPr>
      <w:r>
        <w:rPr>
          <w:rFonts w:ascii="Times New Roman" w:cs="Times New Roman" w:eastAsia="Times New Roman" w:hAnsi="Times New Roman"/>
          <w:sz w:val="20"/>
          <w:szCs w:val="20"/>
          <w:color w:val="auto"/>
        </w:rPr>
        <w:t>Section 8.03</w:t>
        <w:tab/>
        <w:t>Covenant Defeasance.</w:t>
        <w:tab/>
        <w:t>97</w:t>
      </w:r>
    </w:p>
    <w:p>
      <w:pPr>
        <w:spacing w:after="0" w:line="2" w:lineRule="exact"/>
        <w:rPr>
          <w:sz w:val="20"/>
          <w:szCs w:val="20"/>
          <w:color w:val="auto"/>
        </w:rPr>
      </w:pPr>
    </w:p>
    <w:p>
      <w:pPr>
        <w:spacing w:after="0"/>
        <w:tabs>
          <w:tab w:leader="none" w:pos="1160" w:val="left"/>
          <w:tab w:leader="none" w:pos="4920" w:val="left"/>
        </w:tabs>
        <w:rPr>
          <w:sz w:val="20"/>
          <w:szCs w:val="20"/>
          <w:color w:val="auto"/>
        </w:rPr>
      </w:pPr>
      <w:r>
        <w:rPr>
          <w:rFonts w:ascii="Times New Roman" w:cs="Times New Roman" w:eastAsia="Times New Roman" w:hAnsi="Times New Roman"/>
          <w:sz w:val="20"/>
          <w:szCs w:val="20"/>
          <w:color w:val="auto"/>
        </w:rPr>
        <w:t>Section 8.04</w:t>
        <w:tab/>
        <w:t>Conditions to Legal or Covenant Defeasance.</w:t>
      </w:r>
      <w:r>
        <w:rPr>
          <w:sz w:val="20"/>
          <w:szCs w:val="20"/>
          <w:color w:val="auto"/>
        </w:rPr>
        <w:tab/>
      </w:r>
      <w:r>
        <w:rPr>
          <w:rFonts w:ascii="Times New Roman" w:cs="Times New Roman" w:eastAsia="Times New Roman" w:hAnsi="Times New Roman"/>
          <w:sz w:val="18"/>
          <w:szCs w:val="18"/>
          <w:color w:val="auto"/>
        </w:rPr>
        <w:t>98</w:t>
      </w:r>
    </w:p>
    <w:p>
      <w:pPr>
        <w:spacing w:after="0" w:line="1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8.05</w:t>
      </w:r>
      <w:r>
        <w:rPr>
          <w:sz w:val="20"/>
          <w:szCs w:val="20"/>
          <w:color w:val="auto"/>
        </w:rPr>
        <w:tab/>
      </w:r>
      <w:r>
        <w:rPr>
          <w:rFonts w:ascii="Times New Roman" w:cs="Times New Roman" w:eastAsia="Times New Roman" w:hAnsi="Times New Roman"/>
          <w:sz w:val="18"/>
          <w:szCs w:val="18"/>
          <w:color w:val="auto"/>
        </w:rPr>
        <w:t>Deposited Money and Government Securities to be Held in Trust;</w:t>
      </w:r>
    </w:p>
    <w:p>
      <w:pPr>
        <w:spacing w:after="0" w:line="4" w:lineRule="exact"/>
        <w:rPr>
          <w:sz w:val="20"/>
          <w:szCs w:val="20"/>
          <w:color w:val="auto"/>
        </w:rPr>
      </w:pPr>
    </w:p>
    <w:p>
      <w:pPr>
        <w:ind w:left="1280"/>
        <w:spacing w:after="0"/>
        <w:tabs>
          <w:tab w:leader="none" w:pos="4000" w:val="left"/>
        </w:tabs>
        <w:rPr>
          <w:sz w:val="20"/>
          <w:szCs w:val="20"/>
          <w:color w:val="auto"/>
        </w:rPr>
      </w:pPr>
      <w:r>
        <w:rPr>
          <w:rFonts w:ascii="Times New Roman" w:cs="Times New Roman" w:eastAsia="Times New Roman" w:hAnsi="Times New Roman"/>
          <w:sz w:val="20"/>
          <w:szCs w:val="20"/>
          <w:color w:val="auto"/>
        </w:rPr>
        <w:t>Other Miscellaneous Provisions.</w:t>
        <w:tab/>
        <w:t>99</w:t>
      </w:r>
    </w:p>
    <w:p>
      <w:pPr>
        <w:spacing w:after="0" w:line="2" w:lineRule="exact"/>
        <w:rPr>
          <w:sz w:val="20"/>
          <w:szCs w:val="20"/>
          <w:color w:val="auto"/>
        </w:rPr>
      </w:pPr>
    </w:p>
    <w:p>
      <w:pPr>
        <w:spacing w:after="0"/>
        <w:tabs>
          <w:tab w:leader="none" w:pos="1160" w:val="left"/>
          <w:tab w:leader="none" w:pos="3000" w:val="left"/>
        </w:tabs>
        <w:rPr>
          <w:sz w:val="20"/>
          <w:szCs w:val="20"/>
          <w:color w:val="auto"/>
        </w:rPr>
      </w:pPr>
      <w:r>
        <w:rPr>
          <w:rFonts w:ascii="Times New Roman" w:cs="Times New Roman" w:eastAsia="Times New Roman" w:hAnsi="Times New Roman"/>
          <w:sz w:val="20"/>
          <w:szCs w:val="20"/>
          <w:color w:val="auto"/>
        </w:rPr>
        <w:t>Section 8.06</w:t>
        <w:tab/>
        <w:t>Repayment to Issuer.</w:t>
        <w:tab/>
        <w:t>100</w:t>
      </w:r>
    </w:p>
    <w:p>
      <w:pPr>
        <w:spacing w:after="0" w:line="4" w:lineRule="exact"/>
        <w:rPr>
          <w:sz w:val="20"/>
          <w:szCs w:val="20"/>
          <w:color w:val="auto"/>
        </w:rPr>
      </w:pPr>
    </w:p>
    <w:p>
      <w:pPr>
        <w:spacing w:after="0"/>
        <w:tabs>
          <w:tab w:leader="none" w:pos="1160" w:val="left"/>
          <w:tab w:leader="none" w:pos="2520" w:val="left"/>
        </w:tabs>
        <w:rPr>
          <w:sz w:val="20"/>
          <w:szCs w:val="20"/>
          <w:color w:val="auto"/>
        </w:rPr>
      </w:pPr>
      <w:r>
        <w:rPr>
          <w:rFonts w:ascii="Times New Roman" w:cs="Times New Roman" w:eastAsia="Times New Roman" w:hAnsi="Times New Roman"/>
          <w:sz w:val="20"/>
          <w:szCs w:val="20"/>
          <w:color w:val="auto"/>
        </w:rPr>
        <w:t>Section 8.07</w:t>
        <w:tab/>
        <w:t>Reinstatement.</w:t>
        <w:tab/>
        <w:t>100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9</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SUPPLEMENT AND WAIVER</w:t>
      </w:r>
    </w:p>
    <w:p>
      <w:pPr>
        <w:spacing w:after="0" w:line="89" w:lineRule="exact"/>
        <w:rPr>
          <w:sz w:val="20"/>
          <w:szCs w:val="20"/>
          <w:color w:val="auto"/>
        </w:rPr>
      </w:pPr>
    </w:p>
    <w:p>
      <w:pPr>
        <w:spacing w:after="0"/>
        <w:tabs>
          <w:tab w:leader="none" w:pos="1160" w:val="left"/>
          <w:tab w:leader="none" w:pos="4320" w:val="left"/>
        </w:tabs>
        <w:rPr>
          <w:sz w:val="20"/>
          <w:szCs w:val="20"/>
          <w:color w:val="auto"/>
        </w:rPr>
      </w:pPr>
      <w:r>
        <w:rPr>
          <w:rFonts w:ascii="Times New Roman" w:cs="Times New Roman" w:eastAsia="Times New Roman" w:hAnsi="Times New Roman"/>
          <w:sz w:val="20"/>
          <w:szCs w:val="20"/>
          <w:color w:val="auto"/>
        </w:rPr>
        <w:t>Section 9.01</w:t>
        <w:tab/>
        <w:t>Without Consent of Holders of Notes.</w:t>
      </w:r>
      <w:r>
        <w:rPr>
          <w:sz w:val="20"/>
          <w:szCs w:val="20"/>
          <w:color w:val="auto"/>
        </w:rPr>
        <w:tab/>
      </w:r>
      <w:r>
        <w:rPr>
          <w:rFonts w:ascii="Times New Roman" w:cs="Times New Roman" w:eastAsia="Times New Roman" w:hAnsi="Times New Roman"/>
          <w:sz w:val="18"/>
          <w:szCs w:val="18"/>
          <w:color w:val="auto"/>
        </w:rPr>
        <w:t>100</w:t>
      </w:r>
    </w:p>
    <w:p>
      <w:pPr>
        <w:spacing w:after="0" w:line="24" w:lineRule="exact"/>
        <w:rPr>
          <w:sz w:val="20"/>
          <w:szCs w:val="20"/>
          <w:color w:val="auto"/>
        </w:rPr>
      </w:pPr>
    </w:p>
    <w:p>
      <w:pPr>
        <w:spacing w:after="0"/>
        <w:tabs>
          <w:tab w:leader="none" w:pos="1160" w:val="left"/>
          <w:tab w:leader="none" w:pos="4060" w:val="left"/>
        </w:tabs>
        <w:rPr>
          <w:sz w:val="20"/>
          <w:szCs w:val="20"/>
          <w:color w:val="auto"/>
        </w:rPr>
      </w:pPr>
      <w:r>
        <w:rPr>
          <w:rFonts w:ascii="Times New Roman" w:cs="Times New Roman" w:eastAsia="Times New Roman" w:hAnsi="Times New Roman"/>
          <w:sz w:val="20"/>
          <w:szCs w:val="20"/>
          <w:color w:val="auto"/>
        </w:rPr>
        <w:t>Section 9.02</w:t>
        <w:tab/>
        <w:t>With Consent of Holders of Notes.</w:t>
        <w:tab/>
        <w:t>101</w:t>
      </w:r>
    </w:p>
    <w:p>
      <w:pPr>
        <w:spacing w:after="0" w:line="4" w:lineRule="exact"/>
        <w:rPr>
          <w:sz w:val="20"/>
          <w:szCs w:val="20"/>
          <w:color w:val="auto"/>
        </w:rPr>
      </w:pPr>
    </w:p>
    <w:p>
      <w:pPr>
        <w:spacing w:after="0"/>
        <w:tabs>
          <w:tab w:leader="none" w:pos="1160" w:val="left"/>
          <w:tab w:leader="none" w:pos="4120" w:val="left"/>
        </w:tabs>
        <w:rPr>
          <w:sz w:val="20"/>
          <w:szCs w:val="20"/>
          <w:color w:val="auto"/>
        </w:rPr>
      </w:pPr>
      <w:r>
        <w:rPr>
          <w:rFonts w:ascii="Times New Roman" w:cs="Times New Roman" w:eastAsia="Times New Roman" w:hAnsi="Times New Roman"/>
          <w:sz w:val="20"/>
          <w:szCs w:val="20"/>
          <w:color w:val="auto"/>
        </w:rPr>
        <w:t>Section 9.03</w:t>
        <w:tab/>
        <w:t>Revocation and Effect of Consents.</w:t>
        <w:tab/>
        <w:t>102</w:t>
      </w:r>
    </w:p>
    <w:p>
      <w:pPr>
        <w:spacing w:after="0" w:line="2" w:lineRule="exact"/>
        <w:rPr>
          <w:sz w:val="20"/>
          <w:szCs w:val="20"/>
          <w:color w:val="auto"/>
        </w:rPr>
      </w:pPr>
    </w:p>
    <w:p>
      <w:pPr>
        <w:spacing w:after="0"/>
        <w:tabs>
          <w:tab w:leader="none" w:pos="1160" w:val="left"/>
          <w:tab w:leader="none" w:pos="4080" w:val="left"/>
        </w:tabs>
        <w:rPr>
          <w:sz w:val="20"/>
          <w:szCs w:val="20"/>
          <w:color w:val="auto"/>
        </w:rPr>
      </w:pPr>
      <w:r>
        <w:rPr>
          <w:rFonts w:ascii="Times New Roman" w:cs="Times New Roman" w:eastAsia="Times New Roman" w:hAnsi="Times New Roman"/>
          <w:sz w:val="20"/>
          <w:szCs w:val="20"/>
          <w:color w:val="auto"/>
        </w:rPr>
        <w:t>Section 9.04</w:t>
        <w:tab/>
        <w:t>Notation on or Exchange of Notes.</w:t>
      </w:r>
      <w:r>
        <w:rPr>
          <w:sz w:val="20"/>
          <w:szCs w:val="20"/>
          <w:color w:val="auto"/>
        </w:rPr>
        <w:tab/>
      </w:r>
      <w:r>
        <w:rPr>
          <w:rFonts w:ascii="Times New Roman" w:cs="Times New Roman" w:eastAsia="Times New Roman" w:hAnsi="Times New Roman"/>
          <w:sz w:val="18"/>
          <w:szCs w:val="18"/>
          <w:color w:val="auto"/>
        </w:rPr>
        <w:t>102</w:t>
      </w:r>
    </w:p>
    <w:p>
      <w:pPr>
        <w:spacing w:after="0" w:line="4" w:lineRule="exact"/>
        <w:rPr>
          <w:sz w:val="20"/>
          <w:szCs w:val="20"/>
          <w:color w:val="auto"/>
        </w:rPr>
      </w:pPr>
    </w:p>
    <w:p>
      <w:pPr>
        <w:spacing w:after="0"/>
        <w:tabs>
          <w:tab w:leader="none" w:pos="1160" w:val="left"/>
          <w:tab w:leader="none" w:pos="4000" w:val="left"/>
        </w:tabs>
        <w:rPr>
          <w:sz w:val="20"/>
          <w:szCs w:val="20"/>
          <w:color w:val="auto"/>
        </w:rPr>
      </w:pPr>
      <w:r>
        <w:rPr>
          <w:rFonts w:ascii="Times New Roman" w:cs="Times New Roman" w:eastAsia="Times New Roman" w:hAnsi="Times New Roman"/>
          <w:sz w:val="20"/>
          <w:szCs w:val="20"/>
          <w:color w:val="auto"/>
        </w:rPr>
        <w:t>Section 9.05</w:t>
        <w:tab/>
        <w:t>Trustee to Sign Amendments, etc.</w:t>
        <w:tab/>
        <w:t>103</w:t>
      </w:r>
    </w:p>
    <w:p>
      <w:pPr>
        <w:spacing w:after="0" w:line="2" w:lineRule="exact"/>
        <w:rPr>
          <w:sz w:val="20"/>
          <w:szCs w:val="20"/>
          <w:color w:val="auto"/>
        </w:rPr>
      </w:pPr>
    </w:p>
    <w:p>
      <w:pPr>
        <w:spacing w:after="0"/>
        <w:tabs>
          <w:tab w:leader="none" w:pos="1160" w:val="left"/>
          <w:tab w:leader="none" w:pos="4080" w:val="left"/>
        </w:tabs>
        <w:rPr>
          <w:sz w:val="20"/>
          <w:szCs w:val="20"/>
          <w:color w:val="auto"/>
        </w:rPr>
      </w:pPr>
      <w:r>
        <w:rPr>
          <w:rFonts w:ascii="Times New Roman" w:cs="Times New Roman" w:eastAsia="Times New Roman" w:hAnsi="Times New Roman"/>
          <w:sz w:val="20"/>
          <w:szCs w:val="20"/>
          <w:color w:val="auto"/>
        </w:rPr>
        <w:t>Section 9.06</w:t>
        <w:tab/>
        <w:t>Effect of Supplemental Indentures.</w:t>
        <w:tab/>
        <w:t>103</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GUARANTEES</w:t>
      </w:r>
    </w:p>
    <w:p>
      <w:pPr>
        <w:spacing w:after="0" w:line="95" w:lineRule="exact"/>
        <w:rPr>
          <w:sz w:val="20"/>
          <w:szCs w:val="20"/>
          <w:color w:val="auto"/>
        </w:rPr>
      </w:pPr>
    </w:p>
    <w:p>
      <w:pPr>
        <w:spacing w:after="0"/>
        <w:tabs>
          <w:tab w:leader="none" w:pos="1260" w:val="left"/>
          <w:tab w:leader="none" w:pos="2300" w:val="left"/>
        </w:tabs>
        <w:rPr>
          <w:sz w:val="20"/>
          <w:szCs w:val="20"/>
          <w:color w:val="auto"/>
        </w:rPr>
      </w:pPr>
      <w:r>
        <w:rPr>
          <w:rFonts w:ascii="Times New Roman" w:cs="Times New Roman" w:eastAsia="Times New Roman" w:hAnsi="Times New Roman"/>
          <w:sz w:val="20"/>
          <w:szCs w:val="20"/>
          <w:color w:val="auto"/>
        </w:rPr>
        <w:t>Section 10.01</w:t>
        <w:tab/>
        <w:t>Guarantee.</w:t>
        <w:tab/>
        <w:t>103</w:t>
      </w:r>
    </w:p>
    <w:p>
      <w:pPr>
        <w:spacing w:after="0" w:line="19" w:lineRule="exact"/>
        <w:rPr>
          <w:sz w:val="20"/>
          <w:szCs w:val="20"/>
          <w:color w:val="auto"/>
        </w:rPr>
      </w:pPr>
    </w:p>
    <w:p>
      <w:pPr>
        <w:spacing w:after="0"/>
        <w:tabs>
          <w:tab w:leader="none" w:pos="1260" w:val="left"/>
          <w:tab w:leader="none" w:pos="4120" w:val="left"/>
        </w:tabs>
        <w:rPr>
          <w:sz w:val="20"/>
          <w:szCs w:val="20"/>
          <w:color w:val="auto"/>
        </w:rPr>
      </w:pPr>
      <w:r>
        <w:rPr>
          <w:rFonts w:ascii="Times New Roman" w:cs="Times New Roman" w:eastAsia="Times New Roman" w:hAnsi="Times New Roman"/>
          <w:sz w:val="20"/>
          <w:szCs w:val="20"/>
          <w:color w:val="auto"/>
        </w:rPr>
        <w:t>Section 10.02</w:t>
        <w:tab/>
        <w:t>Limitation on Guarantor Liability.</w:t>
        <w:tab/>
        <w:t>104</w:t>
      </w:r>
    </w:p>
    <w:p>
      <w:pPr>
        <w:spacing w:after="0" w:line="2" w:lineRule="exact"/>
        <w:rPr>
          <w:sz w:val="20"/>
          <w:szCs w:val="20"/>
          <w:color w:val="auto"/>
        </w:rPr>
      </w:pPr>
    </w:p>
    <w:p>
      <w:pPr>
        <w:spacing w:after="0"/>
        <w:tabs>
          <w:tab w:leader="none" w:pos="1260" w:val="left"/>
          <w:tab w:leader="none" w:pos="4220" w:val="left"/>
        </w:tabs>
        <w:rPr>
          <w:sz w:val="20"/>
          <w:szCs w:val="20"/>
          <w:color w:val="auto"/>
        </w:rPr>
      </w:pPr>
      <w:r>
        <w:rPr>
          <w:rFonts w:ascii="Times New Roman" w:cs="Times New Roman" w:eastAsia="Times New Roman" w:hAnsi="Times New Roman"/>
          <w:sz w:val="20"/>
          <w:szCs w:val="20"/>
          <w:color w:val="auto"/>
        </w:rPr>
        <w:t>Section 10.03</w:t>
        <w:tab/>
        <w:t>Guarantee Evidenced by Indenture.</w:t>
        <w:tab/>
        <w:t>104</w:t>
      </w:r>
    </w:p>
    <w:p>
      <w:pPr>
        <w:spacing w:after="0" w:line="10" w:lineRule="exact"/>
        <w:rPr>
          <w:sz w:val="20"/>
          <w:szCs w:val="20"/>
          <w:color w:val="auto"/>
        </w:rPr>
      </w:pPr>
    </w:p>
    <w:p>
      <w:pPr>
        <w:spacing w:after="0"/>
        <w:tabs>
          <w:tab w:leader="none" w:pos="1260" w:val="left"/>
          <w:tab w:leader="none" w:pos="2180" w:val="left"/>
        </w:tabs>
        <w:rPr>
          <w:sz w:val="20"/>
          <w:szCs w:val="20"/>
          <w:color w:val="auto"/>
        </w:rPr>
      </w:pPr>
      <w:r>
        <w:rPr>
          <w:rFonts w:ascii="Times New Roman" w:cs="Times New Roman" w:eastAsia="Times New Roman" w:hAnsi="Times New Roman"/>
          <w:sz w:val="20"/>
          <w:szCs w:val="20"/>
          <w:color w:val="auto"/>
        </w:rPr>
        <w:t>Section 10.04</w:t>
        <w:tab/>
        <w:t>Releases.</w:t>
        <w:tab/>
        <w:t>105</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SATISFACTION AND DISCHARGE</w:t>
      </w:r>
    </w:p>
    <w:p>
      <w:pPr>
        <w:spacing w:after="0" w:line="89" w:lineRule="exact"/>
        <w:rPr>
          <w:sz w:val="20"/>
          <w:szCs w:val="20"/>
          <w:color w:val="auto"/>
        </w:rPr>
      </w:pPr>
    </w:p>
    <w:p>
      <w:pPr>
        <w:spacing w:after="0"/>
        <w:tabs>
          <w:tab w:leader="none" w:pos="1240" w:val="left"/>
          <w:tab w:leader="none" w:pos="3580" w:val="left"/>
        </w:tabs>
        <w:rPr>
          <w:sz w:val="20"/>
          <w:szCs w:val="20"/>
          <w:color w:val="auto"/>
        </w:rPr>
      </w:pPr>
      <w:r>
        <w:rPr>
          <w:rFonts w:ascii="Times New Roman" w:cs="Times New Roman" w:eastAsia="Times New Roman" w:hAnsi="Times New Roman"/>
          <w:sz w:val="20"/>
          <w:szCs w:val="20"/>
          <w:color w:val="auto"/>
        </w:rPr>
        <w:t>Section 11.01</w:t>
        <w:tab/>
        <w:t>Satisfaction and Discharge.</w:t>
        <w:tab/>
        <w:t>105</w:t>
      </w:r>
    </w:p>
    <w:p>
      <w:pPr>
        <w:spacing w:after="0" w:line="24" w:lineRule="exact"/>
        <w:rPr>
          <w:sz w:val="20"/>
          <w:szCs w:val="20"/>
          <w:color w:val="auto"/>
        </w:rPr>
      </w:pPr>
    </w:p>
    <w:p>
      <w:pPr>
        <w:spacing w:after="0"/>
        <w:tabs>
          <w:tab w:leader="none" w:pos="1240" w:val="left"/>
          <w:tab w:leader="none" w:pos="3660" w:val="left"/>
        </w:tabs>
        <w:rPr>
          <w:sz w:val="20"/>
          <w:szCs w:val="20"/>
          <w:color w:val="auto"/>
        </w:rPr>
      </w:pPr>
      <w:r>
        <w:rPr>
          <w:rFonts w:ascii="Times New Roman" w:cs="Times New Roman" w:eastAsia="Times New Roman" w:hAnsi="Times New Roman"/>
          <w:sz w:val="20"/>
          <w:szCs w:val="20"/>
          <w:color w:val="auto"/>
        </w:rPr>
        <w:t>Section 11.02</w:t>
        <w:tab/>
        <w:t>Application of Trust Money.</w:t>
        <w:tab/>
        <w:t>106</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12</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95" w:lineRule="exact"/>
        <w:rPr>
          <w:sz w:val="20"/>
          <w:szCs w:val="20"/>
          <w:color w:val="auto"/>
        </w:rPr>
      </w:pPr>
    </w:p>
    <w:p>
      <w:pPr>
        <w:spacing w:after="0"/>
        <w:tabs>
          <w:tab w:leader="none" w:pos="1260" w:val="left"/>
          <w:tab w:leader="none" w:pos="2360" w:val="left"/>
        </w:tabs>
        <w:rPr>
          <w:sz w:val="20"/>
          <w:szCs w:val="20"/>
          <w:color w:val="auto"/>
        </w:rPr>
      </w:pPr>
      <w:r>
        <w:rPr>
          <w:rFonts w:ascii="Times New Roman" w:cs="Times New Roman" w:eastAsia="Times New Roman" w:hAnsi="Times New Roman"/>
          <w:sz w:val="20"/>
          <w:szCs w:val="20"/>
          <w:color w:val="auto"/>
        </w:rPr>
        <w:t>Section 12.01</w:t>
        <w:tab/>
        <w:t>[Reserved].</w:t>
        <w:tab/>
        <w:t>107</w:t>
      </w:r>
    </w:p>
    <w:p>
      <w:pPr>
        <w:spacing w:after="0" w:line="19" w:lineRule="exact"/>
        <w:rPr>
          <w:sz w:val="20"/>
          <w:szCs w:val="20"/>
          <w:color w:val="auto"/>
        </w:rPr>
      </w:pPr>
    </w:p>
    <w:p>
      <w:pPr>
        <w:spacing w:after="0"/>
        <w:tabs>
          <w:tab w:leader="none" w:pos="1260" w:val="left"/>
          <w:tab w:leader="none" w:pos="2100" w:val="left"/>
        </w:tabs>
        <w:rPr>
          <w:sz w:val="20"/>
          <w:szCs w:val="20"/>
          <w:color w:val="auto"/>
        </w:rPr>
      </w:pPr>
      <w:r>
        <w:rPr>
          <w:rFonts w:ascii="Times New Roman" w:cs="Times New Roman" w:eastAsia="Times New Roman" w:hAnsi="Times New Roman"/>
          <w:sz w:val="20"/>
          <w:szCs w:val="20"/>
          <w:color w:val="auto"/>
        </w:rPr>
        <w:t>Section 12.02</w:t>
        <w:tab/>
        <w:t>Notices.</w:t>
        <w:tab/>
        <w:t>107</w:t>
      </w:r>
    </w:p>
    <w:p>
      <w:pPr>
        <w:spacing w:after="0" w:line="2" w:lineRule="exact"/>
        <w:rPr>
          <w:sz w:val="20"/>
          <w:szCs w:val="20"/>
          <w:color w:val="auto"/>
        </w:rPr>
      </w:pPr>
    </w:p>
    <w:p>
      <w:pPr>
        <w:spacing w:after="0"/>
        <w:tabs>
          <w:tab w:leader="none" w:pos="1260" w:val="left"/>
          <w:tab w:leader="none" w:pos="3080" w:val="left"/>
        </w:tabs>
        <w:rPr>
          <w:sz w:val="20"/>
          <w:szCs w:val="20"/>
          <w:color w:val="auto"/>
        </w:rPr>
      </w:pPr>
      <w:r>
        <w:rPr>
          <w:rFonts w:ascii="Times New Roman" w:cs="Times New Roman" w:eastAsia="Times New Roman" w:hAnsi="Times New Roman"/>
          <w:sz w:val="20"/>
          <w:szCs w:val="20"/>
          <w:color w:val="auto"/>
        </w:rPr>
        <w:t>Section 12.03</w:t>
        <w:tab/>
        <w:t>Benefit of Indenture.</w:t>
        <w:tab/>
        <w:t>108</w:t>
      </w:r>
    </w:p>
    <w:p>
      <w:pPr>
        <w:spacing w:after="0" w:line="10" w:lineRule="exact"/>
        <w:rPr>
          <w:sz w:val="20"/>
          <w:szCs w:val="20"/>
          <w:color w:val="auto"/>
        </w:rPr>
      </w:pPr>
    </w:p>
    <w:p>
      <w:pPr>
        <w:spacing w:after="0"/>
        <w:tabs>
          <w:tab w:leader="none" w:pos="1260" w:val="left"/>
          <w:tab w:leader="none" w:pos="5480" w:val="left"/>
        </w:tabs>
        <w:rPr>
          <w:sz w:val="20"/>
          <w:szCs w:val="20"/>
          <w:color w:val="auto"/>
        </w:rPr>
      </w:pPr>
      <w:r>
        <w:rPr>
          <w:rFonts w:ascii="Times New Roman" w:cs="Times New Roman" w:eastAsia="Times New Roman" w:hAnsi="Times New Roman"/>
          <w:sz w:val="20"/>
          <w:szCs w:val="20"/>
          <w:color w:val="auto"/>
        </w:rPr>
        <w:t>Section 12.04</w:t>
        <w:tab/>
        <w:t>Certificate and Opinion as to Conditions Precedent.</w:t>
        <w:tab/>
        <w:t>109</w:t>
      </w:r>
    </w:p>
    <w:p>
      <w:pPr>
        <w:spacing w:after="0" w:line="4" w:lineRule="exact"/>
        <w:rPr>
          <w:sz w:val="20"/>
          <w:szCs w:val="20"/>
          <w:color w:val="auto"/>
        </w:rPr>
      </w:pPr>
    </w:p>
    <w:p>
      <w:pPr>
        <w:spacing w:after="0"/>
        <w:tabs>
          <w:tab w:leader="none" w:pos="1260" w:val="left"/>
          <w:tab w:leader="none" w:pos="5100" w:val="left"/>
        </w:tabs>
        <w:rPr>
          <w:sz w:val="20"/>
          <w:szCs w:val="20"/>
          <w:color w:val="auto"/>
        </w:rPr>
      </w:pPr>
      <w:r>
        <w:rPr>
          <w:rFonts w:ascii="Times New Roman" w:cs="Times New Roman" w:eastAsia="Times New Roman" w:hAnsi="Times New Roman"/>
          <w:sz w:val="20"/>
          <w:szCs w:val="20"/>
          <w:color w:val="auto"/>
        </w:rPr>
        <w:t>Section 12.05</w:t>
        <w:tab/>
        <w:t>Statements Required in Certificate or Opinion.</w:t>
      </w:r>
      <w:r>
        <w:rPr>
          <w:sz w:val="20"/>
          <w:szCs w:val="20"/>
          <w:color w:val="auto"/>
        </w:rPr>
        <w:tab/>
      </w:r>
      <w:r>
        <w:rPr>
          <w:rFonts w:ascii="Times New Roman" w:cs="Times New Roman" w:eastAsia="Times New Roman" w:hAnsi="Times New Roman"/>
          <w:sz w:val="18"/>
          <w:szCs w:val="18"/>
          <w:color w:val="auto"/>
        </w:rPr>
        <w:t>109</w:t>
      </w:r>
    </w:p>
    <w:p>
      <w:pPr>
        <w:spacing w:after="0" w:line="2" w:lineRule="exact"/>
        <w:rPr>
          <w:sz w:val="20"/>
          <w:szCs w:val="20"/>
          <w:color w:val="auto"/>
        </w:rPr>
      </w:pPr>
    </w:p>
    <w:p>
      <w:pPr>
        <w:spacing w:after="0"/>
        <w:tabs>
          <w:tab w:leader="none" w:pos="1260" w:val="left"/>
          <w:tab w:leader="none" w:pos="3760" w:val="left"/>
        </w:tabs>
        <w:rPr>
          <w:sz w:val="20"/>
          <w:szCs w:val="20"/>
          <w:color w:val="auto"/>
        </w:rPr>
      </w:pPr>
      <w:r>
        <w:rPr>
          <w:rFonts w:ascii="Times New Roman" w:cs="Times New Roman" w:eastAsia="Times New Roman" w:hAnsi="Times New Roman"/>
          <w:sz w:val="20"/>
          <w:szCs w:val="20"/>
          <w:color w:val="auto"/>
        </w:rPr>
        <w:t>Section 12.06</w:t>
        <w:tab/>
        <w:t>Rules by Trustee and Agents.</w:t>
      </w:r>
      <w:r>
        <w:rPr>
          <w:sz w:val="20"/>
          <w:szCs w:val="20"/>
          <w:color w:val="auto"/>
        </w:rPr>
        <w:tab/>
      </w:r>
      <w:r>
        <w:rPr>
          <w:rFonts w:ascii="Times New Roman" w:cs="Times New Roman" w:eastAsia="Times New Roman" w:hAnsi="Times New Roman"/>
          <w:sz w:val="18"/>
          <w:szCs w:val="18"/>
          <w:color w:val="auto"/>
        </w:rPr>
        <w:t>110</w:t>
      </w:r>
    </w:p>
    <w:p>
      <w:pPr>
        <w:spacing w:after="0" w:line="4" w:lineRule="exact"/>
        <w:rPr>
          <w:sz w:val="20"/>
          <w:szCs w:val="20"/>
          <w:color w:val="auto"/>
        </w:rPr>
      </w:pPr>
    </w:p>
    <w:p>
      <w:pPr>
        <w:spacing w:after="0"/>
        <w:tabs>
          <w:tab w:leader="none" w:pos="1260" w:val="left"/>
          <w:tab w:leader="none" w:pos="6980" w:val="left"/>
        </w:tabs>
        <w:rPr>
          <w:sz w:val="20"/>
          <w:szCs w:val="20"/>
          <w:color w:val="auto"/>
        </w:rPr>
      </w:pPr>
      <w:r>
        <w:rPr>
          <w:rFonts w:ascii="Times New Roman" w:cs="Times New Roman" w:eastAsia="Times New Roman" w:hAnsi="Times New Roman"/>
          <w:sz w:val="20"/>
          <w:szCs w:val="20"/>
          <w:color w:val="auto"/>
        </w:rPr>
        <w:t>Section 12.07</w:t>
        <w:tab/>
        <w:t>No Personal Liability of Directors, Officers, Employees and Members.</w:t>
        <w:tab/>
        <w:t>110</w:t>
      </w:r>
    </w:p>
    <w:p>
      <w:pPr>
        <w:spacing w:after="0" w:line="2" w:lineRule="exact"/>
        <w:rPr>
          <w:sz w:val="20"/>
          <w:szCs w:val="20"/>
          <w:color w:val="auto"/>
        </w:rPr>
      </w:pPr>
    </w:p>
    <w:p>
      <w:pPr>
        <w:spacing w:after="0"/>
        <w:tabs>
          <w:tab w:leader="none" w:pos="1260" w:val="left"/>
          <w:tab w:leader="none" w:pos="3740" w:val="left"/>
        </w:tabs>
        <w:rPr>
          <w:sz w:val="20"/>
          <w:szCs w:val="20"/>
          <w:color w:val="auto"/>
        </w:rPr>
      </w:pPr>
      <w:r>
        <w:rPr>
          <w:rFonts w:ascii="Times New Roman" w:cs="Times New Roman" w:eastAsia="Times New Roman" w:hAnsi="Times New Roman"/>
          <w:sz w:val="20"/>
          <w:szCs w:val="20"/>
          <w:color w:val="auto"/>
        </w:rPr>
        <w:t>Section 12.08</w:t>
        <w:tab/>
        <w:t>Governing Law; Jurisdiction.</w:t>
        <w:tab/>
        <w:t>110</w:t>
      </w:r>
    </w:p>
    <w:p>
      <w:pPr>
        <w:spacing w:after="0" w:line="10" w:lineRule="exact"/>
        <w:rPr>
          <w:sz w:val="20"/>
          <w:szCs w:val="20"/>
          <w:color w:val="auto"/>
        </w:rPr>
      </w:pPr>
    </w:p>
    <w:p>
      <w:pPr>
        <w:spacing w:after="0"/>
        <w:tabs>
          <w:tab w:leader="none" w:pos="1260" w:val="left"/>
          <w:tab w:leader="none" w:pos="5240" w:val="left"/>
        </w:tabs>
        <w:rPr>
          <w:sz w:val="20"/>
          <w:szCs w:val="20"/>
          <w:color w:val="auto"/>
        </w:rPr>
      </w:pPr>
      <w:r>
        <w:rPr>
          <w:rFonts w:ascii="Times New Roman" w:cs="Times New Roman" w:eastAsia="Times New Roman" w:hAnsi="Times New Roman"/>
          <w:sz w:val="20"/>
          <w:szCs w:val="20"/>
          <w:color w:val="auto"/>
        </w:rPr>
        <w:t>Section 12.09</w:t>
        <w:tab/>
        <w:t>No Adverse Interpretation of Other Agreements.</w:t>
        <w:tab/>
        <w:t>110</w:t>
      </w: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01" w:right="33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i w:val="1"/>
          <w:iCs w:val="1"/>
          <w:color w:val="auto"/>
        </w:rPr>
        <w:t>Page</w:t>
      </w:r>
    </w:p>
    <w:p>
      <w:pPr>
        <w:spacing w:after="0" w:line="220" w:lineRule="exact"/>
        <w:rPr>
          <w:sz w:val="20"/>
          <w:szCs w:val="20"/>
          <w:color w:val="auto"/>
        </w:rPr>
      </w:pPr>
    </w:p>
    <w:p>
      <w:pPr>
        <w:spacing w:after="0"/>
        <w:tabs>
          <w:tab w:leader="none" w:pos="1260" w:val="left"/>
          <w:tab w:leader="none" w:pos="2360" w:val="left"/>
        </w:tabs>
        <w:rPr>
          <w:sz w:val="20"/>
          <w:szCs w:val="20"/>
          <w:color w:val="auto"/>
        </w:rPr>
      </w:pPr>
      <w:r>
        <w:rPr>
          <w:rFonts w:ascii="Times New Roman" w:cs="Times New Roman" w:eastAsia="Times New Roman" w:hAnsi="Times New Roman"/>
          <w:sz w:val="20"/>
          <w:szCs w:val="20"/>
          <w:color w:val="auto"/>
        </w:rPr>
        <w:t>Section 12.10</w:t>
        <w:tab/>
        <w:t>Successors.</w:t>
      </w:r>
      <w:r>
        <w:rPr>
          <w:sz w:val="20"/>
          <w:szCs w:val="20"/>
          <w:color w:val="auto"/>
        </w:rPr>
        <w:tab/>
      </w:r>
      <w:r>
        <w:rPr>
          <w:rFonts w:ascii="Times New Roman" w:cs="Times New Roman" w:eastAsia="Times New Roman" w:hAnsi="Times New Roman"/>
          <w:sz w:val="18"/>
          <w:szCs w:val="18"/>
          <w:color w:val="auto"/>
        </w:rPr>
        <w:t>110</w:t>
      </w:r>
    </w:p>
    <w:p>
      <w:pPr>
        <w:spacing w:after="0" w:line="24" w:lineRule="exact"/>
        <w:rPr>
          <w:sz w:val="20"/>
          <w:szCs w:val="20"/>
          <w:color w:val="auto"/>
        </w:rPr>
      </w:pPr>
    </w:p>
    <w:p>
      <w:pPr>
        <w:spacing w:after="0"/>
        <w:tabs>
          <w:tab w:leader="none" w:pos="1240" w:val="left"/>
          <w:tab w:leader="none" w:pos="3940" w:val="left"/>
        </w:tabs>
        <w:rPr>
          <w:sz w:val="20"/>
          <w:szCs w:val="20"/>
          <w:color w:val="auto"/>
        </w:rPr>
      </w:pPr>
      <w:r>
        <w:rPr>
          <w:rFonts w:ascii="Times New Roman" w:cs="Times New Roman" w:eastAsia="Times New Roman" w:hAnsi="Times New Roman"/>
          <w:sz w:val="20"/>
          <w:szCs w:val="20"/>
          <w:color w:val="auto"/>
        </w:rPr>
        <w:t>Section 12.11</w:t>
        <w:tab/>
        <w:t>Severability; Entire Agreement.</w:t>
      </w:r>
      <w:r>
        <w:rPr>
          <w:sz w:val="20"/>
          <w:szCs w:val="20"/>
          <w:color w:val="auto"/>
        </w:rPr>
        <w:tab/>
      </w:r>
      <w:r>
        <w:rPr>
          <w:rFonts w:ascii="Times New Roman" w:cs="Times New Roman" w:eastAsia="Times New Roman" w:hAnsi="Times New Roman"/>
          <w:sz w:val="18"/>
          <w:szCs w:val="18"/>
          <w:color w:val="auto"/>
        </w:rPr>
        <w:t>110</w:t>
      </w:r>
    </w:p>
    <w:p>
      <w:pPr>
        <w:spacing w:after="0" w:line="4" w:lineRule="exact"/>
        <w:rPr>
          <w:sz w:val="20"/>
          <w:szCs w:val="20"/>
          <w:color w:val="auto"/>
        </w:rPr>
      </w:pPr>
    </w:p>
    <w:p>
      <w:pPr>
        <w:spacing w:after="0"/>
        <w:tabs>
          <w:tab w:leader="none" w:pos="1260" w:val="left"/>
          <w:tab w:leader="none" w:pos="3200" w:val="left"/>
        </w:tabs>
        <w:rPr>
          <w:sz w:val="20"/>
          <w:szCs w:val="20"/>
          <w:color w:val="auto"/>
        </w:rPr>
      </w:pPr>
      <w:r>
        <w:rPr>
          <w:rFonts w:ascii="Times New Roman" w:cs="Times New Roman" w:eastAsia="Times New Roman" w:hAnsi="Times New Roman"/>
          <w:sz w:val="20"/>
          <w:szCs w:val="20"/>
          <w:color w:val="auto"/>
        </w:rPr>
        <w:t>Section 12.12</w:t>
        <w:tab/>
        <w:t>Counterpart Originals.</w:t>
        <w:tab/>
        <w:t>110</w:t>
      </w:r>
    </w:p>
    <w:p>
      <w:pPr>
        <w:spacing w:after="0" w:line="2" w:lineRule="exact"/>
        <w:rPr>
          <w:sz w:val="20"/>
          <w:szCs w:val="20"/>
          <w:color w:val="auto"/>
        </w:rPr>
      </w:pPr>
    </w:p>
    <w:p>
      <w:pPr>
        <w:spacing w:after="0"/>
        <w:tabs>
          <w:tab w:leader="none" w:pos="1260" w:val="left"/>
          <w:tab w:leader="none" w:pos="4040" w:val="left"/>
        </w:tabs>
        <w:rPr>
          <w:sz w:val="20"/>
          <w:szCs w:val="20"/>
          <w:color w:val="auto"/>
        </w:rPr>
      </w:pPr>
      <w:r>
        <w:rPr>
          <w:rFonts w:ascii="Times New Roman" w:cs="Times New Roman" w:eastAsia="Times New Roman" w:hAnsi="Times New Roman"/>
          <w:sz w:val="20"/>
          <w:szCs w:val="20"/>
          <w:color w:val="auto"/>
        </w:rPr>
        <w:t>Section 12.13</w:t>
        <w:tab/>
        <w:t>Table of Contents, Headings, etc.</w:t>
      </w:r>
      <w:r>
        <w:rPr>
          <w:sz w:val="20"/>
          <w:szCs w:val="20"/>
          <w:color w:val="auto"/>
        </w:rPr>
        <w:tab/>
      </w:r>
      <w:r>
        <w:rPr>
          <w:rFonts w:ascii="Times New Roman" w:cs="Times New Roman" w:eastAsia="Times New Roman" w:hAnsi="Times New Roman"/>
          <w:sz w:val="18"/>
          <w:szCs w:val="18"/>
          <w:color w:val="auto"/>
        </w:rPr>
        <w:t>111</w:t>
      </w:r>
    </w:p>
    <w:p>
      <w:pPr>
        <w:spacing w:after="0" w:line="10" w:lineRule="exact"/>
        <w:rPr>
          <w:sz w:val="20"/>
          <w:szCs w:val="20"/>
          <w:color w:val="auto"/>
        </w:rPr>
      </w:pPr>
    </w:p>
    <w:p>
      <w:pPr>
        <w:spacing w:after="0"/>
        <w:tabs>
          <w:tab w:leader="none" w:pos="1260" w:val="left"/>
          <w:tab w:leader="none" w:pos="4780" w:val="left"/>
        </w:tabs>
        <w:rPr>
          <w:sz w:val="20"/>
          <w:szCs w:val="20"/>
          <w:color w:val="auto"/>
        </w:rPr>
      </w:pPr>
      <w:r>
        <w:rPr>
          <w:rFonts w:ascii="Times New Roman" w:cs="Times New Roman" w:eastAsia="Times New Roman" w:hAnsi="Times New Roman"/>
          <w:sz w:val="20"/>
          <w:szCs w:val="20"/>
          <w:color w:val="auto"/>
        </w:rPr>
        <w:t>Section 12.14</w:t>
        <w:tab/>
        <w:t>Payment Date Other Than a Business Day.</w:t>
      </w:r>
      <w:r>
        <w:rPr>
          <w:sz w:val="20"/>
          <w:szCs w:val="20"/>
          <w:color w:val="auto"/>
        </w:rPr>
        <w:tab/>
      </w:r>
      <w:r>
        <w:rPr>
          <w:rFonts w:ascii="Times New Roman" w:cs="Times New Roman" w:eastAsia="Times New Roman" w:hAnsi="Times New Roman"/>
          <w:sz w:val="18"/>
          <w:szCs w:val="18"/>
          <w:color w:val="auto"/>
        </w:rPr>
        <w:t>111</w:t>
      </w:r>
    </w:p>
    <w:p>
      <w:pPr>
        <w:spacing w:after="0" w:line="4" w:lineRule="exact"/>
        <w:rPr>
          <w:sz w:val="20"/>
          <w:szCs w:val="20"/>
          <w:color w:val="auto"/>
        </w:rPr>
      </w:pPr>
    </w:p>
    <w:p>
      <w:pPr>
        <w:spacing w:after="0"/>
        <w:tabs>
          <w:tab w:leader="none" w:pos="1240" w:val="left"/>
          <w:tab w:leader="none" w:pos="2940" w:val="left"/>
        </w:tabs>
        <w:rPr>
          <w:sz w:val="20"/>
          <w:szCs w:val="20"/>
          <w:color w:val="auto"/>
        </w:rPr>
      </w:pPr>
      <w:r>
        <w:rPr>
          <w:rFonts w:ascii="Times New Roman" w:cs="Times New Roman" w:eastAsia="Times New Roman" w:hAnsi="Times New Roman"/>
          <w:sz w:val="20"/>
          <w:szCs w:val="20"/>
          <w:color w:val="auto"/>
        </w:rPr>
        <w:t>Section 12.15</w:t>
        <w:tab/>
        <w:t>Action by Holders.</w:t>
      </w:r>
      <w:r>
        <w:rPr>
          <w:sz w:val="20"/>
          <w:szCs w:val="20"/>
          <w:color w:val="auto"/>
        </w:rPr>
        <w:tab/>
      </w:r>
      <w:r>
        <w:rPr>
          <w:rFonts w:ascii="Times New Roman" w:cs="Times New Roman" w:eastAsia="Times New Roman" w:hAnsi="Times New Roman"/>
          <w:sz w:val="18"/>
          <w:szCs w:val="18"/>
          <w:color w:val="auto"/>
        </w:rPr>
        <w:t>111</w:t>
      </w:r>
    </w:p>
    <w:p>
      <w:pPr>
        <w:spacing w:after="0" w:line="2" w:lineRule="exact"/>
        <w:rPr>
          <w:sz w:val="20"/>
          <w:szCs w:val="20"/>
          <w:color w:val="auto"/>
        </w:rPr>
      </w:pPr>
    </w:p>
    <w:p>
      <w:pPr>
        <w:spacing w:after="0"/>
        <w:tabs>
          <w:tab w:leader="none" w:pos="1260" w:val="left"/>
          <w:tab w:leader="none" w:pos="3080" w:val="left"/>
        </w:tabs>
        <w:rPr>
          <w:sz w:val="20"/>
          <w:szCs w:val="20"/>
          <w:color w:val="auto"/>
        </w:rPr>
      </w:pPr>
      <w:r>
        <w:rPr>
          <w:rFonts w:ascii="Times New Roman" w:cs="Times New Roman" w:eastAsia="Times New Roman" w:hAnsi="Times New Roman"/>
          <w:sz w:val="20"/>
          <w:szCs w:val="20"/>
          <w:color w:val="auto"/>
        </w:rPr>
        <w:t>Section 12.16</w:t>
        <w:tab/>
        <w:t>Waiver of Jury Trial.</w:t>
      </w:r>
      <w:r>
        <w:rPr>
          <w:sz w:val="20"/>
          <w:szCs w:val="20"/>
          <w:color w:val="auto"/>
        </w:rPr>
        <w:tab/>
      </w:r>
      <w:r>
        <w:rPr>
          <w:rFonts w:ascii="Times New Roman" w:cs="Times New Roman" w:eastAsia="Times New Roman" w:hAnsi="Times New Roman"/>
          <w:sz w:val="18"/>
          <w:szCs w:val="18"/>
          <w:color w:val="auto"/>
        </w:rPr>
        <w:t>113</w:t>
      </w:r>
    </w:p>
    <w:p>
      <w:pPr>
        <w:spacing w:after="0" w:line="4" w:lineRule="exact"/>
        <w:rPr>
          <w:sz w:val="20"/>
          <w:szCs w:val="20"/>
          <w:color w:val="auto"/>
        </w:rPr>
      </w:pPr>
    </w:p>
    <w:p>
      <w:pPr>
        <w:spacing w:after="0"/>
        <w:tabs>
          <w:tab w:leader="none" w:pos="1260" w:val="left"/>
          <w:tab w:leader="none" w:pos="3020" w:val="left"/>
        </w:tabs>
        <w:rPr>
          <w:sz w:val="20"/>
          <w:szCs w:val="20"/>
          <w:color w:val="auto"/>
        </w:rPr>
      </w:pPr>
      <w:r>
        <w:rPr>
          <w:rFonts w:ascii="Times New Roman" w:cs="Times New Roman" w:eastAsia="Times New Roman" w:hAnsi="Times New Roman"/>
          <w:sz w:val="20"/>
          <w:szCs w:val="20"/>
          <w:color w:val="auto"/>
        </w:rPr>
        <w:t>Section 12.17</w:t>
        <w:tab/>
        <w:t>Electronic Delivery.</w:t>
      </w:r>
      <w:r>
        <w:rPr>
          <w:sz w:val="20"/>
          <w:szCs w:val="20"/>
          <w:color w:val="auto"/>
        </w:rPr>
        <w:tab/>
      </w:r>
      <w:r>
        <w:rPr>
          <w:rFonts w:ascii="Times New Roman" w:cs="Times New Roman" w:eastAsia="Times New Roman" w:hAnsi="Times New Roman"/>
          <w:sz w:val="18"/>
          <w:szCs w:val="18"/>
          <w:color w:val="auto"/>
        </w:rPr>
        <w:t>113</w:t>
      </w:r>
    </w:p>
    <w:p>
      <w:pPr>
        <w:spacing w:after="0" w:line="2" w:lineRule="exact"/>
        <w:rPr>
          <w:sz w:val="20"/>
          <w:szCs w:val="20"/>
          <w:color w:val="auto"/>
        </w:rPr>
      </w:pPr>
    </w:p>
    <w:p>
      <w:pPr>
        <w:spacing w:after="0"/>
        <w:tabs>
          <w:tab w:leader="none" w:pos="1260" w:val="left"/>
          <w:tab w:leader="none" w:pos="3480" w:val="left"/>
        </w:tabs>
        <w:rPr>
          <w:sz w:val="20"/>
          <w:szCs w:val="20"/>
          <w:color w:val="auto"/>
        </w:rPr>
      </w:pPr>
      <w:r>
        <w:rPr>
          <w:rFonts w:ascii="Times New Roman" w:cs="Times New Roman" w:eastAsia="Times New Roman" w:hAnsi="Times New Roman"/>
          <w:sz w:val="20"/>
          <w:szCs w:val="20"/>
          <w:color w:val="auto"/>
        </w:rPr>
        <w:t>Section 12.18</w:t>
        <w:tab/>
        <w:t>Language of Notices, Etc.</w:t>
        <w:tab/>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1401" w:right="339" w:bottom="1440" w:gutter="0" w:footer="0" w:header="0"/>
        </w:sectPr>
      </w:pPr>
    </w:p>
    <w:bookmarkStart w:id="8" w:name="page9"/>
    <w:bookmarkEnd w:id="8"/>
    <w:p>
      <w:pPr>
        <w:spacing w:after="0" w:line="200" w:lineRule="exact"/>
        <w:rPr>
          <w:sz w:val="20"/>
          <w:szCs w:val="20"/>
          <w:color w:val="auto"/>
        </w:rPr>
      </w:pPr>
    </w:p>
    <w:p>
      <w:pPr>
        <w:spacing w:after="0" w:line="2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EXHIBITS</w:t>
      </w:r>
    </w:p>
    <w:p>
      <w:pPr>
        <w:spacing w:after="0" w:line="2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8"/>
          <w:szCs w:val="18"/>
          <w:color w:val="auto"/>
        </w:rPr>
        <w:t>FORM OF NOTE</w:t>
      </w:r>
    </w:p>
    <w:p>
      <w:pPr>
        <w:spacing w:after="0" w:line="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8"/>
          <w:szCs w:val="18"/>
          <w:color w:val="auto"/>
        </w:rPr>
        <w:t>FORM OF CERTIFICATE OF TRANSFER</w:t>
      </w:r>
    </w:p>
    <w:p>
      <w:pPr>
        <w:spacing w:after="0" w:line="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8"/>
          <w:szCs w:val="18"/>
          <w:color w:val="auto"/>
        </w:rPr>
        <w:t>FORM OF CERTIFICATE OF EXCHANGE</w:t>
      </w:r>
    </w:p>
    <w:p>
      <w:pPr>
        <w:spacing w:after="0" w:line="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8"/>
          <w:szCs w:val="18"/>
          <w:color w:val="auto"/>
        </w:rPr>
        <w:t>FORM OF SUPPLEMENTAL INDENTURE TO BE DELIVERED BY SUBSEQUENT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40" w:right="1440" w:bottom="1440" w:gutter="0" w:footer="0" w:header="0"/>
        </w:sectPr>
      </w:pPr>
    </w:p>
    <w:bookmarkStart w:id="9" w:name="page10"/>
    <w:bookmarkEnd w:id="9"/>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INDENTURE, dated as of June 26, 2026, among California Resources Corporation, a Delaware corporation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Guarantors (as defined below) and Wilmington Trust, National Association, as trustee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Issuer, the Guarantors and the Trustee agree as follows for the benefit of each other and for the equal and ratable benefit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Holders (as defined below) of the 7.250% Senior Notes due 2035 (as further defined herein,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1</w:t>
      </w:r>
    </w:p>
    <w:p>
      <w:pPr>
        <w:jc w:val="center"/>
        <w:spacing w:after="0" w:line="234" w:lineRule="auto"/>
        <w:rPr>
          <w:sz w:val="20"/>
          <w:szCs w:val="20"/>
          <w:color w:val="auto"/>
        </w:rPr>
      </w:pPr>
      <w:r>
        <w:rPr>
          <w:rFonts w:ascii="Times New Roman" w:cs="Times New Roman" w:eastAsia="Times New Roman" w:hAnsi="Times New Roman"/>
          <w:sz w:val="20"/>
          <w:szCs w:val="20"/>
          <w:color w:val="auto"/>
        </w:rPr>
        <w:t>DEFINITIONS AND INCORPORATION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REFERENCE</w:t>
      </w:r>
    </w:p>
    <w:p>
      <w:pPr>
        <w:spacing w:after="0" w:line="172"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8"/>
          <w:szCs w:val="18"/>
          <w:i w:val="1"/>
          <w:iCs w:val="1"/>
          <w:color w:val="auto"/>
        </w:rPr>
        <w:t>Definitions.</w:t>
      </w:r>
    </w:p>
    <w:p>
      <w:pPr>
        <w:spacing w:after="0" w:line="196"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144A Global Note</w:t>
      </w:r>
      <w:r>
        <w:rPr>
          <w:rFonts w:ascii="Times New Roman" w:cs="Times New Roman" w:eastAsia="Times New Roman" w:hAnsi="Times New Roman"/>
          <w:sz w:val="20"/>
          <w:szCs w:val="20"/>
          <w:color w:val="auto"/>
        </w:rPr>
        <w:t xml:space="preserve">” means a Global Note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initially sold in reliance on Rule 144A.</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Acquired Debt</w:t>
      </w:r>
      <w:r>
        <w:rPr>
          <w:rFonts w:ascii="Times New Roman" w:cs="Times New Roman" w:eastAsia="Times New Roman" w:hAnsi="Times New Roman"/>
          <w:sz w:val="20"/>
          <w:szCs w:val="20"/>
          <w:color w:val="auto"/>
        </w:rPr>
        <w:t>” means, with respect to any specified Person:</w:t>
      </w:r>
    </w:p>
    <w:p>
      <w:pPr>
        <w:spacing w:after="0" w:line="198" w:lineRule="exact"/>
        <w:rPr>
          <w:sz w:val="20"/>
          <w:szCs w:val="20"/>
          <w:color w:val="auto"/>
        </w:rPr>
      </w:pPr>
    </w:p>
    <w:p>
      <w:pPr>
        <w:jc w:val="both"/>
        <w:ind w:left="640" w:firstLine="646"/>
        <w:spacing w:after="0" w:line="236" w:lineRule="auto"/>
        <w:tabs>
          <w:tab w:leader="none" w:pos="17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74"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secured by a Lien encumbering any asset acquired by such specified Person.</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Additional Assets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ind w:left="1700" w:hanging="414"/>
        <w:spacing w:after="0"/>
        <w:tabs>
          <w:tab w:leader="none" w:pos="1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assets used or useful in the Oil and Gas Business, other than Indebtedness or Capital Stock;</w:t>
      </w:r>
    </w:p>
    <w:p>
      <w:pPr>
        <w:spacing w:after="0" w:line="196" w:lineRule="exact"/>
        <w:rPr>
          <w:rFonts w:ascii="Times New Roman" w:cs="Times New Roman" w:eastAsia="Times New Roman" w:hAnsi="Times New Roman"/>
          <w:sz w:val="20"/>
          <w:szCs w:val="20"/>
          <w:color w:val="auto"/>
        </w:rPr>
      </w:pPr>
    </w:p>
    <w:p>
      <w:pPr>
        <w:ind w:left="640" w:firstLine="646"/>
        <w:spacing w:after="0" w:line="247" w:lineRule="auto"/>
        <w:tabs>
          <w:tab w:leader="none" w:pos="172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Stock of a Person that becomes a Restricted Subsidiary as a result of the acquisition of such Capital Stock by the Issuer or any of its Restricted Subsidiaries; or</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Stock constituting a minority interest in any Person that at such time is a Restricted Subsidiary;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such Restricted Subsidiary described in clause (2) or (3) above is primarily engaged in the Oil and Gas Business.</w:t>
      </w:r>
    </w:p>
    <w:p>
      <w:pPr>
        <w:spacing w:after="0" w:line="219"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Additional Notes</w:t>
      </w:r>
      <w:r>
        <w:rPr>
          <w:rFonts w:ascii="Times New Roman" w:cs="Times New Roman" w:eastAsia="Times New Roman" w:hAnsi="Times New Roman"/>
          <w:sz w:val="20"/>
          <w:szCs w:val="20"/>
          <w:color w:val="auto"/>
        </w:rPr>
        <w:t>” means additional Notes (other than the Initial Notes) issued under this Indenture in accordance with Sections 2.02, 2.13 and 4.09, as part of the same series as the Initial Notes.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Adjusted Consolidated Net Tangible Assets</w:t>
      </w:r>
      <w:r>
        <w:rPr>
          <w:rFonts w:ascii="Times New Roman" w:cs="Times New Roman" w:eastAsia="Times New Roman" w:hAnsi="Times New Roman"/>
          <w:sz w:val="20"/>
          <w:szCs w:val="20"/>
          <w:color w:val="auto"/>
        </w:rPr>
        <w:t>” means (without duplication), as of the date of determination,</w:t>
      </w:r>
    </w:p>
    <w:p>
      <w:pPr>
        <w:spacing w:after="0" w:line="212"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8"/>
          <w:szCs w:val="18"/>
          <w:color w:val="auto"/>
        </w:rPr>
        <w:t>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94" w:right="339" w:bottom="1440" w:gutter="0" w:footer="0" w:header="0"/>
        </w:sectPr>
      </w:pPr>
    </w:p>
    <w:bookmarkStart w:id="10" w:name="page11"/>
    <w:bookmarkEnd w:id="10"/>
    <w:p>
      <w:pPr>
        <w:ind w:left="800" w:hanging="634"/>
        <w:spacing w:after="0" w:line="229" w:lineRule="auto"/>
        <w:tabs>
          <w:tab w:leader="none" w:pos="58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discounted future net revenues from proved oil and natural gas reserves of the Issuer and its Restricted Subsidiaries calculated in accordance with SEC guidelines before any state or federal income taxes, as estimated in a reserve report prepared as of the end of either the Issuer’s most recently completed fiscal year (or, if such date of determination is within 45 days after the end of such most recently completed fiscal year and no reserve report as of the end of such fiscal year has at the time been prepared, the Issuer’s second preceding fiscal year) or, at the Issuer’s option, the Issuer’s most recently completed fiscal quarter for which internal financial statements are available, as </w:t>
      </w:r>
      <w:r>
        <w:rPr>
          <w:rFonts w:ascii="Times New Roman" w:cs="Times New Roman" w:eastAsia="Times New Roman" w:hAnsi="Times New Roman"/>
          <w:sz w:val="20"/>
          <w:szCs w:val="20"/>
          <w:i w:val="1"/>
          <w:iCs w:val="1"/>
          <w:color w:val="auto"/>
        </w:rPr>
        <w:t>increased by</w:t>
      </w:r>
      <w:r>
        <w:rPr>
          <w:rFonts w:ascii="Times New Roman" w:cs="Times New Roman" w:eastAsia="Times New Roman" w:hAnsi="Times New Roman"/>
          <w:sz w:val="20"/>
          <w:szCs w:val="20"/>
          <w:color w:val="auto"/>
        </w:rPr>
        <w:t>, as of the date of determination, the estimated discounted future net revenues calculated in accordance with SEC guidelines from:</w:t>
      </w:r>
    </w:p>
    <w:p>
      <w:pPr>
        <w:spacing w:after="0" w:line="176" w:lineRule="exact"/>
        <w:rPr>
          <w:rFonts w:ascii="Times New Roman" w:cs="Times New Roman" w:eastAsia="Times New Roman" w:hAnsi="Times New Roman"/>
          <w:sz w:val="20"/>
          <w:szCs w:val="20"/>
          <w:color w:val="auto"/>
        </w:rPr>
      </w:pPr>
    </w:p>
    <w:p>
      <w:pPr>
        <w:ind w:left="1440" w:right="20" w:hanging="634"/>
        <w:spacing w:after="0" w:line="247" w:lineRule="auto"/>
        <w:tabs>
          <w:tab w:leader="none" w:pos="127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proved oil and natural gas reserves of the Issuer and its Restricted Subsidiaries acquired since the date of such year-end or quarterly reserve report, and</w:t>
      </w:r>
    </w:p>
    <w:p>
      <w:pPr>
        <w:spacing w:after="0" w:line="166" w:lineRule="exact"/>
        <w:rPr>
          <w:rFonts w:ascii="Times New Roman" w:cs="Times New Roman" w:eastAsia="Times New Roman" w:hAnsi="Times New Roman"/>
          <w:sz w:val="20"/>
          <w:szCs w:val="20"/>
          <w:color w:val="auto"/>
        </w:rPr>
      </w:pPr>
    </w:p>
    <w:p>
      <w:pPr>
        <w:jc w:val="both"/>
        <w:ind w:left="1440" w:hanging="634"/>
        <w:spacing w:after="0" w:line="231" w:lineRule="auto"/>
        <w:tabs>
          <w:tab w:leader="none" w:pos="141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proved oil and natural gas reserves of the Issuer and its Restricted Subsidiaries attributable to extensions, discoveries and other additions and upward revisions of estimates of proved oil and natural gas reserves (including previously estimated development costs incurred during the period and the accretion of discount since the prior period end) since the date of such year-end or quarterly reserve report due to exploration, development or exploitation, production or other activities which would, in accordance with standard industry practice, cause such revisions,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i w:val="1"/>
          <w:iCs w:val="1"/>
          <w:color w:val="auto"/>
        </w:rPr>
        <w:t>decreased by</w:t>
      </w:r>
      <w:r>
        <w:rPr>
          <w:rFonts w:ascii="Times New Roman" w:cs="Times New Roman" w:eastAsia="Times New Roman" w:hAnsi="Times New Roman"/>
          <w:sz w:val="20"/>
          <w:szCs w:val="20"/>
          <w:color w:val="auto"/>
        </w:rPr>
        <w:t>, as of the date of determination, the estimated discounted future net revenue attributable to:</w:t>
      </w:r>
    </w:p>
    <w:p>
      <w:pPr>
        <w:spacing w:after="0" w:line="198" w:lineRule="exact"/>
        <w:rPr>
          <w:sz w:val="20"/>
          <w:szCs w:val="20"/>
          <w:color w:val="auto"/>
        </w:rPr>
      </w:pPr>
    </w:p>
    <w:p>
      <w:pPr>
        <w:ind w:left="1440" w:hanging="634"/>
        <w:spacing w:after="0" w:line="247" w:lineRule="auto"/>
        <w:tabs>
          <w:tab w:leader="none" w:pos="137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proved oil and natural gas reserves of the Issuer and its Restricted Subsidiaries reflected in such reserve report produced or disposed of since the date of such year-end or quarterly reserve report, and</w:t>
      </w:r>
    </w:p>
    <w:p>
      <w:pPr>
        <w:spacing w:after="0" w:line="166" w:lineRule="exact"/>
        <w:rPr>
          <w:rFonts w:ascii="Times New Roman" w:cs="Times New Roman" w:eastAsia="Times New Roman" w:hAnsi="Times New Roman"/>
          <w:sz w:val="20"/>
          <w:szCs w:val="20"/>
          <w:color w:val="auto"/>
        </w:rPr>
      </w:pPr>
    </w:p>
    <w:p>
      <w:pPr>
        <w:ind w:left="1440" w:hanging="634"/>
        <w:spacing w:after="0" w:line="236" w:lineRule="auto"/>
        <w:tabs>
          <w:tab w:leader="none" w:pos="128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reductions in estimated proved oil and natural gas reserves of the Issuer and its Restricted Subsidiaries reflected in such reserve report attributable to downward revisions of estimates of proved oil and natural gas reserves since such year-end or quarterly reserve report due to changes in geological conditions or other factors which would, in accordance with standard industry practice, cause such revisions;</w:t>
      </w:r>
    </w:p>
    <w:p>
      <w:pPr>
        <w:spacing w:after="0" w:line="175" w:lineRule="exact"/>
        <w:rPr>
          <w:sz w:val="20"/>
          <w:szCs w:val="20"/>
          <w:color w:val="auto"/>
        </w:rPr>
      </w:pPr>
    </w:p>
    <w:p>
      <w:pPr>
        <w:jc w:val="both"/>
        <w:ind w:left="800"/>
        <w:spacing w:after="0" w:line="233" w:lineRule="auto"/>
        <w:rPr>
          <w:sz w:val="20"/>
          <w:szCs w:val="20"/>
          <w:color w:val="auto"/>
        </w:rPr>
      </w:pPr>
      <w:r>
        <w:rPr>
          <w:rFonts w:ascii="Times New Roman" w:cs="Times New Roman" w:eastAsia="Times New Roman" w:hAnsi="Times New Roman"/>
          <w:sz w:val="20"/>
          <w:szCs w:val="20"/>
          <w:color w:val="auto"/>
        </w:rPr>
        <w:t>in the case of the preceding clauses (A) through (D), calculated on a pre-tax basis in accordance with SEC guidelines (utilizing the prices utilized in the Issuer’s year-end or quarterly reserve report, as applicable) and estimated by the Issuer’s petroleum engineers or, at the Issuer’s election, any independent petroleum engineers engaged by the Issuer for that purpose;</w:t>
      </w:r>
    </w:p>
    <w:p>
      <w:pPr>
        <w:spacing w:after="0" w:line="173" w:lineRule="exact"/>
        <w:rPr>
          <w:sz w:val="20"/>
          <w:szCs w:val="20"/>
          <w:color w:val="auto"/>
        </w:rPr>
      </w:pPr>
    </w:p>
    <w:p>
      <w:pPr>
        <w:ind w:left="800" w:hanging="634"/>
        <w:spacing w:after="0" w:line="236" w:lineRule="auto"/>
        <w:tabs>
          <w:tab w:leader="none" w:pos="63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capitalized costs that are attributable to oil and natural gas properties of the Issuer and its Restricted Subsidiaries to which no proved oil and natural gas reserves are attributable, based on the Issuer’s books and records as of a date no earlier than the last day of the Issuer’s most recent quarterly or annual period for which internal financial statements are available;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20"/>
          </w:cols>
          <w:pgMar w:left="1440" w:top="1396" w:right="339" w:bottom="1440" w:gutter="0" w:footer="0" w:header="0"/>
        </w:sectPr>
      </w:pPr>
    </w:p>
    <w:bookmarkStart w:id="11" w:name="page12"/>
    <w:bookmarkEnd w:id="11"/>
    <w:p>
      <w:pPr>
        <w:ind w:left="1920" w:hanging="634"/>
        <w:spacing w:after="0" w:line="247" w:lineRule="auto"/>
        <w:tabs>
          <w:tab w:leader="none" w:pos="17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Net Working Capital of the Issuer and its Restricted Subsidiaries as of a date no earlier than the last day of the Issuer’s most recent quarterly or annual period for which internal financial statements are available; and</w:t>
      </w:r>
    </w:p>
    <w:p>
      <w:pPr>
        <w:spacing w:after="0" w:line="166" w:lineRule="exact"/>
        <w:rPr>
          <w:rFonts w:ascii="Times New Roman" w:cs="Times New Roman" w:eastAsia="Times New Roman" w:hAnsi="Times New Roman"/>
          <w:sz w:val="20"/>
          <w:szCs w:val="20"/>
          <w:color w:val="auto"/>
        </w:rPr>
      </w:pPr>
    </w:p>
    <w:p>
      <w:pPr>
        <w:ind w:left="1760" w:hanging="474"/>
        <w:spacing w:after="0"/>
        <w:tabs>
          <w:tab w:leader="none" w:pos="1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w:t>
      </w:r>
    </w:p>
    <w:p>
      <w:pPr>
        <w:spacing w:after="0" w:line="196" w:lineRule="exact"/>
        <w:rPr>
          <w:rFonts w:ascii="Times New Roman" w:cs="Times New Roman" w:eastAsia="Times New Roman" w:hAnsi="Times New Roman"/>
          <w:sz w:val="20"/>
          <w:szCs w:val="20"/>
          <w:color w:val="auto"/>
        </w:rPr>
      </w:pPr>
    </w:p>
    <w:p>
      <w:pPr>
        <w:ind w:left="2400" w:hanging="474"/>
        <w:spacing w:after="0"/>
        <w:tabs>
          <w:tab w:leader="none" w:pos="24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book value and</w:t>
      </w:r>
    </w:p>
    <w:p>
      <w:pPr>
        <w:spacing w:after="0" w:line="209" w:lineRule="exact"/>
        <w:rPr>
          <w:rFonts w:ascii="Times New Roman" w:cs="Times New Roman" w:eastAsia="Times New Roman" w:hAnsi="Times New Roman"/>
          <w:sz w:val="20"/>
          <w:szCs w:val="20"/>
          <w:color w:val="auto"/>
        </w:rPr>
      </w:pPr>
    </w:p>
    <w:p>
      <w:pPr>
        <w:ind w:left="2560" w:hanging="634"/>
        <w:spacing w:after="0" w:line="247" w:lineRule="auto"/>
        <w:tabs>
          <w:tab w:leader="none" w:pos="2435"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appraised value, as estimated by independent appraisers, of other tangible assets (including Investments in unconsolidated Subsidiaries),</w:t>
      </w:r>
    </w:p>
    <w:p>
      <w:pPr>
        <w:spacing w:after="0" w:line="166" w:lineRule="exact"/>
        <w:rPr>
          <w:sz w:val="20"/>
          <w:szCs w:val="20"/>
          <w:color w:val="auto"/>
        </w:rPr>
      </w:pPr>
    </w:p>
    <w:p>
      <w:pPr>
        <w:jc w:val="both"/>
        <w:ind w:left="1280"/>
        <w:spacing w:after="0" w:line="233" w:lineRule="auto"/>
        <w:rPr>
          <w:sz w:val="20"/>
          <w:szCs w:val="20"/>
          <w:color w:val="auto"/>
        </w:rPr>
      </w:pPr>
      <w:r>
        <w:rPr>
          <w:rFonts w:ascii="Times New Roman" w:cs="Times New Roman" w:eastAsia="Times New Roman" w:hAnsi="Times New Roman"/>
          <w:sz w:val="20"/>
          <w:szCs w:val="20"/>
          <w:color w:val="auto"/>
        </w:rPr>
        <w:t xml:space="preserve">in each case, of the Issuer and its Restricted Subsidiaries as of a date no earlier than the last day of the date of the Issuer’s most recent quarterly or annual period for which internal financial statements are available;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no such appraisal has been performed, the Issuer shall not be required to obtain such an appraisal and only clause (iv)(A) of this definition shall apply,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to the extent not otherwise taken into account in the immediately preceding clause (a),</w:t>
      </w:r>
    </w:p>
    <w:p>
      <w:pPr>
        <w:spacing w:after="0" w:line="198" w:lineRule="exact"/>
        <w:rPr>
          <w:sz w:val="20"/>
          <w:szCs w:val="20"/>
          <w:color w:val="auto"/>
        </w:rPr>
      </w:pPr>
    </w:p>
    <w:p>
      <w:pPr>
        <w:ind w:left="1060" w:hanging="414"/>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209" w:lineRule="exact"/>
        <w:rPr>
          <w:rFonts w:ascii="Times New Roman" w:cs="Times New Roman" w:eastAsia="Times New Roman" w:hAnsi="Times New Roman"/>
          <w:sz w:val="20"/>
          <w:szCs w:val="20"/>
          <w:color w:val="auto"/>
        </w:rPr>
      </w:pPr>
    </w:p>
    <w:p>
      <w:pPr>
        <w:ind w:left="1660" w:hanging="374"/>
        <w:spacing w:after="0"/>
        <w:tabs>
          <w:tab w:leader="none" w:pos="16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minority interests;</w:t>
      </w:r>
    </w:p>
    <w:p>
      <w:pPr>
        <w:spacing w:after="0" w:line="196" w:lineRule="exact"/>
        <w:rPr>
          <w:rFonts w:ascii="Times New Roman" w:cs="Times New Roman" w:eastAsia="Times New Roman" w:hAnsi="Times New Roman"/>
          <w:sz w:val="20"/>
          <w:szCs w:val="20"/>
          <w:color w:val="auto"/>
        </w:rPr>
      </w:pPr>
    </w:p>
    <w:p>
      <w:pPr>
        <w:ind w:left="1920" w:hanging="634"/>
        <w:spacing w:after="0" w:line="233" w:lineRule="auto"/>
        <w:tabs>
          <w:tab w:leader="none" w:pos="17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natural gas balancing liabilities of the Issuer and its Restricted Subsidiaries as of the last day of the Issuer’s most recent annual or quarterly period for which internal financial statements are available to the extent not deducted in calculating Consolidated Net Working Capital of the Issuer and its Restricted Subsidiaries in accordance with clause (a)(iii) of this definition;</w:t>
      </w:r>
    </w:p>
    <w:p>
      <w:pPr>
        <w:spacing w:after="0" w:line="173" w:lineRule="exact"/>
        <w:rPr>
          <w:rFonts w:ascii="Times New Roman" w:cs="Times New Roman" w:eastAsia="Times New Roman" w:hAnsi="Times New Roman"/>
          <w:sz w:val="20"/>
          <w:szCs w:val="20"/>
          <w:color w:val="auto"/>
        </w:rPr>
      </w:pPr>
    </w:p>
    <w:p>
      <w:pPr>
        <w:jc w:val="both"/>
        <w:ind w:left="1920" w:hanging="634"/>
        <w:spacing w:after="0" w:line="236" w:lineRule="auto"/>
        <w:tabs>
          <w:tab w:leader="none" w:pos="18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included in clause (a)(i) above, the discounted future net revenues, calculated in accordance with SEC guidelines (utilizing the prices utilized in the Issuer’s year-end or quarterly reserve report), attributable to reserves that are required to be delivered to third parties to fully satisfy the obligations of the Issuer and its Restricted Subsidiaries with respect to Volumetric Production Payments on the schedules specified with respect thereto; and</w:t>
      </w:r>
    </w:p>
    <w:p>
      <w:pPr>
        <w:spacing w:after="0" w:line="174" w:lineRule="exact"/>
        <w:rPr>
          <w:rFonts w:ascii="Times New Roman" w:cs="Times New Roman" w:eastAsia="Times New Roman" w:hAnsi="Times New Roman"/>
          <w:sz w:val="20"/>
          <w:szCs w:val="20"/>
          <w:color w:val="auto"/>
        </w:rPr>
      </w:pPr>
    </w:p>
    <w:p>
      <w:pPr>
        <w:ind w:left="1920" w:hanging="634"/>
        <w:spacing w:after="0" w:line="231" w:lineRule="auto"/>
        <w:tabs>
          <w:tab w:leader="none" w:pos="185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discounted future net revenues, calculated in accordance with SEC guidelines, attributable to reserves subject to Dollar-Denominated Production Payments that, based on the estimates of production and price assumptions included in determining the discounted future net revenues specified in clause (a)(i) above, would be necessary to fully satisfy the payment obligations of the Issuer and its Restricted Subsidiaries with respect to Dollar-Denominated Production Payments on the schedules specified with respect thereto.</w:t>
      </w:r>
    </w:p>
    <w:p>
      <w:pPr>
        <w:spacing w:after="0" w:line="173"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If the Issuer changes its method of accounting from the successful efforts method of accounting to the full cost or a similar method, “Adjusted Consolidated Net Tangible Assets” will continue to be calculated as if the Issuer were still using the successful efforts method of accounting.</w:t>
      </w:r>
    </w:p>
    <w:p>
      <w:pPr>
        <w:spacing w:after="0" w:line="169"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6" w:right="339" w:bottom="1440" w:gutter="0" w:footer="0" w:header="0"/>
        </w:sectPr>
      </w:pPr>
    </w:p>
    <w:bookmarkStart w:id="12" w:name="page13"/>
    <w:bookmarkEnd w:id="12"/>
    <w:p>
      <w:pPr>
        <w:jc w:val="both"/>
        <w:spacing w:after="0" w:line="236" w:lineRule="auto"/>
        <w:rPr>
          <w:sz w:val="20"/>
          <w:szCs w:val="20"/>
          <w:color w:val="auto"/>
        </w:rPr>
      </w:pPr>
      <w:r>
        <w:rPr>
          <w:rFonts w:ascii="Times New Roman" w:cs="Times New Roman" w:eastAsia="Times New Roman" w:hAnsi="Times New Roman"/>
          <w:sz w:val="20"/>
          <w:szCs w:val="20"/>
          <w:color w:val="auto"/>
        </w:rPr>
        <w:t>power to direct or cause the direction of the management or policies of such Person, whether through the ownership of voting securities, by agreement or otherwise. For purposes of this definition, the terms “</w:t>
      </w:r>
      <w:r>
        <w:rPr>
          <w:rFonts w:ascii="Times New Roman" w:cs="Times New Roman" w:eastAsia="Times New Roman" w:hAnsi="Times New Roman"/>
          <w:sz w:val="20"/>
          <w:szCs w:val="20"/>
          <w:i w:val="1"/>
          <w:iCs w:val="1"/>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under common control with</w:t>
      </w:r>
      <w:r>
        <w:rPr>
          <w:rFonts w:ascii="Times New Roman" w:cs="Times New Roman" w:eastAsia="Times New Roman" w:hAnsi="Times New Roman"/>
          <w:sz w:val="20"/>
          <w:szCs w:val="20"/>
          <w:color w:val="auto"/>
        </w:rPr>
        <w:t>” have correlative meanings.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 means any Registrar or Paying Agent.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Premium</w:t>
      </w:r>
      <w:r>
        <w:rPr>
          <w:rFonts w:ascii="Times New Roman" w:cs="Times New Roman" w:eastAsia="Times New Roman" w:hAnsi="Times New Roman"/>
          <w:sz w:val="20"/>
          <w:szCs w:val="20"/>
          <w:color w:val="auto"/>
        </w:rPr>
        <w:t>” means, with respect to any Note on any redemption date, the greater of:</w:t>
      </w:r>
    </w:p>
    <w:p>
      <w:pPr>
        <w:spacing w:after="0" w:line="198" w:lineRule="exact"/>
        <w:rPr>
          <w:sz w:val="20"/>
          <w:szCs w:val="20"/>
          <w:color w:val="auto"/>
        </w:rPr>
      </w:pPr>
    </w:p>
    <w:p>
      <w:pPr>
        <w:ind w:left="1700" w:hanging="414"/>
        <w:spacing w:after="0"/>
        <w:tabs>
          <w:tab w:leader="none" w:pos="1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of the principal amount of the Note; and</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of:</w:t>
      </w:r>
    </w:p>
    <w:p>
      <w:pPr>
        <w:spacing w:after="0" w:line="196" w:lineRule="exact"/>
        <w:rPr>
          <w:rFonts w:ascii="Times New Roman" w:cs="Times New Roman" w:eastAsia="Times New Roman" w:hAnsi="Times New Roman"/>
          <w:sz w:val="20"/>
          <w:szCs w:val="20"/>
          <w:color w:val="auto"/>
        </w:rPr>
      </w:pPr>
    </w:p>
    <w:p>
      <w:pPr>
        <w:jc w:val="both"/>
        <w:ind w:left="1280" w:firstLine="646"/>
        <w:spacing w:after="0" w:line="231" w:lineRule="auto"/>
        <w:tabs>
          <w:tab w:leader="none" w:pos="24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present value at such redemption date of (i) the redemption price of the Note at July 15, 2029 (such redemption price being set forth in the table appearing in Section 3.08(d))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all required interest payments due on the Note through July 15, 2029 (in each case, excluding accrued but unpaid interest to the redemption date), computed using a discount rate equal to the Treasury Rate as of such redemption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50 basis points discounted to the redemption date on a semi-annual basis (assuming a 360-day year consisting of twelve 30-day months), over</w:t>
      </w:r>
    </w:p>
    <w:p>
      <w:pPr>
        <w:spacing w:after="0" w:line="185"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Note.</w:t>
      </w:r>
    </w:p>
    <w:p>
      <w:pPr>
        <w:spacing w:after="0" w:line="19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Procedures</w:t>
      </w:r>
      <w:r>
        <w:rPr>
          <w:rFonts w:ascii="Times New Roman" w:cs="Times New Roman" w:eastAsia="Times New Roman" w:hAnsi="Times New Roman"/>
          <w:sz w:val="20"/>
          <w:szCs w:val="20"/>
          <w:color w:val="auto"/>
        </w:rPr>
        <w:t>” means, with respect to any transfer or exchange of or for beneficial interests in any Global Note, the rules and procedures of the Depositary, Euroclear and Clearstream that apply to such transfer or exchange.</w:t>
      </w:r>
    </w:p>
    <w:p>
      <w:pPr>
        <w:spacing w:after="0" w:line="162"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 determined in good faith by the Issuer</w:t>
      </w:r>
      <w:r>
        <w:rPr>
          <w:rFonts w:ascii="Times New Roman" w:cs="Times New Roman" w:eastAsia="Times New Roman" w:hAnsi="Times New Roman"/>
          <w:sz w:val="20"/>
          <w:szCs w:val="20"/>
          <w:color w:val="auto"/>
        </w:rPr>
        <w:t>” means a determination made in good faith by the Board of Directors of the Issuer or any Officer of the Issuer involved in or otherwise familiar with the transaction for which such determination is being made, any such determination being conclusive for all purposes under this Indenture.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Asset Sale</w:t>
      </w:r>
      <w:r>
        <w:rPr>
          <w:rFonts w:ascii="Times New Roman" w:cs="Times New Roman" w:eastAsia="Times New Roman" w:hAnsi="Times New Roman"/>
          <w:sz w:val="20"/>
          <w:szCs w:val="20"/>
          <w:color w:val="auto"/>
        </w:rPr>
        <w:t>” means:</w:t>
      </w:r>
    </w:p>
    <w:p>
      <w:pPr>
        <w:spacing w:after="0" w:line="198" w:lineRule="exact"/>
        <w:rPr>
          <w:sz w:val="20"/>
          <w:szCs w:val="20"/>
          <w:color w:val="auto"/>
        </w:rPr>
      </w:pPr>
    </w:p>
    <w:p>
      <w:pPr>
        <w:ind w:left="640" w:firstLine="646"/>
        <w:spacing w:after="0" w:line="261" w:lineRule="auto"/>
        <w:tabs>
          <w:tab w:leader="none" w:pos="186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(other than operating leases entered into in the ordinary course of business), conveyance or other disposition of any assets or rights by the Issuer or any of the Issuer’s Restricted Subsidiaries; and</w:t>
      </w:r>
    </w:p>
    <w:p>
      <w:pPr>
        <w:spacing w:after="0" w:line="152"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9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Interests by any of the Issuer’s Restricted Subsidiaries or the sale by the Issuer or any of the Issuer’s Restricted Subsidiaries of Equity Interests in any of the Issuer’s Subsidiaries (in either case other than Preferred Stock of any Restricted Subsidiary issued in compliance with Section 4.09 and directors’ qualifying shares or shares required by applicable law to be held by a Person other than the Issuer or a Restricted Subsidiary),</w:t>
      </w:r>
    </w:p>
    <w:p>
      <w:pPr>
        <w:spacing w:after="0" w:line="171"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case of clause (1) or (2), the sale, assignment, transfer, conveyance, lease or other disposition of all or substantially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of the properties or assets of the Issuer and its Subsidiaries (including by way of a merger or consolidation) will be governed by Section 4.15 and/or by Section 5.01 and not by the provisions of Section 4.10;</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Notwithstanding the preceding, none of the following items will be deemed to be an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6" w:right="339" w:bottom="1440" w:gutter="0" w:footer="0" w:header="0"/>
        </w:sectPr>
      </w:pPr>
    </w:p>
    <w:bookmarkStart w:id="13" w:name="page14"/>
    <w:bookmarkEnd w:id="13"/>
    <w:p>
      <w:pPr>
        <w:spacing w:after="0" w:line="63" w:lineRule="exact"/>
        <w:rPr>
          <w:sz w:val="20"/>
          <w:szCs w:val="20"/>
          <w:color w:val="auto"/>
        </w:rPr>
      </w:pPr>
    </w:p>
    <w:p>
      <w:pPr>
        <w:ind w:firstLine="646"/>
        <w:spacing w:after="0" w:line="247" w:lineRule="auto"/>
        <w:tabs>
          <w:tab w:leader="none" w:pos="108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single transaction or series of related transactions that involves assets or Equity Interests having a Fair Market Value of less than $50.0 million;</w:t>
      </w:r>
    </w:p>
    <w:p>
      <w:pPr>
        <w:spacing w:after="0" w:line="166"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assets between or among the Issuer and its Restricted Subsidiaries;</w:t>
      </w:r>
    </w:p>
    <w:p>
      <w:pPr>
        <w:spacing w:after="0" w:line="196" w:lineRule="exact"/>
        <w:rPr>
          <w:rFonts w:ascii="Times New Roman" w:cs="Times New Roman" w:eastAsia="Times New Roman" w:hAnsi="Times New Roman"/>
          <w:sz w:val="20"/>
          <w:szCs w:val="20"/>
          <w:color w:val="auto"/>
        </w:rPr>
      </w:pPr>
    </w:p>
    <w:p>
      <w:pPr>
        <w:ind w:left="1100" w:hanging="454"/>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or sale of Equity Interests by a Restricted Subsidiary of the Issuer to the Issuer or to a Restricted Subsidiary</w:t>
      </w:r>
    </w:p>
    <w:p>
      <w:pPr>
        <w:spacing w:after="0" w:line="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the Issuer;</w:t>
      </w:r>
    </w:p>
    <w:p>
      <w:pPr>
        <w:spacing w:after="0" w:line="174" w:lineRule="exact"/>
        <w:rPr>
          <w:rFonts w:ascii="Times New Roman" w:cs="Times New Roman" w:eastAsia="Times New Roman" w:hAnsi="Times New Roman"/>
          <w:sz w:val="18"/>
          <w:szCs w:val="18"/>
          <w:color w:val="auto"/>
        </w:rPr>
      </w:pPr>
    </w:p>
    <w:p>
      <w:pPr>
        <w:jc w:val="both"/>
        <w:ind w:firstLine="646"/>
        <w:spacing w:after="0" w:line="233" w:lineRule="auto"/>
        <w:tabs>
          <w:tab w:leader="none" w:pos="117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or other disposition of products, services, inventory or accounts receivable in the ordinary course of business and any sale or other disposition of surplus, damaged, worn-out or obsolete assets (including the abandonment or other disposition of intellectual property that is, in the reasonable judgment of the Issuer, no longer economically practicable to maintain or useful in the conduct of the business of the Issuer and its Restricted Subsidiaries taken as whole);</w:t>
      </w:r>
    </w:p>
    <w:p>
      <w:pPr>
        <w:spacing w:after="0" w:line="173" w:lineRule="exact"/>
        <w:rPr>
          <w:rFonts w:ascii="Times New Roman" w:cs="Times New Roman" w:eastAsia="Times New Roman" w:hAnsi="Times New Roman"/>
          <w:sz w:val="20"/>
          <w:szCs w:val="20"/>
          <w:color w:val="auto"/>
        </w:rPr>
      </w:pPr>
    </w:p>
    <w:p>
      <w:pPr>
        <w:ind w:firstLine="646"/>
        <w:spacing w:after="0" w:line="247" w:lineRule="auto"/>
        <w:tabs>
          <w:tab w:leader="none" w:pos="109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farm-out, lease or sublease of developed or undeveloped oil or natural gas properties, or the forfeiture of such properties, owned or held by the Issuer or any of its Restricted Subsidiaries in the ordinary course of business;</w:t>
      </w:r>
    </w:p>
    <w:p>
      <w:pPr>
        <w:spacing w:after="0" w:line="166" w:lineRule="exact"/>
        <w:rPr>
          <w:rFonts w:ascii="Times New Roman" w:cs="Times New Roman" w:eastAsia="Times New Roman" w:hAnsi="Times New Roman"/>
          <w:sz w:val="20"/>
          <w:szCs w:val="20"/>
          <w:color w:val="auto"/>
        </w:rPr>
      </w:pPr>
    </w:p>
    <w:p>
      <w:pPr>
        <w:ind w:firstLine="646"/>
        <w:spacing w:after="0" w:line="261" w:lineRule="auto"/>
        <w:tabs>
          <w:tab w:leader="none" w:pos="115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and sublicenses by the Issuer or any of its Restricted Subsidiaries of software, intellectual property or other general intangibles in the ordinary course of business;</w:t>
      </w:r>
    </w:p>
    <w:p>
      <w:pPr>
        <w:spacing w:after="0" w:line="152"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 rights or settlement, release, recovery on or surrender of contract, tort or other claims;</w:t>
      </w:r>
    </w:p>
    <w:p>
      <w:pPr>
        <w:spacing w:after="0" w:line="219" w:lineRule="exact"/>
        <w:rPr>
          <w:rFonts w:ascii="Times New Roman" w:cs="Times New Roman" w:eastAsia="Times New Roman" w:hAnsi="Times New Roman"/>
          <w:sz w:val="18"/>
          <w:szCs w:val="18"/>
          <w:color w:val="auto"/>
        </w:rPr>
      </w:pPr>
    </w:p>
    <w:p>
      <w:pPr>
        <w:ind w:firstLine="646"/>
        <w:spacing w:after="0" w:line="247" w:lineRule="auto"/>
        <w:tabs>
          <w:tab w:leader="none" w:pos="11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granting, creation or incurrence of Liens not prohibited by Section 4.12 and dispositions in connection with such Liens and the exercise by any Person in whose favor such Lien is granted of any of its rights in respect of such Lien;</w:t>
      </w:r>
    </w:p>
    <w:p>
      <w:pPr>
        <w:spacing w:after="0" w:line="166" w:lineRule="exact"/>
        <w:rPr>
          <w:rFonts w:ascii="Times New Roman" w:cs="Times New Roman" w:eastAsia="Times New Roman" w:hAnsi="Times New Roman"/>
          <w:sz w:val="20"/>
          <w:szCs w:val="20"/>
          <w:color w:val="auto"/>
        </w:rPr>
      </w:pPr>
    </w:p>
    <w:p>
      <w:pPr>
        <w:ind w:left="1100" w:hanging="454"/>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 or other financial instruments (other than Oil and Gas Hedging</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Contracts);</w:t>
      </w:r>
    </w:p>
    <w:p>
      <w:pPr>
        <w:spacing w:after="0" w:line="174" w:lineRule="exact"/>
        <w:rPr>
          <w:rFonts w:ascii="Times New Roman" w:cs="Times New Roman" w:eastAsia="Times New Roman" w:hAnsi="Times New Roman"/>
          <w:sz w:val="18"/>
          <w:szCs w:val="18"/>
          <w:color w:val="auto"/>
        </w:rPr>
      </w:pPr>
    </w:p>
    <w:p>
      <w:pPr>
        <w:ind w:firstLine="646"/>
        <w:spacing w:after="0" w:line="247" w:lineRule="auto"/>
        <w:tabs>
          <w:tab w:leader="none" w:pos="118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of assets that constitutes (or results in by virtue of the consideration received for such disposition) either a Restricted Payment that does not violate Section 4.07 or a Permitted Investment or a Permitted Payment;</w:t>
      </w:r>
    </w:p>
    <w:p>
      <w:pPr>
        <w:spacing w:after="0" w:line="179" w:lineRule="exact"/>
        <w:rPr>
          <w:rFonts w:ascii="Times New Roman" w:cs="Times New Roman" w:eastAsia="Times New Roman" w:hAnsi="Times New Roman"/>
          <w:sz w:val="20"/>
          <w:szCs w:val="20"/>
          <w:color w:val="auto"/>
        </w:rPr>
      </w:pPr>
    </w:p>
    <w:p>
      <w:pPr>
        <w:ind w:left="1160" w:hanging="514"/>
        <w:spacing w:after="0"/>
        <w:tabs>
          <w:tab w:leader="none" w:pos="11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or other disposition of Hydrocarbons or other mineral products in the ordinary course of business;</w:t>
      </w:r>
    </w:p>
    <w:p>
      <w:pPr>
        <w:spacing w:after="0" w:line="196" w:lineRule="exact"/>
        <w:rPr>
          <w:rFonts w:ascii="Times New Roman" w:cs="Times New Roman" w:eastAsia="Times New Roman" w:hAnsi="Times New Roman"/>
          <w:sz w:val="20"/>
          <w:szCs w:val="20"/>
          <w:color w:val="auto"/>
        </w:rPr>
      </w:pPr>
    </w:p>
    <w:p>
      <w:pPr>
        <w:ind w:left="1160" w:hanging="514"/>
        <w:spacing w:after="0"/>
        <w:tabs>
          <w:tab w:leader="none" w:pos="11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Asset Swap;</w:t>
      </w:r>
    </w:p>
    <w:p>
      <w:pPr>
        <w:spacing w:after="0" w:line="194" w:lineRule="exact"/>
        <w:rPr>
          <w:rFonts w:ascii="Times New Roman" w:cs="Times New Roman" w:eastAsia="Times New Roman" w:hAnsi="Times New Roman"/>
          <w:sz w:val="20"/>
          <w:szCs w:val="20"/>
          <w:color w:val="auto"/>
        </w:rPr>
      </w:pPr>
    </w:p>
    <w:p>
      <w:pPr>
        <w:ind w:right="20" w:firstLine="646"/>
        <w:spacing w:after="0" w:line="249" w:lineRule="auto"/>
        <w:tabs>
          <w:tab w:leader="none" w:pos="11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crude oil and natural gas properties (whether or not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any such disposition such properties do not have associated with them any proved reserves;</w:t>
      </w:r>
    </w:p>
    <w:p>
      <w:pPr>
        <w:spacing w:after="0" w:line="151" w:lineRule="exact"/>
        <w:rPr>
          <w:rFonts w:ascii="Times New Roman" w:cs="Times New Roman" w:eastAsia="Times New Roman" w:hAnsi="Times New Roman"/>
          <w:sz w:val="20"/>
          <w:szCs w:val="20"/>
          <w:color w:val="auto"/>
        </w:rPr>
      </w:pPr>
    </w:p>
    <w:p>
      <w:pPr>
        <w:jc w:val="both"/>
        <w:ind w:firstLine="646"/>
        <w:spacing w:after="0" w:line="219" w:lineRule="auto"/>
        <w:tabs>
          <w:tab w:leader="none" w:pos="116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Production Payments and Reserve Sales; provided that any such Production Payments and Reserve Sales, other than incentive compensation programs on terms that are customary in the Oil and Gas Business for geologists, geophysicists and other providers of technical services to the Issuer or a Restricted Subsidiary, shall have been created, incurred, issued, assumed or guaranteed in connection with the financing of, and within 60 days after the acquisition of, the property that is subject thereto;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600"/>
          </w:cols>
          <w:pgMar w:left="960" w:top="1440" w:right="339" w:bottom="1440" w:gutter="0" w:footer="0" w:header="0"/>
        </w:sectPr>
      </w:pPr>
    </w:p>
    <w:bookmarkStart w:id="14" w:name="page15"/>
    <w:bookmarkEnd w:id="14"/>
    <w:p>
      <w:pPr>
        <w:ind w:left="640" w:firstLine="646"/>
        <w:spacing w:after="0" w:line="247" w:lineRule="auto"/>
        <w:tabs>
          <w:tab w:leader="none" w:pos="182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assets or Equity Interests received in settlement of debts owing to a Person as a result of foreclosure, perfection or enforcement of any Lien or debt, which debts were owing to such Person; and</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42" w:lineRule="auto"/>
        <w:tabs>
          <w:tab w:leader="none" w:pos="1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conveyance or other disposition (i) of Equity Interests in, or Indebtedness or other securities of, an Unrestricted Subsidiary (other than an Unrestricted Subsidiary the primary assets of which are cash and/or Cash Equivalents) or (ii) in connection with the CMB Transactions.</w:t>
      </w:r>
    </w:p>
    <w:p>
      <w:pPr>
        <w:spacing w:after="0" w:line="16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Swap</w:t>
      </w:r>
      <w:r>
        <w:rPr>
          <w:rFonts w:ascii="Times New Roman" w:cs="Times New Roman" w:eastAsia="Times New Roman" w:hAnsi="Times New Roman"/>
          <w:sz w:val="18"/>
          <w:szCs w:val="18"/>
          <w:color w:val="auto"/>
        </w:rPr>
        <w:t xml:space="preserve">” means any substantially contemporaneous (and in any event occurring within 180 days of each other) purchase and sale or exchange of any assets or properties used or useful in the Oil and Gas Business between the Issuer or any of its Restricted Subsidiaries and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Fair Market Value of the properties or assets traded or exchanged by the Issuer or such Restricted Subsidiary (together with any cash or Cash Equivalents) is reasonably equivalent to the Fair Market Value of the properties or assets (together with any cash or Cash Equivalents) to be received by the Issuer or such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net cash or Cash Equivalents received must be applied in accordance with Section 4.10 if then in effect as if the Asset Swap were an Asset Sale.</w:t>
      </w:r>
    </w:p>
    <w:p>
      <w:pPr>
        <w:spacing w:after="0" w:line="158" w:lineRule="exact"/>
        <w:rPr>
          <w:sz w:val="20"/>
          <w:szCs w:val="20"/>
          <w:color w:val="auto"/>
        </w:rPr>
      </w:pPr>
    </w:p>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Attributable Debt</w:t>
      </w:r>
      <w:r>
        <w:rPr>
          <w:rFonts w:ascii="Times New Roman" w:cs="Times New Roman" w:eastAsia="Times New Roman" w:hAnsi="Times New Roman"/>
          <w:sz w:val="20"/>
          <w:szCs w:val="20"/>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such sale and leaseback transaction results in a Finance Lease Obligation, the amount of Indebtedness represented thereby will be determined in accordance with the definition of “Finance Lease Obligation.”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Bankruptcy Law</w:t>
      </w:r>
      <w:r>
        <w:rPr>
          <w:rFonts w:ascii="Times New Roman" w:cs="Times New Roman" w:eastAsia="Times New Roman" w:hAnsi="Times New Roman"/>
          <w:sz w:val="20"/>
          <w:szCs w:val="20"/>
          <w:color w:val="auto"/>
        </w:rPr>
        <w:t>” means Title 11, U.S. Code or any similar federal or state law for the relief of debtors.</w:t>
      </w:r>
    </w:p>
    <w:p>
      <w:pPr>
        <w:spacing w:after="0" w:line="196"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within one year by conversion or exercise of other securities, whether such right is currently exercisable or is exercisable only after the passage of time. The terms “</w:t>
      </w:r>
      <w:r>
        <w:rPr>
          <w:rFonts w:ascii="Times New Roman" w:cs="Times New Roman" w:eastAsia="Times New Roman" w:hAnsi="Times New Roman"/>
          <w:sz w:val="18"/>
          <w:szCs w:val="18"/>
          <w:i w:val="1"/>
          <w:iCs w:val="1"/>
          <w:color w:val="auto"/>
        </w:rPr>
        <w:t>Beneficially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Beneficially Owned</w:t>
      </w:r>
      <w:r>
        <w:rPr>
          <w:rFonts w:ascii="Times New Roman" w:cs="Times New Roman" w:eastAsia="Times New Roman" w:hAnsi="Times New Roman"/>
          <w:sz w:val="18"/>
          <w:szCs w:val="18"/>
          <w:color w:val="auto"/>
        </w:rPr>
        <w:t>” have a corresponding meaning. For purposes of this definition, a Person shall be deemed not to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securities that are the subject of a stock purchase agreement, merger agreement, amalgamation agreement, arrangement agreement or similar agreement until consummation of the transactions or, as applicable, series of related transactions contemplated thereby.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 of Directors</w:t>
      </w:r>
      <w:r>
        <w:rPr>
          <w:rFonts w:ascii="Times New Roman" w:cs="Times New Roman" w:eastAsia="Times New Roman" w:hAnsi="Times New Roman"/>
          <w:sz w:val="20"/>
          <w:szCs w:val="20"/>
          <w:color w:val="auto"/>
        </w:rPr>
        <w:t>” means:</w:t>
      </w:r>
    </w:p>
    <w:p>
      <w:pPr>
        <w:spacing w:after="0" w:line="198" w:lineRule="exact"/>
        <w:rPr>
          <w:sz w:val="20"/>
          <w:szCs w:val="20"/>
          <w:color w:val="auto"/>
        </w:rPr>
      </w:pPr>
    </w:p>
    <w:p>
      <w:pPr>
        <w:ind w:left="640" w:firstLine="646"/>
        <w:spacing w:after="0" w:line="247" w:lineRule="auto"/>
        <w:tabs>
          <w:tab w:leader="none" w:pos="171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corporation, the board of directors of the corporation or any committee thereof duly authorized to act on behalf of such board;</w:t>
      </w:r>
    </w:p>
    <w:p>
      <w:pPr>
        <w:spacing w:after="0" w:line="179"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limited partnership, the board of directors of the general partner of the partnership;</w:t>
      </w:r>
    </w:p>
    <w:p>
      <w:pPr>
        <w:spacing w:after="0" w:line="183" w:lineRule="exact"/>
        <w:rPr>
          <w:rFonts w:ascii="Times New Roman" w:cs="Times New Roman" w:eastAsia="Times New Roman" w:hAnsi="Times New Roman"/>
          <w:sz w:val="20"/>
          <w:szCs w:val="20"/>
          <w:color w:val="auto"/>
        </w:rPr>
      </w:pPr>
    </w:p>
    <w:p>
      <w:pPr>
        <w:ind w:left="640" w:firstLine="646"/>
        <w:spacing w:after="0" w:line="229" w:lineRule="auto"/>
        <w:tabs>
          <w:tab w:leader="none" w:pos="171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limited liability company, the managing member or members or any controlling committee of managing members thereof;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6" w:right="339" w:bottom="1440" w:gutter="0" w:footer="0" w:header="0"/>
        </w:sectPr>
      </w:pPr>
    </w:p>
    <w:bookmarkStart w:id="15" w:name="page16"/>
    <w:bookmarkEnd w:id="15"/>
    <w:p>
      <w:pPr>
        <w:ind w:left="1280"/>
        <w:spacing w:after="0"/>
        <w:tabs>
          <w:tab w:leader="none" w:pos="168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194"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Borrowing Base</w:t>
      </w:r>
      <w:r>
        <w:rPr>
          <w:rFonts w:ascii="Times New Roman" w:cs="Times New Roman" w:eastAsia="Times New Roman" w:hAnsi="Times New Roman"/>
          <w:sz w:val="20"/>
          <w:szCs w:val="20"/>
          <w:color w:val="auto"/>
        </w:rPr>
        <w:t>” means the maximum amount determined or re-determined by the lenders under the Credit Agreement, having a lender group with a majority in principal amount of the commitments thereunder provided by lenders that are commercial banks that engage in oil and gas reserve based lending in the ordinary course of their respective businesses, as the aggregate lending value to be ascribed to the Oil and Gas Properties of the Issuer and its Restricted Subsidiaries against which such lenders are prepared to provide loans, letters of credit or other Indebtedness to the Issuer and the Restricted Subsidiaries under the Credit Agreement, using their customary practices and standards for determining reserve based loans and which are generally applied by commercial lenders to borrowers in the Oil and Gas Business, as determined semi-annually during each year and/or on such other occasions as may be provided for by the Credit Agreement, and which is based upon, inter alia, the review by such lenders of the hydrocarbon reserves, royalty interests and assets and liabilities of the Issuer and the Restricted Subsidiaries.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Business Day</w:t>
      </w:r>
      <w:r>
        <w:rPr>
          <w:rFonts w:ascii="Times New Roman" w:cs="Times New Roman" w:eastAsia="Times New Roman" w:hAnsi="Times New Roman"/>
          <w:sz w:val="20"/>
          <w:szCs w:val="20"/>
          <w:color w:val="auto"/>
        </w:rPr>
        <w:t>” means any day other than a Legal Holiday.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 Stock</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ind w:left="1700" w:hanging="414"/>
        <w:spacing w:after="0"/>
        <w:tabs>
          <w:tab w:leader="none" w:pos="1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corporation, corporate stock;</w:t>
      </w:r>
    </w:p>
    <w:p>
      <w:pPr>
        <w:spacing w:after="0" w:line="196" w:lineRule="exact"/>
        <w:rPr>
          <w:rFonts w:ascii="Times New Roman" w:cs="Times New Roman" w:eastAsia="Times New Roman" w:hAnsi="Times New Roman"/>
          <w:sz w:val="20"/>
          <w:szCs w:val="20"/>
          <w:color w:val="auto"/>
        </w:rPr>
      </w:pPr>
    </w:p>
    <w:p>
      <w:pPr>
        <w:ind w:left="640" w:right="20" w:firstLine="646"/>
        <w:spacing w:after="0" w:line="247" w:lineRule="auto"/>
        <w:tabs>
          <w:tab w:leader="none" w:pos="177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association or business entity, any and all shares, interests, participations, rights or other equivalents (however designated) of corporate stock;</w:t>
      </w:r>
    </w:p>
    <w:p>
      <w:pPr>
        <w:spacing w:after="0" w:line="166" w:lineRule="exact"/>
        <w:rPr>
          <w:rFonts w:ascii="Times New Roman" w:cs="Times New Roman" w:eastAsia="Times New Roman" w:hAnsi="Times New Roman"/>
          <w:sz w:val="20"/>
          <w:szCs w:val="20"/>
          <w:color w:val="auto"/>
        </w:rPr>
      </w:pPr>
    </w:p>
    <w:p>
      <w:pPr>
        <w:ind w:left="1720" w:hanging="434"/>
        <w:spacing w:after="0"/>
        <w:tabs>
          <w:tab w:leader="none" w:pos="1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w:t>
      </w:r>
    </w:p>
    <w:p>
      <w:pPr>
        <w:spacing w:after="0" w:line="2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interests; and</w:t>
      </w:r>
    </w:p>
    <w:p>
      <w:pPr>
        <w:spacing w:after="0" w:line="174" w:lineRule="exact"/>
        <w:rPr>
          <w:rFonts w:ascii="Times New Roman" w:cs="Times New Roman" w:eastAsia="Times New Roman" w:hAnsi="Times New Roman"/>
          <w:sz w:val="18"/>
          <w:szCs w:val="18"/>
          <w:color w:val="auto"/>
        </w:rPr>
      </w:pPr>
    </w:p>
    <w:p>
      <w:pPr>
        <w:jc w:val="both"/>
        <w:ind w:left="640" w:firstLine="646"/>
        <w:spacing w:after="0" w:line="274" w:lineRule="auto"/>
        <w:tabs>
          <w:tab w:leader="none" w:pos="17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exercisable for, exchangeable for or convertible into Capital Stock, whether or not such debt securities include any right of participation with Capital Stock.</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Cash Equivalents</w:t>
      </w:r>
      <w:r>
        <w:rPr>
          <w:rFonts w:ascii="Times New Roman" w:cs="Times New Roman" w:eastAsia="Times New Roman" w:hAnsi="Times New Roman"/>
          <w:sz w:val="20"/>
          <w:szCs w:val="20"/>
          <w:color w:val="auto"/>
        </w:rPr>
        <w:t>” means:</w:t>
      </w:r>
    </w:p>
    <w:p>
      <w:pPr>
        <w:spacing w:after="0" w:line="198" w:lineRule="exact"/>
        <w:rPr>
          <w:sz w:val="20"/>
          <w:szCs w:val="20"/>
          <w:color w:val="auto"/>
        </w:rPr>
      </w:pPr>
    </w:p>
    <w:p>
      <w:pPr>
        <w:ind w:left="1700" w:hanging="414"/>
        <w:spacing w:after="0"/>
        <w:tabs>
          <w:tab w:leader="none" w:pos="1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dollars;</w:t>
      </w:r>
    </w:p>
    <w:p>
      <w:pPr>
        <w:spacing w:after="0" w:line="196"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8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of those securities) having maturities of not more than one year from the date of acquisition;</w:t>
      </w:r>
    </w:p>
    <w:p>
      <w:pPr>
        <w:spacing w:after="0" w:line="174"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76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general obligations issued by any state of the United States of America or any political subdivision of any such state or any public instrumentality thereof maturing within one year from the date of acquisition thereof and, at the time of acquisition thereof, having a credit rating of “A” or better from either Moody’s, S&amp;P or Fitch;</w:t>
      </w:r>
    </w:p>
    <w:p>
      <w:pPr>
        <w:spacing w:after="0" w:line="187"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74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demand deposits and eurodollar time deposits with maturities of one year or less from the date of acquisition, bankers’ acceptances with maturities not exceeding six months and overnight bank deposits, in each case, with any domestic commercial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6" w:right="33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20"/>
          <w:szCs w:val="20"/>
          <w:color w:val="auto"/>
        </w:rPr>
        <w:t>bank having capital and surplus in excess of $500.0 million or that is a lender under the Credit Agreement;</w:t>
      </w:r>
    </w:p>
    <w:p>
      <w:pPr>
        <w:spacing w:after="0" w:line="196" w:lineRule="exact"/>
        <w:rPr>
          <w:sz w:val="20"/>
          <w:szCs w:val="20"/>
          <w:color w:val="auto"/>
        </w:rPr>
      </w:pPr>
    </w:p>
    <w:p>
      <w:pPr>
        <w:ind w:left="1720" w:hanging="434"/>
        <w:spacing w:after="0"/>
        <w:tabs>
          <w:tab w:leader="none" w:pos="1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w:t>
      </w:r>
    </w:p>
    <w:p>
      <w:pPr>
        <w:spacing w:after="0" w:line="2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 (3) and (4) above entered into with any financial institution meeting the qualifications specified in clause (4) above;</w:t>
      </w:r>
    </w:p>
    <w:p>
      <w:pPr>
        <w:spacing w:after="0" w:line="174" w:lineRule="exact"/>
        <w:rPr>
          <w:rFonts w:ascii="Times New Roman" w:cs="Times New Roman" w:eastAsia="Times New Roman" w:hAnsi="Times New Roman"/>
          <w:sz w:val="18"/>
          <w:szCs w:val="18"/>
          <w:color w:val="auto"/>
        </w:rPr>
      </w:pPr>
    </w:p>
    <w:p>
      <w:pPr>
        <w:ind w:left="640" w:right="20" w:firstLine="646"/>
        <w:spacing w:after="0" w:line="261" w:lineRule="auto"/>
        <w:tabs>
          <w:tab w:leader="none" w:pos="180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having one of the two highest ratings obtainable from Moody’s, S&amp;P or Fitch and, in each case, maturing within one year after the date of acquisition;</w:t>
      </w:r>
    </w:p>
    <w:p>
      <w:pPr>
        <w:spacing w:after="0" w:line="152" w:lineRule="exact"/>
        <w:rPr>
          <w:rFonts w:ascii="Times New Roman" w:cs="Times New Roman" w:eastAsia="Times New Roman" w:hAnsi="Times New Roman"/>
          <w:sz w:val="20"/>
          <w:szCs w:val="20"/>
          <w:color w:val="auto"/>
        </w:rPr>
      </w:pPr>
    </w:p>
    <w:p>
      <w:pPr>
        <w:ind w:left="640" w:firstLine="646"/>
        <w:spacing w:after="0" w:line="247" w:lineRule="auto"/>
        <w:tabs>
          <w:tab w:leader="none" w:pos="17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at least 95% of the assets of which constitute Cash Equivalents of the kinds described in clauses (1) through (6) of this definition;</w:t>
      </w:r>
    </w:p>
    <w:p>
      <w:pPr>
        <w:spacing w:after="0" w:line="166" w:lineRule="exact"/>
        <w:rPr>
          <w:rFonts w:ascii="Times New Roman" w:cs="Times New Roman" w:eastAsia="Times New Roman" w:hAnsi="Times New Roman"/>
          <w:sz w:val="20"/>
          <w:szCs w:val="20"/>
          <w:color w:val="auto"/>
        </w:rPr>
      </w:pPr>
    </w:p>
    <w:p>
      <w:pPr>
        <w:ind w:left="640" w:firstLine="646"/>
        <w:spacing w:after="0" w:line="247" w:lineRule="auto"/>
        <w:tabs>
          <w:tab w:leader="none" w:pos="171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Subsidiary of the Issuer organized or operating outside the United States, investments denominated in local currency that are similar to the items specified in clauses (1) through (7) above; and</w:t>
      </w:r>
    </w:p>
    <w:p>
      <w:pPr>
        <w:spacing w:after="0" w:line="166" w:lineRule="exact"/>
        <w:rPr>
          <w:rFonts w:ascii="Times New Roman" w:cs="Times New Roman" w:eastAsia="Times New Roman" w:hAnsi="Times New Roman"/>
          <w:sz w:val="20"/>
          <w:szCs w:val="20"/>
          <w:color w:val="auto"/>
        </w:rPr>
      </w:pPr>
    </w:p>
    <w:p>
      <w:pPr>
        <w:ind w:left="640" w:firstLine="646"/>
        <w:spacing w:after="0" w:line="247" w:lineRule="auto"/>
        <w:tabs>
          <w:tab w:leader="none" w:pos="172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securities having a rating of at least P-2 from Moody’s, A-2 from S&amp;P or F-2 from Fitch, and in each case maturing within 24 months after the date of the creation thereof.</w:t>
      </w:r>
    </w:p>
    <w:p>
      <w:pPr>
        <w:spacing w:after="0" w:line="164" w:lineRule="exact"/>
        <w:rPr>
          <w:sz w:val="20"/>
          <w:szCs w:val="20"/>
          <w:color w:val="auto"/>
        </w:rPr>
      </w:pPr>
    </w:p>
    <w:p>
      <w:pPr>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Cash Management Obligations</w:t>
      </w:r>
      <w:r>
        <w:rPr>
          <w:rFonts w:ascii="Times New Roman" w:cs="Times New Roman" w:eastAsia="Times New Roman" w:hAnsi="Times New Roman"/>
          <w:sz w:val="20"/>
          <w:szCs w:val="20"/>
          <w:color w:val="auto"/>
        </w:rPr>
        <w:t>” means, with respect to any Person, any obligations of such Person to any lender in respect of treasury management arrangements, depositary or other cash management services, including any treasury management line of credit.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means the occurrence of any of the following events:</w:t>
      </w:r>
    </w:p>
    <w:p>
      <w:pPr>
        <w:spacing w:after="0" w:line="198" w:lineRule="exact"/>
        <w:rPr>
          <w:sz w:val="20"/>
          <w:szCs w:val="20"/>
          <w:color w:val="auto"/>
        </w:rPr>
      </w:pPr>
    </w:p>
    <w:p>
      <w:pPr>
        <w:jc w:val="both"/>
        <w:ind w:left="640" w:firstLine="646"/>
        <w:spacing w:after="0" w:line="229" w:lineRule="auto"/>
        <w:tabs>
          <w:tab w:leader="none" w:pos="180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Exchange Act), other than any Subsidiary or Affiliate thereof, is or becomes the Beneficial Owner, directly or indirectly, of more than 50% of the total outstanding Voting Stock of the Issuer (measured by voting power rather than the number of shares), other than any such transaction in which the outstanding Voting Stock of the Issuer is changed into or exchanged for Voting Stock of the surviving Person or any parent thereof that collectively represents at least 50% of the total outstanding Voting Stock (measured by voting power rather than the number of shares) of the surviving Person or such parent immediately following such transaction;</w:t>
      </w:r>
    </w:p>
    <w:p>
      <w:pPr>
        <w:spacing w:after="0" w:line="189" w:lineRule="exact"/>
        <w:rPr>
          <w:rFonts w:ascii="Times New Roman" w:cs="Times New Roman" w:eastAsia="Times New Roman" w:hAnsi="Times New Roman"/>
          <w:sz w:val="20"/>
          <w:szCs w:val="20"/>
          <w:color w:val="auto"/>
        </w:rPr>
      </w:pPr>
    </w:p>
    <w:p>
      <w:pPr>
        <w:ind w:left="640" w:firstLine="646"/>
        <w:spacing w:after="0" w:line="247" w:lineRule="auto"/>
        <w:tabs>
          <w:tab w:leader="none" w:pos="17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sells, assigns, conveys, transfers, leases or otherwise disposes of all or substantially all of its assets to any Person other than the Issuer or a Subsidiary (other than by way of a merger or consolidation of the Issuer); or</w:t>
      </w:r>
    </w:p>
    <w:p>
      <w:pPr>
        <w:spacing w:after="0" w:line="166" w:lineRule="exact"/>
        <w:rPr>
          <w:rFonts w:ascii="Times New Roman" w:cs="Times New Roman" w:eastAsia="Times New Roman" w:hAnsi="Times New Roman"/>
          <w:sz w:val="20"/>
          <w:szCs w:val="20"/>
          <w:color w:val="auto"/>
        </w:rPr>
      </w:pPr>
    </w:p>
    <w:p>
      <w:pPr>
        <w:ind w:left="640" w:right="20" w:firstLine="646"/>
        <w:spacing w:after="0" w:line="247" w:lineRule="auto"/>
        <w:tabs>
          <w:tab w:leader="none" w:pos="181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is liquidated or dissolved or adopts a plan of liquidation or dissolution other than in a transaction which complies with the provisions described under Section 5.01.</w:t>
      </w:r>
    </w:p>
    <w:p>
      <w:pPr>
        <w:spacing w:after="0" w:line="166"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Notwithstanding the foregoing, (a) a transaction will not be deemed to involve a Change of Control if (i) the Issuer becomes a direct or indirect wholly owned Subsidiary of a holding company and (ii) immediately following that transaction no Person (other than a holding company satisfying the requirements of this sentence) is the Beneficial Owner, directly or indirectly, of more than 50% of the Voting Stock of such holding company; and (b) a Change of Control shall not be deemed to occur upon the consummation of any actions undertaken by the Issuer or any Restricted Subsidiary solely for the purpose of changing the legal structure of the Issuer or such Restricted Subsidiary.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6" w:right="33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Triggering Event</w:t>
      </w:r>
      <w:r>
        <w:rPr>
          <w:rFonts w:ascii="Times New Roman" w:cs="Times New Roman" w:eastAsia="Times New Roman" w:hAnsi="Times New Roman"/>
          <w:sz w:val="20"/>
          <w:szCs w:val="20"/>
          <w:color w:val="auto"/>
        </w:rPr>
        <w:t>” means the occurrence of both a Change of Control and a Rating Decline.</w:t>
      </w:r>
    </w:p>
    <w:p>
      <w:pPr>
        <w:spacing w:after="0" w:line="196"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CMB Transactions</w:t>
      </w:r>
      <w:r>
        <w:rPr>
          <w:rFonts w:ascii="Times New Roman" w:cs="Times New Roman" w:eastAsia="Times New Roman" w:hAnsi="Times New Roman"/>
          <w:sz w:val="20"/>
          <w:szCs w:val="20"/>
          <w:color w:val="auto"/>
        </w:rPr>
        <w:t>” means any transaction deemed by the Issuer in good faith to be necessary or advisable in connection with a separation of the Issuer’s and its Subsidiaries’ carbon management and power generation business into a separate entity, including any spin-off, split-off or sale transaction.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Clearstream</w:t>
      </w:r>
      <w:r>
        <w:rPr>
          <w:rFonts w:ascii="Times New Roman" w:cs="Times New Roman" w:eastAsia="Times New Roman" w:hAnsi="Times New Roman"/>
          <w:sz w:val="20"/>
          <w:szCs w:val="20"/>
          <w:color w:val="auto"/>
        </w:rPr>
        <w:t xml:space="preserve">” means Clearstream Banking,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Internal Revenue Code of 1986, as amended from time to time, and any successor statute or statutes thereto.</w:t>
      </w:r>
    </w:p>
    <w:p>
      <w:pPr>
        <w:spacing w:after="0" w:line="19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Cash Flow</w:t>
      </w:r>
      <w:r>
        <w:rPr>
          <w:rFonts w:ascii="Times New Roman" w:cs="Times New Roman" w:eastAsia="Times New Roman" w:hAnsi="Times New Roman"/>
          <w:sz w:val="20"/>
          <w:szCs w:val="20"/>
          <w:color w:val="auto"/>
        </w:rPr>
        <w:t xml:space="preserve">” means, with respect to any specified Person for any period, the Consolidated Net Income of such Person for such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without duplication:</w:t>
      </w:r>
    </w:p>
    <w:p>
      <w:pPr>
        <w:spacing w:after="0" w:line="176" w:lineRule="exact"/>
        <w:rPr>
          <w:sz w:val="20"/>
          <w:szCs w:val="20"/>
          <w:color w:val="auto"/>
        </w:rPr>
      </w:pPr>
    </w:p>
    <w:p>
      <w:pPr>
        <w:jc w:val="both"/>
        <w:ind w:left="640" w:firstLine="646"/>
        <w:spacing w:after="0" w:line="237" w:lineRule="auto"/>
        <w:tabs>
          <w:tab w:leader="none" w:pos="173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any extraordinary expenses or loss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net loss realized by such Person or any of its Restricted Subsidiaries in connection with an Asset Sale, to the extent such expenses or losses were deducted in computing such Consolidated Net Income; </w:t>
      </w:r>
      <w:r>
        <w:rPr>
          <w:rFonts w:ascii="Times New Roman" w:cs="Times New Roman" w:eastAsia="Times New Roman" w:hAnsi="Times New Roman"/>
          <w:sz w:val="20"/>
          <w:szCs w:val="20"/>
          <w:i w:val="1"/>
          <w:iCs w:val="1"/>
          <w:color w:val="auto"/>
        </w:rPr>
        <w:t>plus</w:t>
      </w:r>
    </w:p>
    <w:p>
      <w:pPr>
        <w:spacing w:after="0" w:line="173"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86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 for taxes based on income or profits (including state franchise taxes accounted for as income taxes in accordance with GAAP) of such Person and its Restricted Subsidiaries for such period, to the extent that such provision for taxes was deducted in computing such Consolidated Net Income; </w:t>
      </w:r>
      <w:r>
        <w:rPr>
          <w:rFonts w:ascii="Times New Roman" w:cs="Times New Roman" w:eastAsia="Times New Roman" w:hAnsi="Times New Roman"/>
          <w:sz w:val="20"/>
          <w:szCs w:val="20"/>
          <w:i w:val="1"/>
          <w:iCs w:val="1"/>
          <w:color w:val="auto"/>
        </w:rPr>
        <w:t>plus</w:t>
      </w:r>
    </w:p>
    <w:p>
      <w:pPr>
        <w:spacing w:after="0" w:line="174" w:lineRule="exact"/>
        <w:rPr>
          <w:rFonts w:ascii="Times New Roman" w:cs="Times New Roman" w:eastAsia="Times New Roman" w:hAnsi="Times New Roman"/>
          <w:sz w:val="20"/>
          <w:szCs w:val="20"/>
          <w:color w:val="auto"/>
        </w:rPr>
      </w:pPr>
    </w:p>
    <w:p>
      <w:pPr>
        <w:ind w:left="640" w:firstLine="646"/>
        <w:spacing w:after="0" w:line="247" w:lineRule="auto"/>
        <w:tabs>
          <w:tab w:leader="none" w:pos="175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Fixed Charges of such Person and its Restricted Subsidiaries for such period, to the extent that such Fixed Charges were deducted in computing such Consolidated Net Income;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jc w:val="both"/>
        <w:ind w:left="640" w:firstLine="646"/>
        <w:spacing w:after="0" w:line="258" w:lineRule="auto"/>
        <w:tabs>
          <w:tab w:leader="none" w:pos="17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depletion, amortization (including amortization of intangibles but excluding amortization of prepaid cash expenses that were paid in a prior period), impairment, abandonment expense, non-cash equity based compensation expense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for such period to the extent that such depreciation, depletion, amortization, impairment, abandonment expense and other non-cash charges or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157" w:lineRule="exact"/>
        <w:rPr>
          <w:rFonts w:ascii="Times New Roman" w:cs="Times New Roman" w:eastAsia="Times New Roman" w:hAnsi="Times New Roman"/>
          <w:sz w:val="18"/>
          <w:szCs w:val="18"/>
          <w:color w:val="auto"/>
        </w:rPr>
      </w:pPr>
    </w:p>
    <w:p>
      <w:pPr>
        <w:ind w:left="640" w:firstLine="646"/>
        <w:spacing w:after="0" w:line="247" w:lineRule="auto"/>
        <w:tabs>
          <w:tab w:leader="none" w:pos="18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Person accounts for its oil and gas operations using successful efforts or a similar method of accounting, consolidated exploration expense of such Person and its Restricted Subsidiaries; </w:t>
      </w:r>
      <w:r>
        <w:rPr>
          <w:rFonts w:ascii="Times New Roman" w:cs="Times New Roman" w:eastAsia="Times New Roman" w:hAnsi="Times New Roman"/>
          <w:sz w:val="20"/>
          <w:szCs w:val="20"/>
          <w:i w:val="1"/>
          <w:iCs w:val="1"/>
          <w:color w:val="auto"/>
        </w:rPr>
        <w:t>minus</w:t>
      </w:r>
    </w:p>
    <w:p>
      <w:pPr>
        <w:spacing w:after="0" w:line="179" w:lineRule="exact"/>
        <w:rPr>
          <w:rFonts w:ascii="Times New Roman" w:cs="Times New Roman" w:eastAsia="Times New Roman" w:hAnsi="Times New Roman"/>
          <w:sz w:val="20"/>
          <w:szCs w:val="20"/>
          <w:color w:val="auto"/>
        </w:rPr>
      </w:pPr>
    </w:p>
    <w:p>
      <w:pPr>
        <w:ind w:left="640" w:firstLine="646"/>
        <w:spacing w:after="0" w:line="247" w:lineRule="auto"/>
        <w:tabs>
          <w:tab w:leader="none" w:pos="183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items increasing such Consolidated Net Income for such period, other than the accrual of revenue in the ordinary course of business; and </w:t>
      </w:r>
      <w:r>
        <w:rPr>
          <w:rFonts w:ascii="Times New Roman" w:cs="Times New Roman" w:eastAsia="Times New Roman" w:hAnsi="Times New Roman"/>
          <w:sz w:val="20"/>
          <w:szCs w:val="20"/>
          <w:i w:val="1"/>
          <w:iCs w:val="1"/>
          <w:color w:val="auto"/>
        </w:rPr>
        <w:t>minus</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4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increasing such Consolidated Net Income for such period, the sum of (a) the amount of deferred revenues that are amortized during such period and are attributable to reserves that are subject to Volumetric Production Payments and (b) amounts recorded in accordance with GAAP as repayments of principal and interest pursuant to Dollar-Denominated Production Payments,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in each case, on a consolidated basis and determined in accordance with GAAP.</w:t>
      </w:r>
    </w:p>
    <w:p>
      <w:pPr>
        <w:spacing w:after="0" w:line="19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Leverage Ratio Indebtedness</w:t>
      </w:r>
      <w:r>
        <w:rPr>
          <w:rFonts w:ascii="Times New Roman" w:cs="Times New Roman" w:eastAsia="Times New Roman" w:hAnsi="Times New Roman"/>
          <w:sz w:val="20"/>
          <w:szCs w:val="20"/>
          <w:color w:val="auto"/>
        </w:rPr>
        <w:t>” of any Person as of any date means the aggregate amount of Indebtedness for money borrowed and Finance Lease Obligations of such Person and its Restricted Subsidiaries, determined on a consolidated basis.</w:t>
      </w:r>
    </w:p>
    <w:p>
      <w:pPr>
        <w:spacing w:after="0" w:line="162"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Net Income</w:t>
      </w:r>
      <w:r>
        <w:rPr>
          <w:rFonts w:ascii="Times New Roman" w:cs="Times New Roman" w:eastAsia="Times New Roman" w:hAnsi="Times New Roman"/>
          <w:sz w:val="20"/>
          <w:szCs w:val="20"/>
          <w:color w:val="auto"/>
        </w:rPr>
        <w:t xml:space="preserve">”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0" w:lineRule="exact"/>
        <w:rPr>
          <w:sz w:val="20"/>
          <w:szCs w:val="20"/>
          <w:color w:val="auto"/>
        </w:rPr>
      </w:pPr>
    </w:p>
    <w:p>
      <w:pPr>
        <w:jc w:val="both"/>
        <w:ind w:left="640" w:firstLine="646"/>
        <w:spacing w:after="0" w:line="236" w:lineRule="auto"/>
        <w:tabs>
          <w:tab w:leader="none" w:pos="183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of any Person that is not a Restricted Subsidiary or that is accounted for by the equity method of accounting will be included, but only to the extent of, in the case of net income, the amount of dividends or distributions paid in cash to the specified Person or a Restricted Subsidiary of the Person;</w:t>
      </w:r>
    </w:p>
    <w:p>
      <w:pPr>
        <w:spacing w:after="0" w:line="174"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4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of any Restricted Subsidiary of such Person (other than a Guarantor) will be excluded to the extent that the declaration or payment of dividends or similar distributions by that Restricted Subsidiary of that net income is not at the date of determination permitted, directly or indirectly, by operation of the terms of its charter, or any judgment, decree, order, statute, rule or governmental regulation applicable to that Restricted Subsidiary or its stockholders, partners or members or any other loan instrument, agreement or other contractual restriction;</w:t>
      </w:r>
    </w:p>
    <w:p>
      <w:pPr>
        <w:spacing w:after="0" w:line="17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 will be excluded;</w:t>
      </w:r>
    </w:p>
    <w:p>
      <w:pPr>
        <w:spacing w:after="0" w:line="194" w:lineRule="exact"/>
        <w:rPr>
          <w:rFonts w:ascii="Times New Roman" w:cs="Times New Roman" w:eastAsia="Times New Roman" w:hAnsi="Times New Roman"/>
          <w:sz w:val="20"/>
          <w:szCs w:val="20"/>
          <w:color w:val="auto"/>
        </w:rPr>
      </w:pPr>
    </w:p>
    <w:p>
      <w:pPr>
        <w:jc w:val="both"/>
        <w:ind w:left="640" w:firstLine="646"/>
        <w:spacing w:after="0" w:line="266" w:lineRule="auto"/>
        <w:tabs>
          <w:tab w:leader="none" w:pos="17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(loss), net of taxes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all fees and expenses relating thereto), realized upon the sale or other disposition of any property, plant or equipment of such Person or its consolidated Restricted Subsidiaries (including pursuant to any sale or leaseback transaction) which is not sold or otherwise disposed of in the ordinary course of business and any gain (loss) realized upon the sale or other disposition of any Capital Stock of any Person, together with any related provision for taxes on any such gain, will be excluded;</w:t>
      </w:r>
    </w:p>
    <w:p>
      <w:pPr>
        <w:spacing w:after="0" w:line="150" w:lineRule="exact"/>
        <w:rPr>
          <w:rFonts w:ascii="Times New Roman" w:cs="Times New Roman" w:eastAsia="Times New Roman" w:hAnsi="Times New Roman"/>
          <w:sz w:val="18"/>
          <w:szCs w:val="18"/>
          <w:color w:val="auto"/>
        </w:rPr>
      </w:pPr>
    </w:p>
    <w:p>
      <w:pPr>
        <w:jc w:val="both"/>
        <w:ind w:left="640" w:firstLine="646"/>
        <w:spacing w:after="0" w:line="236" w:lineRule="auto"/>
        <w:tabs>
          <w:tab w:leader="none" w:pos="180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deducted in the calculation of Consolidated Net Income, any non-cash or other charges relating to any premium or penalty paid, write off of deferred financing costs or other financial recapitalization charges in connection with redeeming or retiring any Indebtedness prior to its Stated Maturity, and any fees and expenses incurred in connection with debt financings or restructurings or in connection with the Issuer’s bankruptcy restructuring, will be excluded;</w:t>
      </w:r>
    </w:p>
    <w:p>
      <w:pPr>
        <w:spacing w:after="0" w:line="174" w:lineRule="exact"/>
        <w:rPr>
          <w:rFonts w:ascii="Times New Roman" w:cs="Times New Roman" w:eastAsia="Times New Roman" w:hAnsi="Times New Roman"/>
          <w:sz w:val="20"/>
          <w:szCs w:val="20"/>
          <w:color w:val="auto"/>
        </w:rPr>
      </w:pPr>
    </w:p>
    <w:p>
      <w:pPr>
        <w:ind w:left="640" w:firstLine="646"/>
        <w:spacing w:after="0" w:line="247" w:lineRule="auto"/>
        <w:tabs>
          <w:tab w:leader="none" w:pos="171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“ceiling limitation” on oil and gas properties or other asset impairment writedowns on oil and gas properties or other non-current assets under GAAP or SEC guidelines will be excluded;</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equity compensation expenses, including under FASB ASC 718, will be excluded;</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income tax provision will be excluded; and</w:t>
      </w:r>
    </w:p>
    <w:p>
      <w:pPr>
        <w:spacing w:after="0" w:line="183" w:lineRule="exact"/>
        <w:rPr>
          <w:rFonts w:ascii="Times New Roman" w:cs="Times New Roman" w:eastAsia="Times New Roman" w:hAnsi="Times New Roman"/>
          <w:sz w:val="20"/>
          <w:szCs w:val="20"/>
          <w:color w:val="auto"/>
        </w:rPr>
      </w:pPr>
    </w:p>
    <w:p>
      <w:pPr>
        <w:ind w:left="640" w:firstLine="646"/>
        <w:spacing w:after="0" w:line="236" w:lineRule="auto"/>
        <w:tabs>
          <w:tab w:leader="none" w:pos="172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non-cash gains or losses or charges in respect of Hedging Obligations (including those resulting from the application of FASB ASC 815) will be excluded.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96" w:right="339" w:bottom="1440" w:gutter="0" w:footer="0" w:header="0"/>
        </w:sectPr>
      </w:pPr>
    </w:p>
    <w:bookmarkStart w:id="19" w:name="page20"/>
    <w:bookmarkEnd w:id="19"/>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Net Working Capital</w:t>
      </w:r>
      <w:r>
        <w:rPr>
          <w:rFonts w:ascii="Times New Roman" w:cs="Times New Roman" w:eastAsia="Times New Roman" w:hAnsi="Times New Roman"/>
          <w:sz w:val="20"/>
          <w:szCs w:val="20"/>
          <w:color w:val="auto"/>
        </w:rPr>
        <w:t xml:space="preserve">” means (a) all current assets of the Issuer and its Restricted Subsidiaries except current assets from Oil and Gas Hedging Contracts,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(b) all current liabilities of the Issuer and its Restricted Subsidiaries, except (i) current liabilities included in Indebtedness, (ii) current liabilities associated with future abandonment or asset retirement obligations relating to oil and natural gas properties, (iii) current liabilities associated with non-cash stock based compensation and (iv) any current liabilities from Oil and Gas Hedging Contracts, in each case as set forth in the consolidated financial statements of the Issuer prepared in accordance with GAAP (excluding any adjustments made pursuant to FASB ASC 815).</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continuing</w:t>
      </w:r>
      <w:r>
        <w:rPr>
          <w:rFonts w:ascii="Times New Roman" w:cs="Times New Roman" w:eastAsia="Times New Roman" w:hAnsi="Times New Roman"/>
          <w:sz w:val="20"/>
          <w:szCs w:val="20"/>
          <w:color w:val="auto"/>
        </w:rPr>
        <w:t>” means, with respect to any Default or Event of Default, that such Default or Event of Default has not been cured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waived.</w:t>
      </w:r>
    </w:p>
    <w:p>
      <w:pPr>
        <w:spacing w:after="0" w:line="172"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Corporate Trust Office of the Trustee</w:t>
      </w:r>
      <w:r>
        <w:rPr>
          <w:rFonts w:ascii="Times New Roman" w:cs="Times New Roman" w:eastAsia="Times New Roman" w:hAnsi="Times New Roman"/>
          <w:sz w:val="20"/>
          <w:szCs w:val="20"/>
          <w:color w:val="auto"/>
        </w:rPr>
        <w:t>” means the principal office of the Trustee which at any time its corporate trust business shall be administered, which office at the date hereof is located at the address of the Trustee specified in Section 12.02, or such other address as to which the Trustee may give notice to the Issuer, or the principal corporate trust office of any successor trustee (or such other address as such successor trustee may designate from time to time by notice to the Issuer).</w:t>
      </w:r>
    </w:p>
    <w:p>
      <w:pPr>
        <w:spacing w:after="0" w:line="186"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 means the Amended and Restated Credit Agreement dated as of April 26, 2023, as amended to the Issue Date, among the Issuer, the guarantors party thereto, Citibank, N.A., as administrative agent, and the lenders and agents party thereto from time to time, as such agreement, in whole or in part, in one or more instances, may hereafter be amended, renewed, extended, increased, substituted, refinanced, restructured, replaced, supplemented or otherwise modified from time to time (including, without limitation, any successive renewals, extensions, increases, substitutions, refinancings, restructurings, replacements, supplementations or other modifications of the foregoing).</w:t>
      </w:r>
    </w:p>
    <w:p>
      <w:pPr>
        <w:spacing w:after="0" w:line="176" w:lineRule="exact"/>
        <w:rPr>
          <w:sz w:val="20"/>
          <w:szCs w:val="20"/>
          <w:color w:val="auto"/>
        </w:rPr>
      </w:pPr>
    </w:p>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Credit Facilities</w:t>
      </w:r>
      <w:r>
        <w:rPr>
          <w:rFonts w:ascii="Times New Roman" w:cs="Times New Roman" w:eastAsia="Times New Roman" w:hAnsi="Times New Roman"/>
          <w:sz w:val="20"/>
          <w:szCs w:val="20"/>
          <w:color w:val="auto"/>
        </w:rPr>
        <w:t>” means one or more debt facilities (including the Credit Agreement), loan agreements, indentures or commercial paper facilities, in each case, with banks or other institutional lenders or investors providing for revolving credit loans, term loans, capital market financings, debt securities, receivables financing (including through the sale of receivables to such lenders or to special purpose entities formed to borrow from such lenders against such receivables) or letters of credit, in each case, as amended, restated, modified, renewed, refunded, replaced in any manner (whether upon or after termination or otherwise) or refinanced (including by means of sales or exchanges of debt securities to or with institutional investors) in whole or in part from time to time.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Custodian</w:t>
      </w:r>
      <w:r>
        <w:rPr>
          <w:rFonts w:ascii="Times New Roman" w:cs="Times New Roman" w:eastAsia="Times New Roman" w:hAnsi="Times New Roman"/>
          <w:sz w:val="20"/>
          <w:szCs w:val="20"/>
          <w:color w:val="auto"/>
        </w:rPr>
        <w:t>” means the Trustee, as custodian with respect to the Notes in global form, or any successor entity thereto.</w:t>
      </w:r>
    </w:p>
    <w:p>
      <w:pPr>
        <w:spacing w:after="0" w:line="196"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Customary Recourse Exceptions</w:t>
      </w:r>
      <w:r>
        <w:rPr>
          <w:rFonts w:ascii="Times New Roman" w:cs="Times New Roman" w:eastAsia="Times New Roman" w:hAnsi="Times New Roman"/>
          <w:sz w:val="20"/>
          <w:szCs w:val="20"/>
          <w:color w:val="auto"/>
        </w:rPr>
        <w:t>” means, with respect to any Non-Recourse Debt of an Unrestricted Subsidiary or Joint Venture,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 Minimis Guaranteed Amount</w:t>
      </w:r>
      <w:r>
        <w:rPr>
          <w:rFonts w:ascii="Times New Roman" w:cs="Times New Roman" w:eastAsia="Times New Roman" w:hAnsi="Times New Roman"/>
          <w:sz w:val="20"/>
          <w:szCs w:val="20"/>
          <w:color w:val="auto"/>
        </w:rPr>
        <w:t>” means a principal amount of Indebtedness that does not exceed $25.0 million.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w:t>
      </w:r>
      <w:r>
        <w:rPr>
          <w:rFonts w:ascii="Times New Roman" w:cs="Times New Roman" w:eastAsia="Times New Roman" w:hAnsi="Times New Roman"/>
          <w:sz w:val="20"/>
          <w:szCs w:val="20"/>
          <w:color w:val="auto"/>
        </w:rPr>
        <w:t>” means any event that is, or with the passage of time or the giving of notice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4" w:right="339" w:bottom="1440" w:gutter="0" w:footer="0" w:header="0"/>
        </w:sectPr>
      </w:pPr>
    </w:p>
    <w:bookmarkStart w:id="20" w:name="page21"/>
    <w:bookmarkEnd w:id="20"/>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Definitive Note</w:t>
      </w:r>
      <w:r>
        <w:rPr>
          <w:rFonts w:ascii="Times New Roman" w:cs="Times New Roman" w:eastAsia="Times New Roman" w:hAnsi="Times New Roman"/>
          <w:sz w:val="20"/>
          <w:szCs w:val="20"/>
          <w:color w:val="auto"/>
        </w:rPr>
        <w:t xml:space="preserve">” means a certificated Note registered in the name of the Holder thereof and issued in accordance with Section 2.06,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except that such Note shall not bear the Global Note Legend and shall not have the “Schedule of Increases or Decreases of Interests in the Global Note” attached thereto.</w:t>
      </w:r>
    </w:p>
    <w:p>
      <w:pPr>
        <w:spacing w:after="0" w:line="172"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Derivative Instrument</w:t>
      </w:r>
      <w:r>
        <w:rPr>
          <w:rFonts w:ascii="Times New Roman" w:cs="Times New Roman" w:eastAsia="Times New Roman" w:hAnsi="Times New Roman"/>
          <w:sz w:val="20"/>
          <w:szCs w:val="20"/>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Times New Roman" w:cs="Times New Roman" w:eastAsia="Times New Roman" w:hAnsi="Times New Roman"/>
          <w:sz w:val="20"/>
          <w:szCs w:val="20"/>
          <w:i w:val="1"/>
          <w:iCs w:val="1"/>
          <w:color w:val="auto"/>
        </w:rPr>
        <w:t>Performance References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Designated Non-cash Consideration</w:t>
      </w:r>
      <w:r>
        <w:rPr>
          <w:rFonts w:ascii="Times New Roman" w:cs="Times New Roman" w:eastAsia="Times New Roman" w:hAnsi="Times New Roman"/>
          <w:sz w:val="20"/>
          <w:szCs w:val="20"/>
          <w:color w:val="auto"/>
        </w:rPr>
        <w:t xml:space="preserve">” means the Fair Market Value of non-cash consideration received by the Issuer or a Restricted Subsidiary in connection with an Asset Sale that is so designated as Designated Non-cash Consideration,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amount of cash or Cash Equivalents received in connection with a subsequent sale of or collection on such Designated Non-cash Consideration.</w:t>
      </w:r>
    </w:p>
    <w:p>
      <w:pPr>
        <w:spacing w:after="0" w:line="172"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Depositary</w:t>
      </w:r>
      <w:r>
        <w:rPr>
          <w:rFonts w:ascii="Times New Roman" w:cs="Times New Roman" w:eastAsia="Times New Roman" w:hAnsi="Times New Roman"/>
          <w:sz w:val="20"/>
          <w:szCs w:val="20"/>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68" w:lineRule="exact"/>
        <w:rPr>
          <w:sz w:val="20"/>
          <w:szCs w:val="20"/>
          <w:color w:val="auto"/>
        </w:rPr>
      </w:pPr>
    </w:p>
    <w:p>
      <w:pPr>
        <w:jc w:val="both"/>
        <w:ind w:firstLine="640"/>
        <w:spacing w:after="0" w:line="22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Disqualified Stock</w:t>
      </w:r>
      <w:r>
        <w:rPr>
          <w:rFonts w:ascii="Times New Roman" w:cs="Times New Roman" w:eastAsia="Times New Roman" w:hAnsi="Times New Roman"/>
          <w:sz w:val="20"/>
          <w:szCs w:val="20"/>
          <w:color w:val="auto"/>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(other than in exchange for Capital Stock of the Issuer (other than Disqualified Stock)), in whole or in part, on or prior to the date that is 91 days after the earlier of (a) the date on which no Notes are outstanding and (b) the date on which the Notes mature;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only the portion of Capital Stock which is mandatorily redeemable or matures or is redeemable at the option of the holder thereof prior to such date will be deemed to be Disqualified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Capital Stock issued pursuant to any plan of the Issuer or any of its Affiliates for the benefit of one or more employees will not constitute Disqualified Stock solely because it may be required to be repurchased by the Issuer or any of its Affiliates in order to satisfy applicable contractual, statutory or regulatory obligations. Notwithstanding the preceding sentence, any Capital Stock that would constitute Disqualified Stock solely because the holders of the Capital Stock have the right to require the Issuer to repurchase or redeem such Capital Stock upon the occurrence of a change of control or an asset sale will not constitute Disqualified Stock if (x) the terms of such Capital Stock provide that the Issuer may not repurchase or redeem any such Capital Stock pursuant to such provisions unless such repurchase or redemption complies with Section 4.07 or (y) the terms of such Capital Stock provide that the Issuer may not repurchase or redeem any such Capital Stock pursuant to such provisions prior to the Issuer’s purchase of the Notes as is required to be purchased pursuant to the provisions of this Indenture. The amount (or principal amount) of Disqualified Stock deemed to be outstanding at any time for purposes of this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18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Dollar-Denominated Production Payments</w:t>
      </w:r>
      <w:r>
        <w:rPr>
          <w:rFonts w:ascii="Times New Roman" w:cs="Times New Roman" w:eastAsia="Times New Roman" w:hAnsi="Times New Roman"/>
          <w:sz w:val="20"/>
          <w:szCs w:val="20"/>
          <w:color w:val="auto"/>
        </w:rPr>
        <w:t>” means production payment obligations recorded as liabilities in accordance with GAAP, together with all undertakings and obligations in connection therewith.</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EHP Entity</w:t>
      </w:r>
      <w:r>
        <w:rPr>
          <w:rFonts w:ascii="Times New Roman" w:cs="Times New Roman" w:eastAsia="Times New Roman" w:hAnsi="Times New Roman"/>
          <w:sz w:val="20"/>
          <w:szCs w:val="20"/>
          <w:color w:val="auto"/>
        </w:rPr>
        <w:t>” means Elk Hills Power, LLC and its Subsidiaries, and any successor thereto.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4" w:right="339" w:bottom="1440" w:gutter="0" w:footer="0" w:header="0"/>
        </w:sectPr>
      </w:pPr>
    </w:p>
    <w:bookmarkStart w:id="21" w:name="page22"/>
    <w:bookmarkEnd w:id="21"/>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Electronic Means</w:t>
      </w:r>
      <w:r>
        <w:rPr>
          <w:rFonts w:ascii="Times New Roman" w:cs="Times New Roman" w:eastAsia="Times New Roman" w:hAnsi="Times New Roman"/>
          <w:sz w:val="20"/>
          <w:szCs w:val="20"/>
          <w:color w:val="auto"/>
        </w:rPr>
        <w:t>” means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2"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Equity Interests</w:t>
      </w:r>
      <w:r>
        <w:rPr>
          <w:rFonts w:ascii="Times New Roman" w:cs="Times New Roman" w:eastAsia="Times New Roman" w:hAnsi="Times New Roman"/>
          <w:sz w:val="20"/>
          <w:szCs w:val="20"/>
          <w:color w:val="auto"/>
        </w:rPr>
        <w:t>” of any Person means (1) any and all Capital Stock of such Person and (2) all rights to purchase, warrants or options (whether or not currently exercisable), participations or other equivalents of or interests in (however designated) such Capital Stock of such Person, but excluding from all of the foregoing any debt securities exercisable for, exchangeable for or convertible into Equity Interests, regardless of whether such debt securities include any right of participation with Equity Interests.</w:t>
      </w:r>
    </w:p>
    <w:p>
      <w:pPr>
        <w:spacing w:after="0" w:line="171"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Equity Offering</w:t>
      </w:r>
      <w:r>
        <w:rPr>
          <w:rFonts w:ascii="Times New Roman" w:cs="Times New Roman" w:eastAsia="Times New Roman" w:hAnsi="Times New Roman"/>
          <w:sz w:val="20"/>
          <w:szCs w:val="20"/>
          <w:color w:val="auto"/>
        </w:rPr>
        <w:t>” means a sale of Equity Interests of the Issuer (other than Disqualified Stock and other than to a Subsidiary of the Issuer) made for cash or any cash contribution to the capital of the Issuer in respect of Equity Interests (other than Disqualified Stock), in each case after the Issue Date.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Euroclear</w:t>
      </w:r>
      <w:r>
        <w:rPr>
          <w:rFonts w:ascii="Times New Roman" w:cs="Times New Roman" w:eastAsia="Times New Roman" w:hAnsi="Times New Roman"/>
          <w:sz w:val="20"/>
          <w:szCs w:val="20"/>
          <w:color w:val="auto"/>
        </w:rPr>
        <w:t>” means Euroclear Bank, S.A./N.V., as operator of the Euroclear system.</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Existing Indebtedness</w:t>
      </w:r>
      <w:r>
        <w:rPr>
          <w:rFonts w:ascii="Times New Roman" w:cs="Times New Roman" w:eastAsia="Times New Roman" w:hAnsi="Times New Roman"/>
          <w:sz w:val="20"/>
          <w:szCs w:val="20"/>
          <w:color w:val="auto"/>
        </w:rPr>
        <w:t>” means all Indebtedness of the Issuer and its Subsidiaries (other than Indebtedness under the Credit Agreement, the Notes and the Guarantees) in existence on the Issue Date, until such amounts are repaid.</w:t>
      </w:r>
    </w:p>
    <w:p>
      <w:pPr>
        <w:spacing w:after="0" w:line="162" w:lineRule="exact"/>
        <w:rPr>
          <w:sz w:val="20"/>
          <w:szCs w:val="20"/>
          <w:color w:val="auto"/>
        </w:rPr>
      </w:pPr>
    </w:p>
    <w:p>
      <w:pPr>
        <w:jc w:val="both"/>
        <w:ind w:right="2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Fair Market Value</w:t>
      </w:r>
      <w:r>
        <w:rPr>
          <w:rFonts w:ascii="Times New Roman" w:cs="Times New Roman" w:eastAsia="Times New Roman" w:hAnsi="Times New Roman"/>
          <w:sz w:val="20"/>
          <w:szCs w:val="20"/>
          <w:color w:val="auto"/>
        </w:rPr>
        <w:t>” means the value that would be paid by a willing buyer to an unaffiliated willing seller in a transaction not involving distress or necessity of either party.</w:t>
      </w:r>
    </w:p>
    <w:p>
      <w:pPr>
        <w:spacing w:after="0" w:line="162"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Finance Lease Obligation</w:t>
      </w:r>
      <w:r>
        <w:rPr>
          <w:rFonts w:ascii="Times New Roman" w:cs="Times New Roman" w:eastAsia="Times New Roman" w:hAnsi="Times New Roman"/>
          <w:sz w:val="20"/>
          <w:szCs w:val="20"/>
          <w:color w:val="auto"/>
        </w:rPr>
        <w:t>” means, at the time any determination is to be made, the amount of the liability in respect of a finance lease that would at that time be required to be capitalized on a balance sheet prepared in accordance with GAAP, with the amount of Indebtedness represented by such obligation being the capitalized amount of such obligation determined in accordance with GAAP, and the Stated Maturity thereof being the date of the last payment of rent or any other amount due under such lease prior to the first date upon which such lease may be prepaid by the lessee without payment of a penalty. Notwithstanding the foregoing, any lease (whether entered into before or after the Issue Date) that would have been classified as an operating lease pursuant to GAAP as in effect on the Issue Date will be deemed not to represent a Finance Lease Obligation. For purposes of Section 4.12, a Finance Lease Obligation will be deemed to be secured by a Lien on the property being leased.</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Fitch</w:t>
      </w:r>
      <w:r>
        <w:rPr>
          <w:rFonts w:ascii="Times New Roman" w:cs="Times New Roman" w:eastAsia="Times New Roman" w:hAnsi="Times New Roman"/>
          <w:sz w:val="20"/>
          <w:szCs w:val="20"/>
          <w:color w:val="auto"/>
        </w:rPr>
        <w:t>” means Fitch Ratings Inc., and any successor to the ratings business thereof.</w:t>
      </w:r>
    </w:p>
    <w:p>
      <w:pPr>
        <w:spacing w:after="0" w:line="19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specified Person for any four-quarter reference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xml:space="preserve">”), then the Fixed Charge Coverage Ratio will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 (except that in making such computation, interest on the amount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4"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of Indebtedness under any revolving Credit Facility outstanding on the date of such determination will be deemed to be (i) the average daily balance of such Indebtedness during such four fiscal quarters or such shorter period for which such Credit Facility was outstanding or (ii) if such revolving Credit Facility was created after the end of such four fiscal quarters, the average daily balance of such Indebtedness during the period from the date of creation of such revolving Credit Facility to the date of such determination). 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expense on such Indebtedness will be calculated as if the average rate in effect from the beginning of such period to the Calculation Date had been the applicable rate for the entire period (taking into account any interest Hedging Obligation applicable to such Indebtedness, but if the remaining term of such interest Hedging Obligation is less than twelve months, then such interest Hedging Obligation shall only be taken into account for that portion of the period equal to the remaining term thereof). If any Indebtedness that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bears an interest rate at the option of such Person, the interest rate shall be calculated by applying such option rate chosen by such Person.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such Person may designate. Interest on any Indebtedness under a revolving Credit Facility will be calculated based upon the average daily balance of such Indebtedness during the applicable period.</w:t>
      </w:r>
    </w:p>
    <w:p>
      <w:pPr>
        <w:spacing w:after="0" w:line="3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addition, for purposes of calculating the Fixed Charge Coverage Ratio:</w:t>
      </w:r>
    </w:p>
    <w:p>
      <w:pPr>
        <w:spacing w:after="0" w:line="196" w:lineRule="exact"/>
        <w:rPr>
          <w:sz w:val="20"/>
          <w:szCs w:val="20"/>
          <w:color w:val="auto"/>
        </w:rPr>
      </w:pPr>
    </w:p>
    <w:p>
      <w:pPr>
        <w:jc w:val="both"/>
        <w:ind w:left="640" w:firstLine="646"/>
        <w:spacing w:after="0" w:line="230" w:lineRule="auto"/>
        <w:tabs>
          <w:tab w:leader="none" w:pos="185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acquisitions or Investments that have been made, or contributions received, by the specified Person or any of its Restricted Subsidiaries, including through mergers, consolidations or otherwise (including acquisitions or Investments or contributions of assets used or useful in the Oil and Gas Business),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four-quarter reference period and on or prior to the Calculation Date, or that are to be made on the Calculation Date, will be given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as if they had occurred on the first day of the four-quarter reference period;</w:t>
      </w:r>
    </w:p>
    <w:p>
      <w:pPr>
        <w:spacing w:after="0" w:line="176" w:lineRule="exact"/>
        <w:rPr>
          <w:rFonts w:ascii="Times New Roman" w:cs="Times New Roman" w:eastAsia="Times New Roman" w:hAnsi="Times New Roman"/>
          <w:sz w:val="20"/>
          <w:szCs w:val="20"/>
          <w:color w:val="auto"/>
        </w:rPr>
      </w:pPr>
    </w:p>
    <w:p>
      <w:pPr>
        <w:jc w:val="both"/>
        <w:ind w:left="640" w:right="20" w:firstLine="646"/>
        <w:spacing w:after="0" w:line="236" w:lineRule="auto"/>
        <w:tabs>
          <w:tab w:leader="none" w:pos="18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Cash Flow attributable to discontinued operations, as determined in accordance with GAAP, and operations or businesses or Investments (or ownership interests therein) disposed of on or prior to the Calculation Date, will be excluded;</w:t>
      </w:r>
    </w:p>
    <w:p>
      <w:pPr>
        <w:spacing w:after="0" w:line="174"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7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Fixed Charges attributable to discontinued operations, as determined in accordance with GAAP, and operations or businesses or Investments (or ownership interests therein) disposed of on or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86" w:lineRule="exact"/>
        <w:rPr>
          <w:rFonts w:ascii="Times New Roman" w:cs="Times New Roman" w:eastAsia="Times New Roman" w:hAnsi="Times New Roman"/>
          <w:sz w:val="20"/>
          <w:szCs w:val="20"/>
          <w:color w:val="auto"/>
        </w:rPr>
      </w:pPr>
    </w:p>
    <w:p>
      <w:pPr>
        <w:ind w:left="640" w:firstLine="646"/>
        <w:spacing w:after="0" w:line="247" w:lineRule="auto"/>
        <w:tabs>
          <w:tab w:leader="none" w:pos="17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that is to be a Restricted Subsidiary of the specified Person immediately following the Calculation Date will be deemed to have been a Restricted Subsidiary at all times during such four-quarter reference period;</w:t>
      </w:r>
    </w:p>
    <w:p>
      <w:pPr>
        <w:spacing w:after="0" w:line="166" w:lineRule="exact"/>
        <w:rPr>
          <w:rFonts w:ascii="Times New Roman" w:cs="Times New Roman" w:eastAsia="Times New Roman" w:hAnsi="Times New Roman"/>
          <w:sz w:val="20"/>
          <w:szCs w:val="20"/>
          <w:color w:val="auto"/>
        </w:rPr>
      </w:pPr>
    </w:p>
    <w:p>
      <w:pPr>
        <w:ind w:left="640" w:firstLine="646"/>
        <w:spacing w:after="0" w:line="247" w:lineRule="auto"/>
        <w:tabs>
          <w:tab w:leader="none" w:pos="174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that is not to be a Restricted Subsidiary of the specified Person immediately following the Calculation Date will be deemed not to have been a Restricted Subsidiary at any time during such four-quarter reference period;</w:t>
      </w:r>
    </w:p>
    <w:p>
      <w:pPr>
        <w:spacing w:after="0" w:line="166" w:lineRule="exact"/>
        <w:rPr>
          <w:rFonts w:ascii="Times New Roman" w:cs="Times New Roman" w:eastAsia="Times New Roman" w:hAnsi="Times New Roman"/>
          <w:sz w:val="20"/>
          <w:szCs w:val="20"/>
          <w:color w:val="auto"/>
        </w:rPr>
      </w:pPr>
    </w:p>
    <w:p>
      <w:pPr>
        <w:ind w:left="640" w:firstLine="646"/>
        <w:spacing w:after="0" w:line="247" w:lineRule="auto"/>
        <w:tabs>
          <w:tab w:leader="none" w:pos="17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reasonably anticipated by such Person to be received during the applicable four-quarter reference period from cash or Cash Equivalents held by such Person or 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6" w:right="339" w:bottom="1440" w:gutter="0" w:footer="0" w:header="0"/>
        </w:sectPr>
      </w:pPr>
    </w:p>
    <w:bookmarkStart w:id="23" w:name="page24"/>
    <w:bookmarkEnd w:id="23"/>
    <w:p>
      <w:pPr>
        <w:ind w:left="640"/>
        <w:spacing w:after="0" w:line="247" w:lineRule="auto"/>
        <w:rPr>
          <w:sz w:val="20"/>
          <w:szCs w:val="20"/>
          <w:color w:val="auto"/>
        </w:rPr>
      </w:pPr>
      <w:r>
        <w:rPr>
          <w:rFonts w:ascii="Times New Roman" w:cs="Times New Roman" w:eastAsia="Times New Roman" w:hAnsi="Times New Roman"/>
          <w:sz w:val="20"/>
          <w:szCs w:val="20"/>
          <w:color w:val="auto"/>
        </w:rPr>
        <w:t>Restricted Subsidiary of such Person, which cash or Cash Equivalents exist on the Calculation Date or will exist as a result of the transaction giving rise to the need to calculate the Fixed Charge Coverage Ratio, will be included; and</w:t>
      </w:r>
    </w:p>
    <w:p>
      <w:pPr>
        <w:spacing w:after="0" w:line="166" w:lineRule="exact"/>
        <w:rPr>
          <w:sz w:val="20"/>
          <w:szCs w:val="20"/>
          <w:color w:val="auto"/>
        </w:rPr>
      </w:pPr>
    </w:p>
    <w:p>
      <w:pPr>
        <w:jc w:val="both"/>
        <w:ind w:left="640" w:firstLine="646"/>
        <w:spacing w:after="0" w:line="230" w:lineRule="auto"/>
        <w:tabs>
          <w:tab w:leader="none" w:pos="187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since the beginning of such four-quarter reference period, any Person (that subsequently became a Restricted Subsidiary or was merged or consolidated with or into such Person or any of its Restricted Subsidiaries since the beginning of such four-quarter reference period) disposed of any operations or businesses or Investments (or ownership interests therein) or made any acquisition or Investment or received any contribution that would have required an adjustment pursuant to clause (1), (2) or (3) above if made by such Person or any of its Restricted Subsidiaries during such four-quarter reference period, Consolidated Cash Flow and Fixed Charges for such period will be calculated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as if such disposition or acquisition, contribution or Investment had occurred on the first day of such four-quarter reference period.</w:t>
      </w:r>
    </w:p>
    <w:p>
      <w:pPr>
        <w:spacing w:after="0" w:line="174"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18"/>
          <w:szCs w:val="18"/>
          <w:color w:val="auto"/>
        </w:rPr>
        <w:t xml:space="preserve">For purposes of this definition,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any calculation under this definition,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will be determined in good faith by a responsible financial or accounting Officer of the Issuer, which determination shall be conclusive for all purposes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Officer may in such Officer’s discretion include any reasonably identifiable and factually supportable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changes to Consolidated Cash Flow or Fixed Charges, including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expense and cost reductions or synergies that have occurred or are reasonably expected to occur within the 12 months immediately following the Calculation Date (regardless of whether those cost savings or operating improvements could then be reflected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in accordance with Regulation S-X promulgated under the Securities Act or any other regulation or policy of the SEC related thereto).</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Fixed Charges</w:t>
      </w:r>
      <w:r>
        <w:rPr>
          <w:rFonts w:ascii="Times New Roman" w:cs="Times New Roman" w:eastAsia="Times New Roman" w:hAnsi="Times New Roman"/>
          <w:sz w:val="20"/>
          <w:szCs w:val="20"/>
          <w:color w:val="auto"/>
        </w:rPr>
        <w:t>” means, with respect to any specified Person for any period, the sum, without duplication, of:</w:t>
      </w:r>
    </w:p>
    <w:p>
      <w:pPr>
        <w:spacing w:after="0" w:line="196" w:lineRule="exact"/>
        <w:rPr>
          <w:sz w:val="20"/>
          <w:szCs w:val="20"/>
          <w:color w:val="auto"/>
        </w:rPr>
      </w:pPr>
    </w:p>
    <w:p>
      <w:pPr>
        <w:jc w:val="both"/>
        <w:ind w:left="720" w:firstLine="566"/>
        <w:spacing w:after="0" w:line="229" w:lineRule="auto"/>
        <w:tabs>
          <w:tab w:leader="none" w:pos="17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interest expense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interest income) of such Person and its Restricted Subsidiaries for such period, whether paid or accrued (excluding (i) any interest attributable to Dollar-Denominated Production Payments, (ii) write-off of deferred financing costs and (iii) accretion of interest charges on future plugging and abandonment obligations, future retirement benefits and other obligations that do not constitute Indebtedness, but including, without limitation, amortization of debt issuance costs and original issue discount, non-cash interest payments, the interest component of all payments associated with Finance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20"/>
          <w:szCs w:val="20"/>
          <w:i w:val="1"/>
          <w:iCs w:val="1"/>
          <w:color w:val="auto"/>
        </w:rPr>
        <w:t>plus</w:t>
      </w:r>
    </w:p>
    <w:p>
      <w:pPr>
        <w:spacing w:after="0" w:line="178" w:lineRule="exact"/>
        <w:rPr>
          <w:rFonts w:ascii="Times New Roman" w:cs="Times New Roman" w:eastAsia="Times New Roman" w:hAnsi="Times New Roman"/>
          <w:sz w:val="20"/>
          <w:szCs w:val="20"/>
          <w:color w:val="auto"/>
        </w:rPr>
      </w:pPr>
    </w:p>
    <w:p>
      <w:pPr>
        <w:ind w:left="1740" w:hanging="454"/>
        <w:spacing w:after="0"/>
        <w:tabs>
          <w:tab w:leader="none" w:pos="1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interest expense of such Person and its Restricted Subsidiaries that was capitalized during such period;</w:t>
      </w:r>
    </w:p>
    <w:p>
      <w:pPr>
        <w:spacing w:after="0" w:line="28"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plus</w:t>
      </w:r>
    </w:p>
    <w:p>
      <w:pPr>
        <w:spacing w:after="0" w:line="161" w:lineRule="exact"/>
        <w:rPr>
          <w:rFonts w:ascii="Times New Roman" w:cs="Times New Roman" w:eastAsia="Times New Roman" w:hAnsi="Times New Roman"/>
          <w:sz w:val="18"/>
          <w:szCs w:val="18"/>
          <w:color w:val="auto"/>
        </w:rPr>
      </w:pPr>
    </w:p>
    <w:p>
      <w:pPr>
        <w:jc w:val="both"/>
        <w:ind w:left="640" w:firstLine="646"/>
        <w:spacing w:after="0" w:line="227" w:lineRule="auto"/>
        <w:tabs>
          <w:tab w:leader="none" w:pos="176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on Indebtedness of another Person (other than Non-Recourse Debt of any Unrestricted Subsidiary or Joint Venture incurred pursuant to Section 4.09(b)(14)) that is guaranteed by such Person or one of its Restricted Subsidiaries or secured by a Lien on assets of such Person or one of its Restricted Subsidiaries, whether or not such guarantee or Lien is called upon; plus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96" w:right="339" w:bottom="1440" w:gutter="0" w:footer="0" w:header="0"/>
        </w:sectPr>
      </w:pPr>
    </w:p>
    <w:bookmarkStart w:id="24" w:name="page25"/>
    <w:bookmarkEnd w:id="24"/>
    <w:p>
      <w:pPr>
        <w:jc w:val="both"/>
        <w:ind w:left="640" w:firstLine="646"/>
        <w:spacing w:after="0" w:line="236" w:lineRule="auto"/>
        <w:tabs>
          <w:tab w:leader="none" w:pos="173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dividends, whether paid or accrued and whether or not in cash, on any series of Disqualified Stock of such Person or any series of Preferred Stock of its Restricted Subsidiaries, other than dividends on Equity Interests payable solely in Equity Interests of such Person (other than Disqualified Stock) or to such Person or a Restricted Subsidiary of such Person,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on a consolidated basis and determined in accordance with GAAP.</w:t>
      </w:r>
    </w:p>
    <w:p>
      <w:pPr>
        <w:spacing w:after="0" w:line="208"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GAAP</w:t>
      </w:r>
      <w:r>
        <w:rPr>
          <w:rFonts w:ascii="Times New Roman" w:cs="Times New Roman" w:eastAsia="Times New Roman" w:hAnsi="Times New Roman"/>
          <w:sz w:val="20"/>
          <w:szCs w:val="20"/>
          <w:color w:val="auto"/>
        </w:rPr>
        <w:t>” means generally accepted accounting principles in the United States, which are in effect from time to time. All ratio computations based on GAAP contained in this Indenture will be computed in conformity with GAAP.</w:t>
      </w:r>
    </w:p>
    <w:p>
      <w:pPr>
        <w:spacing w:after="0" w:line="16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 Legend</w:t>
      </w:r>
      <w:r>
        <w:rPr>
          <w:rFonts w:ascii="Times New Roman" w:cs="Times New Roman" w:eastAsia="Times New Roman" w:hAnsi="Times New Roman"/>
          <w:sz w:val="20"/>
          <w:szCs w:val="20"/>
          <w:color w:val="auto"/>
        </w:rPr>
        <w:t>” means the legend set forth in Section 2.06(g)(2), which is required to be placed on all Global Notes issued under this Indenture.</w:t>
      </w:r>
    </w:p>
    <w:p>
      <w:pPr>
        <w:spacing w:after="0" w:line="162"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Notes</w:t>
      </w:r>
      <w:r>
        <w:rPr>
          <w:rFonts w:ascii="Times New Roman" w:cs="Times New Roman" w:eastAsia="Times New Roman" w:hAnsi="Times New Roman"/>
          <w:sz w:val="20"/>
          <w:szCs w:val="20"/>
          <w:color w:val="auto"/>
        </w:rPr>
        <w:t xml:space="preserve">” means, individually and collectively, each of the Restricted Global Notes and the Unrestricted Global Notes deposited with or on behalf of and registered in the name of the Depositary or its nominee,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 that bears the Global Note Legend and that has the “Schedule of Increases or Decreases of Interests in the Global Note” attached thereto issued in accordance with Section 2.01, 2.06(b)(4) or 2.06(d)(4).</w:t>
      </w:r>
    </w:p>
    <w:p>
      <w:pPr>
        <w:spacing w:after="0" w:line="18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Government Securities</w:t>
      </w:r>
      <w:r>
        <w:rPr>
          <w:rFonts w:ascii="Times New Roman" w:cs="Times New Roman" w:eastAsia="Times New Roman" w:hAnsi="Times New Roman"/>
          <w:sz w:val="20"/>
          <w:szCs w:val="20"/>
          <w:color w:val="auto"/>
        </w:rPr>
        <w:t>” means direct obligations of, or obligations guaranteed by, the United States of America, and the payment for which the United States pledges its full faith and credit.</w:t>
      </w:r>
    </w:p>
    <w:p>
      <w:pPr>
        <w:spacing w:after="0" w:line="16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means the guarantee by each Guarantor of the Issuer’s obligations under this Indenture and the Notes, as provided in Article 10.</w:t>
      </w:r>
    </w:p>
    <w:p>
      <w:pPr>
        <w:spacing w:after="0" w:line="162"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i w:val="1"/>
          <w:iCs w:val="1"/>
          <w:color w:val="auto"/>
        </w:rPr>
        <w:t>uarantee</w:t>
      </w:r>
      <w:r>
        <w:rPr>
          <w:rFonts w:ascii="Times New Roman" w:cs="Times New Roman" w:eastAsia="Times New Roman" w:hAnsi="Times New Roman"/>
          <w:sz w:val="20"/>
          <w:szCs w:val="20"/>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When used as a verb, “guarantee” has a correlative meaning.</w:t>
      </w:r>
    </w:p>
    <w:p>
      <w:pPr>
        <w:spacing w:after="0" w:line="172"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Guarantors</w:t>
      </w:r>
      <w:r>
        <w:rPr>
          <w:rFonts w:ascii="Times New Roman" w:cs="Times New Roman" w:eastAsia="Times New Roman" w:hAnsi="Times New Roman"/>
          <w:sz w:val="20"/>
          <w:szCs w:val="20"/>
          <w:color w:val="auto"/>
        </w:rPr>
        <w:t>” means any Subsidiary of the Issuer that guarantees the Notes in accordance with the provisions of this Indenture, and their respective successors and assigns, in each case, until the Guarantee of such Person has been released in accordance with the provisions of this Indenture.</w:t>
      </w:r>
    </w:p>
    <w:p>
      <w:pPr>
        <w:spacing w:after="0" w:line="172"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Hedging Obligations</w:t>
      </w:r>
      <w:r>
        <w:rPr>
          <w:rFonts w:ascii="Times New Roman" w:cs="Times New Roman" w:eastAsia="Times New Roman" w:hAnsi="Times New Roman"/>
          <w:sz w:val="20"/>
          <w:szCs w:val="20"/>
          <w:color w:val="auto"/>
        </w:rPr>
        <w:t>” means, with respect to any specified Person, the obligations of such Person under any (a) Interest Rate Agreement, (b) Oil and Gas Hedging Contract, or (c) other agreements or arrangements designed to protect such Person against or to manage exposure to fluctuations in currency exchange rates.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Holder</w:t>
      </w:r>
      <w:r>
        <w:rPr>
          <w:rFonts w:ascii="Times New Roman" w:cs="Times New Roman" w:eastAsia="Times New Roman" w:hAnsi="Times New Roman"/>
          <w:sz w:val="20"/>
          <w:szCs w:val="20"/>
          <w:color w:val="auto"/>
        </w:rPr>
        <w:t>” means a Person in whose name a Note is registered.</w:t>
      </w:r>
    </w:p>
    <w:p>
      <w:pPr>
        <w:spacing w:after="0" w:line="21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Hydrocarbons</w:t>
      </w:r>
      <w:r>
        <w:rPr>
          <w:rFonts w:ascii="Times New Roman" w:cs="Times New Roman" w:eastAsia="Times New Roman" w:hAnsi="Times New Roman"/>
          <w:sz w:val="20"/>
          <w:szCs w:val="20"/>
          <w:color w:val="auto"/>
        </w:rPr>
        <w:t>” means oil, natural gas, casing head gas, drip gasoline, natural gasoline, condensate, distillate, liquid hydrocarbons, gaseous hydrocarbons and all constituents, elements or compounds thereof and products refined or processed therefrom.</w:t>
      </w:r>
    </w:p>
    <w:p>
      <w:pPr>
        <w:spacing w:after="0" w:line="162" w:lineRule="exact"/>
        <w:rPr>
          <w:sz w:val="20"/>
          <w:szCs w:val="20"/>
          <w:color w:val="auto"/>
        </w:rPr>
      </w:pPr>
    </w:p>
    <w:p>
      <w:pPr>
        <w:ind w:right="18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means, with respect to any specified Person, any indebtedness of such Person (excluding accrued expenses and Trade Payables), whether or not contingent: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96" w:right="339" w:bottom="1440" w:gutter="0" w:footer="0" w:header="0"/>
        </w:sectPr>
      </w:pPr>
    </w:p>
    <w:bookmarkStart w:id="25" w:name="page26"/>
    <w:bookmarkEnd w:id="25"/>
    <w:p>
      <w:pPr>
        <w:ind w:left="1700" w:hanging="414"/>
        <w:spacing w:after="0"/>
        <w:tabs>
          <w:tab w:leader="none" w:pos="17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borrowed money;</w:t>
      </w:r>
    </w:p>
    <w:p>
      <w:pPr>
        <w:spacing w:after="0" w:line="196"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6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evidenced by bonds, notes, debentures or similar instruments or (b) constituting letters of credit (or reimbursement agreements in respect thereof) (other than obligations with respect to letters of credit securing obligations (other than obligations described in clauses (1), (2)(a), (3), (4) or (6) of this definition) entered into in the ordinary course of business of such Person to the extent such letters of credit are not drawn upon or, if and to the extent drawn upon, such drawing is reimbursed no later than the tenth Business Day following payment on the letter of credit);</w:t>
      </w:r>
    </w:p>
    <w:p>
      <w:pPr>
        <w:spacing w:after="0" w:line="17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bankers’ acceptances;</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Finance Lease Obligations or Attributable Debt in respect of sale and leaseback transactions;</w:t>
      </w:r>
    </w:p>
    <w:p>
      <w:pPr>
        <w:spacing w:after="0" w:line="196" w:lineRule="exact"/>
        <w:rPr>
          <w:rFonts w:ascii="Times New Roman" w:cs="Times New Roman" w:eastAsia="Times New Roman" w:hAnsi="Times New Roman"/>
          <w:sz w:val="20"/>
          <w:szCs w:val="20"/>
          <w:color w:val="auto"/>
        </w:rPr>
      </w:pPr>
    </w:p>
    <w:p>
      <w:pPr>
        <w:ind w:left="640" w:firstLine="646"/>
        <w:spacing w:after="0" w:line="247" w:lineRule="auto"/>
        <w:tabs>
          <w:tab w:leader="none" w:pos="172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the balance deferred and unpaid of the purchase price of any property or services due more than six months after such property is acquired or such services are completed; or</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any Hedging Obligations,</w:t>
      </w:r>
    </w:p>
    <w:p>
      <w:pPr>
        <w:spacing w:after="0" w:line="19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(including, with respect to any Production Payment, any warranties or guarantees of production or payment by such Person with respect to such Production Payment, but excluding other contractual obligations of such Person with respect to such Production Payment). Subject to the preceding sentence, neither Dollar-Denominated Production Payments nor Volumetric Production Payments shall be deemed to be Indebtedness.</w:t>
      </w:r>
    </w:p>
    <w:p>
      <w:pPr>
        <w:spacing w:after="0" w:line="177"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0"/>
          <w:szCs w:val="20"/>
          <w:color w:val="auto"/>
        </w:rPr>
        <w:t>In addition, “Indebtedness” of any Person shall include Indebtedness described in the preceding paragraph that would not appear as a liability on the balance sheet of such Person if:</w:t>
      </w:r>
    </w:p>
    <w:p>
      <w:pPr>
        <w:spacing w:after="0" w:line="153" w:lineRule="exact"/>
        <w:rPr>
          <w:sz w:val="20"/>
          <w:szCs w:val="20"/>
          <w:color w:val="auto"/>
        </w:rPr>
      </w:pPr>
    </w:p>
    <w:p>
      <w:pPr>
        <w:ind w:left="1700" w:hanging="414"/>
        <w:spacing w:after="0"/>
        <w:tabs>
          <w:tab w:leader="none" w:pos="17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the obligation of a partnership that is a Joint Venture;</w:t>
      </w:r>
    </w:p>
    <w:p>
      <w:pPr>
        <w:spacing w:after="0" w:line="194" w:lineRule="exact"/>
        <w:rPr>
          <w:rFonts w:ascii="Times New Roman" w:cs="Times New Roman" w:eastAsia="Times New Roman" w:hAnsi="Times New Roman"/>
          <w:sz w:val="20"/>
          <w:szCs w:val="20"/>
          <w:color w:val="auto"/>
        </w:rPr>
      </w:pPr>
    </w:p>
    <w:p>
      <w:pPr>
        <w:ind w:left="640" w:firstLine="646"/>
        <w:spacing w:after="0" w:line="249" w:lineRule="auto"/>
        <w:tabs>
          <w:tab w:leader="none" w:pos="17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or a Restricted Subsidiary of such Person is a general partner of the Joint Venture (a “</w:t>
      </w:r>
      <w:r>
        <w:rPr>
          <w:rFonts w:ascii="Times New Roman" w:cs="Times New Roman" w:eastAsia="Times New Roman" w:hAnsi="Times New Roman"/>
          <w:sz w:val="20"/>
          <w:szCs w:val="20"/>
          <w:i w:val="1"/>
          <w:iCs w:val="1"/>
          <w:color w:val="auto"/>
        </w:rPr>
        <w:t>Joint Venture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Partner</w:t>
      </w:r>
      <w:r>
        <w:rPr>
          <w:rFonts w:ascii="Times New Roman" w:cs="Times New Roman" w:eastAsia="Times New Roman" w:hAnsi="Times New Roman"/>
          <w:sz w:val="20"/>
          <w:szCs w:val="20"/>
          <w:color w:val="auto"/>
        </w:rPr>
        <w:t>”); and</w:t>
      </w:r>
    </w:p>
    <w:p>
      <w:pPr>
        <w:spacing w:after="0" w:line="164" w:lineRule="exact"/>
        <w:rPr>
          <w:rFonts w:ascii="Times New Roman" w:cs="Times New Roman" w:eastAsia="Times New Roman" w:hAnsi="Times New Roman"/>
          <w:sz w:val="20"/>
          <w:szCs w:val="20"/>
          <w:color w:val="auto"/>
        </w:rPr>
      </w:pPr>
    </w:p>
    <w:p>
      <w:pPr>
        <w:ind w:left="640" w:firstLine="646"/>
        <w:spacing w:after="0" w:line="301" w:lineRule="auto"/>
        <w:tabs>
          <w:tab w:leader="none" w:pos="17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recourse, by contract or operation of law, with respect to the payment of such Indebtedness to property or assets of such Person or a Restricted Subsidiary of such Person; and then such Indebtedness shall be included in an amount not to exceed:</w:t>
      </w:r>
    </w:p>
    <w:p>
      <w:pPr>
        <w:spacing w:after="0" w:line="120" w:lineRule="exact"/>
        <w:rPr>
          <w:rFonts w:ascii="Times New Roman" w:cs="Times New Roman" w:eastAsia="Times New Roman" w:hAnsi="Times New Roman"/>
          <w:sz w:val="18"/>
          <w:szCs w:val="18"/>
          <w:color w:val="auto"/>
        </w:rPr>
      </w:pPr>
    </w:p>
    <w:p>
      <w:pPr>
        <w:jc w:val="both"/>
        <w:ind w:left="1280" w:firstLine="646"/>
        <w:spacing w:after="0" w:line="242" w:lineRule="auto"/>
        <w:tabs>
          <w:tab w:leader="none" w:pos="236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the net assets of the Joint Venture General Partner and (ii) the amount of such obligations to the extent that there is recourse, by contract or operation of law, to the property or assets of such Person or a Restricted Subsidiary of such Person; or</w:t>
      </w:r>
    </w:p>
    <w:p>
      <w:pPr>
        <w:spacing w:after="0" w:line="170" w:lineRule="exact"/>
        <w:rPr>
          <w:rFonts w:ascii="Times New Roman" w:cs="Times New Roman" w:eastAsia="Times New Roman" w:hAnsi="Times New Roman"/>
          <w:sz w:val="20"/>
          <w:szCs w:val="20"/>
          <w:color w:val="auto"/>
        </w:rPr>
      </w:pPr>
    </w:p>
    <w:p>
      <w:pPr>
        <w:ind w:left="1280" w:firstLine="646"/>
        <w:spacing w:after="0" w:line="247" w:lineRule="auto"/>
        <w:tabs>
          <w:tab w:leader="none" w:pos="250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less than the amount determined pursuant to clause (a) immediately above, the actual amount of such Indebtedness that is recourse to such Person or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96" w:right="339" w:bottom="1440" w:gutter="0" w:footer="0" w:header="0"/>
        </w:sectPr>
      </w:pPr>
    </w:p>
    <w:bookmarkStart w:id="26" w:name="page27"/>
    <w:bookmarkEnd w:id="26"/>
    <w:p>
      <w:pPr>
        <w:jc w:val="both"/>
        <w:ind w:left="1280"/>
        <w:spacing w:after="0" w:line="236" w:lineRule="auto"/>
        <w:rPr>
          <w:sz w:val="20"/>
          <w:szCs w:val="20"/>
          <w:color w:val="auto"/>
        </w:rPr>
      </w:pPr>
      <w:r>
        <w:rPr>
          <w:rFonts w:ascii="Times New Roman" w:cs="Times New Roman" w:eastAsia="Times New Roman" w:hAnsi="Times New Roman"/>
          <w:sz w:val="20"/>
          <w:szCs w:val="20"/>
          <w:color w:val="auto"/>
        </w:rPr>
        <w:t>Restricted Subsidiary of such Person, if the Indebtedness is evidenced by a writing and is for a determinable amount and the related interest expense shall be included in Fixed Charges to the extent actually paid by such Person or its Restricted Subsidiaries.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Notwithstanding the foregoing, the following shall not in any event constitute “Indebtedness”:</w:t>
      </w:r>
    </w:p>
    <w:p>
      <w:pPr>
        <w:spacing w:after="0" w:line="210" w:lineRule="exact"/>
        <w:rPr>
          <w:sz w:val="20"/>
          <w:szCs w:val="20"/>
          <w:color w:val="auto"/>
        </w:rPr>
      </w:pPr>
    </w:p>
    <w:p>
      <w:pPr>
        <w:jc w:val="both"/>
        <w:ind w:left="640" w:firstLine="646"/>
        <w:spacing w:after="0" w:line="265" w:lineRule="auto"/>
        <w:tabs>
          <w:tab w:leader="none" w:pos="1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which has been defeased or discharged in accordance with GAAP or defeased or discharged pursuant to the deposit of cash or Cash Equivalents (in an amount sufficient to satisfy all such indebtedness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151" w:lineRule="exact"/>
        <w:rPr>
          <w:rFonts w:ascii="Times New Roman" w:cs="Times New Roman" w:eastAsia="Times New Roman" w:hAnsi="Times New Roman"/>
          <w:sz w:val="18"/>
          <w:szCs w:val="18"/>
          <w:color w:val="auto"/>
        </w:rPr>
      </w:pPr>
    </w:p>
    <w:p>
      <w:pPr>
        <w:jc w:val="both"/>
        <w:ind w:left="640" w:firstLine="646"/>
        <w:spacing w:after="0" w:line="233" w:lineRule="auto"/>
        <w:tabs>
          <w:tab w:leader="none" w:pos="1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a Person in respect of a farm-in agreement or similar arrangement whereby such Person agrees to pay all or a share of the drilling, completion or other expenses of an exploratory or development well (which agreement may be subject to maximum payment obligations,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176" w:lineRule="exact"/>
        <w:rPr>
          <w:rFonts w:ascii="Times New Roman" w:cs="Times New Roman" w:eastAsia="Times New Roman" w:hAnsi="Times New Roman"/>
          <w:sz w:val="20"/>
          <w:szCs w:val="20"/>
          <w:color w:val="auto"/>
        </w:rPr>
      </w:pPr>
    </w:p>
    <w:p>
      <w:pPr>
        <w:ind w:left="640" w:firstLine="646"/>
        <w:spacing w:after="0" w:line="247" w:lineRule="auto"/>
        <w:tabs>
          <w:tab w:leader="none" w:pos="177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losses or charges in respect of Interest Rate Agreements or Oil and Gas Hedging Contracts (including those resulting from the application of FASB ASC 815);</w:t>
      </w:r>
    </w:p>
    <w:p>
      <w:pPr>
        <w:spacing w:after="0" w:line="166" w:lineRule="exact"/>
        <w:rPr>
          <w:rFonts w:ascii="Times New Roman" w:cs="Times New Roman" w:eastAsia="Times New Roman" w:hAnsi="Times New Roman"/>
          <w:sz w:val="20"/>
          <w:szCs w:val="20"/>
          <w:color w:val="auto"/>
        </w:rPr>
      </w:pPr>
    </w:p>
    <w:p>
      <w:pPr>
        <w:ind w:left="640" w:right="20" w:firstLine="646"/>
        <w:spacing w:after="0" w:line="247" w:lineRule="auto"/>
        <w:tabs>
          <w:tab w:leader="none" w:pos="175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contracts and other obligations, agreements, instruments or arrangements described in clauses (10), (18) and (19) of the definition of “Permitted Liens”; and</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Management Obligations.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Indirect Participant</w:t>
      </w:r>
      <w:r>
        <w:rPr>
          <w:rFonts w:ascii="Times New Roman" w:cs="Times New Roman" w:eastAsia="Times New Roman" w:hAnsi="Times New Roman"/>
          <w:sz w:val="20"/>
          <w:szCs w:val="20"/>
          <w:color w:val="auto"/>
        </w:rPr>
        <w:t>” means a Person who holds a beneficial interest in a Global Note through a Participant.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Initial Notes</w:t>
      </w:r>
      <w:r>
        <w:rPr>
          <w:rFonts w:ascii="Times New Roman" w:cs="Times New Roman" w:eastAsia="Times New Roman" w:hAnsi="Times New Roman"/>
          <w:sz w:val="20"/>
          <w:szCs w:val="20"/>
          <w:color w:val="auto"/>
        </w:rPr>
        <w:t>” means the first $550,000,000 aggregate principal amount of Notes issued under this Indenture on the Issue Date.</w:t>
      </w:r>
    </w:p>
    <w:p>
      <w:pPr>
        <w:spacing w:after="0" w:line="196"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Interest Rate Agreement</w:t>
      </w:r>
      <w:r>
        <w:rPr>
          <w:rFonts w:ascii="Times New Roman" w:cs="Times New Roman" w:eastAsia="Times New Roman" w:hAnsi="Times New Roman"/>
          <w:sz w:val="20"/>
          <w:szCs w:val="20"/>
          <w:color w:val="auto"/>
        </w:rPr>
        <w:t>” means any interest rate swap agreement (whether from fixed to floating or from floating to fixed), interest rate cap agreement, interest rate collar agreement or other similar agreement or arrangement designed to protect the Issuer or any of its Restricted Subsidiaries against fluctuations in interest rates and is not for speculative purposes.</w:t>
      </w:r>
    </w:p>
    <w:p>
      <w:pPr>
        <w:spacing w:after="0" w:line="172"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means, with respect to any Person, any direct or indirect investment by such Person in other Persons (including Affiliates) in the form of loans (including guarantees), advances or capital contributions, and purchases or other acquisitions for consideration of Indebtedness, Equity Interests or other securities, together with all items that are or would be classified as investments on a balance sheet prepared in accordance with GAAP (excluding, in each case, (1) commission, travel and similar advances to officers and employees made in the ordinary course of business, (2) any interest in an oil or natural gas leasehold to the extent constituting a security under applicable law and</w:t>
      </w:r>
    </w:p>
    <w:p>
      <w:pPr>
        <w:spacing w:after="0" w:line="4" w:lineRule="exact"/>
        <w:rPr>
          <w:sz w:val="20"/>
          <w:szCs w:val="20"/>
          <w:color w:val="auto"/>
        </w:rPr>
      </w:pPr>
    </w:p>
    <w:p>
      <w:pPr>
        <w:ind w:firstLine="7"/>
        <w:spacing w:after="0" w:line="232" w:lineRule="auto"/>
        <w:tabs>
          <w:tab w:leader="none" w:pos="27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customers in the ordinary course of business that are recorded as accounts receivable on the balance sheet of the lender, prepaid expenses or deposits and extensions of trade credit on commercially reasonable terms in accordance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96" w:right="339" w:bottom="1440" w:gutter="0" w:footer="0" w:header="0"/>
        </w:sectPr>
      </w:pPr>
    </w:p>
    <w:bookmarkStart w:id="27" w:name="page28"/>
    <w:bookmarkEnd w:id="27"/>
    <w:p>
      <w:pPr>
        <w:jc w:val="both"/>
        <w:spacing w:after="0" w:line="228" w:lineRule="auto"/>
        <w:rPr>
          <w:sz w:val="20"/>
          <w:szCs w:val="20"/>
          <w:color w:val="auto"/>
        </w:rPr>
      </w:pPr>
      <w:r>
        <w:rPr>
          <w:rFonts w:ascii="Times New Roman" w:cs="Times New Roman" w:eastAsia="Times New Roman" w:hAnsi="Times New Roman"/>
          <w:sz w:val="20"/>
          <w:szCs w:val="20"/>
          <w:color w:val="auto"/>
        </w:rPr>
        <w:t>with normal trade practices). If the Issuer or any Restricted Subsidiary of the Issuer sells or otherwise disposes of any Equity Interests of any direct or indirect Restricted Subsidiary of the Issuer such that, after giving effect to any such sale or disposition, such Person is no longer a Restricted Subsidiary of the Issuer (other than the sale of all of the outstanding Capital Stock of such Subsidiary), the Issuer will be deemed to have made an Investment on the date of any such sale or disposition equal to the Fair Market Value of the Issuer’s Investments in such Subsidiary that were not sold or disposed of in an amount determined as provided in the penultimate paragraph of Section 4.07. The acquisition by the Issuer or any Restricted Subsidiary of the Issuer of a Person that holds an Investment in a third Person will be deemed to be an Investment by the Issuer or such Restricted Subsidiary in such third Person in an amount equal to the Fair Market Value of the Investments held by the acquired Person in such third Person in an amount determined as provided in the penultimate paragraph of Section 4.07. Except as otherwise provided in this Indenture, the amount of an Investment will be determined at the time the Investment is made and without giving effect to subsequent changes in value or write-ups, write-downs or write-offs with respect to such Investment.</w:t>
      </w:r>
    </w:p>
    <w:p>
      <w:pPr>
        <w:spacing w:after="0" w:line="172"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Investment Grade Rating</w:t>
      </w:r>
      <w:r>
        <w:rPr>
          <w:rFonts w:ascii="Times New Roman" w:cs="Times New Roman" w:eastAsia="Times New Roman" w:hAnsi="Times New Roman"/>
          <w:sz w:val="20"/>
          <w:szCs w:val="20"/>
          <w:color w:val="auto"/>
        </w:rPr>
        <w:t>” means a rating equal to or higher than Baa3 (or the equivalent) by Moody’s or BBB- (or the equivalent) by Fitch or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Issue Date</w:t>
      </w:r>
      <w:r>
        <w:rPr>
          <w:rFonts w:ascii="Times New Roman" w:cs="Times New Roman" w:eastAsia="Times New Roman" w:hAnsi="Times New Roman"/>
          <w:sz w:val="20"/>
          <w:szCs w:val="20"/>
          <w:color w:val="auto"/>
        </w:rPr>
        <w:t>” means June 26, 2026.</w:t>
      </w:r>
    </w:p>
    <w:p>
      <w:pPr>
        <w:spacing w:after="0" w:line="196" w:lineRule="exact"/>
        <w:rPr>
          <w:sz w:val="20"/>
          <w:szCs w:val="20"/>
          <w:color w:val="auto"/>
        </w:rPr>
      </w:pPr>
    </w:p>
    <w:p>
      <w:pPr>
        <w:jc w:val="both"/>
        <w:ind w:right="2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Joint Venture</w:t>
      </w:r>
      <w:r>
        <w:rPr>
          <w:rFonts w:ascii="Times New Roman" w:cs="Times New Roman" w:eastAsia="Times New Roman" w:hAnsi="Times New Roman"/>
          <w:sz w:val="20"/>
          <w:szCs w:val="20"/>
          <w:color w:val="auto"/>
        </w:rPr>
        <w:t>” means any Person that is not a direct or indirect Subsidiary of the Issuer in which the Issuer or any of its Restricted Subsidiaries makes any Investment.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Joint Venture General Business Partner</w:t>
      </w:r>
      <w:r>
        <w:rPr>
          <w:rFonts w:ascii="Times New Roman" w:cs="Times New Roman" w:eastAsia="Times New Roman" w:hAnsi="Times New Roman"/>
          <w:sz w:val="20"/>
          <w:szCs w:val="20"/>
          <w:color w:val="auto"/>
        </w:rPr>
        <w:t>” has the meaning set forth in the definition of “Indebtedness.”</w:t>
      </w:r>
    </w:p>
    <w:p>
      <w:pPr>
        <w:spacing w:after="0" w:line="19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Legal Holiday</w:t>
      </w:r>
      <w:r>
        <w:rPr>
          <w:rFonts w:ascii="Times New Roman" w:cs="Times New Roman" w:eastAsia="Times New Roman" w:hAnsi="Times New Roman"/>
          <w:sz w:val="20"/>
          <w:szCs w:val="20"/>
          <w:color w:val="auto"/>
        </w:rPr>
        <w:t>” means a Saturday, a Sunday or a day on which banking institutions in the City of Los Angeles, California, the place of payment or the City of New York, New York are authorized by law, regulation or executive order to remain closed.</w:t>
      </w:r>
    </w:p>
    <w:p>
      <w:pPr>
        <w:spacing w:after="0" w:line="176"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Lien</w:t>
      </w:r>
      <w:r>
        <w:rPr>
          <w:rFonts w:ascii="Times New Roman" w:cs="Times New Roman" w:eastAsia="Times New Roman" w:hAnsi="Times New Roman"/>
          <w:sz w:val="20"/>
          <w:szCs w:val="20"/>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173"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Limited Condition Transaction</w:t>
      </w:r>
      <w:r>
        <w:rPr>
          <w:rFonts w:ascii="Times New Roman" w:cs="Times New Roman" w:eastAsia="Times New Roman" w:hAnsi="Times New Roman"/>
          <w:sz w:val="20"/>
          <w:szCs w:val="20"/>
          <w:color w:val="auto"/>
        </w:rPr>
        <w:t>” means (1) any Investment or acquisition (whether by merger, amalgamation, consolidation or other business combination or the acquisition of Capital Stock or otherwise)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and (3) any Restricted Payment requiring irrevocable notice in advance thereof.</w:t>
      </w:r>
    </w:p>
    <w:p>
      <w:pPr>
        <w:spacing w:after="0" w:line="172" w:lineRule="exact"/>
        <w:rPr>
          <w:sz w:val="20"/>
          <w:szCs w:val="20"/>
          <w:color w:val="auto"/>
        </w:rPr>
      </w:pPr>
    </w:p>
    <w:p>
      <w:pPr>
        <w:jc w:val="both"/>
        <w:ind w:right="2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Long Derivative Instrument</w:t>
      </w:r>
      <w:r>
        <w:rPr>
          <w:rFonts w:ascii="Times New Roman" w:cs="Times New Roman" w:eastAsia="Times New Roman" w:hAnsi="Times New Roman"/>
          <w:sz w:val="20"/>
          <w:szCs w:val="20"/>
          <w:color w:val="auto"/>
        </w:rPr>
        <w:t>” means a Derivative Instrument (i) the value of which generally increases, and/or the payment or delivery obligations under which generally decrease, with positive changes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96" w:right="339" w:bottom="1440" w:gutter="0" w:footer="0" w:header="0"/>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20"/>
          <w:szCs w:val="20"/>
          <w:color w:val="auto"/>
        </w:rPr>
        <w:t>to the Performance References and/or (ii) the value of which generally decreases, and/or the payment or delivery obligations under which generally increase, with negative changes to the Performance References.</w:t>
      </w:r>
    </w:p>
    <w:p>
      <w:pPr>
        <w:spacing w:after="0" w:line="164"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Midstream and Infrastructure Assets</w:t>
      </w:r>
      <w:r>
        <w:rPr>
          <w:rFonts w:ascii="Times New Roman" w:cs="Times New Roman" w:eastAsia="Times New Roman" w:hAnsi="Times New Roman"/>
          <w:sz w:val="20"/>
          <w:szCs w:val="20"/>
          <w:color w:val="auto"/>
        </w:rPr>
        <w:t>” means (i) assets used primarily for gathering, distributing, marketing, selling, treating, processing, transmission, compression, fractionation, dehydration, sourcing, disposal, stabilization, treatment, transporting of, or storage, disposal, or other handling of, Hydrocarbons, water, carbon dioxide, sand, minerals, chemicals or other products or substances commonly created, used, recovered, produced or processed in the conduct of the Oil and Gas Business, including compression, pumping, treatment and disposal facilities, gathering lines and systems, and other assets commonly considered midstream assets or useful in connection with the conduct of midstream operations, (ii) power and cogeneration facilities, steam flood facilities, carbon capture and sequestration facilities and assets, and any infrastructure or fixtures or assets related thereto, including machinery, valves, engines, boilers, tanks, parts, fittings, lines, cables, towers, rights of way and easements and (iii) Equity Interests of any Person if (a) all or substantially all of the assets of such Person consist of or will consist of assets described in clauses (i) or (ii) above or (b) all or substantially all of such Person’s business is ownership of, operation of, construction or development of, or direct or indirect investment in, such assets.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Moody’s</w:t>
      </w:r>
      <w:r>
        <w:rPr>
          <w:rFonts w:ascii="Times New Roman" w:cs="Times New Roman" w:eastAsia="Times New Roman" w:hAnsi="Times New Roman"/>
          <w:sz w:val="20"/>
          <w:szCs w:val="20"/>
          <w:color w:val="auto"/>
        </w:rPr>
        <w:t>” means Moody’s Investors Service, Inc. and any successor to the ratings business thereof.</w:t>
      </w:r>
    </w:p>
    <w:p>
      <w:pPr>
        <w:spacing w:after="0" w:line="196" w:lineRule="exact"/>
        <w:rPr>
          <w:sz w:val="20"/>
          <w:szCs w:val="20"/>
          <w:color w:val="auto"/>
        </w:rPr>
      </w:pPr>
    </w:p>
    <w:p>
      <w:pPr>
        <w:jc w:val="both"/>
        <w:ind w:firstLine="640"/>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Proceeds</w:t>
      </w:r>
      <w:r>
        <w:rPr>
          <w:rFonts w:ascii="Times New Roman" w:cs="Times New Roman" w:eastAsia="Times New Roman" w:hAnsi="Times New Roman"/>
          <w:sz w:val="20"/>
          <w:szCs w:val="20"/>
          <w:color w:val="auto"/>
        </w:rPr>
        <w:t>” means the aggregate cash proceeds and Cash Equivalents received by the Issuer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for purposes Section 4.10), net of (i) the costs relating to such Asset Sale, including, without limitation, legal, title and recording expenses, accounting and investment banking fees, and sales commissions, (ii) distributions and other payments required to be made to minority interest holders in Subsidiaries or joint ventures as a result of such Asset Sale, (iii) any relocation expenses and severance and associated costs, expenses and charges of personnel relating to the assets subject to or incurred as a result of the Asset Sale, (iv) taxes paid or payable as a result of the Asset Sale, in each case, after taking into account any available tax credits or deductions and any tax sharing arrangements, (v) amounts required to be applied to the repayment of Indebtedness (other than revolving credit Indebtedness under a Credit Facility that is secured by a Lien on the asset or assets that were the subject of such Asset Sale), and (vi) any reserve for adjustment or indemnification obligations in respect of the sale price of such asset or assets established in accordance with GAAP.</w:t>
      </w:r>
    </w:p>
    <w:p>
      <w:pPr>
        <w:spacing w:after="0" w:line="179"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Short</w:t>
      </w:r>
      <w:r>
        <w:rPr>
          <w:rFonts w:ascii="Times New Roman" w:cs="Times New Roman" w:eastAsia="Times New Roman" w:hAnsi="Times New Roman"/>
          <w:sz w:val="20"/>
          <w:szCs w:val="20"/>
          <w:color w:val="auto"/>
        </w:rPr>
        <w:t xml:space="preserve">” means, with respect to a Holder or beneficial owner, as of a date of determination, either (i) the value of its Short Derivative Instruments exceeds the sum of (x) the value of its Notes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the Issuer or any Guarantor immediately prior to such date of determination.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Non-Recourse Debt</w:t>
      </w:r>
      <w:r>
        <w:rPr>
          <w:rFonts w:ascii="Times New Roman" w:cs="Times New Roman" w:eastAsia="Times New Roman" w:hAnsi="Times New Roman"/>
          <w:sz w:val="20"/>
          <w:szCs w:val="20"/>
          <w:color w:val="auto"/>
        </w:rPr>
        <w:t>” means, with respect to Indebtedness of any Unrestricted Subsidiary or Joint Venture, Indebtedness:</w:t>
      </w:r>
    </w:p>
    <w:p>
      <w:pPr>
        <w:spacing w:after="0" w:line="198" w:lineRule="exact"/>
        <w:rPr>
          <w:sz w:val="20"/>
          <w:szCs w:val="20"/>
          <w:color w:val="auto"/>
        </w:rPr>
      </w:pPr>
    </w:p>
    <w:p>
      <w:pPr>
        <w:jc w:val="both"/>
        <w:ind w:left="640" w:firstLine="646"/>
        <w:spacing w:after="0" w:line="233" w:lineRule="auto"/>
        <w:tabs>
          <w:tab w:leader="none" w:pos="176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which neither the Issuer nor any of its Restricted Subsidiaries (a) provides credit support under any undertaking, agreement or instrument that would constitute Indebtedness or (b) is directly or indirectly liable as a guarantor or otherwise, except for Customary Recourse Exceptions and except by the pledge of (or a guarantee limited in recourse solely to) the Equity Interests of such Unrestricted Subsidiary or Joint Venture; and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96" w:right="339" w:bottom="1440" w:gutter="0" w:footer="0" w:header="0"/>
        </w:sectPr>
      </w:pPr>
    </w:p>
    <w:bookmarkStart w:id="29" w:name="page30"/>
    <w:bookmarkEnd w:id="29"/>
    <w:p>
      <w:pPr>
        <w:jc w:val="both"/>
        <w:ind w:left="640" w:firstLine="646"/>
        <w:spacing w:after="0" w:line="236" w:lineRule="auto"/>
        <w:tabs>
          <w:tab w:leader="none" w:pos="177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which the lenders will not have any recourse to the Capital Stock or assets of the Issuer or any of its Restricted Subsidiaries (other than the Equity Interests of such Unrestricted Subsidiary or Joint Venture), except for Customary Recourse Exceptions.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Non-U.S. Person</w:t>
      </w:r>
      <w:r>
        <w:rPr>
          <w:rFonts w:ascii="Times New Roman" w:cs="Times New Roman" w:eastAsia="Times New Roman" w:hAnsi="Times New Roman"/>
          <w:sz w:val="20"/>
          <w:szCs w:val="20"/>
          <w:color w:val="auto"/>
        </w:rPr>
        <w:t>” means a Person who is not a U.S. Person.</w:t>
      </w:r>
    </w:p>
    <w:p>
      <w:pPr>
        <w:spacing w:after="0" w:line="210"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NYMEX</w:t>
      </w:r>
      <w:r>
        <w:rPr>
          <w:rFonts w:ascii="Times New Roman" w:cs="Times New Roman" w:eastAsia="Times New Roman" w:hAnsi="Times New Roman"/>
          <w:sz w:val="18"/>
          <w:szCs w:val="18"/>
          <w:color w:val="auto"/>
        </w:rPr>
        <w:t>” means the New York Mercantile Exchange, a commodity futures exchange owned and operated by CME Group of Chicago.</w:t>
      </w:r>
    </w:p>
    <w:p>
      <w:pPr>
        <w:spacing w:after="0" w:line="219" w:lineRule="exact"/>
        <w:rPr>
          <w:sz w:val="20"/>
          <w:szCs w:val="20"/>
          <w:color w:val="auto"/>
        </w:rPr>
      </w:pPr>
    </w:p>
    <w:p>
      <w:pPr>
        <w:jc w:val="both"/>
        <w:ind w:right="2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Obligations</w:t>
      </w:r>
      <w:r>
        <w:rPr>
          <w:rFonts w:ascii="Times New Roman" w:cs="Times New Roman" w:eastAsia="Times New Roman" w:hAnsi="Times New Roman"/>
          <w:sz w:val="20"/>
          <w:szCs w:val="20"/>
          <w:color w:val="auto"/>
        </w:rPr>
        <w:t>” means any principal, interest, penalties, fees, indemnifications, reimbursements, damages and other liabilities payable under the documentation governing any Indebtedness.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Offering Memorandum</w:t>
      </w:r>
      <w:r>
        <w:rPr>
          <w:rFonts w:ascii="Times New Roman" w:cs="Times New Roman" w:eastAsia="Times New Roman" w:hAnsi="Times New Roman"/>
          <w:sz w:val="20"/>
          <w:szCs w:val="20"/>
          <w:color w:val="auto"/>
        </w:rPr>
        <w:t>” means the offering memorandum of the Issuer dated June 16, 2026 relating to the issuance of the Initial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186"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w:t>
      </w:r>
      <w:r>
        <w:rPr>
          <w:rFonts w:ascii="Times New Roman" w:cs="Times New Roman" w:eastAsia="Times New Roman" w:hAnsi="Times New Roman"/>
          <w:sz w:val="20"/>
          <w:szCs w:val="20"/>
          <w:color w:val="auto"/>
        </w:rPr>
        <w:t>” means, with respect to any Person, the Chairman of the Board, the Chief Executive Officer, the President, the Chief Operating Officer, the Chief Financial Officer, the Chief Accounting Officer, the Treasurer, any Assistant Treasurer, the Controller, the Secretary, any Assistant Secretary or any Vice President of such Person (or, if such Person is a limited partnership, the Chairman of the Board, the Chief Executive Officer, the President, the Chief Operating Officer, the Chief Financial Officer, the Chief Accounting Officer, the Treasurer, any Assistant Treasurer, the Controller, the Secretary, any Assistant Secretary, any Vice President or any Assistant Vice President of such Person’s general partner).</w:t>
      </w:r>
    </w:p>
    <w:p>
      <w:pPr>
        <w:spacing w:after="0" w:line="17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means a certificate signed on behalf of the Issuer by an Officer of the Issuer that meets the requirements of Section 12.05.</w:t>
      </w:r>
    </w:p>
    <w:p>
      <w:pPr>
        <w:spacing w:after="0" w:line="176" w:lineRule="exact"/>
        <w:rPr>
          <w:sz w:val="20"/>
          <w:szCs w:val="20"/>
          <w:color w:val="auto"/>
        </w:rPr>
      </w:pPr>
    </w:p>
    <w:p>
      <w:pPr>
        <w:jc w:val="both"/>
        <w:ind w:firstLine="640"/>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Oil and Gas Business</w:t>
      </w:r>
      <w:r>
        <w:rPr>
          <w:rFonts w:ascii="Times New Roman" w:cs="Times New Roman" w:eastAsia="Times New Roman" w:hAnsi="Times New Roman"/>
          <w:sz w:val="20"/>
          <w:szCs w:val="20"/>
          <w:color w:val="auto"/>
        </w:rPr>
        <w:t>” means (i) the acquisition, exploration, development, production, operation and disposition of interests in oil, gas and other Hydrocarbon properties, (ii) the gathering, marketing, treating, processing, storage, selling and transporting of any production from such interests or properties, (iii) power generation or cogeneration and distribution of power and related activities, (iv) any business relating to exploration for or development, production, treatment, processing, storage, transportation or marketing of oil, gas and other minerals and products produced in association therewith, including steam and water, (v) developing, constructing, owning, operating and maintaining (a) low carbon, carbon management, carbon sequestration and/or carbon offsetting technologies, assets, infrastructure and businesses, including carbon dioxide and associated gases capture (including direct air capture and pre- and post-combustion capture processes), transportation, utilization and/or sequestration technologies, facilities or assets, (b) solar, wind, geothermal or other renewable power generation or deployment technologies, facilities or assets, (c) the production, storage, or transportation of hydrogen, ammonia or other substances, and (d) energy storage or other clean energy technologies, facilities or assets, (vi) any other activities conducted by the Issuer and its Subsidiaries on the Issue Date and (vii) any activity that, as determined in good faith by the Issuer, arises from, relates to or is ancillary, complementary or incidental to or necessary or appropriate for the activities described in clauses (i) through (vi) of this definition.</w:t>
      </w:r>
    </w:p>
    <w:p>
      <w:pPr>
        <w:spacing w:after="0" w:line="175"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Oil and Gas Hedging Contracts</w:t>
      </w:r>
      <w:r>
        <w:rPr>
          <w:rFonts w:ascii="Times New Roman" w:cs="Times New Roman" w:eastAsia="Times New Roman" w:hAnsi="Times New Roman"/>
          <w:sz w:val="20"/>
          <w:szCs w:val="20"/>
          <w:color w:val="auto"/>
        </w:rPr>
        <w:t>” means any puts, cap transactions, floor transactions, collar transactions, forward contract, commodity swap agreement, commodity option agreement or other similar agreement or arrangement in respect of Hydrocarbons to be purchased, used, produced, processed or sold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6" w:right="339" w:bottom="1440" w:gutter="0" w:footer="0" w:header="0"/>
        </w:sectPr>
      </w:pPr>
    </w:p>
    <w:bookmarkStart w:id="30" w:name="page31"/>
    <w:bookmarkEnd w:id="30"/>
    <w:p>
      <w:pPr>
        <w:jc w:val="both"/>
        <w:spacing w:after="0" w:line="247" w:lineRule="auto"/>
        <w:rPr>
          <w:sz w:val="20"/>
          <w:szCs w:val="20"/>
          <w:color w:val="auto"/>
        </w:rPr>
      </w:pPr>
      <w:r>
        <w:rPr>
          <w:rFonts w:ascii="Times New Roman" w:cs="Times New Roman" w:eastAsia="Times New Roman" w:hAnsi="Times New Roman"/>
          <w:sz w:val="20"/>
          <w:szCs w:val="20"/>
          <w:color w:val="auto"/>
        </w:rPr>
        <w:t>by the Issuer or any of its Restricted Subsidiary that are customary in the Oil and Gas Business and designed to protect against or manage price risks, basis risks or other risks encountered in the Oil and Gas Business and not for speculative purposes.</w:t>
      </w:r>
    </w:p>
    <w:p>
      <w:pPr>
        <w:spacing w:after="0" w:line="164"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Oil and Gas Properties</w:t>
      </w:r>
      <w:r>
        <w:rPr>
          <w:rFonts w:ascii="Times New Roman" w:cs="Times New Roman" w:eastAsia="Times New Roman" w:hAnsi="Times New Roman"/>
          <w:sz w:val="20"/>
          <w:szCs w:val="20"/>
          <w:color w:val="auto"/>
        </w:rPr>
        <w:t>” means all properties, including equity or other ownership interest therein, owned by such Person or any of its Restricted Subsidiaries which contain or are believed to contain “proved oil and gas reserves” as defined in Rule 4-10 of Regulation S-X of the Securities Act.</w:t>
      </w:r>
    </w:p>
    <w:p>
      <w:pPr>
        <w:spacing w:after="0" w:line="168" w:lineRule="exact"/>
        <w:rPr>
          <w:sz w:val="20"/>
          <w:szCs w:val="20"/>
          <w:color w:val="auto"/>
        </w:rPr>
      </w:pPr>
    </w:p>
    <w:p>
      <w:pPr>
        <w:jc w:val="both"/>
        <w:ind w:right="2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Opinion of Counsel</w:t>
      </w:r>
      <w:r>
        <w:rPr>
          <w:rFonts w:ascii="Times New Roman" w:cs="Times New Roman" w:eastAsia="Times New Roman" w:hAnsi="Times New Roman"/>
          <w:sz w:val="20"/>
          <w:szCs w:val="20"/>
          <w:color w:val="auto"/>
        </w:rPr>
        <w:t>” means an opinion from legal counsel who is reasonably acceptable to the Trustee, that meets the requirements of Section 12.04, which counsel may be an employee of or counsel to the Issuer, any Subsidiary of the Issuer or the Trustee.</w:t>
      </w:r>
    </w:p>
    <w:p>
      <w:pPr>
        <w:spacing w:after="0" w:line="16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Participant</w:t>
      </w:r>
      <w:r>
        <w:rPr>
          <w:rFonts w:ascii="Times New Roman" w:cs="Times New Roman" w:eastAsia="Times New Roman" w:hAnsi="Times New Roman"/>
          <w:sz w:val="20"/>
          <w:szCs w:val="20"/>
          <w:color w:val="auto"/>
        </w:rPr>
        <w:t>” means, with respect to the Depositary, Euroclear or Clearstream, a Person who has an account with the Depositary, Euroclear or Clearstream, respectively (and, with respect to DTC, shall include Euroclear and Clearstream).</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Performance Reference</w:t>
      </w:r>
      <w:r>
        <w:rPr>
          <w:rFonts w:ascii="Times New Roman" w:cs="Times New Roman" w:eastAsia="Times New Roman" w:hAnsi="Times New Roman"/>
          <w:sz w:val="20"/>
          <w:szCs w:val="20"/>
          <w:color w:val="auto"/>
        </w:rPr>
        <w:t>” has the meaning set forth in the definition of “Derivative Instrument.”</w:t>
      </w:r>
    </w:p>
    <w:p>
      <w:pPr>
        <w:spacing w:after="0" w:line="196" w:lineRule="exact"/>
        <w:rPr>
          <w:sz w:val="20"/>
          <w:szCs w:val="20"/>
          <w:color w:val="auto"/>
        </w:rPr>
      </w:pPr>
    </w:p>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Acquisition Indebtedness</w:t>
      </w:r>
      <w:r>
        <w:rPr>
          <w:rFonts w:ascii="Times New Roman" w:cs="Times New Roman" w:eastAsia="Times New Roman" w:hAnsi="Times New Roman"/>
          <w:sz w:val="20"/>
          <w:szCs w:val="20"/>
          <w:color w:val="auto"/>
        </w:rPr>
        <w:t xml:space="preserve">” means Indebtedness or Disqualified Stock or Preferred Stock of the Issuer or any of its Restricted Subsidiaries to the extent such Indebtedness or Disqualified Stock or Preferred Stock (i) was Indebtedness or Disqualified Stock or Preferred Stock of any other Person existing at the time (a) such Person became a Restricted Subsidiary of the Issuer or (b) such Person was merged or consolidated with or into the Issuer or any of its Restricted Subsidiaries, or (ii) is incurred in contemplation of the foregoing,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on the date such Person became a Restricted Subsidiary or the date such Person was merged or consolidated with or into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Issuer or any of its Restricted Subsidiaries, as applicable, either of:</w:t>
      </w:r>
    </w:p>
    <w:p>
      <w:pPr>
        <w:spacing w:after="0" w:line="172" w:lineRule="exact"/>
        <w:rPr>
          <w:sz w:val="20"/>
          <w:szCs w:val="20"/>
          <w:color w:val="auto"/>
        </w:rPr>
      </w:pPr>
    </w:p>
    <w:p>
      <w:pPr>
        <w:jc w:val="both"/>
        <w:ind w:left="640" w:firstLine="646"/>
        <w:spacing w:after="0" w:line="233" w:lineRule="auto"/>
        <w:tabs>
          <w:tab w:leader="none" w:pos="176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such transaction and any related financing transaction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 if the same had occurred at the beginning of the applicable four-quarter period, the Issuer or such Person (if the Issuer is not the survivor in the transaction) would be permitted to incur at least $1.00 of additional Indebtedness pursuant to the Fixed Charge Coverage Ratio test set forth in Section 4.09(a); or</w:t>
      </w:r>
    </w:p>
    <w:p>
      <w:pPr>
        <w:spacing w:after="0" w:line="186"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6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such transaction and any related financing transaction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 if the same had occurred at the beginning of the applicable four-quarter period, the Fixed Charge Coverage Ratio of the Issuer or such Person (if the Issuer is not the survivor in the transaction) is equal to or greater than the Fixed Charge Coverage Ratio of the Issuer immediately prior to such transaction.</w:t>
      </w:r>
    </w:p>
    <w:p>
      <w:pPr>
        <w:spacing w:after="0" w:line="17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Business Investments</w:t>
      </w:r>
      <w:r>
        <w:rPr>
          <w:rFonts w:ascii="Times New Roman" w:cs="Times New Roman" w:eastAsia="Times New Roman" w:hAnsi="Times New Roman"/>
          <w:sz w:val="18"/>
          <w:szCs w:val="18"/>
          <w:color w:val="auto"/>
        </w:rPr>
        <w:t>” means Investments made in the ordinary course of, and of a nature that is or shall have become customary in, the Oil and Gas Business as a means of actively exploiting, exploring for, acquiring, developing, processing, gathering, marketing or transporting oil and natural gas through agreements, transactions, interests or arrangements permit one to share risks or costs, comply with regulatory requirements regarding local ownership or satisfy other objectives customarily achieved through the conduct of Oil and Gas Business jointly with third parties, including, without limitation, (i) ownership interests in oil, natural gas, other Hydrocarbon properties or any interest therein or gathering, transportation, processing, storage or related systems, (ii) Investments in the form of or pursuant to operating agreements, working interests, royalty interests, mineral interests, processing agreements, farm-in agreements, farm-out agreements, development agreements, area of mutual interest agreements, unitization agreements, pooling agreements, joint bidding agreements, service contracts, joint venture agreements, partnership agreements (whether general or limited), limited liability company agreements,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96" w:right="339" w:bottom="1440" w:gutter="0" w:footer="0" w:header="0"/>
        </w:sectPr>
      </w:pPr>
    </w:p>
    <w:bookmarkStart w:id="31" w:name="page32"/>
    <w:bookmarkEnd w:id="31"/>
    <w:p>
      <w:pPr>
        <w:jc w:val="both"/>
        <w:spacing w:after="0" w:line="231" w:lineRule="auto"/>
        <w:rPr>
          <w:sz w:val="20"/>
          <w:szCs w:val="20"/>
          <w:color w:val="auto"/>
        </w:rPr>
      </w:pPr>
      <w:r>
        <w:rPr>
          <w:rFonts w:ascii="Times New Roman" w:cs="Times New Roman" w:eastAsia="Times New Roman" w:hAnsi="Times New Roman"/>
          <w:sz w:val="20"/>
          <w:szCs w:val="20"/>
          <w:color w:val="auto"/>
        </w:rPr>
        <w:t>trust agreements, subscription agreements, stock purchase agreements and other similar or customary agreements with third parties, (iii) Investments in the form of mineral leases, production sharing agreements, production sales and marketing agreements, oil or gas leases, overriding royalty agreements, net profits agreements, production payment agreements or royalty trust agreements with third parties, (iv) Investments of operating funds on behalf of co-owners of properties used in the Oil and Gas Business of the Issuer or its Restricted Subsidiaries pursuant to joint operating agreements, and (v) direct or indirect ownership interests in drilling rigs, fracturing units and other equipment used in the Oil and Gas Business or in Persons that own or provide such equipment.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Investments</w:t>
      </w:r>
      <w:r>
        <w:rPr>
          <w:rFonts w:ascii="Times New Roman" w:cs="Times New Roman" w:eastAsia="Times New Roman" w:hAnsi="Times New Roman"/>
          <w:sz w:val="20"/>
          <w:szCs w:val="20"/>
          <w:color w:val="auto"/>
        </w:rPr>
        <w:t>” means:</w:t>
      </w:r>
    </w:p>
    <w:p>
      <w:pPr>
        <w:spacing w:after="0" w:line="198" w:lineRule="exact"/>
        <w:rPr>
          <w:sz w:val="20"/>
          <w:szCs w:val="20"/>
          <w:color w:val="auto"/>
        </w:rPr>
      </w:pPr>
    </w:p>
    <w:p>
      <w:pPr>
        <w:ind w:left="640" w:firstLine="646"/>
        <w:spacing w:after="0" w:line="247" w:lineRule="auto"/>
        <w:tabs>
          <w:tab w:leader="none" w:pos="184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the Issuer (including, without limitation, through the purchase of any Notes) or in a Restricted Subsidiary of the Issuer;</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cash and Cash Equivalents;</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the Issuer or any Restricted Subsidiary of the Issuer in a Person, if as a result of such Investment:</w:t>
      </w:r>
    </w:p>
    <w:p>
      <w:pPr>
        <w:spacing w:after="0" w:line="19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becomes a Restricted Subsidiary of the Issuer; or</w:t>
      </w:r>
    </w:p>
    <w:p>
      <w:pPr>
        <w:spacing w:after="0" w:line="209" w:lineRule="exact"/>
        <w:rPr>
          <w:rFonts w:ascii="Times New Roman" w:cs="Times New Roman" w:eastAsia="Times New Roman" w:hAnsi="Times New Roman"/>
          <w:sz w:val="20"/>
          <w:szCs w:val="20"/>
          <w:color w:val="auto"/>
        </w:rPr>
      </w:pPr>
    </w:p>
    <w:p>
      <w:pPr>
        <w:ind w:left="1280" w:firstLine="646"/>
        <w:spacing w:after="0" w:line="247" w:lineRule="auto"/>
        <w:tabs>
          <w:tab w:leader="none" w:pos="2378"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merged, consolidated or amalgamated with or into, or transfers or conveys substantially all of its properties or assets to, or is liquidated into, the Issuer or a Restricted Subsidiary of the Issuer;</w:t>
      </w:r>
    </w:p>
    <w:p>
      <w:pPr>
        <w:spacing w:after="0" w:line="166" w:lineRule="exact"/>
        <w:rPr>
          <w:rFonts w:ascii="Times New Roman" w:cs="Times New Roman" w:eastAsia="Times New Roman" w:hAnsi="Times New Roman"/>
          <w:sz w:val="20"/>
          <w:szCs w:val="20"/>
          <w:color w:val="auto"/>
        </w:rPr>
      </w:pPr>
    </w:p>
    <w:p>
      <w:pPr>
        <w:ind w:left="640" w:right="20" w:firstLine="646"/>
        <w:spacing w:after="0" w:line="247" w:lineRule="auto"/>
        <w:tabs>
          <w:tab w:leader="none" w:pos="1703"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made as a result of the receipt of non-cash consideration from an Asset Sale or Asset Swap that was made pursuant to and in compliance with Section 4.10;</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60" w:lineRule="auto"/>
        <w:tabs>
          <w:tab w:leader="none" w:pos="17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or Capital Stock solely in exchange for the issuance of, or with or out of the net cash proceeds of the substantially concurrent (a) contribution (other than from a Restricted Subsidiary) to the equity capital of the Issuer in respect of or</w:t>
      </w:r>
    </w:p>
    <w:p>
      <w:pPr>
        <w:ind w:left="640" w:firstLine="6"/>
        <w:spacing w:after="0" w:line="276" w:lineRule="auto"/>
        <w:tabs>
          <w:tab w:leader="none" w:pos="9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 (other than to a Restricted Subsidiary) of, Equity Interests (other than Disqualified Stock)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amount of such issuance, contribution or sale will be disregarded for purposes of clause (C)(ii) of Section 4.07(a);</w:t>
      </w:r>
    </w:p>
    <w:p>
      <w:pPr>
        <w:spacing w:after="0" w:line="154" w:lineRule="exact"/>
        <w:rPr>
          <w:rFonts w:ascii="Times New Roman" w:cs="Times New Roman" w:eastAsia="Times New Roman" w:hAnsi="Times New Roman"/>
          <w:sz w:val="18"/>
          <w:szCs w:val="18"/>
          <w:color w:val="auto"/>
        </w:rPr>
      </w:pPr>
    </w:p>
    <w:p>
      <w:pPr>
        <w:jc w:val="both"/>
        <w:ind w:left="640" w:firstLine="646"/>
        <w:spacing w:after="0" w:line="233" w:lineRule="auto"/>
        <w:tabs>
          <w:tab w:leader="none" w:pos="183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w:t>
      </w:r>
    </w:p>
    <w:p>
      <w:pPr>
        <w:spacing w:after="0" w:line="173"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represented by Hedging Obligations;</w:t>
      </w:r>
    </w:p>
    <w:p>
      <w:pPr>
        <w:spacing w:after="0" w:line="196"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76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Person to the extent such Investments consist of prepaid expenses, negotiable instruments held for collection and lease, utility and workers’ compensation, performance and other deposits made in the ordinary course of business by the Issuer or any of its Restricted Subsidiaries;</w:t>
      </w:r>
    </w:p>
    <w:p>
      <w:pPr>
        <w:spacing w:after="0" w:line="187" w:lineRule="exact"/>
        <w:rPr>
          <w:rFonts w:ascii="Times New Roman" w:cs="Times New Roman" w:eastAsia="Times New Roman" w:hAnsi="Times New Roman"/>
          <w:sz w:val="20"/>
          <w:szCs w:val="20"/>
          <w:color w:val="auto"/>
        </w:rPr>
      </w:pPr>
    </w:p>
    <w:p>
      <w:pPr>
        <w:ind w:left="640" w:firstLine="646"/>
        <w:spacing w:after="0" w:line="247" w:lineRule="auto"/>
        <w:tabs>
          <w:tab w:leader="none" w:pos="180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relocation allowances for, and loans or advances to, officers, directors or employees made in the ordinary course of business of the Issuer or any Restricted Subsidiary of the Issuer;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6" w:right="339" w:bottom="1440" w:gutter="0" w:footer="0" w:header="0"/>
        </w:sectPr>
      </w:pPr>
    </w:p>
    <w:bookmarkStart w:id="32" w:name="page33"/>
    <w:bookmarkEnd w:id="32"/>
    <w:p>
      <w:pPr>
        <w:ind w:left="1160" w:hanging="514"/>
        <w:spacing w:after="0"/>
        <w:tabs>
          <w:tab w:leader="none" w:pos="11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the Notes or Guarantees;</w:t>
      </w:r>
    </w:p>
    <w:p>
      <w:pPr>
        <w:spacing w:after="0" w:line="196" w:lineRule="exact"/>
        <w:rPr>
          <w:rFonts w:ascii="Times New Roman" w:cs="Times New Roman" w:eastAsia="Times New Roman" w:hAnsi="Times New Roman"/>
          <w:sz w:val="20"/>
          <w:szCs w:val="20"/>
          <w:color w:val="auto"/>
        </w:rPr>
      </w:pPr>
    </w:p>
    <w:p>
      <w:pPr>
        <w:ind w:firstLine="646"/>
        <w:spacing w:after="0" w:line="247" w:lineRule="auto"/>
        <w:tabs>
          <w:tab w:leader="none" w:pos="11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 of Indebtedness of (a) the Issuer or a Restricted Subsidiary or (b) any Person that is not an Affiliate of the Issuer, in each case permitted to be incurred by Section 4.09;</w:t>
      </w:r>
    </w:p>
    <w:p>
      <w:pPr>
        <w:spacing w:after="0" w:line="166" w:lineRule="exact"/>
        <w:rPr>
          <w:rFonts w:ascii="Times New Roman" w:cs="Times New Roman" w:eastAsia="Times New Roman" w:hAnsi="Times New Roman"/>
          <w:sz w:val="20"/>
          <w:szCs w:val="20"/>
          <w:color w:val="auto"/>
        </w:rPr>
      </w:pPr>
    </w:p>
    <w:p>
      <w:pPr>
        <w:jc w:val="both"/>
        <w:ind w:firstLine="646"/>
        <w:spacing w:after="0" w:line="236" w:lineRule="auto"/>
        <w:tabs>
          <w:tab w:leader="none" w:pos="120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existing on, or made pursuant to binding commitments existing on, the Issue Date and any Investment consisting of an extension, modification or renewal of any Investment existing on, or made pursuant to a binding commitment existing on, the Issue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such Investment may be increased (a) as required by the terms of such Investment as in existence on the Issue Date or (b) as otherwise permitted under this Indenture;</w:t>
      </w:r>
    </w:p>
    <w:p>
      <w:pPr>
        <w:spacing w:after="0" w:line="174" w:lineRule="exact"/>
        <w:rPr>
          <w:rFonts w:ascii="Times New Roman" w:cs="Times New Roman" w:eastAsia="Times New Roman" w:hAnsi="Times New Roman"/>
          <w:sz w:val="20"/>
          <w:szCs w:val="20"/>
          <w:color w:val="auto"/>
        </w:rPr>
      </w:pPr>
    </w:p>
    <w:p>
      <w:pPr>
        <w:jc w:val="both"/>
        <w:ind w:firstLine="646"/>
        <w:spacing w:after="0" w:line="231" w:lineRule="auto"/>
        <w:tabs>
          <w:tab w:leader="none" w:pos="118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acquired after the Issue Date as a result of the acquisition by the Issuer or any Restricted Subsidiary of the Issuer of another Person, including by way of a merger or consolidation with or into the Issuer or any of its Restricted Subsidiaries in a transaction that is not prohibited by Section 5.01 after the Issue Date to the extent that such Investments were not made in contemplation of such acquisition, merger or consolidation and were in existence on the date of such acquisition, merger or consolidation;</w:t>
      </w:r>
    </w:p>
    <w:p>
      <w:pPr>
        <w:spacing w:after="0" w:line="185" w:lineRule="exact"/>
        <w:rPr>
          <w:rFonts w:ascii="Times New Roman" w:cs="Times New Roman" w:eastAsia="Times New Roman" w:hAnsi="Times New Roman"/>
          <w:sz w:val="20"/>
          <w:szCs w:val="20"/>
          <w:color w:val="auto"/>
        </w:rPr>
      </w:pPr>
    </w:p>
    <w:p>
      <w:pPr>
        <w:ind w:left="1220" w:hanging="574"/>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Business Investments, Permitted Other Investments and any Investment made in connection with the CMB</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Transactions;</w:t>
      </w:r>
    </w:p>
    <w:p>
      <w:pPr>
        <w:spacing w:after="0" w:line="174" w:lineRule="exact"/>
        <w:rPr>
          <w:rFonts w:ascii="Times New Roman" w:cs="Times New Roman" w:eastAsia="Times New Roman" w:hAnsi="Times New Roman"/>
          <w:sz w:val="18"/>
          <w:szCs w:val="18"/>
          <w:color w:val="auto"/>
        </w:rPr>
      </w:pPr>
    </w:p>
    <w:p>
      <w:pPr>
        <w:ind w:firstLine="646"/>
        <w:spacing w:after="0" w:line="247" w:lineRule="auto"/>
        <w:tabs>
          <w:tab w:leader="none" w:pos="126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as a result of a foreclosure by, or other transfer of title to, the Issuer or any of its Restricted Subsidiaries with respect to any secured Investment in default;</w:t>
      </w:r>
    </w:p>
    <w:p>
      <w:pPr>
        <w:spacing w:after="0" w:line="166" w:lineRule="exact"/>
        <w:rPr>
          <w:rFonts w:ascii="Times New Roman" w:cs="Times New Roman" w:eastAsia="Times New Roman" w:hAnsi="Times New Roman"/>
          <w:sz w:val="20"/>
          <w:szCs w:val="20"/>
          <w:color w:val="auto"/>
        </w:rPr>
      </w:pPr>
    </w:p>
    <w:p>
      <w:pPr>
        <w:jc w:val="both"/>
        <w:ind w:firstLine="646"/>
        <w:spacing w:after="0" w:line="236" w:lineRule="auto"/>
        <w:tabs>
          <w:tab w:leader="none" w:pos="11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receivables owing to the Issuer or any Restricted Subsidiary created or acquired in the ordinary course of business and payable or dischargeable in accordance with customary trade terms;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trade terms may include such concessionary trade terms as the Issuer or any such Restricted Subsidiary deems reasonable under the circumstances;</w:t>
      </w:r>
    </w:p>
    <w:p>
      <w:pPr>
        <w:spacing w:after="0" w:line="174" w:lineRule="exact"/>
        <w:rPr>
          <w:rFonts w:ascii="Times New Roman" w:cs="Times New Roman" w:eastAsia="Times New Roman" w:hAnsi="Times New Roman"/>
          <w:sz w:val="20"/>
          <w:szCs w:val="20"/>
          <w:color w:val="auto"/>
        </w:rPr>
      </w:pPr>
    </w:p>
    <w:p>
      <w:pPr>
        <w:ind w:firstLine="646"/>
        <w:spacing w:after="0" w:line="261" w:lineRule="auto"/>
        <w:tabs>
          <w:tab w:leader="none" w:pos="118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or other Investments arising from the incurrence of Indebtedness by the Issuer or any Restricted Subsidiary with respect to Indebtedness of any Unrestricted Subsidiary or Joint Venture permitted under Section 4.09(b)(14);</w:t>
      </w:r>
    </w:p>
    <w:p>
      <w:pPr>
        <w:spacing w:after="0" w:line="152" w:lineRule="exact"/>
        <w:rPr>
          <w:rFonts w:ascii="Times New Roman" w:cs="Times New Roman" w:eastAsia="Times New Roman" w:hAnsi="Times New Roman"/>
          <w:sz w:val="20"/>
          <w:szCs w:val="20"/>
          <w:color w:val="auto"/>
        </w:rPr>
      </w:pPr>
    </w:p>
    <w:p>
      <w:pPr>
        <w:jc w:val="both"/>
        <w:ind w:firstLine="646"/>
        <w:spacing w:after="0" w:line="236" w:lineRule="auto"/>
        <w:tabs>
          <w:tab w:leader="none" w:pos="120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performance or other obligations (other than Indebtedness) arising in the ordinary course in the Oil and Gas Business, including obligations under oil and natural gas exploration, development, joint operating, and related agreements and licenses, concessions or operating leases related to the Oil and Gas Business;</w:t>
      </w:r>
    </w:p>
    <w:p>
      <w:pPr>
        <w:spacing w:after="0" w:line="174" w:lineRule="exact"/>
        <w:rPr>
          <w:rFonts w:ascii="Times New Roman" w:cs="Times New Roman" w:eastAsia="Times New Roman" w:hAnsi="Times New Roman"/>
          <w:sz w:val="20"/>
          <w:szCs w:val="20"/>
          <w:color w:val="auto"/>
        </w:rPr>
      </w:pPr>
    </w:p>
    <w:p>
      <w:pPr>
        <w:ind w:right="20" w:firstLine="646"/>
        <w:spacing w:after="0" w:line="247" w:lineRule="auto"/>
        <w:tabs>
          <w:tab w:leader="none" w:pos="123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and prepayments for asset purchases in the ordinary course of business in the Oil and Gas Business of the Issuer or any Restricted Subsidiary;</w:t>
      </w:r>
    </w:p>
    <w:p>
      <w:pPr>
        <w:spacing w:after="0" w:line="166" w:lineRule="exact"/>
        <w:rPr>
          <w:rFonts w:ascii="Times New Roman" w:cs="Times New Roman" w:eastAsia="Times New Roman" w:hAnsi="Times New Roman"/>
          <w:sz w:val="20"/>
          <w:szCs w:val="20"/>
          <w:color w:val="auto"/>
        </w:rPr>
      </w:pPr>
    </w:p>
    <w:p>
      <w:pPr>
        <w:ind w:firstLine="646"/>
        <w:spacing w:after="0" w:line="247" w:lineRule="auto"/>
        <w:tabs>
          <w:tab w:leader="none" w:pos="120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contribution of the Capital Stock of the EHP Entity to one or more Unrestricted Subsidiaries or the designation of the EHP Entity as an Unrestricted Subsidiary; and</w:t>
      </w:r>
    </w:p>
    <w:p>
      <w:pPr>
        <w:spacing w:after="0" w:line="179" w:lineRule="exact"/>
        <w:rPr>
          <w:rFonts w:ascii="Times New Roman" w:cs="Times New Roman" w:eastAsia="Times New Roman" w:hAnsi="Times New Roman"/>
          <w:sz w:val="20"/>
          <w:szCs w:val="20"/>
          <w:color w:val="auto"/>
        </w:rPr>
      </w:pPr>
    </w:p>
    <w:p>
      <w:pPr>
        <w:jc w:val="both"/>
        <w:ind w:firstLine="646"/>
        <w:spacing w:after="0" w:line="231" w:lineRule="auto"/>
        <w:tabs>
          <w:tab w:leader="none" w:pos="11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in any Person having an aggregate Fair Market Value (measured on the date such Investment was made and without giving effect to subsequent changes in value) that, when taken together with the Fair Market Value (as so measured) of all other Investments made pursuant to this clause (21) that are at the time outstanding, that does not exceed the greater of (a) $570.0 million and (b) 5.0% of Adjusted Consolidated Net Tangible Assets determined at the time such Investment is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Investment pursuant to this clause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600"/>
          </w:cols>
          <w:pgMar w:left="960" w:top="1396" w:right="339" w:bottom="1440" w:gutter="0" w:footer="0" w:header="0"/>
        </w:sectPr>
      </w:pPr>
    </w:p>
    <w:bookmarkStart w:id="33" w:name="page34"/>
    <w:bookmarkEnd w:id="33"/>
    <w:p>
      <w:pPr>
        <w:jc w:val="both"/>
        <w:ind w:left="640" w:firstLine="6"/>
        <w:spacing w:after="0" w:line="233" w:lineRule="auto"/>
        <w:tabs>
          <w:tab w:leader="none" w:pos="103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made in any Person that is not a Restricted Subsidiary of the Issuer at the date of the making of such Investment and such Person becomes a Restricted Subsidiary of the Issuer after such date, such Investment shall thereafter be deemed to have been made pursuant to clause (1) above and shall cease to have been made pursuant to this clause (21) for so long as such Person continues to be a Restricted Subsidiary of the Issuer (unless the Issuer otherwise classifies such Investment in compliance with this Indenture).</w:t>
      </w:r>
    </w:p>
    <w:p>
      <w:pPr>
        <w:spacing w:after="0" w:line="186" w:lineRule="exact"/>
        <w:rPr>
          <w:sz w:val="20"/>
          <w:szCs w:val="20"/>
          <w:color w:val="auto"/>
        </w:rPr>
      </w:pPr>
    </w:p>
    <w:p>
      <w:pPr>
        <w:ind w:right="20" w:firstLine="640"/>
        <w:spacing w:after="0" w:line="247" w:lineRule="auto"/>
        <w:rPr>
          <w:sz w:val="20"/>
          <w:szCs w:val="20"/>
          <w:color w:val="auto"/>
        </w:rPr>
      </w:pPr>
      <w:r>
        <w:rPr>
          <w:rFonts w:ascii="Times New Roman" w:cs="Times New Roman" w:eastAsia="Times New Roman" w:hAnsi="Times New Roman"/>
          <w:sz w:val="20"/>
          <w:szCs w:val="20"/>
          <w:color w:val="auto"/>
        </w:rPr>
        <w:t>With respect to any Investment, the Issuer may, in its sole discretion, classify all or any portion of such Investment in one or more of the above clauses so that the entire Investment is a Permitted Investment.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Liens</w:t>
      </w:r>
      <w:r>
        <w:rPr>
          <w:rFonts w:ascii="Times New Roman" w:cs="Times New Roman" w:eastAsia="Times New Roman" w:hAnsi="Times New Roman"/>
          <w:sz w:val="20"/>
          <w:szCs w:val="20"/>
          <w:color w:val="auto"/>
        </w:rPr>
        <w:t>” means:</w:t>
      </w:r>
    </w:p>
    <w:p>
      <w:pPr>
        <w:spacing w:after="0" w:line="198" w:lineRule="exact"/>
        <w:rPr>
          <w:sz w:val="20"/>
          <w:szCs w:val="20"/>
          <w:color w:val="auto"/>
        </w:rPr>
      </w:pPr>
    </w:p>
    <w:p>
      <w:pPr>
        <w:ind w:left="640" w:firstLine="646"/>
        <w:spacing w:after="0" w:line="247" w:lineRule="auto"/>
        <w:tabs>
          <w:tab w:leader="none" w:pos="170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the Issuer or any Restricted Subsidiary securing Indebtedness under Credit Facilities that was permitted by the terms of this Indenture to be incurred pursuant to clause (1) of Section 4.09(b);</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Issuer or the Guarantors;</w:t>
      </w:r>
    </w:p>
    <w:p>
      <w:pPr>
        <w:spacing w:after="0" w:line="196" w:lineRule="exact"/>
        <w:rPr>
          <w:rFonts w:ascii="Times New Roman" w:cs="Times New Roman" w:eastAsia="Times New Roman" w:hAnsi="Times New Roman"/>
          <w:sz w:val="20"/>
          <w:szCs w:val="20"/>
          <w:color w:val="auto"/>
        </w:rPr>
      </w:pPr>
    </w:p>
    <w:p>
      <w:pPr>
        <w:jc w:val="both"/>
        <w:ind w:left="640" w:firstLine="646"/>
        <w:spacing w:after="0" w:line="242" w:lineRule="auto"/>
        <w:tabs>
          <w:tab w:leader="none" w:pos="171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a Person existing at the time such Person becomes a Restricted Subsidiary of the Issuer or is merged with or into or consolidated with the Issuer or any Restricted Subsidiary of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do not extend to any other property owned by such Person or any of its Restricted Subsidiaries;</w:t>
      </w:r>
    </w:p>
    <w:p>
      <w:pPr>
        <w:spacing w:after="0" w:line="170" w:lineRule="exact"/>
        <w:rPr>
          <w:rFonts w:ascii="Times New Roman" w:cs="Times New Roman" w:eastAsia="Times New Roman" w:hAnsi="Times New Roman"/>
          <w:sz w:val="20"/>
          <w:szCs w:val="20"/>
          <w:color w:val="auto"/>
        </w:rPr>
      </w:pPr>
    </w:p>
    <w:p>
      <w:pPr>
        <w:ind w:left="640" w:firstLine="646"/>
        <w:spacing w:after="0" w:line="247" w:lineRule="auto"/>
        <w:tabs>
          <w:tab w:leader="none" w:pos="181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(including Capital Stock) existing at the time of acquisition of the property by the Issuer or any Subsidiary of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do not extend to any property other than that acquired;</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31" w:lineRule="auto"/>
        <w:tabs>
          <w:tab w:leader="none" w:pos="174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or other Liens to secure the performance of statutory obligations, insurance, surety or appeal bonds, workers’ compensation, unemployment and similar obligations, bid, leases (including, without limitation, statutory and common law landlord’s liens), government contracts, plugging and abandonment obligations and performance bonds or other obligations of a like nature incurred in the ordinary course of business (including Liens to secure letters of credit issued to assure payment of such obligations);</w:t>
      </w:r>
    </w:p>
    <w:p>
      <w:pPr>
        <w:spacing w:after="0" w:line="185" w:lineRule="exact"/>
        <w:rPr>
          <w:rFonts w:ascii="Times New Roman" w:cs="Times New Roman" w:eastAsia="Times New Roman" w:hAnsi="Times New Roman"/>
          <w:sz w:val="20"/>
          <w:szCs w:val="20"/>
          <w:color w:val="auto"/>
        </w:rPr>
      </w:pPr>
    </w:p>
    <w:p>
      <w:pPr>
        <w:jc w:val="both"/>
        <w:ind w:left="640" w:firstLine="646"/>
        <w:spacing w:after="0" w:line="226" w:lineRule="auto"/>
        <w:tabs>
          <w:tab w:leader="none" w:pos="179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represented by (x) Sale and Leaseback Transactions permitted to be incurred under this Indenture and (y) Finance Lease Obligations, mortgage financings or purchase money obligations or other Indebtedness, in each case in this clause (y) that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and acquired or designed, constructed, installed, developed, repaired or improved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Liens are in favor of the seller or other transferor or lessor of such asset or property, in favor of the Person or Persons designing, constructing, installing, developing, repairing or improving such asset or property, or in favor of the Person or Persons that provided the funding for the acquisition, design, construction, installation, development, repair or improvement cost, as the case may be, of such asset or property, (b) such Liens are created no later than 360 days after the acquisition, lease, leaseback, design, construction, installation, development, repair or improvement, (c) the aggregate principal amount of the Indebtedness secured by such Liens is otherwise permitted to be incurred under this Indenture and does not exceed the greater of (i) the cost of the asset or property so acquired, designed, constructed, installed, developed, repaired or improved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related financing costs and (ii) the Fair Market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6" w:right="339" w:bottom="1440" w:gutter="0" w:footer="0" w:header="0"/>
        </w:sectPr>
      </w:pPr>
    </w:p>
    <w:bookmarkStart w:id="34" w:name="page35"/>
    <w:bookmarkEnd w:id="34"/>
    <w:p>
      <w:pPr>
        <w:jc w:val="both"/>
        <w:spacing w:after="0" w:line="233" w:lineRule="auto"/>
        <w:rPr>
          <w:sz w:val="20"/>
          <w:szCs w:val="20"/>
          <w:color w:val="auto"/>
        </w:rPr>
      </w:pPr>
      <w:r>
        <w:rPr>
          <w:rFonts w:ascii="Times New Roman" w:cs="Times New Roman" w:eastAsia="Times New Roman" w:hAnsi="Times New Roman"/>
          <w:sz w:val="20"/>
          <w:szCs w:val="20"/>
          <w:color w:val="auto"/>
        </w:rPr>
        <w:t xml:space="preserve">Value of the asset or property so acquired, leased, designed, constructed, installed, developed, repaired or improved, measured at the date of such acquisition or lease, or the date of completion of such design, construction, installation, development, repair or improvement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related financing costs, and (d) such Liens are limited to the asset or property so acquired, leased, designed, constructed, installed, developed, repaired or improved (together with improvements, additions, accessions and contractual rights relating primarily thereto and all proceeds thereof (including dividends, distributions and increases in respect thereof));</w:t>
      </w:r>
    </w:p>
    <w:p>
      <w:pPr>
        <w:spacing w:after="0" w:line="176" w:lineRule="exact"/>
        <w:rPr>
          <w:sz w:val="20"/>
          <w:szCs w:val="20"/>
          <w:color w:val="auto"/>
        </w:rPr>
      </w:pPr>
    </w:p>
    <w:p>
      <w:pPr>
        <w:ind w:firstLine="646"/>
        <w:spacing w:after="0" w:line="247" w:lineRule="auto"/>
        <w:tabs>
          <w:tab w:leader="none" w:pos="112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existing on the Issue Date after giving effect to the issuance of the Initial Notes and the application of proceeds therefrom (other than Liens securing Indebtedness under the Credit Agreement);</w:t>
      </w:r>
    </w:p>
    <w:p>
      <w:pPr>
        <w:spacing w:after="0" w:line="166" w:lineRule="exact"/>
        <w:rPr>
          <w:rFonts w:ascii="Times New Roman" w:cs="Times New Roman" w:eastAsia="Times New Roman" w:hAnsi="Times New Roman"/>
          <w:sz w:val="20"/>
          <w:szCs w:val="20"/>
          <w:color w:val="auto"/>
        </w:rPr>
      </w:pPr>
    </w:p>
    <w:p>
      <w:pPr>
        <w:ind w:left="1180" w:hanging="534"/>
        <w:spacing w:after="0"/>
        <w:tabs>
          <w:tab w:leader="none" w:pos="11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for the benefit of (or to secure) the Notes or the Guarantees or to secure other obligations under this</w:t>
      </w:r>
    </w:p>
    <w:p>
      <w:pPr>
        <w:spacing w:after="0" w:line="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174" w:lineRule="exact"/>
        <w:rPr>
          <w:rFonts w:ascii="Times New Roman" w:cs="Times New Roman" w:eastAsia="Times New Roman" w:hAnsi="Times New Roman"/>
          <w:sz w:val="20"/>
          <w:szCs w:val="20"/>
          <w:color w:val="auto"/>
        </w:rPr>
      </w:pPr>
    </w:p>
    <w:p>
      <w:pPr>
        <w:jc w:val="both"/>
        <w:ind w:firstLine="646"/>
        <w:spacing w:after="0" w:line="236" w:lineRule="auto"/>
        <w:tabs>
          <w:tab w:leader="none" w:pos="10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187" w:lineRule="exact"/>
        <w:rPr>
          <w:rFonts w:ascii="Times New Roman" w:cs="Times New Roman" w:eastAsia="Times New Roman" w:hAnsi="Times New Roman"/>
          <w:sz w:val="20"/>
          <w:szCs w:val="20"/>
          <w:color w:val="auto"/>
        </w:rPr>
      </w:pPr>
    </w:p>
    <w:p>
      <w:pPr>
        <w:ind w:left="1160" w:hanging="514"/>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pipelines or pipeline facilities that arise by operation of law;</w:t>
      </w:r>
    </w:p>
    <w:p>
      <w:pPr>
        <w:spacing w:after="0" w:line="196" w:lineRule="exact"/>
        <w:rPr>
          <w:rFonts w:ascii="Times New Roman" w:cs="Times New Roman" w:eastAsia="Times New Roman" w:hAnsi="Times New Roman"/>
          <w:sz w:val="20"/>
          <w:szCs w:val="20"/>
          <w:color w:val="auto"/>
        </w:rPr>
      </w:pPr>
    </w:p>
    <w:p>
      <w:pPr>
        <w:ind w:left="1200" w:hanging="554"/>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reserved in oil and natural gas mineral leases for bonus or rental payments and for compliance with the terms of</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leases;</w:t>
      </w:r>
    </w:p>
    <w:p>
      <w:pPr>
        <w:spacing w:after="0" w:line="174" w:lineRule="exact"/>
        <w:rPr>
          <w:rFonts w:ascii="Times New Roman" w:cs="Times New Roman" w:eastAsia="Times New Roman" w:hAnsi="Times New Roman"/>
          <w:sz w:val="18"/>
          <w:szCs w:val="18"/>
          <w:color w:val="auto"/>
        </w:rPr>
      </w:pPr>
    </w:p>
    <w:p>
      <w:pPr>
        <w:ind w:firstLine="646"/>
        <w:spacing w:after="0" w:line="247" w:lineRule="auto"/>
        <w:tabs>
          <w:tab w:leader="none" w:pos="12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Indebtedness incurred to refinance or replace Indebtedness secured by any Lien described under clauses (3), (4), (6), (7), (8), (12) and (22) of this definition permitted to be incurred under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69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Lien is limited to all or part of the same property and assets that secured or, under the written agreements pursuant to which the original Lien arose, could secure the original Lien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improvements and accessions to such property or proceeds or distributions thereof); and</w:t>
      </w:r>
    </w:p>
    <w:p>
      <w:pPr>
        <w:spacing w:after="0" w:line="187" w:lineRule="exact"/>
        <w:rPr>
          <w:rFonts w:ascii="Times New Roman" w:cs="Times New Roman" w:eastAsia="Times New Roman" w:hAnsi="Times New Roman"/>
          <w:sz w:val="20"/>
          <w:szCs w:val="20"/>
          <w:color w:val="auto"/>
        </w:rPr>
      </w:pPr>
    </w:p>
    <w:p>
      <w:pPr>
        <w:jc w:val="both"/>
        <w:ind w:left="640" w:firstLine="646"/>
        <w:spacing w:after="0" w:line="231" w:lineRule="auto"/>
        <w:tabs>
          <w:tab w:leader="none" w:pos="183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Indebtedness secured by the new Lien is not increased to any amount greater than the sum of (x) the outstanding principal amount, or, if greater, committed amount, of the Indebtedness exchanged, renewed, refunded, refinanced, replaced, defeased or discharged with such Permitted Refinancing Indebtedness and (y) an amount necessary to pay any fees and expenses, including premiums, related to such exchange, renewal, refunding, refinancing, replacement, defeasance or discharge;</w:t>
      </w:r>
    </w:p>
    <w:p>
      <w:pPr>
        <w:spacing w:after="0" w:line="172" w:lineRule="exact"/>
        <w:rPr>
          <w:rFonts w:ascii="Times New Roman" w:cs="Times New Roman" w:eastAsia="Times New Roman" w:hAnsi="Times New Roman"/>
          <w:sz w:val="20"/>
          <w:szCs w:val="20"/>
          <w:color w:val="auto"/>
        </w:rPr>
      </w:pPr>
    </w:p>
    <w:p>
      <w:pPr>
        <w:ind w:left="1160" w:hanging="514"/>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proceeds thereof, or other deposits, to secure insurance premium financings;</w:t>
      </w:r>
    </w:p>
    <w:p>
      <w:pPr>
        <w:spacing w:after="0" w:line="196"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 of Uniform Commercial Code financing statements as a precautionary measure in connection with operating</w:t>
      </w:r>
    </w:p>
    <w:p>
      <w:pPr>
        <w:spacing w:after="0" w:line="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w:t>
      </w:r>
    </w:p>
    <w:p>
      <w:pPr>
        <w:spacing w:after="0" w:line="187" w:lineRule="exact"/>
        <w:rPr>
          <w:rFonts w:ascii="Times New Roman" w:cs="Times New Roman" w:eastAsia="Times New Roman" w:hAnsi="Times New Roman"/>
          <w:sz w:val="20"/>
          <w:szCs w:val="20"/>
          <w:color w:val="auto"/>
        </w:rPr>
      </w:pPr>
    </w:p>
    <w:p>
      <w:pPr>
        <w:jc w:val="both"/>
        <w:ind w:firstLine="646"/>
        <w:spacing w:after="0" w:line="233" w:lineRule="auto"/>
        <w:tabs>
          <w:tab w:leader="none" w:pos="119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rights of revocation, refund or chargeback with respect to money or instruments of the Issuer or any Restricted Subsidiary, Liens arising out of judgments or awards not constituting an Event of Default and notices of lis pendens and associated rights related to litigation being contested in good faith by appropriate proceedings and for which adequate reserves have been made;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600"/>
          </w:cols>
          <w:pgMar w:left="960" w:top="1396" w:right="339" w:bottom="1440" w:gutter="0" w:footer="0" w:header="0"/>
        </w:sectPr>
      </w:pPr>
    </w:p>
    <w:bookmarkStart w:id="35" w:name="page36"/>
    <w:bookmarkEnd w:id="35"/>
    <w:p>
      <w:pPr>
        <w:ind w:left="1180" w:hanging="534"/>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Indebtedness;</w:t>
      </w:r>
    </w:p>
    <w:p>
      <w:pPr>
        <w:spacing w:after="0" w:line="174" w:lineRule="exact"/>
        <w:rPr>
          <w:rFonts w:ascii="Times New Roman" w:cs="Times New Roman" w:eastAsia="Times New Roman" w:hAnsi="Times New Roman"/>
          <w:sz w:val="18"/>
          <w:szCs w:val="18"/>
          <w:color w:val="auto"/>
        </w:rPr>
      </w:pPr>
    </w:p>
    <w:p>
      <w:pPr>
        <w:jc w:val="both"/>
        <w:ind w:firstLine="646"/>
        <w:spacing w:after="0" w:line="242" w:lineRule="auto"/>
        <w:tabs>
          <w:tab w:leader="none" w:pos="123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168" w:lineRule="exact"/>
        <w:rPr>
          <w:rFonts w:ascii="Times New Roman" w:cs="Times New Roman" w:eastAsia="Times New Roman" w:hAnsi="Times New Roman"/>
          <w:sz w:val="20"/>
          <w:szCs w:val="20"/>
          <w:color w:val="auto"/>
        </w:rPr>
      </w:pPr>
    </w:p>
    <w:p>
      <w:pPr>
        <w:ind w:right="20" w:firstLine="646"/>
        <w:spacing w:after="0" w:line="249" w:lineRule="auto"/>
        <w:tabs>
          <w:tab w:leader="none" w:pos="118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respect of Production Payments and Reserve Sales;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are limited to the property that is subject to such Production Payments and Reserve Sales;</w:t>
      </w:r>
    </w:p>
    <w:p>
      <w:pPr>
        <w:spacing w:after="0" w:line="164" w:lineRule="exact"/>
        <w:rPr>
          <w:rFonts w:ascii="Times New Roman" w:cs="Times New Roman" w:eastAsia="Times New Roman" w:hAnsi="Times New Roman"/>
          <w:sz w:val="20"/>
          <w:szCs w:val="20"/>
          <w:color w:val="auto"/>
        </w:rPr>
      </w:pPr>
    </w:p>
    <w:p>
      <w:pPr>
        <w:jc w:val="both"/>
        <w:ind w:firstLine="646"/>
        <w:spacing w:after="0" w:line="228" w:lineRule="auto"/>
        <w:tabs>
          <w:tab w:leader="none" w:pos="135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under oil and natural gas leases or subleases, overriding royalty interests,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production payment agreements, royalty trust agreements, incentive compensation programs for geologists, geophysicists and other providers of technical services to the Issuer or a Restricted Subsidiary, area of mutual interest agreements, gas balancing or deferred production agreements, injection, repressuring and recycling agreements, salt water or other disposal agreements, seismic or geophysical permits or agreements, licenses, sublicenses and other agreements which are customary in the Oil and Gas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in all instances that such Liens are limited to the assets that are the subject of the relevant agreement, program, order or contract;</w:t>
      </w:r>
    </w:p>
    <w:p>
      <w:pPr>
        <w:spacing w:after="0" w:line="174" w:lineRule="exact"/>
        <w:rPr>
          <w:rFonts w:ascii="Times New Roman" w:cs="Times New Roman" w:eastAsia="Times New Roman" w:hAnsi="Times New Roman"/>
          <w:sz w:val="20"/>
          <w:szCs w:val="20"/>
          <w:color w:val="auto"/>
        </w:rPr>
      </w:pPr>
    </w:p>
    <w:p>
      <w:pPr>
        <w:ind w:right="20" w:firstLine="646"/>
        <w:spacing w:after="0" w:line="247" w:lineRule="auto"/>
        <w:tabs>
          <w:tab w:leader="none" w:pos="1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secure performance of Hedging Obligations of the Issuer or any of its Restricted Subsidiaries entered into in the ordinary course of business and not for speculative purposes;</w:t>
      </w:r>
    </w:p>
    <w:p>
      <w:pPr>
        <w:spacing w:after="0" w:line="166" w:lineRule="exact"/>
        <w:rPr>
          <w:rFonts w:ascii="Times New Roman" w:cs="Times New Roman" w:eastAsia="Times New Roman" w:hAnsi="Times New Roman"/>
          <w:sz w:val="20"/>
          <w:szCs w:val="20"/>
          <w:color w:val="auto"/>
        </w:rPr>
      </w:pPr>
    </w:p>
    <w:p>
      <w:pPr>
        <w:jc w:val="both"/>
        <w:ind w:firstLine="646"/>
        <w:spacing w:after="0" w:line="236" w:lineRule="auto"/>
        <w:tabs>
          <w:tab w:leader="none" w:pos="117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under this Indenture in favor of the Trustee for its own benefit and similar Liens in favor of other trustees, agents and representatives arising under instruments governing Indebtedness permitted to be incurred under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Liens are solely for the benefit of the trustees, agents or representatives in their capacities as such and not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of the holders of such Indebtedness;</w:t>
      </w:r>
    </w:p>
    <w:p>
      <w:pPr>
        <w:spacing w:after="0" w:line="174" w:lineRule="exact"/>
        <w:rPr>
          <w:rFonts w:ascii="Times New Roman" w:cs="Times New Roman" w:eastAsia="Times New Roman" w:hAnsi="Times New Roman"/>
          <w:sz w:val="20"/>
          <w:szCs w:val="20"/>
          <w:color w:val="auto"/>
        </w:rPr>
      </w:pPr>
    </w:p>
    <w:p>
      <w:pPr>
        <w:jc w:val="both"/>
        <w:ind w:firstLine="646"/>
        <w:spacing w:after="0" w:line="231" w:lineRule="auto"/>
        <w:tabs>
          <w:tab w:leader="none" w:pos="12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incurred by the Issuer or any Restricted Subsidiary of the Issuer with respect to Indebtedness in aggregate principal amount that, when taken together with the aggregate principal amount of all other Indebtedness secured by Liens incurred pursuant to this clause (22) then outstanding, together with all other then outstanding Indebtedness secured by Liens incurred pursuant to clause (12) of this definition that had previously refinanced or replaced Indebtedness secured by Liens incurred under this clause (22), does not exceed the greater of (a) $570.0 million and (b) 5.0% of Adjusted Consolidated Net Tangible Assets determined at the time such Lien is incurred;</w:t>
      </w:r>
    </w:p>
    <w:p>
      <w:pPr>
        <w:spacing w:after="0" w:line="177" w:lineRule="exact"/>
        <w:rPr>
          <w:rFonts w:ascii="Times New Roman" w:cs="Times New Roman" w:eastAsia="Times New Roman" w:hAnsi="Times New Roman"/>
          <w:sz w:val="20"/>
          <w:szCs w:val="20"/>
          <w:color w:val="auto"/>
        </w:rPr>
      </w:pPr>
    </w:p>
    <w:p>
      <w:pPr>
        <w:ind w:firstLine="646"/>
        <w:spacing w:after="0" w:line="247" w:lineRule="auto"/>
        <w:tabs>
          <w:tab w:leader="none" w:pos="119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and subleases of real property which do not materially interfere with the ordinary conduct of the business of the Issuer or the Restricted Subsidiaries;</w:t>
      </w:r>
    </w:p>
    <w:p>
      <w:pPr>
        <w:spacing w:after="0" w:line="166" w:lineRule="exact"/>
        <w:rPr>
          <w:rFonts w:ascii="Times New Roman" w:cs="Times New Roman" w:eastAsia="Times New Roman" w:hAnsi="Times New Roman"/>
          <w:sz w:val="20"/>
          <w:szCs w:val="20"/>
          <w:color w:val="auto"/>
        </w:rPr>
      </w:pPr>
    </w:p>
    <w:p>
      <w:pPr>
        <w:ind w:left="1160" w:hanging="514"/>
        <w:spacing w:after="0"/>
        <w:tabs>
          <w:tab w:leader="none" w:pos="1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arising by reason of:</w:t>
      </w:r>
    </w:p>
    <w:p>
      <w:pPr>
        <w:spacing w:after="0" w:line="196" w:lineRule="exact"/>
        <w:rPr>
          <w:rFonts w:ascii="Times New Roman" w:cs="Times New Roman" w:eastAsia="Times New Roman" w:hAnsi="Times New Roman"/>
          <w:sz w:val="20"/>
          <w:szCs w:val="20"/>
          <w:color w:val="auto"/>
        </w:rPr>
      </w:pPr>
    </w:p>
    <w:p>
      <w:pPr>
        <w:ind w:left="640" w:firstLine="646"/>
        <w:spacing w:after="0" w:line="247" w:lineRule="auto"/>
        <w:tabs>
          <w:tab w:leader="none" w:pos="175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assessments or governmental charges or claims that are not yet delinquent or that are being contested in good faith by appropriate proceedings promptly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600"/>
          </w:cols>
          <w:pgMar w:left="960" w:top="1396" w:right="339" w:bottom="1440" w:gutter="0" w:footer="0" w:header="0"/>
        </w:sectPr>
      </w:pPr>
    </w:p>
    <w:bookmarkStart w:id="36" w:name="page37"/>
    <w:bookmarkEnd w:id="36"/>
    <w:p>
      <w:pPr>
        <w:ind w:left="1280" w:right="20"/>
        <w:spacing w:after="0" w:line="249" w:lineRule="auto"/>
        <w:rPr>
          <w:sz w:val="20"/>
          <w:szCs w:val="20"/>
          <w:color w:val="auto"/>
        </w:rPr>
      </w:pPr>
      <w:r>
        <w:rPr>
          <w:rFonts w:ascii="Times New Roman" w:cs="Times New Roman" w:eastAsia="Times New Roman" w:hAnsi="Times New Roman"/>
          <w:sz w:val="20"/>
          <w:szCs w:val="20"/>
          <w:color w:val="auto"/>
        </w:rPr>
        <w:t xml:space="preserve">instituted and diligently conducted;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reserve or other appropriate provision as will be required in conformity with GAAP will have been made therefor,</w:t>
      </w:r>
    </w:p>
    <w:p>
      <w:pPr>
        <w:spacing w:after="0" w:line="164" w:lineRule="exact"/>
        <w:rPr>
          <w:sz w:val="20"/>
          <w:szCs w:val="20"/>
          <w:color w:val="auto"/>
        </w:rPr>
      </w:pPr>
    </w:p>
    <w:p>
      <w:pPr>
        <w:ind w:left="2440" w:hanging="514"/>
        <w:spacing w:after="0"/>
        <w:tabs>
          <w:tab w:leader="none" w:pos="24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 faith deposits in connection with tenders, leases and contracts (other than contracts for the payment of</w:t>
      </w:r>
    </w:p>
    <w:p>
      <w:pPr>
        <w:spacing w:after="0" w:line="5" w:lineRule="exact"/>
        <w:rPr>
          <w:rFonts w:ascii="Times New Roman" w:cs="Times New Roman" w:eastAsia="Times New Roman" w:hAnsi="Times New Roman"/>
          <w:sz w:val="20"/>
          <w:szCs w:val="20"/>
          <w:color w:val="auto"/>
        </w:rPr>
      </w:pPr>
    </w:p>
    <w:p>
      <w:pPr>
        <w:ind w:left="1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87" w:lineRule="exact"/>
        <w:rPr>
          <w:rFonts w:ascii="Times New Roman" w:cs="Times New Roman" w:eastAsia="Times New Roman" w:hAnsi="Times New Roman"/>
          <w:sz w:val="20"/>
          <w:szCs w:val="20"/>
          <w:color w:val="auto"/>
        </w:rPr>
      </w:pPr>
    </w:p>
    <w:p>
      <w:pPr>
        <w:jc w:val="both"/>
        <w:ind w:left="1280" w:firstLine="646"/>
        <w:spacing w:after="0" w:line="228" w:lineRule="auto"/>
        <w:tabs>
          <w:tab w:leader="none" w:pos="233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 exceptions, zoning restrictions, easements, licenses, reservations, title defects, rights of others for rights of way, utilities, sewers, electric lines, telephone or telegraph lines, and other similar purposes, provisions, covenants, conditions, waivers, restrictions on the use of property or minor irregularities of title (and with respect to leasehold interests, mortgages, obligations, Liens and other encumbrances incurred, created, assumed or permitted to exist and arising by, through or under a landlord or owner of the leased property, with or without consent of the lessee), none of which materially impairs the use of any parcel of property material to the operation of the business of the Issuer or the Restricted Subsidiaries or the value of such property for the purpose of such business,</w:t>
      </w:r>
    </w:p>
    <w:p>
      <w:pPr>
        <w:spacing w:after="0" w:line="176" w:lineRule="exact"/>
        <w:rPr>
          <w:rFonts w:ascii="Times New Roman" w:cs="Times New Roman" w:eastAsia="Times New Roman" w:hAnsi="Times New Roman"/>
          <w:sz w:val="20"/>
          <w:szCs w:val="20"/>
          <w:color w:val="auto"/>
        </w:rPr>
      </w:pPr>
    </w:p>
    <w:p>
      <w:pPr>
        <w:jc w:val="both"/>
        <w:ind w:left="1280" w:firstLine="646"/>
        <w:spacing w:after="0" w:line="233" w:lineRule="auto"/>
        <w:tabs>
          <w:tab w:leader="none" w:pos="242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 of law or contract in favor of mechanics, carriers, warehousemen, landlords, materialmen, laborers, employees, suppliers and similar persons, incurred in the ordinary course of business, to the extent such Liens relate only to the tangible property of the lessee which is located on such property, for sums which are not yet delinquent or are being contested in good faith by negotiations or by appropriate proceedings which suspend the collection thereof; if such reserve or other appropriate provision, if any, as shall be required by GAAP shall have been made in respect thereof, or</w:t>
      </w:r>
    </w:p>
    <w:p>
      <w:pPr>
        <w:spacing w:after="0" w:line="17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normal depository or cash-management arrangements with banks; and</w:t>
      </w:r>
    </w:p>
    <w:p>
      <w:pPr>
        <w:spacing w:after="0" w:line="196" w:lineRule="exact"/>
        <w:rPr>
          <w:rFonts w:ascii="Times New Roman" w:cs="Times New Roman" w:eastAsia="Times New Roman" w:hAnsi="Times New Roman"/>
          <w:sz w:val="20"/>
          <w:szCs w:val="20"/>
          <w:color w:val="auto"/>
        </w:rPr>
      </w:pPr>
    </w:p>
    <w:p>
      <w:pPr>
        <w:jc w:val="both"/>
        <w:ind w:left="640" w:firstLine="646"/>
        <w:spacing w:after="0" w:line="230" w:lineRule="auto"/>
        <w:tabs>
          <w:tab w:leader="none" w:pos="18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specific property or any interest therein, construction thereon or improvement thereto to secure all or any part of the costs incurred for surveying, exploration, drilling, extraction, development, operation, production, construction, alteration, repair or improvement of, in, from, under or on such property and the plugging and abandonment of wells located thereon (it being understood that, in the case of oil and gas producing properties, or any interest therein, costs incurred for development and production shall include costs incurred for all facilities relating to such properties or to projects, ventures or other arrangements of which such properties form a part or which relate to such properties or interests and costs incurred for processing, gathering, marketing, refining and storage of such production), in each case that do not secure Indebtedness for borrowed money.</w:t>
      </w:r>
    </w:p>
    <w:p>
      <w:pPr>
        <w:spacing w:after="0" w:line="176"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In each case set forth above, notwithstanding any stated limitation on the assets that may be subject to such Lien, a Permitted Lien on a specified asset or group or type of assets shall also include any Lien on all improvements, additions, accessions and contractual rights relating primarily thereto and all proceeds thereof (including dividends, distributions and increases in respect thereof).</w:t>
      </w:r>
    </w:p>
    <w:p>
      <w:pPr>
        <w:spacing w:after="0" w:line="1" w:lineRule="exact"/>
        <w:rPr>
          <w:sz w:val="20"/>
          <w:szCs w:val="20"/>
          <w:color w:val="auto"/>
        </w:rPr>
      </w:pPr>
    </w:p>
    <w:p>
      <w:pPr>
        <w:ind w:right="50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Other Investments</w:t>
      </w:r>
      <w:r>
        <w:rPr>
          <w:rFonts w:ascii="Times New Roman" w:cs="Times New Roman" w:eastAsia="Times New Roman" w:hAnsi="Times New Roman"/>
          <w:sz w:val="20"/>
          <w:szCs w:val="20"/>
          <w:color w:val="auto"/>
        </w:rPr>
        <w:t xml:space="preserve">” means Investments by the Issuer or any of its Restricted Subsidiaries in any Person (including in any Unrestricted Subsidiary) consisting of a capital contribution, or arising from the receipt of non-cash consideration from a transfer, to such Person of Midstream and Infrastructure Assets;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4" w:right="339" w:bottom="1440" w:gutter="0" w:footer="0" w:header="0"/>
        </w:sectPr>
      </w:pPr>
    </w:p>
    <w:bookmarkStart w:id="37" w:name="page38"/>
    <w:bookmarkEnd w:id="37"/>
    <w:p>
      <w:pPr>
        <w:ind w:left="640" w:firstLine="646"/>
        <w:spacing w:after="0" w:line="247" w:lineRule="auto"/>
        <w:tabs>
          <w:tab w:leader="none" w:pos="175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any such Investment and immediately thereafter, the Issuer would be permitted to incur at least $1.00 of additional Indebtedness pursuant to the Fixed Charge Coverage Ratio test set forth in Section 4.09(a); and</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42" w:lineRule="auto"/>
        <w:tabs>
          <w:tab w:leader="none" w:pos="173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Person has outstanding Indebtedness at the time of any such Investment, either (a) all such Indebtedness is Non-Recourse Debt or (b) any such Indebtedness of such Person that is not Non-Recourse Debt could, at the time such Investment is made, be incurred at that time by the Issuer pursuant to the Fixed Charge Coverage Ratio test set forth in Section 4.09(a).</w:t>
      </w:r>
    </w:p>
    <w:p>
      <w:pPr>
        <w:spacing w:after="0" w:line="16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Refinancing Indebtedness</w:t>
      </w:r>
      <w:r>
        <w:rPr>
          <w:rFonts w:ascii="Times New Roman" w:cs="Times New Roman" w:eastAsia="Times New Roman" w:hAnsi="Times New Roman"/>
          <w:sz w:val="20"/>
          <w:szCs w:val="20"/>
          <w:color w:val="auto"/>
        </w:rPr>
        <w:t xml:space="preserve">” means any Indebtedness or Disqualified Stock or Preferred Stock of the Issuer or any of its Restricted Subsidiaries issued in exchange for, or the net proceeds of which are used to renew, refund, refinance, replace, defease or discharge other Indebtedness or Disqualified Stock or Preferred Stock of the Issuer or any of its Restricted Subsidiaries (other than intercompany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5" w:lineRule="exact"/>
        <w:rPr>
          <w:sz w:val="20"/>
          <w:szCs w:val="20"/>
          <w:color w:val="auto"/>
        </w:rPr>
      </w:pPr>
    </w:p>
    <w:p>
      <w:pPr>
        <w:jc w:val="both"/>
        <w:ind w:left="640" w:firstLine="646"/>
        <w:spacing w:after="0" w:line="236" w:lineRule="auto"/>
        <w:tabs>
          <w:tab w:leader="none" w:pos="175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(or accreted value, if applicable) of such Permitted Refinancing Indebtedness does not exceed the principal amount of the Indebtedness or Disqualified Stock or Preferred Stock exchanged, renewed, refunded, refinanced, replaced, defeased or discharged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all accrued interest on the Indebtedness and all accrued dividends on the Disqualified Stock or Preferred Stock and the amount of all fees and expenses, including premiums, incurred in connection therewith);</w:t>
      </w:r>
    </w:p>
    <w:p>
      <w:pPr>
        <w:spacing w:after="0" w:line="174"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Refinancing Indebtedness has a final maturity date that is either (a) no earlier than the final maturity date of, and has a Weighted Average Life to Maturity equal to or greater than the Weighted Average Life to Maturity of, the Indebtedness or Disqualified Stock or Preferred Stock being exchanged, renewed, refunded, refinanced, replaced, defeased or discharged or (b) more than 90 days after the final maturity date of the Notes;</w:t>
      </w:r>
    </w:p>
    <w:p>
      <w:pPr>
        <w:spacing w:after="0" w:line="173"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3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Indebtedness being exchanged, renewed, refunded, refinanced, replaced, defeased or discharged is subordinated in right of payment to the Notes or the Guarantees, such Permitted Refinancing Indebtedness is subordinated in right of payment to the Notes or the Guarantees, as applicable, on terms at least as favorable to the Holders of Notes as those contained in the documentation governing (or shall be Capital Stock of the obligor on) the Indebtedness being exchanged, renewed, refunded, refinanced, replaced, defeased or discharged, as determined in good faith by the Issuer;</w:t>
      </w:r>
    </w:p>
    <w:p>
      <w:pPr>
        <w:spacing w:after="0" w:line="176"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79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not incurred by a Restricted Subsidiary of the Issuer (other than a Guarantor) if the Issuer or a Guarantor is the issuer or other obligor on the Indebtedness being exchanged, renewed, refunded, refinanced, replaced, defeased or discharged;</w:t>
      </w:r>
    </w:p>
    <w:p>
      <w:pPr>
        <w:spacing w:after="0" w:line="174" w:lineRule="exact"/>
        <w:rPr>
          <w:rFonts w:ascii="Times New Roman" w:cs="Times New Roman" w:eastAsia="Times New Roman" w:hAnsi="Times New Roman"/>
          <w:sz w:val="20"/>
          <w:szCs w:val="20"/>
          <w:color w:val="auto"/>
        </w:rPr>
      </w:pPr>
    </w:p>
    <w:p>
      <w:pPr>
        <w:ind w:left="640" w:firstLine="646"/>
        <w:spacing w:after="0" w:line="247" w:lineRule="auto"/>
        <w:tabs>
          <w:tab w:leader="none" w:pos="193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Preferred Stock being exchanged, renewed, refunded, refinanced, replaced, defeased or discharged was Disqualified Stock of the Issuer, the Permitted Refinancing Indebtedness shall be Disqualified Stock of the Issuer; and</w:t>
      </w:r>
    </w:p>
    <w:p>
      <w:pPr>
        <w:spacing w:after="0" w:line="166" w:lineRule="exact"/>
        <w:rPr>
          <w:rFonts w:ascii="Times New Roman" w:cs="Times New Roman" w:eastAsia="Times New Roman" w:hAnsi="Times New Roman"/>
          <w:sz w:val="20"/>
          <w:szCs w:val="20"/>
          <w:color w:val="auto"/>
        </w:rPr>
      </w:pPr>
    </w:p>
    <w:p>
      <w:pPr>
        <w:ind w:left="640" w:firstLine="646"/>
        <w:spacing w:after="0" w:line="317" w:lineRule="auto"/>
        <w:tabs>
          <w:tab w:leader="none" w:pos="17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Stock being exchanged, renewed, refunded, refinanced, replaced, defeased or discharged was Preferred Stock of a Restricted Subsidiary, the Permitted Refinancing Indebtedness shall be Preferred Stock of such Restricted Subsidiary.</w:t>
      </w:r>
    </w:p>
    <w:p>
      <w:pPr>
        <w:spacing w:after="0" w:line="104" w:lineRule="exact"/>
        <w:rPr>
          <w:sz w:val="20"/>
          <w:szCs w:val="20"/>
          <w:color w:val="auto"/>
        </w:rPr>
      </w:pPr>
    </w:p>
    <w:p>
      <w:pPr>
        <w:ind w:right="70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any individual, corporation, partnership, joint venture, association, joint-stock company, trust, unincorporated organization, limited liability company or government or other entity.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6" w:right="339" w:bottom="1440" w:gutter="0" w:footer="0" w:header="0"/>
        </w:sectPr>
      </w:pPr>
    </w:p>
    <w:bookmarkStart w:id="38" w:name="page39"/>
    <w:bookmarkEnd w:id="38"/>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Preferred Stock</w:t>
      </w:r>
      <w:r>
        <w:rPr>
          <w:rFonts w:ascii="Times New Roman" w:cs="Times New Roman" w:eastAsia="Times New Roman" w:hAnsi="Times New Roman"/>
          <w:sz w:val="20"/>
          <w:szCs w:val="20"/>
          <w:color w:val="auto"/>
        </w:rPr>
        <w:t>” means, with respect to any Person, any and all preferred or preference stock or other similar Equity Interests (however designated) of such Person whether outstanding or issued after the Issue Date.</w:t>
      </w:r>
    </w:p>
    <w:p>
      <w:pPr>
        <w:spacing w:after="0" w:line="162" w:lineRule="exact"/>
        <w:rPr>
          <w:sz w:val="20"/>
          <w:szCs w:val="20"/>
          <w:color w:val="auto"/>
        </w:rPr>
      </w:pPr>
    </w:p>
    <w:p>
      <w:pPr>
        <w:jc w:val="both"/>
        <w:ind w:right="20"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Private Placement Legend</w:t>
      </w:r>
      <w:r>
        <w:rPr>
          <w:rFonts w:ascii="Times New Roman" w:cs="Times New Roman" w:eastAsia="Times New Roman" w:hAnsi="Times New Roman"/>
          <w:sz w:val="20"/>
          <w:szCs w:val="20"/>
          <w:color w:val="auto"/>
        </w:rPr>
        <w:t>” means the legend set forth in Section 2.06(g)(1) to be placed on all Notes issued under this Indenture except where otherwise permitted by the provisions of this Indenture.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Production Payments</w:t>
      </w:r>
      <w:r>
        <w:rPr>
          <w:rFonts w:ascii="Times New Roman" w:cs="Times New Roman" w:eastAsia="Times New Roman" w:hAnsi="Times New Roman"/>
          <w:sz w:val="20"/>
          <w:szCs w:val="20"/>
          <w:color w:val="auto"/>
        </w:rPr>
        <w:t>” means Dollar-Denominated Production Payments and Volumetric Production Payments, collectively.</w:t>
      </w:r>
    </w:p>
    <w:p>
      <w:pPr>
        <w:spacing w:after="0" w:line="19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Production Payments and Reserve Sales</w:t>
      </w:r>
      <w:r>
        <w:rPr>
          <w:rFonts w:ascii="Times New Roman" w:cs="Times New Roman" w:eastAsia="Times New Roman" w:hAnsi="Times New Roman"/>
          <w:sz w:val="18"/>
          <w:szCs w:val="18"/>
          <w:color w:val="auto"/>
        </w:rPr>
        <w:t>” means the grant or transfer by the Issuer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Issuer or any of its Restricted Subsidiaries.</w:t>
      </w:r>
    </w:p>
    <w:p>
      <w:pPr>
        <w:spacing w:after="0" w:line="159"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 forma basis</w:t>
      </w:r>
      <w:r>
        <w:rPr>
          <w:rFonts w:ascii="Times New Roman" w:cs="Times New Roman" w:eastAsia="Times New Roman" w:hAnsi="Times New Roman"/>
          <w:sz w:val="20"/>
          <w:szCs w:val="20"/>
          <w:color w:val="auto"/>
        </w:rPr>
        <w:t xml:space="preserve">” means calculated giving effect to the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adjustments set out in the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adjustment provisions set forth in the definition of “Fixed Charge Coverage Ratio.”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Rating Agency</w:t>
      </w:r>
      <w:r>
        <w:rPr>
          <w:rFonts w:ascii="Times New Roman" w:cs="Times New Roman" w:eastAsia="Times New Roman" w:hAnsi="Times New Roman"/>
          <w:sz w:val="20"/>
          <w:szCs w:val="20"/>
          <w:color w:val="auto"/>
        </w:rPr>
        <w:t>” means:</w:t>
      </w:r>
    </w:p>
    <w:p>
      <w:pPr>
        <w:spacing w:after="0" w:line="198" w:lineRule="exact"/>
        <w:rPr>
          <w:sz w:val="20"/>
          <w:szCs w:val="20"/>
          <w:color w:val="auto"/>
        </w:rPr>
      </w:pPr>
    </w:p>
    <w:p>
      <w:pPr>
        <w:ind w:left="1700" w:hanging="414"/>
        <w:spacing w:after="0"/>
        <w:tabs>
          <w:tab w:leader="none" w:pos="17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Fitch, Moody’s and S&amp;P; and</w:t>
      </w:r>
    </w:p>
    <w:p>
      <w:pPr>
        <w:spacing w:after="0" w:line="196" w:lineRule="exact"/>
        <w:rPr>
          <w:rFonts w:ascii="Times New Roman" w:cs="Times New Roman" w:eastAsia="Times New Roman" w:hAnsi="Times New Roman"/>
          <w:sz w:val="20"/>
          <w:szCs w:val="20"/>
          <w:color w:val="auto"/>
        </w:rPr>
      </w:pPr>
    </w:p>
    <w:p>
      <w:pPr>
        <w:jc w:val="both"/>
        <w:ind w:left="640" w:firstLine="646"/>
        <w:spacing w:after="0" w:line="242" w:lineRule="auto"/>
        <w:tabs>
          <w:tab w:leader="none" w:pos="177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Fitch, Moody’s or S&amp;P ceases to rate the Notes or fails to make a rating of the Notes publicly available for reasons outside of our control, a “nationally recognized statistical rating organization” within the meaning of Section 3(a)(62) of the Exchange Act selected by the Issuer as a replacement rating agency for Fitch, Moody’s or S&amp;P, as the case may be.</w:t>
      </w:r>
    </w:p>
    <w:p>
      <w:pPr>
        <w:spacing w:after="0" w:line="169"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Rating Date</w:t>
      </w:r>
      <w:r>
        <w:rPr>
          <w:rFonts w:ascii="Times New Roman" w:cs="Times New Roman" w:eastAsia="Times New Roman" w:hAnsi="Times New Roman"/>
          <w:sz w:val="20"/>
          <w:szCs w:val="20"/>
          <w:color w:val="auto"/>
        </w:rPr>
        <w:t>” means the earlier of the date of public notice of (i) the occurrence of a Change of Control or (ii) the Issuer’s intention to effect a Change of Control.</w:t>
      </w:r>
    </w:p>
    <w:p>
      <w:pPr>
        <w:spacing w:after="0" w:line="162"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Decline</w:t>
      </w:r>
      <w:r>
        <w:rPr>
          <w:rFonts w:ascii="Times New Roman" w:cs="Times New Roman" w:eastAsia="Times New Roman" w:hAnsi="Times New Roman"/>
          <w:sz w:val="18"/>
          <w:szCs w:val="18"/>
          <w:color w:val="auto"/>
        </w:rPr>
        <w:t xml:space="preserve">” shall be deemed to have occurred if, no later than 30 days after the Rating Date (which period shall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for the avoidance of doubt, a publicly announced change or possible change in outlook (including negative outlook or negative watch or similar status) shall not extend such period), at least two of the Rating Agencies decrease their rating of the Notes as a result of a Change of Control to a rating that is below their respective ratings of the Notes on the day immediately prior to the earlier of (i) the date of the first public announcement of the possibility of a proposed transaction that would result in a Change of Control or (ii) the date that the possibility of such transaction is disclosed to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 Rating Decline shall be deemed to have occurred only if the applicable Rating Agencies announce or publicly confirm that such rating decrease resulted from a Change of Control (and not primarily from any other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4" w:right="339" w:bottom="1440" w:gutter="0" w:footer="0" w:header="0"/>
        </w:sectPr>
      </w:pPr>
    </w:p>
    <w:bookmarkStart w:id="39" w:name="page40"/>
    <w:bookmarkEnd w:id="39"/>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event or circumstance). Notwithstanding the foregoing, if the Notes have an Investment Grade Rating by at least two of the Rating Agencies immediately prior to the Rating Date, then “Rating Decline” means a decrease in the ratings of the Notes by one or more gradations (including gradations within categories as well as between rating categories) by at least two of the Rating Agencies such that the rating of the Notes by each such Rating Agency falls below an Investment Grade Rating no later than 30 days after the Rating Date (which 30-day period will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any case, for the avoidance of doubt, a publicly announced change or possible change in outlook (including negative outlook or negative watch or similar status) shall not extend such period).</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196"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 Global Note</w:t>
      </w:r>
      <w:r>
        <w:rPr>
          <w:rFonts w:ascii="Times New Roman" w:cs="Times New Roman" w:eastAsia="Times New Roman" w:hAnsi="Times New Roman"/>
          <w:sz w:val="20"/>
          <w:szCs w:val="20"/>
          <w:color w:val="auto"/>
        </w:rPr>
        <w:t xml:space="preserve">” means a Global Note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8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Resale Restriction Termination Date</w:t>
      </w:r>
      <w:r>
        <w:rPr>
          <w:rFonts w:ascii="Times New Roman" w:cs="Times New Roman" w:eastAsia="Times New Roman" w:hAnsi="Times New Roman"/>
          <w:sz w:val="20"/>
          <w:szCs w:val="20"/>
          <w:color w:val="auto"/>
        </w:rPr>
        <w:t>” means, with respect to any Note, the date one year after the later of the date of original issue of such Note or the last day on which the Issuer or any Affiliate of the Issuer was the owner of such Note (or any predecessor of such Note).</w:t>
      </w:r>
    </w:p>
    <w:p>
      <w:pPr>
        <w:spacing w:after="0" w:line="162"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Responsible Officer</w:t>
      </w:r>
      <w:r>
        <w:rPr>
          <w:rFonts w:ascii="Times New Roman" w:cs="Times New Roman" w:eastAsia="Times New Roman" w:hAnsi="Times New Roman"/>
          <w:sz w:val="20"/>
          <w:szCs w:val="20"/>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Definitive Note</w:t>
      </w:r>
      <w:r>
        <w:rPr>
          <w:rFonts w:ascii="Times New Roman" w:cs="Times New Roman" w:eastAsia="Times New Roman" w:hAnsi="Times New Roman"/>
          <w:sz w:val="20"/>
          <w:szCs w:val="20"/>
          <w:color w:val="auto"/>
        </w:rPr>
        <w:t>” means a Definitive Note bearing the Private Placement Legend.</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Global Note</w:t>
      </w:r>
      <w:r>
        <w:rPr>
          <w:rFonts w:ascii="Times New Roman" w:cs="Times New Roman" w:eastAsia="Times New Roman" w:hAnsi="Times New Roman"/>
          <w:sz w:val="20"/>
          <w:szCs w:val="20"/>
          <w:color w:val="auto"/>
        </w:rPr>
        <w:t>” means a Global Note bearing the Private Placement Legend.</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Investment</w:t>
      </w:r>
      <w:r>
        <w:rPr>
          <w:rFonts w:ascii="Times New Roman" w:cs="Times New Roman" w:eastAsia="Times New Roman" w:hAnsi="Times New Roman"/>
          <w:sz w:val="20"/>
          <w:szCs w:val="20"/>
          <w:color w:val="auto"/>
        </w:rPr>
        <w:t>” means an Investment other than a Permitted Investment.</w:t>
      </w:r>
    </w:p>
    <w:p>
      <w:pPr>
        <w:spacing w:after="0" w:line="19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Subsidiary</w:t>
      </w:r>
      <w:r>
        <w:rPr>
          <w:rFonts w:ascii="Times New Roman" w:cs="Times New Roman" w:eastAsia="Times New Roman" w:hAnsi="Times New Roman"/>
          <w:sz w:val="20"/>
          <w:szCs w:val="20"/>
          <w:color w:val="auto"/>
        </w:rPr>
        <w:t>” of a Person means any Subsidiary of the referent Person that is not an Unrestricted Subsidiary. Except where expressly stated otherwise, all references to Restricted Subsidiaries refer to Restricted Subsidiaries of the Issuer.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w:t>
      </w:r>
      <w:r>
        <w:rPr>
          <w:rFonts w:ascii="Times New Roman" w:cs="Times New Roman" w:eastAsia="Times New Roman" w:hAnsi="Times New Roman"/>
          <w:sz w:val="20"/>
          <w:szCs w:val="20"/>
          <w:color w:val="auto"/>
        </w:rPr>
        <w:t>” means Rule 144 promulgated under the Securities Act.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 means Rule 144A promulgated under the Securities Act.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903</w:t>
      </w:r>
      <w:r>
        <w:rPr>
          <w:rFonts w:ascii="Times New Roman" w:cs="Times New Roman" w:eastAsia="Times New Roman" w:hAnsi="Times New Roman"/>
          <w:sz w:val="20"/>
          <w:szCs w:val="20"/>
          <w:color w:val="auto"/>
        </w:rPr>
        <w:t>” means Rule 903 promulgated under the Securities Act.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904</w:t>
      </w:r>
      <w:r>
        <w:rPr>
          <w:rFonts w:ascii="Times New Roman" w:cs="Times New Roman" w:eastAsia="Times New Roman" w:hAnsi="Times New Roman"/>
          <w:sz w:val="20"/>
          <w:szCs w:val="20"/>
          <w:color w:val="auto"/>
        </w:rPr>
        <w:t>” means Rule 904 promulgated under the Securities Act.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S&amp;P</w:t>
      </w:r>
      <w:r>
        <w:rPr>
          <w:rFonts w:ascii="Times New Roman" w:cs="Times New Roman" w:eastAsia="Times New Roman" w:hAnsi="Times New Roman"/>
          <w:sz w:val="20"/>
          <w:szCs w:val="20"/>
          <w:color w:val="auto"/>
        </w:rPr>
        <w:t>” means S&amp;P Global Ratings.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96" w:right="339" w:bottom="1440" w:gutter="0" w:footer="0" w:header="0"/>
        </w:sectPr>
      </w:pPr>
    </w:p>
    <w:bookmarkStart w:id="40" w:name="page41"/>
    <w:bookmarkEnd w:id="40"/>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Sale and Leaseback Transaction</w:t>
      </w:r>
      <w:r>
        <w:rPr>
          <w:rFonts w:ascii="Times New Roman" w:cs="Times New Roman" w:eastAsia="Times New Roman" w:hAnsi="Times New Roman"/>
          <w:sz w:val="20"/>
          <w:szCs w:val="20"/>
          <w:color w:val="auto"/>
        </w:rPr>
        <w:t>” means an arrangement relating to property now owned or hereafter acquired whereby the Issuer or a Restricted Subsidiary of the Issuer transfers such property to a Person and the Issuer or a Restricted Subsidiary of the Issuer leases it from such Person.</w:t>
      </w:r>
    </w:p>
    <w:p>
      <w:pPr>
        <w:spacing w:after="0" w:line="172"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Screened Affiliate</w:t>
      </w:r>
      <w:r>
        <w:rPr>
          <w:rFonts w:ascii="Times New Roman" w:cs="Times New Roman" w:eastAsia="Times New Roman" w:hAnsi="Times New Roman"/>
          <w:sz w:val="20"/>
          <w:szCs w:val="20"/>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w:t>
      </w:r>
      <w:r>
        <w:rPr>
          <w:rFonts w:ascii="Times New Roman" w:cs="Times New Roman" w:eastAsia="Times New Roman" w:hAnsi="Times New Roman"/>
          <w:sz w:val="20"/>
          <w:szCs w:val="20"/>
          <w:color w:val="auto"/>
        </w:rPr>
        <w:t>” means the Securities and Exchange Commission.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Senior Debt</w:t>
      </w:r>
      <w:r>
        <w:rPr>
          <w:rFonts w:ascii="Times New Roman" w:cs="Times New Roman" w:eastAsia="Times New Roman" w:hAnsi="Times New Roman"/>
          <w:sz w:val="20"/>
          <w:szCs w:val="20"/>
          <w:color w:val="auto"/>
        </w:rPr>
        <w:t>” means:</w:t>
      </w:r>
    </w:p>
    <w:p>
      <w:pPr>
        <w:spacing w:after="0" w:line="198" w:lineRule="exact"/>
        <w:rPr>
          <w:sz w:val="20"/>
          <w:szCs w:val="20"/>
          <w:color w:val="auto"/>
        </w:rPr>
      </w:pPr>
    </w:p>
    <w:p>
      <w:pPr>
        <w:ind w:left="640" w:firstLine="646"/>
        <w:spacing w:after="0" w:line="247" w:lineRule="auto"/>
        <w:tabs>
          <w:tab w:leader="none" w:pos="17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Issuer or any of its Restricted Subsidiaries outstanding under Credit Facilities and all obligations under Hedging Obligations with respect thereto;</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36" w:lineRule="auto"/>
        <w:tabs>
          <w:tab w:leader="none" w:pos="172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Indebtedness of the Issuer or any of its Restricted Subsidiaries permitted to be incurred under the terms of this Indenture, unless the instrument under which such Indebtedness is incurred expressly provides that it is subordinated in right of payment to the Notes or any Guarantee; and</w:t>
      </w:r>
    </w:p>
    <w:p>
      <w:pPr>
        <w:spacing w:after="0" w:line="174"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with respect to the items listed in the preceding clauses (1) and (2).</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Notwithstanding anything to the contrary in the preceding sentence, Senior Debt will not include:</w:t>
      </w:r>
    </w:p>
    <w:p>
      <w:pPr>
        <w:spacing w:after="0" w:line="210" w:lineRule="exact"/>
        <w:rPr>
          <w:sz w:val="20"/>
          <w:szCs w:val="20"/>
          <w:color w:val="auto"/>
        </w:rPr>
      </w:pPr>
    </w:p>
    <w:p>
      <w:pPr>
        <w:ind w:left="1700" w:hanging="414"/>
        <w:spacing w:after="0"/>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intercompany Indebtedness of the Issuer or any of its Restricted Subsidiaries to the Issuer or any Affiliate;</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that is incurred in violation of this Indenture; or</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 Stock.</w:t>
      </w:r>
    </w:p>
    <w:p>
      <w:pPr>
        <w:spacing w:after="0" w:line="194"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Short Derivative Instrument</w:t>
      </w:r>
      <w:r>
        <w:rPr>
          <w:rFonts w:ascii="Times New Roman" w:cs="Times New Roman" w:eastAsia="Times New Roman" w:hAnsi="Times New Roman"/>
          <w:sz w:val="20"/>
          <w:szCs w:val="20"/>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3"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Significant Subsidiary</w:t>
      </w:r>
      <w:r>
        <w:rPr>
          <w:rFonts w:ascii="Times New Roman" w:cs="Times New Roman" w:eastAsia="Times New Roman" w:hAnsi="Times New Roman"/>
          <w:sz w:val="20"/>
          <w:szCs w:val="20"/>
          <w:color w:val="auto"/>
        </w:rPr>
        <w:t>” means any Restricted Subsidiary that would be a “significant subsidiary” as defined in Article 1, Rule 1-02 of Regulation S-X, promulgated pursuant to the Securities Act, as such Regulation is in effect on the Issue Date.</w:t>
      </w:r>
    </w:p>
    <w:p>
      <w:pPr>
        <w:spacing w:after="0" w:line="149"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Stated Maturity</w:t>
      </w:r>
      <w:r>
        <w:rPr>
          <w:rFonts w:ascii="Times New Roman" w:cs="Times New Roman" w:eastAsia="Times New Roman" w:hAnsi="Times New Roman"/>
          <w:sz w:val="20"/>
          <w:szCs w:val="20"/>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redeem or repurchase any such interest or principal prior to the date originally scheduled for the payment thereof.</w:t>
      </w:r>
    </w:p>
    <w:p>
      <w:pPr>
        <w:spacing w:after="0" w:line="194"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Strip Prices</w:t>
      </w:r>
      <w:r>
        <w:rPr>
          <w:rFonts w:ascii="Times New Roman" w:cs="Times New Roman" w:eastAsia="Times New Roman" w:hAnsi="Times New Roman"/>
          <w:sz w:val="20"/>
          <w:szCs w:val="20"/>
          <w:color w:val="auto"/>
        </w:rPr>
        <w:t xml:space="preserve">” means, as of any date of determination, the forward month prices for the most comparable Hydrocarbon commodity applicable to such future production month for a five year period (or such shorter period if forward month prices are not quoted for a reasonably comparable Hydrocarbon commodity for the full specified period), with such prices held constant thereafter based on the last quoted forward month price of such period, as such prices are (i) quoted on the NYMEX (or its successor), and (ii) as adjusted in good faith by the Issuer’s management for energy content, quality and basis differentials;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estimated future production for which prices are defined, within the meaning of SEC guidelines, by contractual arrangements (excluding escalations based upon future conditions), then such contract prices shall be applied to future production subject to such arrangements.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means, with respect to any specified Person:</w:t>
      </w:r>
    </w:p>
    <w:p>
      <w:pPr>
        <w:spacing w:after="0" w:line="198" w:lineRule="exact"/>
        <w:rPr>
          <w:sz w:val="20"/>
          <w:szCs w:val="20"/>
          <w:color w:val="auto"/>
        </w:rPr>
      </w:pPr>
    </w:p>
    <w:p>
      <w:pPr>
        <w:jc w:val="both"/>
        <w:ind w:left="640" w:firstLine="646"/>
        <w:spacing w:after="0" w:line="236" w:lineRule="auto"/>
        <w:tabs>
          <w:tab w:leader="none" w:pos="170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association or other business entity (other than a partnership or limited liability company) of which more than 50% of the total voting power of its Voting Stock is at the time owned or controlled, directly or indirectly, by that Person or one or more of the other Subsidiaries of that Person (or a combination thereof); and</w:t>
      </w:r>
    </w:p>
    <w:p>
      <w:pPr>
        <w:spacing w:after="0" w:line="187" w:lineRule="exact"/>
        <w:rPr>
          <w:rFonts w:ascii="Times New Roman" w:cs="Times New Roman" w:eastAsia="Times New Roman" w:hAnsi="Times New Roman"/>
          <w:sz w:val="20"/>
          <w:szCs w:val="20"/>
          <w:color w:val="auto"/>
        </w:rPr>
      </w:pPr>
    </w:p>
    <w:p>
      <w:pPr>
        <w:jc w:val="both"/>
        <w:ind w:left="640" w:firstLine="646"/>
        <w:spacing w:after="0" w:line="231" w:lineRule="auto"/>
        <w:tabs>
          <w:tab w:leader="none" w:pos="1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partnership or limited liability company of which (a)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or (b) such Person or any Subsidiary of such Person is the sole or controlling general partner or manager or managing member of, or otherwise controls, such entity.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TIA</w:t>
      </w:r>
      <w:r>
        <w:rPr>
          <w:rFonts w:ascii="Times New Roman" w:cs="Times New Roman" w:eastAsia="Times New Roman" w:hAnsi="Times New Roman"/>
          <w:sz w:val="20"/>
          <w:szCs w:val="20"/>
          <w:color w:val="auto"/>
        </w:rPr>
        <w:t>” means the Trust Indenture Act of 1939, as amended (15 U.S.C. §§ 77aaa-77bbbb), as in effect on the Issue Date.</w:t>
      </w:r>
    </w:p>
    <w:p>
      <w:pPr>
        <w:spacing w:after="0" w:line="196"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Total Leverage Ratio</w:t>
      </w:r>
      <w:r>
        <w:rPr>
          <w:rFonts w:ascii="Times New Roman" w:cs="Times New Roman" w:eastAsia="Times New Roman" w:hAnsi="Times New Roman"/>
          <w:sz w:val="20"/>
          <w:szCs w:val="20"/>
          <w:color w:val="auto"/>
        </w:rPr>
        <w:t xml:space="preserve">” means, at any date of determination, the ratio of (a) Consolidated Leverage Ratio Indebtedness, net of consolidated cash and Cash Equivalents, of the Issuer and the Restricted Subsidiaries on such date to (b) Consolidated Cash Flow of the Issuer and the Restricted Subsidiaries for the period of four consecutive fiscal quarters for which internal financial statements are available prior to such date, in each case,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w:t>
      </w:r>
    </w:p>
    <w:p>
      <w:pPr>
        <w:spacing w:after="0" w:line="171"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Trade Payables</w:t>
      </w:r>
      <w:r>
        <w:rPr>
          <w:rFonts w:ascii="Times New Roman" w:cs="Times New Roman" w:eastAsia="Times New Roman" w:hAnsi="Times New Roman"/>
          <w:sz w:val="20"/>
          <w:szCs w:val="20"/>
          <w:color w:val="auto"/>
        </w:rPr>
        <w:t>” means, as to any Person, (a) accounts payable or other obligations of such Person created or assumed by such Person in the ordinary course of business in connection with the obtaining of goods or services and (b) obligations arising under contracts for the exploration, development, drilling, completion and plugging and abandonment of wells or for the construction, repair or maintenance of related infrastructure or facilities.</w:t>
      </w:r>
    </w:p>
    <w:p>
      <w:pPr>
        <w:spacing w:after="0" w:line="173"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xml:space="preserve">” means, as of any redemption date, the yield to maturity as of such redemption date of the most recently issued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or the relevant information does not appear thereon, any publicly available source of similar market data)) most nearly equal to the period from the redemption date to July 15, 2029;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the redemption date to July 15, 2029, is less than one year, the weekly average yield on actively traded United States Treasury securities adjusted to a constant maturity of one year will be used. The Issuer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6" w:right="339" w:bottom="1440" w:gutter="0" w:footer="0" w:header="0"/>
        </w:sectPr>
      </w:pPr>
    </w:p>
    <w:bookmarkStart w:id="42" w:name="page43"/>
    <w:bookmarkEnd w:id="42"/>
    <w:p>
      <w:pPr>
        <w:jc w:val="both"/>
        <w:spacing w:after="0" w:line="233" w:lineRule="auto"/>
        <w:rPr>
          <w:sz w:val="20"/>
          <w:szCs w:val="20"/>
          <w:color w:val="auto"/>
        </w:rPr>
      </w:pPr>
      <w:r>
        <w:rPr>
          <w:rFonts w:ascii="Times New Roman" w:cs="Times New Roman" w:eastAsia="Times New Roman" w:hAnsi="Times New Roman"/>
          <w:sz w:val="20"/>
          <w:szCs w:val="20"/>
          <w:color w:val="auto"/>
        </w:rPr>
        <w:t>will (a) calculate the Treasury Rate on the second Business Day preceding the applicable redemption date and (b) prior to such redemption date file with the Trustee an Officer’s Certificate setting forth the Applicable Premium and the Treasury Rate and showing the calculation of each in reasonable detail. The Trustee may conclusively rely on such Officer’s Certificate and shall have no obligation to confirm or verify any such calculations.</w:t>
      </w:r>
    </w:p>
    <w:p>
      <w:pPr>
        <w:spacing w:after="0" w:line="18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 means Wilmington Trust, National Association, in its capacity as such, until a successor replaces it in accordance with the applicable provisions of this Indenture and thereafter means the successor serving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Unrestricted Definitive Note</w:t>
      </w:r>
      <w:r>
        <w:rPr>
          <w:rFonts w:ascii="Times New Roman" w:cs="Times New Roman" w:eastAsia="Times New Roman" w:hAnsi="Times New Roman"/>
          <w:sz w:val="20"/>
          <w:szCs w:val="20"/>
          <w:color w:val="auto"/>
        </w:rPr>
        <w:t>” means a Definitive Note that does not bear and is not required to bear the Private Placement Legend.</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Unrestricted Global Note</w:t>
      </w:r>
      <w:r>
        <w:rPr>
          <w:rFonts w:ascii="Times New Roman" w:cs="Times New Roman" w:eastAsia="Times New Roman" w:hAnsi="Times New Roman"/>
          <w:sz w:val="20"/>
          <w:szCs w:val="20"/>
          <w:color w:val="auto"/>
        </w:rPr>
        <w:t>” means a Global Note that does not bear and is not required to bear the Private Placement Legend.</w:t>
      </w:r>
    </w:p>
    <w:p>
      <w:pPr>
        <w:spacing w:after="0" w:line="196"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Unrestricted Subsidiary</w:t>
      </w:r>
      <w:r>
        <w:rPr>
          <w:rFonts w:ascii="Times New Roman" w:cs="Times New Roman" w:eastAsia="Times New Roman" w:hAnsi="Times New Roman"/>
          <w:sz w:val="20"/>
          <w:szCs w:val="20"/>
          <w:color w:val="auto"/>
        </w:rPr>
        <w:t>” means (a) as of the Issue Date, without further action, Elk Hills Power, LLC, Carbon TerraVault Holdings, LLC and its Subsidiaries, Oso Rojo, LLC and California Resources Pipeline Company, LLC and (b) any Subsidiary of the Issuer (including any newly acquired or newly formed Subsidiary or a Person becoming a Subsidiary through merger or consolidation or Investment therein) that is designated (or deemed designated) by the Issuer as an Unrestricted Subsidiary pursuant to an Officer’s Certificate, but only to the extent, in the case of this clause (b), that such Subsidiary, at the time of such designation:</w:t>
      </w:r>
    </w:p>
    <w:p>
      <w:pPr>
        <w:spacing w:after="0" w:line="174" w:lineRule="exact"/>
        <w:rPr>
          <w:sz w:val="20"/>
          <w:szCs w:val="20"/>
          <w:color w:val="auto"/>
        </w:rPr>
      </w:pPr>
    </w:p>
    <w:p>
      <w:pPr>
        <w:jc w:val="both"/>
        <w:ind w:left="640" w:firstLine="646"/>
        <w:spacing w:after="0" w:line="236" w:lineRule="auto"/>
        <w:tabs>
          <w:tab w:leader="none" w:pos="177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 Indebtedness other than Non-Recourse Debt owing to any Person other than the Issuer or any of its Restricted Subsidiaries (other than any guarantee of the Notes or the Guarantees or any Indebtedness that would be released upon such designation);</w:t>
      </w:r>
    </w:p>
    <w:p>
      <w:pPr>
        <w:spacing w:after="0" w:line="174"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0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Section 4.11, is not party to any agreement, contract, arrangement or understanding with the Issuer or any Restricted Subsidiary of the Issuer unless the terms of any such agreement, contract, arrangement or understanding, together with the terms of all other agreements, contracts, arrangements and understandings with such Unrestricted Subsidiary, taken as a whole, are no less favorable to the Issuer or such Restricted Subsidiary than those that might be obtained at the time from Persons who are not Affiliates of the Issuer, as determined in good faith by the Issuer;</w:t>
      </w:r>
    </w:p>
    <w:p>
      <w:pPr>
        <w:spacing w:after="0" w:line="176" w:lineRule="exact"/>
        <w:rPr>
          <w:rFonts w:ascii="Times New Roman" w:cs="Times New Roman" w:eastAsia="Times New Roman" w:hAnsi="Times New Roman"/>
          <w:sz w:val="20"/>
          <w:szCs w:val="20"/>
          <w:color w:val="auto"/>
        </w:rPr>
      </w:pPr>
    </w:p>
    <w:p>
      <w:pPr>
        <w:ind w:left="640" w:firstLine="646"/>
        <w:spacing w:after="0" w:line="247" w:lineRule="auto"/>
        <w:tabs>
          <w:tab w:leader="none" w:pos="180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Person with respect to which neither the Issuer nor any of its Restricted Subsidiaries has any direct or indirect obligation (a) to subscribe for additional Equity Interests or (b) to maintain or preserve such Person’s financial condition; and</w:t>
      </w:r>
    </w:p>
    <w:p>
      <w:pPr>
        <w:spacing w:after="0" w:line="166" w:lineRule="exact"/>
        <w:rPr>
          <w:rFonts w:ascii="Times New Roman" w:cs="Times New Roman" w:eastAsia="Times New Roman" w:hAnsi="Times New Roman"/>
          <w:sz w:val="20"/>
          <w:szCs w:val="20"/>
          <w:color w:val="auto"/>
        </w:rPr>
      </w:pPr>
    </w:p>
    <w:p>
      <w:pPr>
        <w:jc w:val="both"/>
        <w:ind w:left="640" w:firstLine="646"/>
        <w:spacing w:after="0" w:line="233" w:lineRule="auto"/>
        <w:tabs>
          <w:tab w:leader="none" w:pos="170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 guaranteed or otherwise become an obligor on any Indebtedness of the Issuer or any of its Restricted Subsidiaries, except to the extent such guarantee or obligation would be released upon such designation and except for (x) any Non-Recourse Debt with respect to which the Issuer or any Restricted Subsidiary has pledged (or provided a guarantee limited in recourse solely to) Equity Interests in such Subsidiary or (y) any guarantee of the Notes and the Guarantees,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except, in the case of clauses (1), (2), (3) or (4), for any such Indebtedness that is subject to a guarantee by or other obligation of, or any agreement, contract, arrangement or understanding with, or any equity subscription or credit support obligation of, the Issuer or Restricted Subsidiary that constitutes an Investment in such Subsidiary that has been effected as a Restricted Payment or Permitted Investment that complies with Section 4.07.</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96"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20"/>
          <w:szCs w:val="20"/>
          <w:color w:val="auto"/>
        </w:rPr>
        <w:t>All Subsidiaries of an Unrestricted Subsidiary shall also be Unrestricted Subsidiaries automatically without further action.</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Person</w:t>
      </w:r>
      <w:r>
        <w:rPr>
          <w:rFonts w:ascii="Times New Roman" w:cs="Times New Roman" w:eastAsia="Times New Roman" w:hAnsi="Times New Roman"/>
          <w:sz w:val="20"/>
          <w:szCs w:val="20"/>
          <w:color w:val="auto"/>
        </w:rPr>
        <w:t>” means a U.S. Person as defined in Rule 902(k) promulgated under the Securities Act.</w:t>
      </w:r>
    </w:p>
    <w:p>
      <w:pPr>
        <w:spacing w:after="0" w:line="143" w:lineRule="exact"/>
        <w:rPr>
          <w:sz w:val="20"/>
          <w:szCs w:val="20"/>
          <w:color w:val="auto"/>
        </w:rPr>
      </w:pPr>
    </w:p>
    <w:p>
      <w:pPr>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Volumetric Production Payments</w:t>
      </w:r>
      <w:r>
        <w:rPr>
          <w:rFonts w:ascii="Times New Roman" w:cs="Times New Roman" w:eastAsia="Times New Roman" w:hAnsi="Times New Roman"/>
          <w:sz w:val="20"/>
          <w:szCs w:val="20"/>
          <w:color w:val="auto"/>
        </w:rPr>
        <w:t>” means production payment obligations recorded as deferred revenue in accordance with GAAP, together with all undertakings and obligations in connection therewith.</w:t>
      </w:r>
    </w:p>
    <w:p>
      <w:pPr>
        <w:spacing w:after="0" w:line="119" w:lineRule="exact"/>
        <w:rPr>
          <w:sz w:val="20"/>
          <w:szCs w:val="20"/>
          <w:color w:val="auto"/>
        </w:rPr>
      </w:pPr>
    </w:p>
    <w:p>
      <w:pPr>
        <w:ind w:firstLine="640"/>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entitling the holders thereof (whether at all times or only so long as no senior class of Capital Stock has voting power by reason of any contingency) to vote in the election of members</w:t>
      </w:r>
    </w:p>
    <w:p>
      <w:pPr>
        <w:spacing w:after="0" w:line="210" w:lineRule="auto"/>
        <w:rPr>
          <w:sz w:val="20"/>
          <w:szCs w:val="20"/>
          <w:color w:val="auto"/>
        </w:rPr>
      </w:pPr>
      <w:r>
        <w:rPr>
          <w:rFonts w:ascii="Times New Roman" w:cs="Times New Roman" w:eastAsia="Times New Roman" w:hAnsi="Times New Roman"/>
          <w:sz w:val="20"/>
          <w:szCs w:val="20"/>
          <w:color w:val="auto"/>
        </w:rPr>
        <w:t xml:space="preserve">of the Board of Directors of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 limited partnership or other entity which does not have a Board of</w:t>
      </w:r>
    </w:p>
    <w:p>
      <w:pPr>
        <w:ind w:right="20"/>
        <w:spacing w:after="0" w:line="218" w:lineRule="auto"/>
        <w:rPr>
          <w:sz w:val="20"/>
          <w:szCs w:val="20"/>
          <w:color w:val="auto"/>
        </w:rPr>
      </w:pPr>
      <w:r>
        <w:rPr>
          <w:rFonts w:ascii="Times New Roman" w:cs="Times New Roman" w:eastAsia="Times New Roman" w:hAnsi="Times New Roman"/>
          <w:sz w:val="20"/>
          <w:szCs w:val="20"/>
          <w:color w:val="auto"/>
        </w:rPr>
        <w:t>Directors, Voting Stock means the Capital Stock of the general partner of such limited partnership or other business entity with the ultimate authority to manage the business and operations of such Person.</w:t>
      </w:r>
    </w:p>
    <w:p>
      <w:pPr>
        <w:spacing w:after="0" w:line="118" w:lineRule="exact"/>
        <w:rPr>
          <w:sz w:val="20"/>
          <w:szCs w:val="20"/>
          <w:color w:val="auto"/>
        </w:rPr>
      </w:pPr>
    </w:p>
    <w:p>
      <w:pPr>
        <w:ind w:firstLine="64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Weighted Average Life to Maturity</w:t>
      </w:r>
      <w:r>
        <w:rPr>
          <w:rFonts w:ascii="Times New Roman" w:cs="Times New Roman" w:eastAsia="Times New Roman" w:hAnsi="Times New Roman"/>
          <w:sz w:val="20"/>
          <w:szCs w:val="20"/>
          <w:color w:val="auto"/>
        </w:rPr>
        <w:t xml:space="preserve">” means, when applied to any Indebtedness (or Disqualified Stock or Preferred Stock) at any date, the number of years obtained by </w:t>
      </w:r>
      <w:r>
        <w:rPr>
          <w:rFonts w:ascii="Times New Roman" w:cs="Times New Roman" w:eastAsia="Times New Roman" w:hAnsi="Times New Roman"/>
          <w:sz w:val="20"/>
          <w:szCs w:val="20"/>
          <w:i w:val="1"/>
          <w:iCs w:val="1"/>
          <w:color w:val="auto"/>
        </w:rPr>
        <w:t>dividing</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jc w:val="both"/>
        <w:ind w:left="640" w:firstLine="646"/>
        <w:spacing w:after="0" w:line="219" w:lineRule="auto"/>
        <w:tabs>
          <w:tab w:leader="none" w:pos="174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products obtained by </w:t>
      </w:r>
      <w:r>
        <w:rPr>
          <w:rFonts w:ascii="Times New Roman" w:cs="Times New Roman" w:eastAsia="Times New Roman" w:hAnsi="Times New Roman"/>
          <w:sz w:val="20"/>
          <w:szCs w:val="20"/>
          <w:i w:val="1"/>
          <w:iCs w:val="1"/>
          <w:color w:val="auto"/>
        </w:rPr>
        <w:t>multiplying</w:t>
      </w:r>
      <w:r>
        <w:rPr>
          <w:rFonts w:ascii="Times New Roman" w:cs="Times New Roman" w:eastAsia="Times New Roman" w:hAnsi="Times New Roman"/>
          <w:sz w:val="20"/>
          <w:szCs w:val="20"/>
          <w:color w:val="auto"/>
        </w:rPr>
        <w:t xml:space="preserve"> (a) the amount of each then remaining installment, sinking fund, serial maturity or other required payments of principal or (with respect to Preferred Stock) redemption or similar payment, including payment at final maturity, in respect of the Indebtedness (or Disqualified Stock or Preferred Stock),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(b) the number of years (calculated to the nearest one-twelfth) that will elapse between such date and the making of such payment; </w:t>
      </w:r>
      <w:r>
        <w:rPr>
          <w:rFonts w:ascii="Times New Roman" w:cs="Times New Roman" w:eastAsia="Times New Roman" w:hAnsi="Times New Roman"/>
          <w:sz w:val="20"/>
          <w:szCs w:val="20"/>
          <w:i w:val="1"/>
          <w:iCs w:val="1"/>
          <w:color w:val="auto"/>
        </w:rPr>
        <w:t>by</w:t>
      </w:r>
    </w:p>
    <w:p>
      <w:pPr>
        <w:spacing w:after="0" w:line="135"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 (or Disqualified Stock or Preferred Stock).</w:t>
      </w:r>
    </w:p>
    <w:p>
      <w:pPr>
        <w:spacing w:after="0" w:line="155"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8"/>
          <w:szCs w:val="18"/>
          <w:i w:val="1"/>
          <w:iCs w:val="1"/>
          <w:color w:val="auto"/>
        </w:rPr>
        <w:t>Other Definitions.</w:t>
      </w:r>
    </w:p>
    <w:p>
      <w:pPr>
        <w:spacing w:after="0" w:line="265" w:lineRule="exact"/>
        <w:rPr>
          <w:sz w:val="20"/>
          <w:szCs w:val="20"/>
          <w:color w:val="auto"/>
        </w:rPr>
      </w:pPr>
    </w:p>
    <w:tbl>
      <w:tblPr>
        <w:tblLayout w:type="fixed"/>
        <w:tblInd w:w="700" w:type="dxa"/>
        <w:tblCellMar>
          <w:top w:w="0" w:type="dxa"/>
          <w:left w:w="0" w:type="dxa"/>
          <w:bottom w:w="0" w:type="dxa"/>
          <w:right w:w="0" w:type="dxa"/>
        </w:tblCellMar>
      </w:tblPr>
      <w:tr>
        <w:trPr>
          <w:trHeight w:val="254"/>
        </w:trPr>
        <w:tc>
          <w:tcPr>
            <w:tcW w:w="40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3480" w:type="dxa"/>
            <w:vAlign w:val="bottom"/>
            <w:gridSpan w:val="3"/>
          </w:tcPr>
          <w:p>
            <w:pPr>
              <w:jc w:val="center"/>
              <w:ind w:left="1942"/>
              <w:spacing w:after="0"/>
              <w:rPr>
                <w:sz w:val="20"/>
                <w:szCs w:val="20"/>
                <w:color w:val="auto"/>
              </w:rPr>
            </w:pPr>
            <w:r>
              <w:rPr>
                <w:rFonts w:ascii="Times New Roman" w:cs="Times New Roman" w:eastAsia="Times New Roman" w:hAnsi="Times New Roman"/>
                <w:sz w:val="20"/>
                <w:szCs w:val="20"/>
                <w:color w:val="auto"/>
                <w:w w:val="98"/>
              </w:rPr>
              <w:t>Defined in</w:t>
            </w:r>
          </w:p>
        </w:tc>
        <w:tc>
          <w:tcPr>
            <w:tcW w:w="0" w:type="dxa"/>
            <w:vAlign w:val="bottom"/>
          </w:tcPr>
          <w:p>
            <w:pPr>
              <w:spacing w:after="0"/>
              <w:rPr>
                <w:sz w:val="1"/>
                <w:szCs w:val="1"/>
                <w:color w:val="auto"/>
              </w:rPr>
            </w:pPr>
          </w:p>
        </w:tc>
      </w:tr>
      <w:tr>
        <w:trPr>
          <w:trHeight w:val="44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Term</w:t>
            </w:r>
          </w:p>
        </w:tc>
        <w:tc>
          <w:tcPr>
            <w:tcW w:w="246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6"/>
              </w:rPr>
              <w:t>Section</w:t>
            </w:r>
          </w:p>
        </w:tc>
        <w:tc>
          <w:tcPr>
            <w:tcW w:w="0" w:type="dxa"/>
            <w:vAlign w:val="bottom"/>
          </w:tcPr>
          <w:p>
            <w:pPr>
              <w:spacing w:after="0"/>
              <w:rPr>
                <w:sz w:val="1"/>
                <w:szCs w:val="1"/>
                <w:color w:val="auto"/>
              </w:rPr>
            </w:pPr>
          </w:p>
        </w:tc>
      </w:tr>
      <w:tr>
        <w:trPr>
          <w:trHeight w:val="60"/>
        </w:trPr>
        <w:tc>
          <w:tcPr>
            <w:tcW w:w="5520" w:type="dxa"/>
            <w:vAlign w:val="bottom"/>
            <w:gridSpan w:val="2"/>
            <w:vMerge w:val="continue"/>
          </w:tcPr>
          <w:p>
            <w:pPr>
              <w:spacing w:after="0"/>
              <w:rPr>
                <w:sz w:val="5"/>
                <w:szCs w:val="5"/>
                <w:color w:val="auto"/>
              </w:rPr>
            </w:pPr>
          </w:p>
        </w:tc>
        <w:tc>
          <w:tcPr>
            <w:tcW w:w="24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w:t>
            </w:r>
          </w:p>
        </w:tc>
        <w:tc>
          <w:tcPr>
            <w:tcW w:w="3480" w:type="dxa"/>
            <w:vAlign w:val="bottom"/>
            <w:gridSpan w:val="3"/>
          </w:tcPr>
          <w:p>
            <w:pPr>
              <w:jc w:val="center"/>
              <w:ind w:left="1922"/>
              <w:spacing w:after="0"/>
              <w:rPr>
                <w:sz w:val="20"/>
                <w:szCs w:val="20"/>
                <w:color w:val="auto"/>
              </w:rPr>
            </w:pPr>
            <w:r>
              <w:rPr>
                <w:rFonts w:ascii="Times New Roman" w:cs="Times New Roman" w:eastAsia="Times New Roman" w:hAnsi="Times New Roman"/>
                <w:sz w:val="20"/>
                <w:szCs w:val="20"/>
                <w:color w:val="auto"/>
                <w:w w:val="98"/>
              </w:rPr>
              <w:t>12.15(a)</w:t>
            </w: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Affiliate Transaction</w:t>
            </w:r>
            <w:r>
              <w:rPr>
                <w:rFonts w:ascii="Times New Roman" w:cs="Times New Roman" w:eastAsia="Times New Roman" w:hAnsi="Times New Roman"/>
                <w:sz w:val="20"/>
                <w:szCs w:val="20"/>
                <w:color w:val="auto"/>
              </w:rPr>
              <w:t>”</w:t>
            </w:r>
          </w:p>
        </w:tc>
        <w:tc>
          <w:tcPr>
            <w:tcW w:w="246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7"/>
              </w:rPr>
              <w:t>4.11(a)</w:t>
            </w: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Alternate Offer</w:t>
            </w:r>
            <w:r>
              <w:rPr>
                <w:rFonts w:ascii="Times New Roman" w:cs="Times New Roman" w:eastAsia="Times New Roman" w:hAnsi="Times New Roman"/>
                <w:sz w:val="20"/>
                <w:szCs w:val="20"/>
                <w:color w:val="auto"/>
              </w:rPr>
              <w:t>”</w:t>
            </w:r>
          </w:p>
        </w:tc>
        <w:tc>
          <w:tcPr>
            <w:tcW w:w="246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5"/>
              </w:rPr>
              <w:t>4.15(d)</w:t>
            </w:r>
          </w:p>
        </w:tc>
        <w:tc>
          <w:tcPr>
            <w:tcW w:w="0" w:type="dxa"/>
            <w:vAlign w:val="bottom"/>
          </w:tcPr>
          <w:p>
            <w:pPr>
              <w:spacing w:after="0"/>
              <w:rPr>
                <w:sz w:val="1"/>
                <w:szCs w:val="1"/>
                <w:color w:val="auto"/>
              </w:rPr>
            </w:pPr>
          </w:p>
        </w:tc>
      </w:tr>
      <w:tr>
        <w:trPr>
          <w:trHeight w:val="30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Premium Deficit</w:t>
            </w:r>
            <w:r>
              <w:rPr>
                <w:rFonts w:ascii="Times New Roman" w:cs="Times New Roman" w:eastAsia="Times New Roman" w:hAnsi="Times New Roman"/>
                <w:sz w:val="20"/>
                <w:szCs w:val="20"/>
                <w:color w:val="auto"/>
              </w:rPr>
              <w:t>”</w:t>
            </w:r>
          </w:p>
        </w:tc>
        <w:tc>
          <w:tcPr>
            <w:tcW w:w="3480" w:type="dxa"/>
            <w:vAlign w:val="bottom"/>
            <w:gridSpan w:val="3"/>
          </w:tcPr>
          <w:p>
            <w:pPr>
              <w:jc w:val="center"/>
              <w:ind w:left="1922"/>
              <w:spacing w:after="0"/>
              <w:rPr>
                <w:sz w:val="20"/>
                <w:szCs w:val="20"/>
                <w:color w:val="auto"/>
              </w:rPr>
            </w:pPr>
            <w:r>
              <w:rPr>
                <w:rFonts w:ascii="Times New Roman" w:cs="Times New Roman" w:eastAsia="Times New Roman" w:hAnsi="Times New Roman"/>
                <w:sz w:val="20"/>
                <w:szCs w:val="20"/>
                <w:color w:val="auto"/>
                <w:w w:val="96"/>
              </w:rPr>
              <w:t>8.04(a) or 11.01(a)</w:t>
            </w:r>
          </w:p>
        </w:tc>
        <w:tc>
          <w:tcPr>
            <w:tcW w:w="0" w:type="dxa"/>
            <w:vAlign w:val="bottom"/>
          </w:tcPr>
          <w:p>
            <w:pPr>
              <w:spacing w:after="0"/>
              <w:rPr>
                <w:sz w:val="1"/>
                <w:szCs w:val="1"/>
                <w:color w:val="auto"/>
              </w:rPr>
            </w:pPr>
          </w:p>
        </w:tc>
      </w:tr>
      <w:tr>
        <w:trPr>
          <w:trHeight w:val="267"/>
        </w:trPr>
        <w:tc>
          <w:tcPr>
            <w:tcW w:w="4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480" w:type="dxa"/>
            <w:vAlign w:val="bottom"/>
            <w:gridSpan w:val="3"/>
          </w:tcPr>
          <w:p>
            <w:pPr>
              <w:jc w:val="center"/>
              <w:ind w:left="1922"/>
              <w:spacing w:after="0"/>
              <w:rPr>
                <w:sz w:val="20"/>
                <w:szCs w:val="20"/>
                <w:color w:val="auto"/>
              </w:rPr>
            </w:pPr>
            <w:r>
              <w:rPr>
                <w:rFonts w:ascii="Times New Roman" w:cs="Times New Roman" w:eastAsia="Times New Roman" w:hAnsi="Times New Roman"/>
                <w:sz w:val="20"/>
                <w:szCs w:val="20"/>
                <w:color w:val="auto"/>
                <w:w w:val="97"/>
              </w:rPr>
              <w:t>(2), as applicable</w:t>
            </w:r>
          </w:p>
        </w:tc>
        <w:tc>
          <w:tcPr>
            <w:tcW w:w="0" w:type="dxa"/>
            <w:vAlign w:val="bottom"/>
          </w:tcPr>
          <w:p>
            <w:pPr>
              <w:spacing w:after="0"/>
              <w:rPr>
                <w:sz w:val="1"/>
                <w:szCs w:val="1"/>
                <w:color w:val="auto"/>
              </w:rPr>
            </w:pPr>
          </w:p>
        </w:tc>
      </w:tr>
      <w:tr>
        <w:trPr>
          <w:trHeight w:val="46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Asset Sale Offer</w:t>
            </w:r>
            <w:r>
              <w:rPr>
                <w:rFonts w:ascii="Times New Roman" w:cs="Times New Roman" w:eastAsia="Times New Roman" w:hAnsi="Times New Roman"/>
                <w:sz w:val="20"/>
                <w:szCs w:val="20"/>
                <w:color w:val="auto"/>
              </w:rPr>
              <w:t>”</w:t>
            </w:r>
          </w:p>
        </w:tc>
        <w:tc>
          <w:tcPr>
            <w:tcW w:w="246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8"/>
              </w:rPr>
              <w:t>4.10(f)</w:t>
            </w: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Authentication Order</w:t>
            </w:r>
            <w:r>
              <w:rPr>
                <w:rFonts w:ascii="Times New Roman" w:cs="Times New Roman" w:eastAsia="Times New Roman" w:hAnsi="Times New Roman"/>
                <w:sz w:val="20"/>
                <w:szCs w:val="20"/>
                <w:color w:val="auto"/>
              </w:rPr>
              <w:t>”</w:t>
            </w:r>
          </w:p>
        </w:tc>
        <w:tc>
          <w:tcPr>
            <w:tcW w:w="3040" w:type="dxa"/>
            <w:vAlign w:val="bottom"/>
            <w:gridSpan w:val="2"/>
          </w:tcPr>
          <w:p>
            <w:pPr>
              <w:jc w:val="center"/>
              <w:ind w:left="2362"/>
              <w:spacing w:after="0"/>
              <w:rPr>
                <w:sz w:val="20"/>
                <w:szCs w:val="20"/>
                <w:color w:val="auto"/>
              </w:rPr>
            </w:pPr>
            <w:r>
              <w:rPr>
                <w:rFonts w:ascii="Times New Roman" w:cs="Times New Roman" w:eastAsia="Times New Roman" w:hAnsi="Times New Roman"/>
                <w:sz w:val="20"/>
                <w:szCs w:val="20"/>
                <w:color w:val="auto"/>
                <w:w w:val="97"/>
              </w:rPr>
              <w:t>2.02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Authorized Officers</w:t>
            </w:r>
            <w:r>
              <w:rPr>
                <w:rFonts w:ascii="Times New Roman" w:cs="Times New Roman" w:eastAsia="Times New Roman" w:hAnsi="Times New Roman"/>
                <w:sz w:val="20"/>
                <w:szCs w:val="20"/>
                <w:color w:val="auto"/>
              </w:rPr>
              <w:t>”</w:t>
            </w:r>
          </w:p>
        </w:tc>
        <w:tc>
          <w:tcPr>
            <w:tcW w:w="3040" w:type="dxa"/>
            <w:vAlign w:val="bottom"/>
            <w:gridSpan w:val="2"/>
          </w:tcPr>
          <w:p>
            <w:pPr>
              <w:jc w:val="center"/>
              <w:ind w:left="2382"/>
              <w:spacing w:after="0"/>
              <w:rPr>
                <w:sz w:val="20"/>
                <w:szCs w:val="20"/>
                <w:color w:val="auto"/>
              </w:rPr>
            </w:pPr>
            <w:r>
              <w:rPr>
                <w:rFonts w:ascii="Times New Roman" w:cs="Times New Roman" w:eastAsia="Times New Roman" w:hAnsi="Times New Roman"/>
                <w:sz w:val="20"/>
                <w:szCs w:val="20"/>
                <w:color w:val="auto"/>
                <w:w w:val="97"/>
              </w:rPr>
              <w:t>12.17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Offer</w:t>
            </w:r>
            <w:r>
              <w:rPr>
                <w:rFonts w:ascii="Times New Roman" w:cs="Times New Roman" w:eastAsia="Times New Roman" w:hAnsi="Times New Roman"/>
                <w:sz w:val="20"/>
                <w:szCs w:val="20"/>
                <w:color w:val="auto"/>
              </w:rPr>
              <w:t>”</w:t>
            </w:r>
          </w:p>
        </w:tc>
        <w:tc>
          <w:tcPr>
            <w:tcW w:w="246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7"/>
              </w:rPr>
              <w:t>4.15(a)</w:t>
            </w: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Payment</w:t>
            </w:r>
            <w:r>
              <w:rPr>
                <w:rFonts w:ascii="Times New Roman" w:cs="Times New Roman" w:eastAsia="Times New Roman" w:hAnsi="Times New Roman"/>
                <w:sz w:val="20"/>
                <w:szCs w:val="20"/>
                <w:color w:val="auto"/>
              </w:rPr>
              <w:t>”</w:t>
            </w:r>
          </w:p>
        </w:tc>
        <w:tc>
          <w:tcPr>
            <w:tcW w:w="246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7"/>
              </w:rPr>
              <w:t>4.15(a)</w:t>
            </w: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Purchase Date</w:t>
            </w:r>
            <w:r>
              <w:rPr>
                <w:rFonts w:ascii="Times New Roman" w:cs="Times New Roman" w:eastAsia="Times New Roman" w:hAnsi="Times New Roman"/>
                <w:sz w:val="20"/>
                <w:szCs w:val="20"/>
                <w:color w:val="auto"/>
              </w:rPr>
              <w:t>”</w:t>
            </w:r>
          </w:p>
        </w:tc>
        <w:tc>
          <w:tcPr>
            <w:tcW w:w="246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7"/>
              </w:rPr>
              <w:t>4.15(a)</w:t>
            </w: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Covenant Defeasance</w:t>
            </w:r>
            <w:r>
              <w:rPr>
                <w:rFonts w:ascii="Times New Roman" w:cs="Times New Roman" w:eastAsia="Times New Roman" w:hAnsi="Times New Roman"/>
                <w:sz w:val="20"/>
                <w:szCs w:val="20"/>
                <w:color w:val="auto"/>
              </w:rPr>
              <w:t>”</w:t>
            </w:r>
          </w:p>
        </w:tc>
        <w:tc>
          <w:tcPr>
            <w:tcW w:w="3040" w:type="dxa"/>
            <w:vAlign w:val="bottom"/>
            <w:gridSpan w:val="2"/>
          </w:tcPr>
          <w:p>
            <w:pPr>
              <w:jc w:val="center"/>
              <w:ind w:left="2362"/>
              <w:spacing w:after="0"/>
              <w:rPr>
                <w:sz w:val="20"/>
                <w:szCs w:val="20"/>
                <w:color w:val="auto"/>
              </w:rPr>
            </w:pPr>
            <w:r>
              <w:rPr>
                <w:rFonts w:ascii="Times New Roman" w:cs="Times New Roman" w:eastAsia="Times New Roman" w:hAnsi="Times New Roman"/>
                <w:sz w:val="20"/>
                <w:szCs w:val="20"/>
                <w:color w:val="auto"/>
                <w:w w:val="97"/>
              </w:rPr>
              <w:t>8.03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Covenant Satisfaction Officer’s Certificate</w:t>
            </w:r>
            <w:r>
              <w:rPr>
                <w:rFonts w:ascii="Times New Roman" w:cs="Times New Roman" w:eastAsia="Times New Roman" w:hAnsi="Times New Roman"/>
                <w:sz w:val="20"/>
                <w:szCs w:val="20"/>
                <w:color w:val="auto"/>
              </w:rPr>
              <w:t>”</w:t>
            </w:r>
          </w:p>
        </w:tc>
        <w:tc>
          <w:tcPr>
            <w:tcW w:w="3040" w:type="dxa"/>
            <w:vAlign w:val="bottom"/>
            <w:gridSpan w:val="2"/>
          </w:tcPr>
          <w:p>
            <w:pPr>
              <w:jc w:val="center"/>
              <w:ind w:left="2362"/>
              <w:spacing w:after="0"/>
              <w:rPr>
                <w:sz w:val="20"/>
                <w:szCs w:val="20"/>
                <w:color w:val="auto"/>
              </w:rPr>
            </w:pPr>
            <w:r>
              <w:rPr>
                <w:rFonts w:ascii="Times New Roman" w:cs="Times New Roman" w:eastAsia="Times New Roman" w:hAnsi="Times New Roman"/>
                <w:sz w:val="20"/>
                <w:szCs w:val="20"/>
                <w:color w:val="auto"/>
                <w:w w:val="97"/>
              </w:rPr>
              <w:t>6.01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DTC</w:t>
            </w:r>
            <w:r>
              <w:rPr>
                <w:rFonts w:ascii="Times New Roman" w:cs="Times New Roman" w:eastAsia="Times New Roman" w:hAnsi="Times New Roman"/>
                <w:sz w:val="20"/>
                <w:szCs w:val="20"/>
                <w:color w:val="auto"/>
              </w:rPr>
              <w:t>”</w:t>
            </w:r>
          </w:p>
        </w:tc>
        <w:tc>
          <w:tcPr>
            <w:tcW w:w="3040" w:type="dxa"/>
            <w:vAlign w:val="bottom"/>
            <w:gridSpan w:val="2"/>
          </w:tcPr>
          <w:p>
            <w:pPr>
              <w:jc w:val="center"/>
              <w:ind w:left="2362"/>
              <w:spacing w:after="0"/>
              <w:rPr>
                <w:sz w:val="20"/>
                <w:szCs w:val="20"/>
                <w:color w:val="auto"/>
              </w:rPr>
            </w:pPr>
            <w:r>
              <w:rPr>
                <w:rFonts w:ascii="Times New Roman" w:cs="Times New Roman" w:eastAsia="Times New Roman" w:hAnsi="Times New Roman"/>
                <w:sz w:val="20"/>
                <w:szCs w:val="20"/>
                <w:color w:val="auto"/>
                <w:w w:val="97"/>
              </w:rPr>
              <w:t>2.03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Event of Default</w:t>
            </w:r>
            <w:r>
              <w:rPr>
                <w:rFonts w:ascii="Times New Roman" w:cs="Times New Roman" w:eastAsia="Times New Roman" w:hAnsi="Times New Roman"/>
                <w:sz w:val="20"/>
                <w:szCs w:val="20"/>
                <w:color w:val="auto"/>
              </w:rPr>
              <w:t>”</w:t>
            </w:r>
          </w:p>
        </w:tc>
        <w:tc>
          <w:tcPr>
            <w:tcW w:w="3040" w:type="dxa"/>
            <w:vAlign w:val="bottom"/>
            <w:gridSpan w:val="2"/>
          </w:tcPr>
          <w:p>
            <w:pPr>
              <w:jc w:val="center"/>
              <w:ind w:left="2362"/>
              <w:spacing w:after="0"/>
              <w:rPr>
                <w:sz w:val="20"/>
                <w:szCs w:val="20"/>
                <w:color w:val="auto"/>
              </w:rPr>
            </w:pPr>
            <w:r>
              <w:rPr>
                <w:rFonts w:ascii="Times New Roman" w:cs="Times New Roman" w:eastAsia="Times New Roman" w:hAnsi="Times New Roman"/>
                <w:sz w:val="20"/>
                <w:szCs w:val="20"/>
                <w:color w:val="auto"/>
                <w:w w:val="97"/>
              </w:rPr>
              <w:t>6.01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Excess Proceeds</w:t>
            </w:r>
            <w:r>
              <w:rPr>
                <w:rFonts w:ascii="Times New Roman" w:cs="Times New Roman" w:eastAsia="Times New Roman" w:hAnsi="Times New Roman"/>
                <w:sz w:val="20"/>
                <w:szCs w:val="20"/>
                <w:color w:val="auto"/>
              </w:rPr>
              <w:t>”</w:t>
            </w:r>
          </w:p>
        </w:tc>
        <w:tc>
          <w:tcPr>
            <w:tcW w:w="246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8"/>
              </w:rPr>
              <w:t>4.10(f)</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83" w:right="339" w:bottom="1440" w:gutter="0" w:footer="0" w:header="0"/>
          <w:type w:val="continuous"/>
        </w:sectPr>
      </w:pPr>
    </w:p>
    <w:bookmarkStart w:id="44" w:name="page45"/>
    <w:bookmarkEnd w:id="44"/>
    <w:p>
      <w:pPr>
        <w:spacing w:after="0" w:line="200" w:lineRule="exact"/>
        <w:rPr>
          <w:sz w:val="20"/>
          <w:szCs w:val="20"/>
          <w:color w:val="auto"/>
        </w:rPr>
      </w:pPr>
    </w:p>
    <w:p>
      <w:pPr>
        <w:spacing w:after="0" w:line="3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u w:val="single" w:color="auto"/>
          <w:color w:val="auto"/>
        </w:rPr>
        <w:t>Term</w:t>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Final Decision</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incur</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Initial Default</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Instructions</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Interest Payment Date</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Issuer Website</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LCT Election</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LCT Test Date</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Legal Defeasance</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Noteholder Direction</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Offer Amount</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Offer Period</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Paying Agent</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Payment Default</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Debt</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Payment</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Position Representation</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Officer</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Purchase Date</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Registrar</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Payments</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Verification Covenant</w:t>
      </w:r>
      <w:r>
        <w:rPr>
          <w:rFonts w:ascii="Times New Roman" w:cs="Times New Roman" w:eastAsia="Times New Roman" w:hAnsi="Times New Roman"/>
          <w:sz w:val="20"/>
          <w:szCs w:val="20"/>
          <w:color w:val="auto"/>
        </w:rPr>
        <w:t>”</w:t>
      </w:r>
    </w:p>
    <w:p>
      <w:pPr>
        <w:spacing w:after="0" w:line="2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Verification Officer’s Certificate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0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8"/>
          <w:szCs w:val="18"/>
          <w:i w:val="1"/>
          <w:iCs w:val="1"/>
          <w:color w:val="auto"/>
        </w:rPr>
        <w:t>No Incorporation by Reference of Trust Indenture Act.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Defined in</w:t>
      </w:r>
    </w:p>
    <w:p>
      <w:pPr>
        <w:spacing w:after="0" w:line="2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u w:val="single" w:color="auto"/>
          <w:color w:val="auto"/>
        </w:rPr>
        <w:t>Section</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6.01</w:t>
      </w:r>
    </w:p>
    <w:p>
      <w:pPr>
        <w:spacing w:after="0" w:line="2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4.09(a)</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6.04</w:t>
      </w:r>
    </w:p>
    <w:p>
      <w:pPr>
        <w:spacing w:after="0" w:line="2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12.17</w:t>
      </w:r>
    </w:p>
    <w:p>
      <w:pPr>
        <w:spacing w:after="0" w:line="2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Exhibit A</w:t>
      </w:r>
    </w:p>
    <w:p>
      <w:pPr>
        <w:spacing w:after="0" w:line="2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Preamble</w:t>
      </w: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4.03(f)</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1.05</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1.05</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8.02</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6.01</w:t>
      </w:r>
    </w:p>
    <w:p>
      <w:pPr>
        <w:spacing w:after="0" w:line="250"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3.10</w:t>
      </w:r>
    </w:p>
    <w:p>
      <w:pPr>
        <w:spacing w:after="0" w:line="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3.10</w:t>
      </w:r>
    </w:p>
    <w:p>
      <w:pPr>
        <w:spacing w:after="0" w:line="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2.03</w:t>
      </w:r>
    </w:p>
    <w:p>
      <w:pPr>
        <w:spacing w:after="0" w:line="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6.01(g)(1)</w:t>
      </w:r>
    </w:p>
    <w:p>
      <w:pPr>
        <w:spacing w:after="0" w:line="77"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4.09(b)</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4.07(b)</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6.01</w:t>
      </w:r>
    </w:p>
    <w:p>
      <w:pPr>
        <w:spacing w:after="0" w:line="2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2.06(g)(1)(B)</w:t>
      </w:r>
    </w:p>
    <w:p>
      <w:pPr>
        <w:spacing w:after="0" w:line="27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3.10</w:t>
      </w:r>
    </w:p>
    <w:p>
      <w:pPr>
        <w:spacing w:after="0" w:line="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2.03</w:t>
      </w:r>
    </w:p>
    <w:p>
      <w:pPr>
        <w:spacing w:after="0" w:line="6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4.07(a)(4)</w:t>
      </w:r>
    </w:p>
    <w:p>
      <w:pPr>
        <w:spacing w:after="0" w:line="77"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color w:val="auto"/>
        </w:rPr>
        <w:t>6.01</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6.01</w:t>
      </w:r>
    </w:p>
    <w:p>
      <w:pPr>
        <w:spacing w:after="0" w:line="876" w:lineRule="exact"/>
        <w:rPr>
          <w:sz w:val="20"/>
          <w:szCs w:val="20"/>
          <w:color w:val="auto"/>
        </w:rPr>
      </w:pPr>
    </w:p>
    <w:p>
      <w:pPr>
        <w:sectPr>
          <w:pgSz w:w="11900" w:h="16838" w:orient="portrait"/>
          <w:cols w:equalWidth="0" w:num="2">
            <w:col w:w="7760" w:space="720"/>
            <w:col w:w="2760"/>
          </w:cols>
          <w:pgMar w:left="320" w:top="1440" w:right="339" w:bottom="0" w:gutter="0" w:footer="0" w:header="0"/>
        </w:sect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This Indenture is not qualified under the TIA, and the TIA shall not apply to or in any way govern the terms of this Indenture, except to the extent required by law. Except as so required, no provisions of the TIA are incorporated into this Indenture unless expressly incorporated pursuant to this Indenture.</w:t>
      </w:r>
    </w:p>
    <w:p>
      <w:pPr>
        <w:spacing w:after="0" w:line="129"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8"/>
          <w:szCs w:val="18"/>
          <w:i w:val="1"/>
          <w:iCs w:val="1"/>
          <w:color w:val="auto"/>
        </w:rPr>
        <w:t>Rules of Construction.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Unless the context otherwise requires:</w:t>
      </w:r>
    </w:p>
    <w:p>
      <w:pPr>
        <w:spacing w:after="0" w:line="157" w:lineRule="exact"/>
        <w:rPr>
          <w:sz w:val="20"/>
          <w:szCs w:val="20"/>
          <w:color w:val="auto"/>
        </w:rPr>
      </w:pPr>
    </w:p>
    <w:p>
      <w:pPr>
        <w:ind w:left="1700" w:hanging="414"/>
        <w:spacing w:after="0"/>
        <w:tabs>
          <w:tab w:leader="none" w:pos="1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w:t>
      </w:r>
    </w:p>
    <w:p>
      <w:pPr>
        <w:spacing w:after="0" w:line="169"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GAAP;</w:t>
      </w:r>
    </w:p>
    <w:p>
      <w:pPr>
        <w:spacing w:after="0" w:line="15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15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in the plural include the singular;</w:t>
      </w:r>
    </w:p>
    <w:p>
      <w:pPr>
        <w:spacing w:after="0" w:line="169"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shall be interpreted to express a command;</w:t>
      </w:r>
    </w:p>
    <w:p>
      <w:pPr>
        <w:sectPr>
          <w:pgSz w:w="11900" w:h="16838" w:orient="portrait"/>
          <w:cols w:equalWidth="0" w:num="1">
            <w:col w:w="11240"/>
          </w:cols>
          <w:pgMar w:left="320" w:top="1440" w:right="339" w:bottom="0" w:gutter="0" w:footer="0" w:header="0"/>
          <w:type w:val="continuous"/>
        </w:sectPr>
      </w:pPr>
    </w:p>
    <w:bookmarkStart w:id="45" w:name="page46"/>
    <w:bookmarkEnd w:id="45"/>
    <w:p>
      <w:pPr>
        <w:ind w:left="160"/>
        <w:spacing w:after="0"/>
        <w:tabs>
          <w:tab w:leader="none" w:pos="5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18"/>
          <w:szCs w:val="18"/>
          <w:color w:val="auto"/>
        </w:rPr>
        <w:t>provisions apply to successive events and transactions;</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9019"/>
          </w:cols>
          <w:pgMar w:left="1440" w:top="104" w:right="1440" w:bottom="1440" w:gutter="0" w:footer="0" w:header="0"/>
          <w:type w:val="continuous"/>
        </w:sectPr>
      </w:pPr>
    </w:p>
    <w:bookmarkStart w:id="46" w:name="page47"/>
    <w:bookmarkEnd w:id="46"/>
    <w:p>
      <w:pPr>
        <w:spacing w:after="0" w:line="170" w:lineRule="exact"/>
        <w:rPr>
          <w:sz w:val="20"/>
          <w:szCs w:val="20"/>
          <w:color w:val="auto"/>
        </w:rPr>
      </w:pPr>
    </w:p>
    <w:p>
      <w:pPr>
        <w:ind w:firstLine="1286"/>
        <w:spacing w:after="0" w:line="247" w:lineRule="auto"/>
        <w:tabs>
          <w:tab w:leader="none" w:pos="172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sections of or rules under the Securities Act will be deemed to include substitute, replacement of successor sections or rules adopted by the SEC from time to time;</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or “including” shall be deemed to be followed by the words “without limitation”; and</w:t>
      </w:r>
    </w:p>
    <w:p>
      <w:pPr>
        <w:spacing w:after="0" w:line="196" w:lineRule="exact"/>
        <w:rPr>
          <w:rFonts w:ascii="Times New Roman" w:cs="Times New Roman" w:eastAsia="Times New Roman" w:hAnsi="Times New Roman"/>
          <w:sz w:val="20"/>
          <w:szCs w:val="20"/>
          <w:color w:val="auto"/>
        </w:rPr>
      </w:pPr>
    </w:p>
    <w:p>
      <w:pPr>
        <w:ind w:firstLine="1286"/>
        <w:spacing w:after="0" w:line="261" w:lineRule="auto"/>
        <w:tabs>
          <w:tab w:leader="none" w:pos="166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“herein,” “hereof” and other words of similar import refer to this Indenture as a whole (as amended or supplemented from time to time) and not to any particular Article, Section or other subdivision.</w:t>
      </w:r>
    </w:p>
    <w:p>
      <w:pPr>
        <w:spacing w:after="0" w:line="15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8"/>
          <w:szCs w:val="18"/>
          <w:i w:val="1"/>
          <w:iCs w:val="1"/>
          <w:color w:val="auto"/>
        </w:rPr>
        <w:t>Limited Condition Transactions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When calculating the availability under any basket or ratio under this Indenture or compliance with any provision of this Indenture in connection with any Limited Condition Transaction and any actions or transactions related thereto (including acquisitions, Investments and the incurrence or issuance of Indebtedness, Liens, Disqualified Stock or Preferred Stock and the use of proceeds thereof, repayments and Restricted Payments), in each case, at the option of the Issuer (the Issuer’s election to exercise such option, an “</w:t>
      </w:r>
      <w:r>
        <w:rPr>
          <w:rFonts w:ascii="Times New Roman" w:cs="Times New Roman" w:eastAsia="Times New Roman" w:hAnsi="Times New Roman"/>
          <w:sz w:val="18"/>
          <w:szCs w:val="18"/>
          <w:i w:val="1"/>
          <w:iCs w:val="1"/>
          <w:color w:val="auto"/>
        </w:rPr>
        <w:t>LCT Election</w:t>
      </w:r>
      <w:r>
        <w:rPr>
          <w:rFonts w:ascii="Times New Roman" w:cs="Times New Roman" w:eastAsia="Times New Roman" w:hAnsi="Times New Roman"/>
          <w:sz w:val="18"/>
          <w:szCs w:val="18"/>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cs="Times New Roman" w:eastAsia="Times New Roman" w:hAnsi="Times New Roman"/>
          <w:sz w:val="18"/>
          <w:szCs w:val="18"/>
          <w:i w:val="1"/>
          <w:iCs w:val="1"/>
          <w:color w:val="auto"/>
        </w:rPr>
        <w:t>LCT Test Date</w:t>
      </w:r>
      <w:r>
        <w:rPr>
          <w:rFonts w:ascii="Times New Roman" w:cs="Times New Roman" w:eastAsia="Times New Roman" w:hAnsi="Times New Roman"/>
          <w:sz w:val="18"/>
          <w:szCs w:val="18"/>
          <w:color w:val="auto"/>
        </w:rPr>
        <w:t xml:space="preserve">”) the definitive agreements for such Limited Condition Transaction are entered into (or, if applicable, the date of delivery of an irrevocable notice or similar event), and if,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after giving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effect to the Limited Condition Transaction and any actions or transactions related thereto (including acquisitions, Investments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incurrence or issuance of Indebtedness, Liens, Disqualified Stock or Preferred Stock and the use of proceeds thereof, repayments and Restricted Payments) and any related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the Issuer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or incurred at the LCT Test Date or at any time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if financial statements for one or more subsequent fiscal quarters shall have become available, the Issuer may elect, in its sole discretion, to re-determine all such ratios, tests or baskets on the basis of such financial statements, in which case, such date of redetermination shall thereafter be deemed to be the applicable LCT Test Date for purposes of such ratios, tests or baskets, and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and the incurrence or issuance of Indebtedness, Liens, Disqualified Stock or Preferred Stock and the use of proceeds thereof, repayments and Restricted Payments).</w:t>
      </w:r>
    </w:p>
    <w:p>
      <w:pPr>
        <w:spacing w:after="0" w:line="388"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For the avoidance of doubt, if the Issuer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total assets of the Issuer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will not be deemed to have been failed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Limited Condition Transaction.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w:t>
      </w:r>
    </w:p>
    <w:p>
      <w:pPr>
        <w:spacing w:after="0" w:line="18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8"/>
          <w:szCs w:val="18"/>
          <w:i w:val="1"/>
          <w:iCs w:val="1"/>
          <w:color w:val="auto"/>
        </w:rPr>
        <w:t>Form and Dating.</w:t>
      </w:r>
    </w:p>
    <w:p>
      <w:pPr>
        <w:spacing w:after="0" w:line="196" w:lineRule="exact"/>
        <w:rPr>
          <w:sz w:val="20"/>
          <w:szCs w:val="20"/>
          <w:color w:val="auto"/>
        </w:rPr>
      </w:pPr>
    </w:p>
    <w:p>
      <w:pPr>
        <w:jc w:val="both"/>
        <w:ind w:firstLine="1286"/>
        <w:spacing w:after="0" w:line="237" w:lineRule="auto"/>
        <w:tabs>
          <w:tab w:leader="none" w:pos="173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Notes and the Trustee’s certificate of authentication will be substantially in the form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Notes may have notations, legends or endorsements required by law, stock exchange rule or usage. Each Note will be dated the date of its authentication. The Notes shall be in minimum denominations of $2,000 and integral multiples of $1,000 in excess thereof.</w:t>
      </w:r>
    </w:p>
    <w:p>
      <w:pPr>
        <w:spacing w:after="0" w:line="174"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The terms and provisions contained in the Notes will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terms of the Notes will include those stated in this Indenture.</w:t>
      </w:r>
    </w:p>
    <w:p>
      <w:pPr>
        <w:spacing w:after="0" w:line="194" w:lineRule="exact"/>
        <w:rPr>
          <w:sz w:val="20"/>
          <w:szCs w:val="20"/>
          <w:color w:val="auto"/>
        </w:rPr>
      </w:pPr>
    </w:p>
    <w:p>
      <w:pPr>
        <w:jc w:val="both"/>
        <w:ind w:firstLine="1286"/>
        <w:spacing w:after="0" w:line="229" w:lineRule="auto"/>
        <w:tabs>
          <w:tab w:leader="none" w:pos="176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Global Notes</w:t>
      </w:r>
      <w:r>
        <w:rPr>
          <w:rFonts w:ascii="Times New Roman" w:cs="Times New Roman" w:eastAsia="Times New Roman" w:hAnsi="Times New Roman"/>
          <w:sz w:val="20"/>
          <w:szCs w:val="20"/>
          <w:color w:val="auto"/>
        </w:rPr>
        <w:t>. Notes issued in global form will be substantially in the form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hereto (including the Global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 Legend thereon and the “Schedule of Increases or Decreases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or repurchases. Any endorsement of a Global Note to reflect the amount of any increase or decrease in the aggregate principal amount of outstanding Notes represented thereby will be made by the Trustee or the Custodian, at the direction of the Trustee, (i) in the case of an exchange, in accordance with instructions given by the Holder thereof as required by Section 2.06 or (ii) in the case of a redemption or repurchase, in accordance with Section 2.06(a).</w:t>
      </w:r>
    </w:p>
    <w:p>
      <w:pPr>
        <w:spacing w:after="0" w:line="176" w:lineRule="exact"/>
        <w:rPr>
          <w:rFonts w:ascii="Times New Roman" w:cs="Times New Roman" w:eastAsia="Times New Roman" w:hAnsi="Times New Roman"/>
          <w:sz w:val="20"/>
          <w:szCs w:val="20"/>
          <w:color w:val="auto"/>
        </w:rPr>
      </w:pPr>
    </w:p>
    <w:p>
      <w:pPr>
        <w:jc w:val="both"/>
        <w:ind w:firstLine="1286"/>
        <w:spacing w:after="0" w:line="233" w:lineRule="auto"/>
        <w:tabs>
          <w:tab w:leader="none" w:pos="183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Euroclear and Clearstream Procedures Applicable. </w:t>
      </w:r>
      <w:r>
        <w:rPr>
          <w:rFonts w:ascii="Times New Roman" w:cs="Times New Roman" w:eastAsia="Times New Roman" w:hAnsi="Times New Roman"/>
          <w:sz w:val="20"/>
          <w:szCs w:val="20"/>
          <w:color w:val="auto"/>
        </w:rPr>
        <w:t>The provisions of the “Operating Procedures of the Euroclear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System” and “Terms 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73" w:lineRule="exact"/>
        <w:rPr>
          <w:rFonts w:ascii="Times New Roman" w:cs="Times New Roman" w:eastAsia="Times New Roman" w:hAnsi="Times New Roman"/>
          <w:sz w:val="20"/>
          <w:szCs w:val="20"/>
          <w:color w:val="auto"/>
        </w:rPr>
      </w:pPr>
    </w:p>
    <w:p>
      <w:pPr>
        <w:jc w:val="both"/>
        <w:ind w:firstLine="1286"/>
        <w:spacing w:after="0" w:line="304" w:lineRule="auto"/>
        <w:tabs>
          <w:tab w:leader="none" w:pos="17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Definitive Notes</w:t>
      </w:r>
      <w:r>
        <w:rPr>
          <w:rFonts w:ascii="Times New Roman" w:cs="Times New Roman" w:eastAsia="Times New Roman" w:hAnsi="Times New Roman"/>
          <w:sz w:val="18"/>
          <w:szCs w:val="18"/>
          <w:color w:val="auto"/>
        </w:rPr>
        <w:t>. Notes issued in definitive form shall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Global Note Legend thereon and without the “Schedule of Increases or Decreases of Interests in the Global Note” attached thereto).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6" w:right="339" w:bottom="1440" w:gutter="0" w:footer="0" w:header="0"/>
        </w:sectPr>
      </w:pPr>
    </w:p>
    <w:bookmarkStart w:id="48" w:name="page49"/>
    <w:bookmarkEnd w:id="48"/>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8"/>
          <w:szCs w:val="18"/>
          <w:i w:val="1"/>
          <w:iCs w:val="1"/>
          <w:color w:val="auto"/>
        </w:rPr>
        <w:t>Execution and Authentication.</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 least one Officer must sign the Notes for the Issuer by manual, facsimile, electronic or electronically transmitted signature.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will nevertheless be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valid.</w:t>
      </w:r>
    </w:p>
    <w:p>
      <w:pPr>
        <w:spacing w:after="0" w:line="18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A Note will not be valid until authenticated by the manual signature of the Trustee. The signature will be conclusive evidence that the Note has been authenticated under this Indenture.</w:t>
      </w:r>
    </w:p>
    <w:p>
      <w:pPr>
        <w:spacing w:after="0" w:line="164"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The Trustee will, upon receipt of a written order of the Issuer signed by an Officer of the Issuer (an “</w:t>
      </w:r>
      <w:r>
        <w:rPr>
          <w:rFonts w:ascii="Times New Roman" w:cs="Times New Roman" w:eastAsia="Times New Roman" w:hAnsi="Times New Roman"/>
          <w:sz w:val="20"/>
          <w:szCs w:val="20"/>
          <w:i w:val="1"/>
          <w:iCs w:val="1"/>
          <w:color w:val="auto"/>
        </w:rPr>
        <w:t>Authentication Order</w:t>
      </w:r>
      <w:r>
        <w:rPr>
          <w:rFonts w:ascii="Times New Roman" w:cs="Times New Roman" w:eastAsia="Times New Roman" w:hAnsi="Times New Roman"/>
          <w:sz w:val="20"/>
          <w:szCs w:val="20"/>
          <w:color w:val="auto"/>
        </w:rPr>
        <w:t>”), authenticate Notes for original issue (i) on the Issue Date as Initial Notes in the aggregate principal amount of $550,000,000 and (ii) from time to time any Additional Notes that may be validly issued under this Indenture. The aggregate principal amount of Notes outstanding at any time may not exceed the aggregate principal amount of Notes authorized for issuance by the Issuer pursuant to one or more Authentication Orders, except as provided in Section 2.07.</w:t>
      </w:r>
    </w:p>
    <w:p>
      <w:pPr>
        <w:spacing w:after="0" w:line="175"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20"/>
          <w:szCs w:val="20"/>
          <w:color w:val="auto"/>
        </w:rPr>
        <w:t>The Trustee shall also authenticate and deliver Notes at the times and in the manner specified in Sections 2.06, 2.07, 2.10, 3.06, 3.10, 4.15 and 9.04.</w:t>
      </w:r>
    </w:p>
    <w:p>
      <w:pPr>
        <w:spacing w:after="0" w:line="153"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7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8"/>
          <w:szCs w:val="18"/>
          <w:i w:val="1"/>
          <w:iCs w:val="1"/>
          <w:color w:val="auto"/>
        </w:rPr>
        <w:t>Registrar and Paying Agent.</w:t>
      </w:r>
    </w:p>
    <w:p>
      <w:pPr>
        <w:spacing w:after="0" w:line="196"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The Issuer will maintain an office or agency where Notes may be presented for registration of transfer or for exchange (“</w:t>
      </w:r>
      <w:r>
        <w:rPr>
          <w:rFonts w:ascii="Times New Roman" w:cs="Times New Roman" w:eastAsia="Times New Roman" w:hAnsi="Times New Roman"/>
          <w:sz w:val="20"/>
          <w:szCs w:val="20"/>
          <w:i w:val="1"/>
          <w:iCs w:val="1"/>
          <w:color w:val="auto"/>
        </w:rPr>
        <w:t>Registrar</w:t>
      </w:r>
      <w:r>
        <w:rPr>
          <w:rFonts w:ascii="Times New Roman" w:cs="Times New Roman" w:eastAsia="Times New Roman" w:hAnsi="Times New Roman"/>
          <w:sz w:val="20"/>
          <w:szCs w:val="20"/>
          <w:color w:val="auto"/>
        </w:rPr>
        <w:t>”) and an office or agency where Notes may be presented for payment (“</w:t>
      </w:r>
      <w:r>
        <w:rPr>
          <w:rFonts w:ascii="Times New Roman" w:cs="Times New Roman" w:eastAsia="Times New Roman" w:hAnsi="Times New Roman"/>
          <w:sz w:val="20"/>
          <w:szCs w:val="20"/>
          <w:i w:val="1"/>
          <w:iCs w:val="1"/>
          <w:color w:val="auto"/>
        </w:rPr>
        <w:t>Paying Agent</w:t>
      </w:r>
      <w:r>
        <w:rPr>
          <w:rFonts w:ascii="Times New Roman" w:cs="Times New Roman" w:eastAsia="Times New Roman" w:hAnsi="Times New Roman"/>
          <w:sz w:val="20"/>
          <w:szCs w:val="20"/>
          <w:color w:val="auto"/>
        </w:rPr>
        <w:t>”). The Registrar will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Issuer initially appoints The Depository Trust Company (“</w:t>
      </w:r>
      <w:r>
        <w:rPr>
          <w:rFonts w:ascii="Times New Roman" w:cs="Times New Roman" w:eastAsia="Times New Roman" w:hAnsi="Times New Roman"/>
          <w:sz w:val="20"/>
          <w:szCs w:val="20"/>
          <w:i w:val="1"/>
          <w:iCs w:val="1"/>
          <w:color w:val="auto"/>
        </w:rPr>
        <w:t>DTC</w:t>
      </w:r>
      <w:r>
        <w:rPr>
          <w:rFonts w:ascii="Times New Roman" w:cs="Times New Roman" w:eastAsia="Times New Roman" w:hAnsi="Times New Roman"/>
          <w:sz w:val="20"/>
          <w:szCs w:val="20"/>
          <w:color w:val="auto"/>
        </w:rPr>
        <w:t>”) to act as Depositary with respect to the Global Notes.</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Issuer initially appoints the Trustee to act as the Registrar and Paying Agent (at its office indicated in the definition of “Corporate Trust Office of the Trustee” in Section 1.01) and to act as Custodian with respect to the Global Notes.</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8"/>
          <w:szCs w:val="18"/>
          <w:i w:val="1"/>
          <w:iCs w:val="1"/>
          <w:color w:val="auto"/>
        </w:rPr>
        <w:t>Paying Agent to Hold Money in Trust.</w:t>
      </w:r>
    </w:p>
    <w:p>
      <w:pPr>
        <w:spacing w:after="0" w:line="212"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8"/>
          <w:szCs w:val="18"/>
          <w:color w:val="auto"/>
        </w:rPr>
        <w:t>The Issuer will require each Paying Agent other than the Trustee to agree in writing that the Paying Agent will hold in trust for the benefit of Holders or the Trustee all money held by the Paying Agent for the payment of principal of, premium on, if any, or interest on the Notes, and will notify the Trustee of any default by the Issuer in making any such payment. While any such default continues, the Trustee may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4" w:right="339" w:bottom="1440" w:gutter="0" w:footer="0" w:header="0"/>
        </w:sectPr>
      </w:pPr>
    </w:p>
    <w:bookmarkStart w:id="49" w:name="page50"/>
    <w:bookmarkEnd w:id="49"/>
    <w:p>
      <w:pPr>
        <w:jc w:val="both"/>
        <w:spacing w:after="0" w:line="233" w:lineRule="auto"/>
        <w:rPr>
          <w:sz w:val="20"/>
          <w:szCs w:val="20"/>
          <w:color w:val="auto"/>
        </w:rPr>
      </w:pPr>
      <w:r>
        <w:rPr>
          <w:rFonts w:ascii="Times New Roman" w:cs="Times New Roman" w:eastAsia="Times New Roman" w:hAnsi="Times New Roman"/>
          <w:sz w:val="20"/>
          <w:szCs w:val="20"/>
          <w:color w:val="auto"/>
        </w:rPr>
        <w:t>require a Paying Agent to pay all money held by it to the Trustee. The Issuer at any time may require a Paying Agent to pay all money held by it to the Trustee. Upon payment over to the Trustee, the Paying Agent (if other than the Issuer or a Subsidiary) will have no further liability for the money. If the Issuer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8"/>
          <w:szCs w:val="18"/>
          <w:i w:val="1"/>
          <w:iCs w:val="1"/>
          <w:color w:val="auto"/>
        </w:rPr>
        <w:t>Holder Lists.</w:t>
      </w:r>
    </w:p>
    <w:p>
      <w:pPr>
        <w:spacing w:after="0" w:line="19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The Trustee will preserve in as current a form as is reasonably practicable the most recent list available to it of the names and addresses of all Holders.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the Notes.</w:t>
      </w:r>
    </w:p>
    <w:p>
      <w:pPr>
        <w:spacing w:after="0" w:line="17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8"/>
          <w:szCs w:val="18"/>
          <w:i w:val="1"/>
          <w:iCs w:val="1"/>
          <w:color w:val="auto"/>
        </w:rPr>
        <w:t>Transfer and Exchange.</w:t>
      </w:r>
    </w:p>
    <w:p>
      <w:pPr>
        <w:spacing w:after="0" w:line="196" w:lineRule="exact"/>
        <w:rPr>
          <w:sz w:val="20"/>
          <w:szCs w:val="20"/>
          <w:color w:val="auto"/>
        </w:rPr>
      </w:pPr>
    </w:p>
    <w:p>
      <w:pPr>
        <w:jc w:val="both"/>
        <w:ind w:firstLine="1286"/>
        <w:spacing w:after="0" w:line="237" w:lineRule="auto"/>
        <w:tabs>
          <w:tab w:leader="none" w:pos="17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Global Notes</w:t>
      </w:r>
      <w:r>
        <w:rPr>
          <w:rFonts w:ascii="Times New Roman" w:cs="Times New Roman" w:eastAsia="Times New Roman" w:hAnsi="Times New Roman"/>
          <w:sz w:val="20"/>
          <w:szCs w:val="20"/>
          <w:color w:val="auto"/>
        </w:rPr>
        <w:t>. A Global Note may not be transferred except as a whole by the Depositary to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nominee of the Depositary, by a nominee of the Depositary to the Depositary or to another nominee of the Depositary, or by the Depositary or any such nominee to a successor Depositary or a nominee of such successor Depositary. All Global Notes will be exchanged by the Issuer for Definitive Notes if:</w:t>
      </w:r>
    </w:p>
    <w:p>
      <w:pPr>
        <w:spacing w:after="0" w:line="173"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40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Depositary notifies the Issuer that it is unwilling or unable to continue to act as Depositary or that it is no longer a clearing agency registered under the Exchange Act and, in either case, a successor Depositary is not appointed by the Issuer within 90 days after the date of such notice from the Depositary; or</w:t>
      </w:r>
    </w:p>
    <w:p>
      <w:pPr>
        <w:spacing w:after="0" w:line="174" w:lineRule="exact"/>
        <w:rPr>
          <w:rFonts w:ascii="Times New Roman" w:cs="Times New Roman" w:eastAsia="Times New Roman" w:hAnsi="Times New Roman"/>
          <w:sz w:val="20"/>
          <w:szCs w:val="20"/>
          <w:color w:val="auto"/>
        </w:rPr>
      </w:pPr>
    </w:p>
    <w:p>
      <w:pPr>
        <w:ind w:left="640" w:firstLine="1286"/>
        <w:spacing w:after="0" w:line="247" w:lineRule="auto"/>
        <w:tabs>
          <w:tab w:leader="none" w:pos="235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occurred and is continuing an Event of Default and the Depositary notifies the Trustee of its decision to exchange such Global Note for Definitive Notes.</w:t>
      </w:r>
    </w:p>
    <w:p>
      <w:pPr>
        <w:spacing w:after="0" w:line="180"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Upon the occurrence of the preceding events in clause (1) or (2)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Whenever any provision herein refers to issuance by the Issuer and authentication and delivery by the Trustee of a new Note in exchange for the portion of a surrendered Note that has not been redeemed or repurchased, as the case may be, in lieu of the surrender of any Global Note and the issuance, authentication and delivery of a new Global Note in exchange therefor, the Trustee or the Depositary at the direction of the Trustee may endorse such Global Note to reflect a reduction in the principal amount represented thereby in the amount of Notes so represented that have been so redeemed or repurchased.</w:t>
      </w:r>
    </w:p>
    <w:p>
      <w:pPr>
        <w:spacing w:after="0" w:line="172" w:lineRule="exact"/>
        <w:rPr>
          <w:sz w:val="20"/>
          <w:szCs w:val="20"/>
          <w:color w:val="auto"/>
        </w:rPr>
      </w:pPr>
    </w:p>
    <w:p>
      <w:pPr>
        <w:jc w:val="both"/>
        <w:ind w:firstLine="1286"/>
        <w:spacing w:after="0" w:line="231" w:lineRule="auto"/>
        <w:tabs>
          <w:tab w:leader="none" w:pos="17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Beneficial Interests in the Global Notes</w:t>
      </w:r>
      <w:r>
        <w:rPr>
          <w:rFonts w:ascii="Times New Roman" w:cs="Times New Roman" w:eastAsia="Times New Roman" w:hAnsi="Times New Roman"/>
          <w:sz w:val="20"/>
          <w:szCs w:val="20"/>
          <w:color w:val="auto"/>
        </w:rPr>
        <w:t>. The transfer and exchange of beneficial interests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Global Notes will be effected through the Depositary, in accordance with the provisions of this Indenture and the Applicable Procedures. Participants and Indirect Participants shall have no rights under this Indenture with respect to any Global Note held on their behalf by the Depositary or by the Trustee as the Custodian with respect to the Global Notes, and the Issuer, the Trustee, any Agent and any agent of the Issuer or the Trustee shall be entitled to treat the Depositary as the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6"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Participants or the Indirect Participants, the operation of customary practices of such Depositary governing the exercise of the rights of a holder of a beneficial interest in any Global Note. Subject to the provisions of this Section 2.06 and Section 12.15, the Holder of a Global Note shall be entitled to grant proxies and otherwise authorize any Person, including Participants and Indirect Participants and Persons that may hold interests through such Persons, to take any action that a Holder is entitled to take under this Indenture or the Notes.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57" w:lineRule="exact"/>
        <w:rPr>
          <w:sz w:val="20"/>
          <w:szCs w:val="20"/>
          <w:color w:val="auto"/>
        </w:rPr>
      </w:pPr>
    </w:p>
    <w:p>
      <w:pPr>
        <w:jc w:val="both"/>
        <w:ind w:left="640" w:firstLine="1286"/>
        <w:spacing w:after="0" w:line="232" w:lineRule="auto"/>
        <w:tabs>
          <w:tab w:leader="none" w:pos="236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of Beneficial Interests in the Same Global Note</w:t>
      </w:r>
      <w:r>
        <w:rPr>
          <w:rFonts w:ascii="Times New Roman" w:cs="Times New Roman" w:eastAsia="Times New Roman" w:hAnsi="Times New Roman"/>
          <w:sz w:val="20"/>
          <w:szCs w:val="20"/>
          <w:color w:val="auto"/>
        </w:rPr>
        <w:t>. Beneficial interests in any Restricted Global Note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transferred to Persons who take delivery thereof in the form of a beneficial interest in the same Restricted Global Note in accordance with the transfer restrictions set forth in the Private Placement Legend and any Applicable Procedures. Beneficial interests in any Unrestricted Global Note may be transferred to Persons who take delivery thereof in the form of a beneficial interest in an Unrestricted Global Note. Except as may be required by any Applicable Procedures, no written orders or instructions shall be required to be delivered to the Registrar to effect the transfers described in this Section 2.06(b)(1).</w:t>
      </w:r>
    </w:p>
    <w:p>
      <w:pPr>
        <w:spacing w:after="0" w:line="172" w:lineRule="exact"/>
        <w:rPr>
          <w:rFonts w:ascii="Times New Roman" w:cs="Times New Roman" w:eastAsia="Times New Roman" w:hAnsi="Times New Roman"/>
          <w:sz w:val="20"/>
          <w:szCs w:val="20"/>
          <w:color w:val="auto"/>
        </w:rPr>
      </w:pPr>
    </w:p>
    <w:p>
      <w:pPr>
        <w:jc w:val="both"/>
        <w:ind w:left="640" w:firstLine="1286"/>
        <w:spacing w:after="0" w:line="237" w:lineRule="auto"/>
        <w:tabs>
          <w:tab w:leader="none" w:pos="242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All Other Transfers and Exchanges of Beneficial Interests in Global Notes. </w:t>
      </w:r>
      <w:r>
        <w:rPr>
          <w:rFonts w:ascii="Times New Roman" w:cs="Times New Roman" w:eastAsia="Times New Roman" w:hAnsi="Times New Roman"/>
          <w:sz w:val="20"/>
          <w:szCs w:val="20"/>
          <w:color w:val="auto"/>
        </w:rPr>
        <w:t>In connection with all transfers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exchanges of beneficial interests that are not subject to Section 2.06(b)(1) above, the transferor of such beneficial interest must deliver to the Registrar either:</w:t>
      </w:r>
    </w:p>
    <w:p>
      <w:pPr>
        <w:spacing w:after="0" w:line="173" w:lineRule="exact"/>
        <w:rPr>
          <w:rFonts w:ascii="Times New Roman" w:cs="Times New Roman" w:eastAsia="Times New Roman" w:hAnsi="Times New Roman"/>
          <w:sz w:val="20"/>
          <w:szCs w:val="20"/>
          <w:color w:val="auto"/>
        </w:rPr>
      </w:pPr>
    </w:p>
    <w:p>
      <w:pPr>
        <w:ind w:left="3040" w:hanging="475"/>
        <w:spacing w:after="0"/>
        <w:tabs>
          <w:tab w:leader="none" w:pos="30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w:t>
      </w:r>
    </w:p>
    <w:p>
      <w:pPr>
        <w:spacing w:after="0" w:line="196" w:lineRule="exact"/>
        <w:rPr>
          <w:rFonts w:ascii="Times New Roman" w:cs="Times New Roman" w:eastAsia="Times New Roman" w:hAnsi="Times New Roman"/>
          <w:sz w:val="20"/>
          <w:szCs w:val="20"/>
          <w:color w:val="auto"/>
        </w:rPr>
      </w:pPr>
    </w:p>
    <w:p>
      <w:pPr>
        <w:jc w:val="both"/>
        <w:ind w:left="1920" w:firstLine="1285"/>
        <w:spacing w:after="0" w:line="242" w:lineRule="auto"/>
        <w:tabs>
          <w:tab w:leader="none" w:pos="3587"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0" w:lineRule="exact"/>
        <w:rPr>
          <w:rFonts w:ascii="Times New Roman" w:cs="Times New Roman" w:eastAsia="Times New Roman" w:hAnsi="Times New Roman"/>
          <w:sz w:val="20"/>
          <w:szCs w:val="20"/>
          <w:color w:val="auto"/>
        </w:rPr>
      </w:pPr>
    </w:p>
    <w:p>
      <w:pPr>
        <w:ind w:left="1920" w:firstLine="1285"/>
        <w:spacing w:after="0" w:line="247" w:lineRule="auto"/>
        <w:tabs>
          <w:tab w:leader="none" w:pos="3855"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given in accordance with the Applicable Procedures containing information regarding the Participant account to be credited with such increase; or</w:t>
      </w:r>
    </w:p>
    <w:p>
      <w:pPr>
        <w:spacing w:after="0" w:line="166" w:lineRule="exact"/>
        <w:rPr>
          <w:rFonts w:ascii="Times New Roman" w:cs="Times New Roman" w:eastAsia="Times New Roman" w:hAnsi="Times New Roman"/>
          <w:sz w:val="20"/>
          <w:szCs w:val="20"/>
          <w:color w:val="auto"/>
        </w:rPr>
      </w:pPr>
    </w:p>
    <w:p>
      <w:pPr>
        <w:ind w:left="3020" w:hanging="455"/>
        <w:spacing w:after="0"/>
        <w:tabs>
          <w:tab w:leader="none" w:pos="3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w:t>
      </w:r>
    </w:p>
    <w:p>
      <w:pPr>
        <w:spacing w:after="0" w:line="196" w:lineRule="exact"/>
        <w:rPr>
          <w:sz w:val="20"/>
          <w:szCs w:val="20"/>
          <w:color w:val="auto"/>
        </w:rPr>
      </w:pPr>
    </w:p>
    <w:p>
      <w:pPr>
        <w:jc w:val="both"/>
        <w:ind w:left="1920" w:firstLine="1285"/>
        <w:spacing w:after="0" w:line="236" w:lineRule="auto"/>
        <w:tabs>
          <w:tab w:leader="none" w:pos="362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88" w:lineRule="exact"/>
        <w:rPr>
          <w:sz w:val="20"/>
          <w:szCs w:val="20"/>
          <w:color w:val="auto"/>
        </w:rPr>
      </w:pPr>
    </w:p>
    <w:p>
      <w:pPr>
        <w:ind w:left="1920" w:firstLine="1285"/>
        <w:spacing w:after="0" w:line="301" w:lineRule="auto"/>
        <w:tabs>
          <w:tab w:leader="none" w:pos="36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21" w:lineRule="exact"/>
        <w:rPr>
          <w:sz w:val="20"/>
          <w:szCs w:val="20"/>
          <w:color w:val="auto"/>
        </w:rPr>
      </w:pPr>
    </w:p>
    <w:p>
      <w:pPr>
        <w:ind w:left="640"/>
        <w:spacing w:after="0" w:line="247" w:lineRule="auto"/>
        <w:rPr>
          <w:sz w:val="20"/>
          <w:szCs w:val="20"/>
          <w:color w:val="auto"/>
        </w:rPr>
      </w:pPr>
      <w:r>
        <w:rPr>
          <w:rFonts w:ascii="Times New Roman" w:cs="Times New Roman" w:eastAsia="Times New Roman" w:hAnsi="Times New Roman"/>
          <w:sz w:val="20"/>
          <w:szCs w:val="20"/>
          <w:color w:val="auto"/>
        </w:rPr>
        <w:t>Upon satisfaction of all of the requirements for transfer or exchange of beneficial interests in Global Notes contained in this Indenture and the Notes or otherwise applicable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the Trustee shall adjust the principal amount of the relevant Global Note(s) pursuant to Section 2.06(h).</w:t>
      </w:r>
    </w:p>
    <w:p>
      <w:pPr>
        <w:spacing w:after="0" w:line="194" w:lineRule="exact"/>
        <w:rPr>
          <w:sz w:val="20"/>
          <w:szCs w:val="20"/>
          <w:color w:val="auto"/>
        </w:rPr>
      </w:pPr>
    </w:p>
    <w:p>
      <w:pPr>
        <w:jc w:val="both"/>
        <w:ind w:firstLine="1286"/>
        <w:spacing w:after="0" w:line="237" w:lineRule="auto"/>
        <w:tabs>
          <w:tab w:leader="none" w:pos="171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Transfer of Beneficial Interests to Another Restricted Global Note. </w:t>
      </w:r>
      <w:r>
        <w:rPr>
          <w:rFonts w:ascii="Times New Roman" w:cs="Times New Roman" w:eastAsia="Times New Roman" w:hAnsi="Times New Roman"/>
          <w:sz w:val="20"/>
          <w:szCs w:val="20"/>
          <w:color w:val="auto"/>
        </w:rPr>
        <w:t>A beneficial interest in any Restricted Global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6" w:lineRule="exact"/>
        <w:rPr>
          <w:rFonts w:ascii="Times New Roman" w:cs="Times New Roman" w:eastAsia="Times New Roman" w:hAnsi="Times New Roman"/>
          <w:sz w:val="20"/>
          <w:szCs w:val="20"/>
          <w:color w:val="auto"/>
        </w:rPr>
      </w:pPr>
    </w:p>
    <w:p>
      <w:pPr>
        <w:ind w:left="640" w:firstLine="1285"/>
        <w:spacing w:after="0" w:line="247" w:lineRule="auto"/>
        <w:tabs>
          <w:tab w:leader="none" w:pos="241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(1) thereof; and</w:t>
      </w:r>
    </w:p>
    <w:p>
      <w:pPr>
        <w:spacing w:after="0" w:line="166" w:lineRule="exact"/>
        <w:rPr>
          <w:rFonts w:ascii="Times New Roman" w:cs="Times New Roman" w:eastAsia="Times New Roman" w:hAnsi="Times New Roman"/>
          <w:sz w:val="20"/>
          <w:szCs w:val="20"/>
          <w:color w:val="auto"/>
        </w:rPr>
      </w:pPr>
    </w:p>
    <w:p>
      <w:pPr>
        <w:jc w:val="both"/>
        <w:ind w:left="640" w:firstLine="1285"/>
        <w:spacing w:after="0" w:line="233" w:lineRule="auto"/>
        <w:tabs>
          <w:tab w:leader="none" w:pos="240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shall take delivery in the form of a beneficial interest in the Regulation S Global Note, then the transferor shall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(2) thereof or, if permitted by the Applicable Procedures, item (3)(a) thereof (if available), then the transferee must hold such interests through Euroclear or Clearstream (as Participants in the Depositary).</w:t>
      </w:r>
    </w:p>
    <w:p>
      <w:pPr>
        <w:spacing w:after="0" w:line="171" w:lineRule="exact"/>
        <w:rPr>
          <w:rFonts w:ascii="Times New Roman" w:cs="Times New Roman" w:eastAsia="Times New Roman" w:hAnsi="Times New Roman"/>
          <w:sz w:val="20"/>
          <w:szCs w:val="20"/>
          <w:color w:val="auto"/>
        </w:rPr>
      </w:pPr>
    </w:p>
    <w:p>
      <w:pPr>
        <w:jc w:val="both"/>
        <w:ind w:firstLine="1286"/>
        <w:spacing w:after="0" w:line="237" w:lineRule="auto"/>
        <w:tabs>
          <w:tab w:leader="none" w:pos="187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Transfer and Exchange of Beneficial Interests in a Restricted Global Note for Beneficial Interests in an Unrestricted Global Note. </w:t>
      </w:r>
      <w:r>
        <w:rPr>
          <w:rFonts w:ascii="Times New Roman" w:cs="Times New Roman" w:eastAsia="Times New Roman" w:hAnsi="Times New Roman"/>
          <w:sz w:val="20"/>
          <w:szCs w:val="20"/>
          <w:color w:val="auto"/>
        </w:rPr>
        <w:t>A beneficial interest in any Restricted Global Note may be exchanged by any holder thereof for a beneficial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173" w:lineRule="exact"/>
        <w:rPr>
          <w:rFonts w:ascii="Times New Roman" w:cs="Times New Roman" w:eastAsia="Times New Roman" w:hAnsi="Times New Roman"/>
          <w:sz w:val="20"/>
          <w:szCs w:val="20"/>
          <w:color w:val="auto"/>
        </w:rPr>
      </w:pPr>
    </w:p>
    <w:p>
      <w:pPr>
        <w:ind w:left="2400" w:hanging="475"/>
        <w:spacing w:after="0"/>
        <w:tabs>
          <w:tab w:leader="none" w:pos="24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2380" w:hanging="455"/>
        <w:spacing w:after="0"/>
        <w:tabs>
          <w:tab w:leader="none" w:pos="23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2380" w:hanging="455"/>
        <w:spacing w:after="0"/>
        <w:tabs>
          <w:tab w:leader="none" w:pos="23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2400" w:hanging="475"/>
        <w:spacing w:after="0"/>
        <w:tabs>
          <w:tab w:leader="none" w:pos="24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receives the following:</w:t>
      </w:r>
    </w:p>
    <w:p>
      <w:pPr>
        <w:spacing w:after="0" w:line="196" w:lineRule="exact"/>
        <w:rPr>
          <w:rFonts w:ascii="Times New Roman" w:cs="Times New Roman" w:eastAsia="Times New Roman" w:hAnsi="Times New Roman"/>
          <w:sz w:val="20"/>
          <w:szCs w:val="20"/>
          <w:color w:val="auto"/>
        </w:rPr>
      </w:pPr>
    </w:p>
    <w:p>
      <w:pPr>
        <w:jc w:val="both"/>
        <w:ind w:left="1280" w:firstLine="1285"/>
        <w:spacing w:after="0" w:line="242" w:lineRule="auto"/>
        <w:tabs>
          <w:tab w:leader="none" w:pos="3046"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(1)(a) thereof; or</w:t>
      </w:r>
    </w:p>
    <w:p>
      <w:pPr>
        <w:spacing w:after="0" w:line="170" w:lineRule="exact"/>
        <w:rPr>
          <w:rFonts w:ascii="Times New Roman" w:cs="Times New Roman" w:eastAsia="Times New Roman" w:hAnsi="Times New Roman"/>
          <w:sz w:val="20"/>
          <w:szCs w:val="20"/>
          <w:color w:val="auto"/>
        </w:rPr>
      </w:pPr>
    </w:p>
    <w:p>
      <w:pPr>
        <w:jc w:val="both"/>
        <w:ind w:left="1280" w:firstLine="1285"/>
        <w:spacing w:after="0" w:line="233" w:lineRule="auto"/>
        <w:tabs>
          <w:tab w:leader="none" w:pos="3077"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73"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0"/>
          <w:szCs w:val="20"/>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600"/>
          </w:cols>
          <w:pgMar w:left="960" w:top="1396" w:right="339" w:bottom="1440" w:gutter="0" w:footer="0" w:header="0"/>
        </w:sectPr>
      </w:pPr>
    </w:p>
    <w:bookmarkStart w:id="52" w:name="page53"/>
    <w:bookmarkEnd w:id="52"/>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If any such transfer or exchange is effected pursuant to subparagraph (D)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or exchanged pursuant to subparagraph (D) above.</w:t>
      </w:r>
    </w:p>
    <w:p>
      <w:pPr>
        <w:spacing w:after="0" w:line="18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Beneficial interests in an Unrestricted Global Note cannot be exchanged for, or transferred to Persons who take delivery thereof in the form of, a beneficial interest in a Restricted Global Note.</w:t>
      </w:r>
    </w:p>
    <w:p>
      <w:pPr>
        <w:spacing w:after="0" w:line="164" w:lineRule="exact"/>
        <w:rPr>
          <w:sz w:val="20"/>
          <w:szCs w:val="20"/>
          <w:color w:val="auto"/>
        </w:rPr>
      </w:pPr>
    </w:p>
    <w:p>
      <w:pPr>
        <w:ind w:left="1700" w:hanging="414"/>
        <w:spacing w:after="0"/>
        <w:tabs>
          <w:tab w:leader="none" w:pos="17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or Exchange of Beneficial Interests for Definitive Notes</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34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Beneficial Interests in Restricted Global Notes to Restricted Definitive Notes. </w:t>
      </w:r>
      <w:r>
        <w:rPr>
          <w:rFonts w:ascii="Times New Roman" w:cs="Times New Roman" w:eastAsia="Times New Roman" w:hAnsi="Times New Roman"/>
          <w:sz w:val="20"/>
          <w:szCs w:val="20"/>
          <w:color w:val="auto"/>
        </w:rPr>
        <w:t>If any holder of a beneficial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75" w:lineRule="exact"/>
        <w:rPr>
          <w:rFonts w:ascii="Times New Roman" w:cs="Times New Roman" w:eastAsia="Times New Roman" w:hAnsi="Times New Roman"/>
          <w:sz w:val="20"/>
          <w:szCs w:val="20"/>
          <w:color w:val="auto"/>
        </w:rPr>
      </w:pPr>
    </w:p>
    <w:p>
      <w:pPr>
        <w:jc w:val="both"/>
        <w:ind w:left="1280" w:firstLine="1285"/>
        <w:spacing w:after="0" w:line="242" w:lineRule="auto"/>
        <w:tabs>
          <w:tab w:leader="none" w:pos="3034"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(2)(a) thereof;</w:t>
      </w:r>
    </w:p>
    <w:p>
      <w:pPr>
        <w:spacing w:after="0" w:line="170" w:lineRule="exact"/>
        <w:rPr>
          <w:rFonts w:ascii="Times New Roman" w:cs="Times New Roman" w:eastAsia="Times New Roman" w:hAnsi="Times New Roman"/>
          <w:sz w:val="20"/>
          <w:szCs w:val="20"/>
          <w:color w:val="auto"/>
        </w:rPr>
      </w:pPr>
    </w:p>
    <w:p>
      <w:pPr>
        <w:ind w:left="1280" w:firstLine="1285"/>
        <w:spacing w:after="0" w:line="247" w:lineRule="auto"/>
        <w:tabs>
          <w:tab w:leader="none" w:pos="3022"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(1) thereof;</w:t>
      </w:r>
    </w:p>
    <w:p>
      <w:pPr>
        <w:spacing w:after="0" w:line="166" w:lineRule="exact"/>
        <w:rPr>
          <w:rFonts w:ascii="Times New Roman" w:cs="Times New Roman" w:eastAsia="Times New Roman" w:hAnsi="Times New Roman"/>
          <w:sz w:val="20"/>
          <w:szCs w:val="20"/>
          <w:color w:val="auto"/>
        </w:rPr>
      </w:pPr>
    </w:p>
    <w:p>
      <w:pPr>
        <w:jc w:val="both"/>
        <w:ind w:left="1280" w:firstLine="1285"/>
        <w:spacing w:after="0" w:line="236" w:lineRule="auto"/>
        <w:tabs>
          <w:tab w:leader="none" w:pos="302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to a Non-U.S. Person in an offshore transaction (as defined in Section 902(h) of Regulation S) in accordance with Rule 903 or Rule 904,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(2) thereof;</w:t>
      </w:r>
    </w:p>
    <w:p>
      <w:pPr>
        <w:spacing w:after="0" w:line="174" w:lineRule="exact"/>
        <w:rPr>
          <w:rFonts w:ascii="Times New Roman" w:cs="Times New Roman" w:eastAsia="Times New Roman" w:hAnsi="Times New Roman"/>
          <w:sz w:val="20"/>
          <w:szCs w:val="20"/>
          <w:color w:val="auto"/>
        </w:rPr>
      </w:pPr>
    </w:p>
    <w:p>
      <w:pPr>
        <w:jc w:val="both"/>
        <w:ind w:left="1280" w:firstLine="1285"/>
        <w:spacing w:after="0" w:line="242" w:lineRule="auto"/>
        <w:tabs>
          <w:tab w:leader="none" w:pos="3167"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(3)(a) thereof;</w:t>
      </w:r>
    </w:p>
    <w:p>
      <w:pPr>
        <w:spacing w:after="0" w:line="170" w:lineRule="exact"/>
        <w:rPr>
          <w:rFonts w:ascii="Times New Roman" w:cs="Times New Roman" w:eastAsia="Times New Roman" w:hAnsi="Times New Roman"/>
          <w:sz w:val="20"/>
          <w:szCs w:val="20"/>
          <w:color w:val="auto"/>
        </w:rPr>
      </w:pPr>
    </w:p>
    <w:p>
      <w:pPr>
        <w:ind w:left="3020" w:hanging="455"/>
        <w:spacing w:after="0"/>
        <w:tabs>
          <w:tab w:leader="none" w:pos="302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1280" w:firstLine="1285"/>
        <w:spacing w:after="0" w:line="247" w:lineRule="auto"/>
        <w:tabs>
          <w:tab w:leader="none" w:pos="3032"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to the Issuer or any of its Subsidiaries,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(3)(b) thereof; or</w:t>
      </w:r>
    </w:p>
    <w:p>
      <w:pPr>
        <w:spacing w:after="0" w:line="166" w:lineRule="exact"/>
        <w:rPr>
          <w:rFonts w:ascii="Times New Roman" w:cs="Times New Roman" w:eastAsia="Times New Roman" w:hAnsi="Times New Roman"/>
          <w:sz w:val="20"/>
          <w:szCs w:val="20"/>
          <w:color w:val="auto"/>
        </w:rPr>
      </w:pPr>
    </w:p>
    <w:p>
      <w:pPr>
        <w:ind w:left="1280" w:firstLine="1285"/>
        <w:spacing w:after="0" w:line="247" w:lineRule="auto"/>
        <w:tabs>
          <w:tab w:leader="none" w:pos="3088"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(3)(c) thereof,</w:t>
      </w:r>
    </w:p>
    <w:p>
      <w:pPr>
        <w:spacing w:after="0" w:line="166"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0"/>
          <w:szCs w:val="20"/>
          <w:color w:val="auto"/>
        </w:rPr>
        <w:t>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6" w:right="339" w:bottom="1440" w:gutter="0" w:footer="0" w:header="0"/>
        </w:sectPr>
      </w:pPr>
    </w:p>
    <w:bookmarkStart w:id="53" w:name="page54"/>
    <w:bookmarkEnd w:id="53"/>
    <w:p>
      <w:pPr>
        <w:jc w:val="both"/>
        <w:spacing w:after="0" w:line="233" w:lineRule="auto"/>
        <w:rPr>
          <w:sz w:val="20"/>
          <w:szCs w:val="20"/>
          <w:color w:val="auto"/>
        </w:rPr>
      </w:pPr>
      <w:r>
        <w:rPr>
          <w:rFonts w:ascii="Times New Roman" w:cs="Times New Roman" w:eastAsia="Times New Roman" w:hAnsi="Times New Roman"/>
          <w:sz w:val="20"/>
          <w:szCs w:val="20"/>
          <w:color w:val="auto"/>
        </w:rPr>
        <w:t>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74" w:lineRule="exact"/>
        <w:rPr>
          <w:sz w:val="20"/>
          <w:szCs w:val="20"/>
          <w:color w:val="auto"/>
        </w:rPr>
      </w:pPr>
    </w:p>
    <w:p>
      <w:pPr>
        <w:jc w:val="both"/>
        <w:ind w:firstLine="1286"/>
        <w:spacing w:after="0" w:line="237" w:lineRule="auto"/>
        <w:tabs>
          <w:tab w:leader="none" w:pos="172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Beneficial Interests in Restricted Global Notes to Unrestricted Definitive Notes. </w:t>
      </w:r>
      <w:r>
        <w:rPr>
          <w:rFonts w:ascii="Times New Roman" w:cs="Times New Roman" w:eastAsia="Times New Roman" w:hAnsi="Times New Roman"/>
          <w:sz w:val="20"/>
          <w:szCs w:val="20"/>
          <w:color w:val="auto"/>
        </w:rPr>
        <w:t>A holder of a beneficial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 Restricted Global Note may exchange such beneficial interest for an Unrestricted Definitive Note or may transfer such beneficial interest to a Person who takes delivery thereof in the form of an Unrestricted Definitive Note only if:</w:t>
      </w:r>
    </w:p>
    <w:p>
      <w:pPr>
        <w:spacing w:after="0" w:line="173" w:lineRule="exact"/>
        <w:rPr>
          <w:rFonts w:ascii="Times New Roman" w:cs="Times New Roman" w:eastAsia="Times New Roman" w:hAnsi="Times New Roman"/>
          <w:sz w:val="20"/>
          <w:szCs w:val="20"/>
          <w:color w:val="auto"/>
        </w:rPr>
      </w:pPr>
    </w:p>
    <w:p>
      <w:pPr>
        <w:ind w:left="2400" w:hanging="475"/>
        <w:spacing w:after="0"/>
        <w:tabs>
          <w:tab w:leader="none" w:pos="24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2380" w:hanging="455"/>
        <w:spacing w:after="0"/>
        <w:tabs>
          <w:tab w:leader="none" w:pos="2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2380" w:hanging="455"/>
        <w:spacing w:after="0"/>
        <w:tabs>
          <w:tab w:leader="none" w:pos="2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2400" w:hanging="475"/>
        <w:spacing w:after="0"/>
        <w:tabs>
          <w:tab w:leader="none" w:pos="24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receives the following:</w:t>
      </w:r>
    </w:p>
    <w:p>
      <w:pPr>
        <w:spacing w:after="0" w:line="209" w:lineRule="exact"/>
        <w:rPr>
          <w:rFonts w:ascii="Times New Roman" w:cs="Times New Roman" w:eastAsia="Times New Roman" w:hAnsi="Times New Roman"/>
          <w:sz w:val="20"/>
          <w:szCs w:val="20"/>
          <w:color w:val="auto"/>
        </w:rPr>
      </w:pPr>
    </w:p>
    <w:p>
      <w:pPr>
        <w:jc w:val="both"/>
        <w:ind w:left="1280" w:firstLine="1285"/>
        <w:spacing w:after="0" w:line="236" w:lineRule="auto"/>
        <w:tabs>
          <w:tab w:leader="none" w:pos="3004"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(1)(b) thereof; or</w:t>
      </w:r>
    </w:p>
    <w:p>
      <w:pPr>
        <w:spacing w:after="0" w:line="174" w:lineRule="exact"/>
        <w:rPr>
          <w:rFonts w:ascii="Times New Roman" w:cs="Times New Roman" w:eastAsia="Times New Roman" w:hAnsi="Times New Roman"/>
          <w:sz w:val="20"/>
          <w:szCs w:val="20"/>
          <w:color w:val="auto"/>
        </w:rPr>
      </w:pPr>
    </w:p>
    <w:p>
      <w:pPr>
        <w:jc w:val="both"/>
        <w:ind w:left="1280" w:firstLine="1285"/>
        <w:spacing w:after="0" w:line="236" w:lineRule="auto"/>
        <w:tabs>
          <w:tab w:leader="none" w:pos="3077"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74"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0"/>
          <w:szCs w:val="20"/>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jc w:val="both"/>
        <w:ind w:firstLine="1286"/>
        <w:spacing w:after="0" w:line="228" w:lineRule="auto"/>
        <w:tabs>
          <w:tab w:leader="none" w:pos="175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Beneficial Interests in Unrestricted Global Notes to Unrestricted Definitive Notes. </w:t>
      </w:r>
      <w:r>
        <w:rPr>
          <w:rFonts w:ascii="Times New Roman" w:cs="Times New Roman" w:eastAsia="Times New Roman" w:hAnsi="Times New Roman"/>
          <w:sz w:val="20"/>
          <w:szCs w:val="20"/>
          <w:color w:val="auto"/>
        </w:rPr>
        <w:t>Subject to Section 2.06(a),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the Trustee will cause the aggregate principal amount of the applicable Global Note to be reduced accordingly pursuant to Section 2.06(h), and the Issuer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0600"/>
          </w:cols>
          <w:pgMar w:left="960" w:top="139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exchange for a beneficial interest pursuant to this Section 2.06(c)(3) will not bear the Private Placement Legend.</w:t>
      </w:r>
    </w:p>
    <w:p>
      <w:pPr>
        <w:spacing w:after="0" w:line="194" w:lineRule="exact"/>
        <w:rPr>
          <w:sz w:val="20"/>
          <w:szCs w:val="20"/>
          <w:color w:val="auto"/>
        </w:rPr>
      </w:pPr>
    </w:p>
    <w:p>
      <w:pPr>
        <w:ind w:left="1700" w:hanging="414"/>
        <w:spacing w:after="0"/>
        <w:tabs>
          <w:tab w:leader="none" w:pos="1700" w:val="left"/>
        </w:tabs>
        <w:numPr>
          <w:ilvl w:val="0"/>
          <w:numId w:val="6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Transfer and Exchange of Definitive Notes for Beneficial Interests</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i w:val="1"/>
          <w:iCs w:val="1"/>
          <w:color w:val="auto"/>
        </w:rPr>
      </w:pPr>
    </w:p>
    <w:p>
      <w:pPr>
        <w:jc w:val="both"/>
        <w:ind w:left="640" w:firstLine="1286"/>
        <w:spacing w:after="0" w:line="237" w:lineRule="auto"/>
        <w:tabs>
          <w:tab w:leader="none" w:pos="2449"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Restricted Definitive Notes to Beneficial Interests in Restricted Global Notes. </w:t>
      </w:r>
      <w:r>
        <w:rPr>
          <w:rFonts w:ascii="Times New Roman" w:cs="Times New Roman" w:eastAsia="Times New Roman" w:hAnsi="Times New Roman"/>
          <w:sz w:val="20"/>
          <w:szCs w:val="20"/>
          <w:color w:val="auto"/>
        </w:rPr>
        <w:t>If any Holder of a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73" w:lineRule="exact"/>
        <w:rPr>
          <w:rFonts w:ascii="Times New Roman" w:cs="Times New Roman" w:eastAsia="Times New Roman" w:hAnsi="Times New Roman"/>
          <w:sz w:val="20"/>
          <w:szCs w:val="20"/>
          <w:color w:val="auto"/>
        </w:rPr>
      </w:pPr>
    </w:p>
    <w:p>
      <w:pPr>
        <w:jc w:val="both"/>
        <w:ind w:left="1280" w:firstLine="1285"/>
        <w:spacing w:after="0" w:line="260" w:lineRule="auto"/>
        <w:tabs>
          <w:tab w:leader="none" w:pos="303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w:t>
      </w: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(2)(b) thereof;</w:t>
      </w:r>
    </w:p>
    <w:p>
      <w:pPr>
        <w:spacing w:after="0" w:line="174" w:lineRule="exact"/>
        <w:rPr>
          <w:rFonts w:ascii="Times New Roman" w:cs="Times New Roman" w:eastAsia="Times New Roman" w:hAnsi="Times New Roman"/>
          <w:sz w:val="18"/>
          <w:szCs w:val="18"/>
          <w:color w:val="auto"/>
        </w:rPr>
      </w:pPr>
    </w:p>
    <w:p>
      <w:pPr>
        <w:ind w:left="1280" w:firstLine="1285"/>
        <w:spacing w:after="0" w:line="247" w:lineRule="auto"/>
        <w:tabs>
          <w:tab w:leader="none" w:pos="3154"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(1) thereof;</w:t>
      </w:r>
    </w:p>
    <w:p>
      <w:pPr>
        <w:spacing w:after="0" w:line="166" w:lineRule="exact"/>
        <w:rPr>
          <w:rFonts w:ascii="Times New Roman" w:cs="Times New Roman" w:eastAsia="Times New Roman" w:hAnsi="Times New Roman"/>
          <w:sz w:val="20"/>
          <w:szCs w:val="20"/>
          <w:color w:val="auto"/>
        </w:rPr>
      </w:pPr>
    </w:p>
    <w:p>
      <w:pPr>
        <w:jc w:val="both"/>
        <w:ind w:left="1280" w:firstLine="1285"/>
        <w:spacing w:after="0" w:line="242" w:lineRule="auto"/>
        <w:tabs>
          <w:tab w:leader="none" w:pos="3015"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 Non-U.S. Person in an offshore transaction (as defined in Rule 902(h) of Regulation S) in accordance with Rule 903 or Rule 904, a certificate to the effect set forth in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hereto, including the certifications in item (2) thereof;</w:t>
      </w:r>
    </w:p>
    <w:p>
      <w:pPr>
        <w:spacing w:after="0" w:line="170" w:lineRule="exact"/>
        <w:rPr>
          <w:rFonts w:ascii="Times New Roman" w:cs="Times New Roman" w:eastAsia="Times New Roman" w:hAnsi="Times New Roman"/>
          <w:sz w:val="20"/>
          <w:szCs w:val="20"/>
          <w:color w:val="auto"/>
        </w:rPr>
      </w:pPr>
    </w:p>
    <w:p>
      <w:pPr>
        <w:jc w:val="both"/>
        <w:ind w:left="1280" w:firstLine="1285"/>
        <w:spacing w:after="0" w:line="236" w:lineRule="auto"/>
        <w:tabs>
          <w:tab w:leader="none" w:pos="323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(3)(a) thereof;</w:t>
      </w:r>
    </w:p>
    <w:p>
      <w:pPr>
        <w:spacing w:after="0" w:line="174" w:lineRule="exact"/>
        <w:rPr>
          <w:rFonts w:ascii="Times New Roman" w:cs="Times New Roman" w:eastAsia="Times New Roman" w:hAnsi="Times New Roman"/>
          <w:sz w:val="20"/>
          <w:szCs w:val="20"/>
          <w:color w:val="auto"/>
        </w:rPr>
      </w:pPr>
    </w:p>
    <w:p>
      <w:pPr>
        <w:ind w:left="3020" w:hanging="455"/>
        <w:spacing w:after="0"/>
        <w:tabs>
          <w:tab w:leader="none" w:pos="302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1280" w:firstLine="1285"/>
        <w:spacing w:after="0" w:line="247" w:lineRule="auto"/>
        <w:tabs>
          <w:tab w:leader="none" w:pos="3001"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the Issuer or any of its Subsidiaries,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(3)(b) thereof; or</w:t>
      </w:r>
    </w:p>
    <w:p>
      <w:pPr>
        <w:spacing w:after="0" w:line="179" w:lineRule="exact"/>
        <w:rPr>
          <w:rFonts w:ascii="Times New Roman" w:cs="Times New Roman" w:eastAsia="Times New Roman" w:hAnsi="Times New Roman"/>
          <w:sz w:val="20"/>
          <w:szCs w:val="20"/>
          <w:color w:val="auto"/>
        </w:rPr>
      </w:pPr>
    </w:p>
    <w:p>
      <w:pPr>
        <w:jc w:val="both"/>
        <w:ind w:left="1280" w:firstLine="1285"/>
        <w:spacing w:after="0" w:line="236" w:lineRule="auto"/>
        <w:tabs>
          <w:tab w:leader="none" w:pos="3117"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(3)(c) thereof,</w:t>
      </w:r>
    </w:p>
    <w:p>
      <w:pPr>
        <w:spacing w:after="0" w:line="175" w:lineRule="exact"/>
        <w:rPr>
          <w:sz w:val="20"/>
          <w:szCs w:val="20"/>
          <w:color w:val="auto"/>
        </w:rPr>
      </w:pPr>
    </w:p>
    <w:p>
      <w:pPr>
        <w:jc w:val="both"/>
        <w:ind w:left="1280"/>
        <w:spacing w:after="0" w:line="236" w:lineRule="auto"/>
        <w:rPr>
          <w:sz w:val="20"/>
          <w:szCs w:val="20"/>
          <w:color w:val="auto"/>
        </w:rPr>
      </w:pPr>
      <w:r>
        <w:rPr>
          <w:rFonts w:ascii="Times New Roman" w:cs="Times New Roman" w:eastAsia="Times New Roman" w:hAnsi="Times New Roman"/>
          <w:sz w:val="20"/>
          <w:szCs w:val="20"/>
          <w:color w:val="auto"/>
        </w:rPr>
        <w:t>the Trustee will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173" w:lineRule="exact"/>
        <w:rPr>
          <w:sz w:val="20"/>
          <w:szCs w:val="20"/>
          <w:color w:val="auto"/>
        </w:rPr>
      </w:pPr>
    </w:p>
    <w:p>
      <w:pPr>
        <w:jc w:val="both"/>
        <w:ind w:left="640" w:firstLine="1286"/>
        <w:spacing w:after="0" w:line="243" w:lineRule="auto"/>
        <w:tabs>
          <w:tab w:leader="none" w:pos="248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Restricted Definitive Notes to Beneficial Interests in Unrestricted Global Notes. </w:t>
      </w:r>
      <w:r>
        <w:rPr>
          <w:rFonts w:ascii="Times New Roman" w:cs="Times New Roman" w:eastAsia="Times New Roman" w:hAnsi="Times New Roman"/>
          <w:sz w:val="20"/>
          <w:szCs w:val="20"/>
          <w:color w:val="auto"/>
        </w:rPr>
        <w:t>A Holder of a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69" w:lineRule="exact"/>
        <w:rPr>
          <w:rFonts w:ascii="Times New Roman" w:cs="Times New Roman" w:eastAsia="Times New Roman" w:hAnsi="Times New Roman"/>
          <w:sz w:val="20"/>
          <w:szCs w:val="20"/>
          <w:color w:val="auto"/>
        </w:rPr>
      </w:pPr>
    </w:p>
    <w:p>
      <w:pPr>
        <w:ind w:left="3040" w:hanging="475"/>
        <w:spacing w:after="0"/>
        <w:tabs>
          <w:tab w:leader="none" w:pos="30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6" w:right="339" w:bottom="1440" w:gutter="0" w:footer="0" w:header="0"/>
        </w:sectPr>
      </w:pPr>
    </w:p>
    <w:bookmarkStart w:id="55" w:name="page56"/>
    <w:bookmarkEnd w:id="55"/>
    <w:p>
      <w:pPr>
        <w:ind w:left="3020" w:hanging="455"/>
        <w:spacing w:after="0"/>
        <w:tabs>
          <w:tab w:leader="none" w:pos="3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3020" w:hanging="455"/>
        <w:spacing w:after="0"/>
        <w:tabs>
          <w:tab w:leader="none" w:pos="3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3040" w:hanging="475"/>
        <w:spacing w:after="0"/>
        <w:tabs>
          <w:tab w:leader="none" w:pos="3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receives the following:</w:t>
      </w:r>
    </w:p>
    <w:p>
      <w:pPr>
        <w:spacing w:after="0" w:line="196" w:lineRule="exact"/>
        <w:rPr>
          <w:rFonts w:ascii="Times New Roman" w:cs="Times New Roman" w:eastAsia="Times New Roman" w:hAnsi="Times New Roman"/>
          <w:sz w:val="20"/>
          <w:szCs w:val="20"/>
          <w:color w:val="auto"/>
        </w:rPr>
      </w:pPr>
    </w:p>
    <w:p>
      <w:pPr>
        <w:jc w:val="both"/>
        <w:ind w:left="1920" w:firstLine="1285"/>
        <w:spacing w:after="0" w:line="242" w:lineRule="auto"/>
        <w:tabs>
          <w:tab w:leader="none" w:pos="361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(1)(c) thereof; or</w:t>
      </w:r>
    </w:p>
    <w:p>
      <w:pPr>
        <w:spacing w:after="0" w:line="170" w:lineRule="exact"/>
        <w:rPr>
          <w:rFonts w:ascii="Times New Roman" w:cs="Times New Roman" w:eastAsia="Times New Roman" w:hAnsi="Times New Roman"/>
          <w:sz w:val="20"/>
          <w:szCs w:val="20"/>
          <w:color w:val="auto"/>
        </w:rPr>
      </w:pPr>
    </w:p>
    <w:p>
      <w:pPr>
        <w:jc w:val="both"/>
        <w:ind w:left="1920" w:firstLine="1285"/>
        <w:spacing w:after="0" w:line="236" w:lineRule="auto"/>
        <w:tabs>
          <w:tab w:leader="none" w:pos="3641"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75" w:lineRule="exact"/>
        <w:rPr>
          <w:sz w:val="20"/>
          <w:szCs w:val="20"/>
          <w:color w:val="auto"/>
        </w:rPr>
      </w:pPr>
    </w:p>
    <w:p>
      <w:pPr>
        <w:jc w:val="both"/>
        <w:ind w:left="1280"/>
        <w:spacing w:after="0" w:line="236" w:lineRule="auto"/>
        <w:rPr>
          <w:sz w:val="20"/>
          <w:szCs w:val="20"/>
          <w:color w:val="auto"/>
        </w:rPr>
      </w:pPr>
      <w:r>
        <w:rPr>
          <w:rFonts w:ascii="Times New Roman" w:cs="Times New Roman" w:eastAsia="Times New Roman" w:hAnsi="Times New Roman"/>
          <w:sz w:val="20"/>
          <w:szCs w:val="20"/>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ind w:left="640" w:right="20" w:firstLine="640"/>
        <w:spacing w:after="0" w:line="247" w:lineRule="auto"/>
        <w:rPr>
          <w:sz w:val="20"/>
          <w:szCs w:val="20"/>
          <w:color w:val="auto"/>
        </w:rPr>
      </w:pPr>
      <w:r>
        <w:rPr>
          <w:rFonts w:ascii="Times New Roman" w:cs="Times New Roman" w:eastAsia="Times New Roman" w:hAnsi="Times New Roman"/>
          <w:sz w:val="20"/>
          <w:szCs w:val="20"/>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64" w:lineRule="exact"/>
        <w:rPr>
          <w:sz w:val="20"/>
          <w:szCs w:val="20"/>
          <w:color w:val="auto"/>
        </w:rPr>
      </w:pPr>
    </w:p>
    <w:p>
      <w:pPr>
        <w:jc w:val="both"/>
        <w:ind w:left="640" w:firstLine="1286"/>
        <w:spacing w:after="0" w:line="231" w:lineRule="auto"/>
        <w:tabs>
          <w:tab w:leader="none" w:pos="239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Unrestricted Definitive Notes to Beneficial Interests in Unrestricted Global Notes. </w:t>
      </w:r>
      <w:r>
        <w:rPr>
          <w:rFonts w:ascii="Times New Roman" w:cs="Times New Roman" w:eastAsia="Times New Roman" w:hAnsi="Times New Roman"/>
          <w:sz w:val="20"/>
          <w:szCs w:val="20"/>
          <w:color w:val="auto"/>
        </w:rPr>
        <w:t>A Holder of an Unrestricted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7"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53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exchange or transfer from a Definitive Note to a beneficial interest is effected pursuant to subparagraph (2)(D) or (3) above at a time when an Unrestricted Global Note has not yet been issued, the Issuer will issue and, upon receipt of an Authentication Order in accordance with Section 2.02, the Trustee will authenticate one or more Unrestricted Global Notes in an aggregate principal amount equal to the principal amount of Definitive Notes so transferred or exchanged.</w:t>
      </w:r>
    </w:p>
    <w:p>
      <w:pPr>
        <w:spacing w:after="0" w:line="171" w:lineRule="exact"/>
        <w:rPr>
          <w:rFonts w:ascii="Times New Roman" w:cs="Times New Roman" w:eastAsia="Times New Roman" w:hAnsi="Times New Roman"/>
          <w:sz w:val="20"/>
          <w:szCs w:val="20"/>
          <w:color w:val="auto"/>
        </w:rPr>
      </w:pPr>
    </w:p>
    <w:p>
      <w:pPr>
        <w:ind w:firstLine="1286"/>
        <w:spacing w:after="0" w:line="232" w:lineRule="auto"/>
        <w:tabs>
          <w:tab w:leader="none" w:pos="169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Transfer and Exchange of Definitive Notes for Definitive Notes. </w:t>
      </w:r>
      <w:r>
        <w:rPr>
          <w:rFonts w:ascii="Times New Roman" w:cs="Times New Roman" w:eastAsia="Times New Roman" w:hAnsi="Times New Roman"/>
          <w:sz w:val="20"/>
          <w:szCs w:val="20"/>
          <w:color w:val="auto"/>
        </w:rPr>
        <w:t>Upon request by a Holder of Definitive Notes and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6" w:right="339" w:bottom="1440" w:gutter="0" w:footer="0" w:header="0"/>
        </w:sectPr>
      </w:pPr>
    </w:p>
    <w:bookmarkStart w:id="56" w:name="page57"/>
    <w:bookmarkEnd w:id="56"/>
    <w:p>
      <w:pPr>
        <w:ind w:left="-480" w:firstLine="1286"/>
        <w:spacing w:after="0" w:line="249" w:lineRule="auto"/>
        <w:tabs>
          <w:tab w:leader="none" w:pos="124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Restricted Definitive Notes to Restricted Definitive Notes. </w:t>
      </w:r>
      <w:r>
        <w:rPr>
          <w:rFonts w:ascii="Times New Roman" w:cs="Times New Roman" w:eastAsia="Times New Roman" w:hAnsi="Times New Roman"/>
          <w:sz w:val="20"/>
          <w:szCs w:val="20"/>
          <w:color w:val="auto"/>
        </w:rPr>
        <w:t>Any Restricted Definitive Note may be transferred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registered in the name of Persons who take delivery thereof in the form of a Restricted Definitive Note if:</w:t>
      </w:r>
    </w:p>
    <w:p>
      <w:pPr>
        <w:spacing w:after="0" w:line="164" w:lineRule="exact"/>
        <w:rPr>
          <w:rFonts w:ascii="Times New Roman" w:cs="Times New Roman" w:eastAsia="Times New Roman" w:hAnsi="Times New Roman"/>
          <w:sz w:val="20"/>
          <w:szCs w:val="20"/>
          <w:color w:val="auto"/>
        </w:rPr>
      </w:pPr>
    </w:p>
    <w:p>
      <w:pPr>
        <w:ind w:left="1920" w:hanging="475"/>
        <w:spacing w:after="0"/>
        <w:tabs>
          <w:tab w:leader="none" w:pos="19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receives the following:</w:t>
      </w:r>
    </w:p>
    <w:p>
      <w:pPr>
        <w:spacing w:after="0" w:line="196" w:lineRule="exact"/>
        <w:rPr>
          <w:rFonts w:ascii="Times New Roman" w:cs="Times New Roman" w:eastAsia="Times New Roman" w:hAnsi="Times New Roman"/>
          <w:sz w:val="20"/>
          <w:szCs w:val="20"/>
          <w:color w:val="auto"/>
        </w:rPr>
      </w:pPr>
    </w:p>
    <w:p>
      <w:pPr>
        <w:ind w:left="160" w:firstLine="1285"/>
        <w:spacing w:after="0" w:line="261" w:lineRule="auto"/>
        <w:tabs>
          <w:tab w:leader="none" w:pos="194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144A,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(1) thereof;</w:t>
      </w:r>
    </w:p>
    <w:p>
      <w:pPr>
        <w:spacing w:after="0" w:line="152" w:lineRule="exact"/>
        <w:rPr>
          <w:rFonts w:ascii="Times New Roman" w:cs="Times New Roman" w:eastAsia="Times New Roman" w:hAnsi="Times New Roman"/>
          <w:sz w:val="20"/>
          <w:szCs w:val="20"/>
          <w:color w:val="auto"/>
        </w:rPr>
      </w:pPr>
    </w:p>
    <w:p>
      <w:pPr>
        <w:ind w:left="160" w:firstLine="1285"/>
        <w:spacing w:after="0" w:line="247" w:lineRule="auto"/>
        <w:tabs>
          <w:tab w:leader="none" w:pos="203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(2) thereof; and</w:t>
      </w:r>
    </w:p>
    <w:p>
      <w:pPr>
        <w:spacing w:after="0" w:line="166" w:lineRule="exact"/>
        <w:rPr>
          <w:rFonts w:ascii="Times New Roman" w:cs="Times New Roman" w:eastAsia="Times New Roman" w:hAnsi="Times New Roman"/>
          <w:sz w:val="20"/>
          <w:szCs w:val="20"/>
          <w:color w:val="auto"/>
        </w:rPr>
      </w:pPr>
    </w:p>
    <w:p>
      <w:pPr>
        <w:jc w:val="both"/>
        <w:ind w:left="160" w:firstLine="1285"/>
        <w:spacing w:after="0" w:line="236" w:lineRule="auto"/>
        <w:tabs>
          <w:tab w:leader="none" w:pos="196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certificates and Opinion of Counsel required by item (3)(d) thereof, if applicable.</w:t>
      </w:r>
    </w:p>
    <w:p>
      <w:pPr>
        <w:spacing w:after="0" w:line="172" w:lineRule="exact"/>
        <w:rPr>
          <w:rFonts w:ascii="Times New Roman" w:cs="Times New Roman" w:eastAsia="Times New Roman" w:hAnsi="Times New Roman"/>
          <w:sz w:val="20"/>
          <w:szCs w:val="20"/>
          <w:color w:val="auto"/>
        </w:rPr>
      </w:pPr>
    </w:p>
    <w:p>
      <w:pPr>
        <w:jc w:val="both"/>
        <w:ind w:left="-480" w:firstLine="1286"/>
        <w:spacing w:after="0" w:line="243" w:lineRule="auto"/>
        <w:tabs>
          <w:tab w:leader="none" w:pos="126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Restricted Definitive Notes to Unrestricted Definitive Notes. </w:t>
      </w:r>
      <w:r>
        <w:rPr>
          <w:rFonts w:ascii="Times New Roman" w:cs="Times New Roman" w:eastAsia="Times New Roman" w:hAnsi="Times New Roman"/>
          <w:sz w:val="20"/>
          <w:szCs w:val="20"/>
          <w:color w:val="auto"/>
        </w:rPr>
        <w:t>Any Restricted Definitive Note may be exchanged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the Holder thereof for an Unrestricted Definitive Note or transferred to a Person or Persons who take delivery thereof in the form of an Unrestricted Definitive Note if:</w:t>
      </w:r>
    </w:p>
    <w:p>
      <w:pPr>
        <w:spacing w:after="0" w:line="169" w:lineRule="exact"/>
        <w:rPr>
          <w:rFonts w:ascii="Times New Roman" w:cs="Times New Roman" w:eastAsia="Times New Roman" w:hAnsi="Times New Roman"/>
          <w:sz w:val="20"/>
          <w:szCs w:val="20"/>
          <w:color w:val="auto"/>
        </w:rPr>
      </w:pPr>
    </w:p>
    <w:p>
      <w:pPr>
        <w:ind w:left="1920" w:hanging="475"/>
        <w:spacing w:after="0"/>
        <w:tabs>
          <w:tab w:leader="none" w:pos="19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1900" w:hanging="455"/>
        <w:spacing w:after="0"/>
        <w:tabs>
          <w:tab w:leader="none" w:pos="19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6" w:lineRule="exact"/>
        <w:rPr>
          <w:rFonts w:ascii="Times New Roman" w:cs="Times New Roman" w:eastAsia="Times New Roman" w:hAnsi="Times New Roman"/>
          <w:sz w:val="20"/>
          <w:szCs w:val="20"/>
          <w:color w:val="auto"/>
        </w:rPr>
      </w:pPr>
    </w:p>
    <w:p>
      <w:pPr>
        <w:ind w:left="1900" w:hanging="455"/>
        <w:spacing w:after="0"/>
        <w:tabs>
          <w:tab w:leader="none" w:pos="19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196" w:lineRule="exact"/>
        <w:rPr>
          <w:rFonts w:ascii="Times New Roman" w:cs="Times New Roman" w:eastAsia="Times New Roman" w:hAnsi="Times New Roman"/>
          <w:sz w:val="20"/>
          <w:szCs w:val="20"/>
          <w:color w:val="auto"/>
        </w:rPr>
      </w:pPr>
    </w:p>
    <w:p>
      <w:pPr>
        <w:ind w:left="1920" w:hanging="475"/>
        <w:spacing w:after="0"/>
        <w:tabs>
          <w:tab w:leader="none" w:pos="19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receives the following:</w:t>
      </w:r>
    </w:p>
    <w:p>
      <w:pPr>
        <w:spacing w:after="0" w:line="196" w:lineRule="exact"/>
        <w:rPr>
          <w:rFonts w:ascii="Times New Roman" w:cs="Times New Roman" w:eastAsia="Times New Roman" w:hAnsi="Times New Roman"/>
          <w:sz w:val="20"/>
          <w:szCs w:val="20"/>
          <w:color w:val="auto"/>
        </w:rPr>
      </w:pPr>
    </w:p>
    <w:p>
      <w:pPr>
        <w:jc w:val="both"/>
        <w:ind w:left="800" w:firstLine="1285"/>
        <w:spacing w:after="0" w:line="236" w:lineRule="auto"/>
        <w:tabs>
          <w:tab w:leader="none" w:pos="2613"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(1)(d) thereof; or</w:t>
      </w:r>
    </w:p>
    <w:p>
      <w:pPr>
        <w:spacing w:after="0" w:line="187" w:lineRule="exact"/>
        <w:rPr>
          <w:rFonts w:ascii="Times New Roman" w:cs="Times New Roman" w:eastAsia="Times New Roman" w:hAnsi="Times New Roman"/>
          <w:sz w:val="20"/>
          <w:szCs w:val="20"/>
          <w:color w:val="auto"/>
        </w:rPr>
      </w:pPr>
    </w:p>
    <w:p>
      <w:pPr>
        <w:jc w:val="both"/>
        <w:ind w:left="800" w:firstLine="1285"/>
        <w:spacing w:after="0" w:line="236" w:lineRule="auto"/>
        <w:tabs>
          <w:tab w:leader="none" w:pos="2592"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75" w:lineRule="exact"/>
        <w:rPr>
          <w:sz w:val="20"/>
          <w:szCs w:val="20"/>
          <w:color w:val="auto"/>
        </w:rPr>
      </w:pPr>
    </w:p>
    <w:p>
      <w:pPr>
        <w:jc w:val="both"/>
        <w:ind w:left="160"/>
        <w:spacing w:after="0" w:line="233" w:lineRule="auto"/>
        <w:rPr>
          <w:sz w:val="20"/>
          <w:szCs w:val="20"/>
          <w:color w:val="auto"/>
        </w:rPr>
      </w:pPr>
      <w:r>
        <w:rPr>
          <w:rFonts w:ascii="Times New Roman" w:cs="Times New Roman" w:eastAsia="Times New Roman" w:hAnsi="Times New Roman"/>
          <w:sz w:val="20"/>
          <w:szCs w:val="20"/>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1" w:lineRule="exact"/>
        <w:rPr>
          <w:sz w:val="20"/>
          <w:szCs w:val="20"/>
          <w:color w:val="auto"/>
        </w:rPr>
      </w:pPr>
    </w:p>
    <w:p>
      <w:pPr>
        <w:jc w:val="both"/>
        <w:ind w:left="-480" w:firstLine="1286"/>
        <w:spacing w:after="0" w:line="243" w:lineRule="auto"/>
        <w:tabs>
          <w:tab w:leader="none" w:pos="128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Unrestricted Definitive Notes to Unrestricted Definitive Notes. </w:t>
      </w:r>
      <w:r>
        <w:rPr>
          <w:rFonts w:ascii="Times New Roman" w:cs="Times New Roman" w:eastAsia="Times New Roman" w:hAnsi="Times New Roman"/>
          <w:sz w:val="20"/>
          <w:szCs w:val="20"/>
          <w:color w:val="auto"/>
        </w:rPr>
        <w:t>A Holder of Unrestricted Definitive Notes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 such Notes to a Person who takes delivery thereof in the form of an Unrestricted Definitive Note. Upon receipt of a request to register such a transfer,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0120"/>
          </w:cols>
          <w:pgMar w:left="1440" w:top="1394" w:right="339"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20"/>
          <w:szCs w:val="20"/>
          <w:color w:val="auto"/>
        </w:rPr>
        <w:t>the Registrar shall register the Unrestricted Definitive Notes pursuant to the instructions from the Holder thereof.</w:t>
      </w:r>
    </w:p>
    <w:p>
      <w:pPr>
        <w:spacing w:after="0" w:line="194" w:lineRule="exact"/>
        <w:rPr>
          <w:sz w:val="20"/>
          <w:szCs w:val="20"/>
          <w:color w:val="auto"/>
        </w:rPr>
      </w:pPr>
    </w:p>
    <w:p>
      <w:pPr>
        <w:ind w:left="1680" w:hanging="394"/>
        <w:spacing w:after="0"/>
        <w:tabs>
          <w:tab w:leader="none" w:pos="16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[Reserved].</w:t>
      </w:r>
    </w:p>
    <w:p>
      <w:pPr>
        <w:spacing w:after="0" w:line="196" w:lineRule="exact"/>
        <w:rPr>
          <w:rFonts w:ascii="Times New Roman" w:cs="Times New Roman" w:eastAsia="Times New Roman" w:hAnsi="Times New Roman"/>
          <w:sz w:val="20"/>
          <w:szCs w:val="20"/>
          <w:color w:val="auto"/>
        </w:rPr>
      </w:pPr>
    </w:p>
    <w:p>
      <w:pPr>
        <w:ind w:right="20" w:firstLine="1286"/>
        <w:spacing w:after="0" w:line="249" w:lineRule="auto"/>
        <w:tabs>
          <w:tab w:leader="none" w:pos="172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Legends. </w:t>
      </w:r>
      <w:r>
        <w:rPr>
          <w:rFonts w:ascii="Times New Roman" w:cs="Times New Roman" w:eastAsia="Times New Roman" w:hAnsi="Times New Roman"/>
          <w:sz w:val="20"/>
          <w:szCs w:val="20"/>
          <w:color w:val="auto"/>
        </w:rPr>
        <w:t>The following legends will appear on all Global Notes and Definitive Notes issued under this Indenture unless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specifically stated otherwise in the applicable provisions of this Indenture.</w:t>
      </w:r>
    </w:p>
    <w:p>
      <w:pPr>
        <w:spacing w:after="0" w:line="175"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Private Placement Legend</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1280" w:firstLine="1285"/>
        <w:spacing w:after="0" w:line="247" w:lineRule="auto"/>
        <w:tabs>
          <w:tab w:leader="none" w:pos="31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subparagraph (B) below, each Global Note and each Definitive Note (and all Notes issued in exchange therefor or substitution thereof) shall bear the legend in substantially the following form:</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“THIS SECURITY HAS NOT BEEN REGISTERED UNDER THE SECURITIES ACT OF 1933, AS AMENDED,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ONE YEAR AFTER THE LATER OF THE ORIGINAL ISSUE DATE HEREOF, THE ORIGINAL ISSUE DATE OF THE ISSUANCE OF ANY ADDITIONAL NOTES AND THE LAST DATE ON WHICH THE ISSUER OR ANY AFFILIATE OF THE ISSUER WAS THE OWNER OF THIS SECURITY (OR ANY PREDECESSOR OF SUCH SECURITY), AND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OF THE UNITED STATES WITHIN THE MEANING OF REGULATION S UNDER THE SECURITIES ACT, OR (E) PURSUANT TO ANOTHER AVAILABLE EXEMPTION FROM THE REGISTRATION REQUIREMENTS OF THE SECURITIES ACT OTHER THAN RULE 144, SUBJECT TO THE ISSUER’S AND THE TRUSTEE’S RIGHT PRIOR TO ANY SUCH OFFER, SALE OR TRANSFER PURSUANT TO CLAUSE (E) ABOVE TO REQUIRE THE DELIVERY OF AN OPINION OF COUNSEL, CERTIFICATION AND/ OR OTHER INFORMATION SATISFACTORY TO EACH OF THEM. NOTWITHSTANDING ANYTHING TO THE CONTRARY, TRANSFERS PURSUANT TO RULE 144 WILL NOT BE PERMITTED, EVEN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6" w:right="339" w:bottom="1440" w:gutter="0" w:footer="0" w:header="0"/>
        </w:sectPr>
      </w:pPr>
    </w:p>
    <w:bookmarkStart w:id="58" w:name="page59"/>
    <w:bookmarkEnd w:id="58"/>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LEGALLY AVAILABLE. THIS LEGEND WILL BE REMOVED UPON THE REQUEST OF THE HOLDER AFTER THE RESALE RESTRICTION TERMINATION DATE.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BY ITS ACQUISITION OF THIS SECURITY (OR ANY INTEREST HEREIN), THE HOLDER THEREOF WILL BE DEEMED TO HAVE REPRESENTED AND WARRANTED THAT EITHER (1) NO PORTION OF THE ASSETS USED BY SUCH HOLDER TO ACQUIRE OR HOLD THIS SECURITY (OR ANY INTEREST HEREIN) CONSTITUTES THE ASSETS OF (A) ANY EMPLOYEE BENEFIT PLAN THAT IS SUBJECT TO TITLE I OF THE U.S. EMPLOYEE RETIREMENT INCOME SECURITY ACT OF 1974, AS AMENDED (“ERISA”), (B) A PLAN, INDIVIDUAL RETIREMENT ACCOUNT OR OTHER ARRANGEMENT THAT IS SUBJECT TO THE PROHIBITED TRANSACTION PROVISIONS OF SECTION 406 OF ERISA OR SECTION 4975 OF THE U.S. INTERNAL REVENUE CODE OF 1986, AS AMENDED (THE “CODE”) OR PROVISIONS UNDER ANY OTHER U.S. OR NON-U.S. FEDERAL, STATE, LOCAL OR OTHER LAWS OR REGULATIONS THAT ARE SIMILAR TO SUCH PROVISIONS OF ERISA AND/OR THE CODE (COLLECTIVELY, “SIMILAR LAWS”) OR (C) OF AN ENTITY WHOSE UNDERLYING ASSETS ARE CONSIDERED TO INCLUDE “PLAN ASSETS” OF ANY SUCH PLAN, ACCOUNT OR ARRANGEMENT DESCRIBED IN CLAUSE (A) OR (B) OR (2) (A) THE ACQUISITION AND HOLDING OF THIS SECURITY (OR ANY INTEREST HEREIN) WILL NOT CONSTITUTE A NON-EXEMPT PROHIBITED TRANSACTION UNDER SECTION 406 OF ERISA OR SECTION 4975 OF THE CODE OR A SIMILAR VIOLATION UNDER ANY APPLICABLE SIMILAR LAWS.”</w:t>
      </w:r>
    </w:p>
    <w:p>
      <w:pPr>
        <w:spacing w:after="0" w:line="387" w:lineRule="exact"/>
        <w:rPr>
          <w:sz w:val="20"/>
          <w:szCs w:val="20"/>
          <w:color w:val="auto"/>
        </w:rPr>
      </w:pPr>
    </w:p>
    <w:p>
      <w:pPr>
        <w:ind w:left="3040" w:hanging="475"/>
        <w:spacing w:after="0"/>
        <w:tabs>
          <w:tab w:leader="none" w:pos="3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Global Note or Definitive Note issued pursuant to subparagraphs (b)</w:t>
      </w:r>
    </w:p>
    <w:p>
      <w:pPr>
        <w:spacing w:after="0" w:line="28" w:lineRule="exact"/>
        <w:rPr>
          <w:rFonts w:ascii="Times New Roman" w:cs="Times New Roman" w:eastAsia="Times New Roman" w:hAnsi="Times New Roman"/>
          <w:sz w:val="18"/>
          <w:szCs w:val="18"/>
          <w:color w:val="auto"/>
        </w:rPr>
      </w:pPr>
    </w:p>
    <w:p>
      <w:pPr>
        <w:ind w:left="128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 (c)(2), (c)(3), (d)(2), (d)(3), (e)(2) or (e)(3) of this Section 2.06 (and all Notes issued in exchange therefor or substitution thereof) will not bear the Private Placement Legend.</w:t>
      </w:r>
    </w:p>
    <w:p>
      <w:pPr>
        <w:spacing w:after="0" w:line="173" w:lineRule="exact"/>
        <w:rPr>
          <w:sz w:val="20"/>
          <w:szCs w:val="20"/>
          <w:color w:val="auto"/>
        </w:rPr>
      </w:pPr>
    </w:p>
    <w:p>
      <w:pPr>
        <w:jc w:val="both"/>
        <w:ind w:left="1280" w:firstLine="640"/>
        <w:spacing w:after="0" w:line="252" w:lineRule="auto"/>
        <w:rPr>
          <w:sz w:val="20"/>
          <w:szCs w:val="20"/>
          <w:color w:val="auto"/>
        </w:rPr>
      </w:pPr>
      <w:r>
        <w:rPr>
          <w:rFonts w:ascii="Times New Roman" w:cs="Times New Roman" w:eastAsia="Times New Roman" w:hAnsi="Times New Roman"/>
          <w:sz w:val="18"/>
          <w:szCs w:val="18"/>
          <w:color w:val="auto"/>
        </w:rPr>
        <w:t>In addition, the foregoing legend may be adjusted for future issuances in accordance with applicable law. The Issuer, in its discretion, may remove the Private Placement Legend from any Restricted Global Note at any time on or after the Resale Restriction Termination Date applicable to such Note. Without limiting the generality of the preceding sentence, the Issuer may, subject to Applicable Procedures, effect such removal by issuing and delivering, in exchange for such Note, an Unrestricted Global Note without such legend, registered to the same Holder and in an equal principal amount, and upon receipt by the Trustee of an Authentication Order and an Officer’s Certificate of the Issuer stating that the Resale Restriction Termination Date applicable to such Note has occurred and requesting the authentication and delivery of an Unrestricted Global Note in exchange therefor (which order shall not be required to be accompanied by any Opinion of Counsel or any other document) given at least three Business Days in advance of the proposed date of exchange specified therein (which shall be no earlier than such Resale Restriction Termination Date), the Trustee shall authenticate and deliver such Unrestricted Global Note to the Depositary or pursuant to such Depositary’s instructions or hold such Unrestricted Global Note as Custodian for the Depositary and shall request the Depositary to, or, if the Trustee is Custodian of such Restricted Global Note, shall itself, surrender such Restricted Global Note in exchange for such Unrestricted Global Note without such legend and thereupon cancel such Restricted Global Note so surrendered, all as directed in such order. For purposes of determining whether the Resale Restriction Termination Date has occurred with respect to any Restricted Global Note or delivering any order pursuant to this Section 2.06(g)(1) with respect to such Restricted Global Notes, (i) only those Restricted Global Notes that a Principal Officer of the Issuer actually knows (after reasonable inquiry) to be or to have been owned by an Affiliate of the Issuer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2" w:right="339" w:bottom="1440" w:gutter="0" w:footer="0" w:header="0"/>
        </w:sectPr>
      </w:pPr>
    </w:p>
    <w:bookmarkStart w:id="59" w:name="page60"/>
    <w:bookmarkEnd w:id="59"/>
    <w:p>
      <w:pPr>
        <w:jc w:val="both"/>
        <w:ind w:left="1280"/>
        <w:spacing w:after="0" w:line="232" w:lineRule="auto"/>
        <w:rPr>
          <w:sz w:val="20"/>
          <w:szCs w:val="20"/>
          <w:color w:val="auto"/>
        </w:rPr>
      </w:pPr>
      <w:r>
        <w:rPr>
          <w:rFonts w:ascii="Times New Roman" w:cs="Times New Roman" w:eastAsia="Times New Roman" w:hAnsi="Times New Roman"/>
          <w:sz w:val="20"/>
          <w:szCs w:val="20"/>
          <w:color w:val="auto"/>
        </w:rPr>
        <w:t>deemed to be or to have been, respectively, owned by an Affiliate of the Issuer; and (ii) “</w:t>
      </w:r>
      <w:r>
        <w:rPr>
          <w:rFonts w:ascii="Times New Roman" w:cs="Times New Roman" w:eastAsia="Times New Roman" w:hAnsi="Times New Roman"/>
          <w:sz w:val="20"/>
          <w:szCs w:val="20"/>
          <w:i w:val="1"/>
          <w:iCs w:val="1"/>
          <w:color w:val="auto"/>
        </w:rPr>
        <w:t>Principal Officer</w:t>
      </w:r>
      <w:r>
        <w:rPr>
          <w:rFonts w:ascii="Times New Roman" w:cs="Times New Roman" w:eastAsia="Times New Roman" w:hAnsi="Times New Roman"/>
          <w:sz w:val="20"/>
          <w:szCs w:val="20"/>
          <w:color w:val="auto"/>
        </w:rPr>
        <w:t>” means an Officer of the Issuer that is the principal executive officer, the principal financial officer, the treasurer or the principal accounting officer. For purposes of this Section 2.06(g)(1), all provisions relating to the removal of the Private Placement Legend shall relate, if the Resale Restriction Termination Date has occurred only with respect to a portion of the Notes evidenced by a Restricted Global Note, to such portion of the Notes so evidenced as to which the Resale Restriction Termination Date has occurred.</w:t>
      </w:r>
    </w:p>
    <w:p>
      <w:pPr>
        <w:spacing w:after="0" w:line="1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Each Holder of any Note evidenced by any Restricted Global Note, by its acceptance thereof, (A) authorizes and consents to,</w:t>
      </w:r>
    </w:p>
    <w:p>
      <w:pPr>
        <w:spacing w:after="0" w:line="28" w:lineRule="exact"/>
        <w:rPr>
          <w:sz w:val="20"/>
          <w:szCs w:val="20"/>
          <w:color w:val="auto"/>
        </w:rPr>
      </w:pPr>
    </w:p>
    <w:p>
      <w:pPr>
        <w:jc w:val="both"/>
        <w:ind w:left="1280" w:firstLine="6"/>
        <w:spacing w:after="0" w:line="247" w:lineRule="auto"/>
        <w:tabs>
          <w:tab w:leader="none" w:pos="159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Issuer as its agent for the sole purpose of delivering such electronic messages, executing and delivering such instruments and taking such other actions, on such Holder’s behalf, as the Depositary or the Trustee may require to effect, and</w:t>
      </w:r>
    </w:p>
    <w:p>
      <w:pPr>
        <w:jc w:val="both"/>
        <w:ind w:left="1280" w:firstLine="6"/>
        <w:spacing w:after="0" w:line="229" w:lineRule="auto"/>
        <w:tabs>
          <w:tab w:leader="none" w:pos="160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Issuer, agrees to deliver such electronic messages, execute and deliver such instruments and take such other actions as the Depositary or the Trustee may require, or as shall otherwise be necessary to effect, the removal of the Private Placement Legend (including by means of the exchange of all or the portion of such Restricted Global Note evidencing such Note for a certificate evidencing such Note that does not bear such legend) at any time after the Resale Restriction Termination Date.</w:t>
      </w:r>
    </w:p>
    <w:p>
      <w:pPr>
        <w:spacing w:after="0" w:line="171"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Global Note Legend</w:t>
      </w:r>
      <w:r>
        <w:rPr>
          <w:rFonts w:ascii="Times New Roman" w:cs="Times New Roman" w:eastAsia="Times New Roman" w:hAnsi="Times New Roman"/>
          <w:sz w:val="20"/>
          <w:szCs w:val="20"/>
          <w:color w:val="auto"/>
        </w:rPr>
        <w:t>. Each Global Note will bear a legend in substantially the following form:</w:t>
      </w:r>
    </w:p>
    <w:p>
      <w:pPr>
        <w:spacing w:after="0" w:line="19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b w:val="1"/>
          <w:bCs w:val="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w:t>
      </w:r>
    </w:p>
    <w:p>
      <w:pPr>
        <w:spacing w:after="0" w:line="16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b w:val="1"/>
          <w:bCs w:val="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4" w:right="339" w:bottom="1440" w:gutter="0" w:footer="0" w:header="0"/>
        </w:sectPr>
      </w:pPr>
    </w:p>
    <w:bookmarkStart w:id="60" w:name="page61"/>
    <w:bookmarkEnd w:id="60"/>
    <w:p>
      <w:pPr>
        <w:ind w:left="1920"/>
        <w:spacing w:after="0"/>
        <w:tabs>
          <w:tab w:leader="none" w:pos="232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8"/>
          <w:szCs w:val="18"/>
          <w:i w:val="1"/>
          <w:iCs w:val="1"/>
          <w:color w:val="auto"/>
        </w:rPr>
        <w:t>Regulation S Legend</w:t>
      </w:r>
      <w:r>
        <w:rPr>
          <w:rFonts w:ascii="Times New Roman" w:cs="Times New Roman" w:eastAsia="Times New Roman" w:hAnsi="Times New Roman"/>
          <w:sz w:val="18"/>
          <w:szCs w:val="18"/>
          <w:color w:val="auto"/>
        </w:rPr>
        <w:t>. Each Regulation S Global Note will bear a legend in substantially the following form:</w:t>
      </w:r>
    </w:p>
    <w:p>
      <w:pPr>
        <w:spacing w:after="0" w:line="194" w:lineRule="exact"/>
        <w:rPr>
          <w:sz w:val="20"/>
          <w:szCs w:val="20"/>
          <w:color w:val="auto"/>
        </w:rPr>
      </w:pPr>
    </w:p>
    <w:p>
      <w:pPr>
        <w:ind w:right="700"/>
        <w:spacing w:after="0" w:line="238" w:lineRule="auto"/>
        <w:rPr>
          <w:sz w:val="20"/>
          <w:szCs w:val="20"/>
          <w:color w:val="auto"/>
        </w:rPr>
      </w:pPr>
      <w:r>
        <w:rPr>
          <w:rFonts w:ascii="Times New Roman" w:cs="Times New Roman" w:eastAsia="Times New Roman" w:hAnsi="Times New Roman"/>
          <w:sz w:val="20"/>
          <w:szCs w:val="20"/>
          <w:b w:val="1"/>
          <w:bCs w:val="1"/>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4" w:lineRule="exact"/>
        <w:rPr>
          <w:sz w:val="20"/>
          <w:szCs w:val="20"/>
          <w:color w:val="auto"/>
        </w:rPr>
      </w:pPr>
    </w:p>
    <w:p>
      <w:pPr>
        <w:jc w:val="both"/>
        <w:ind w:firstLine="1286"/>
        <w:spacing w:after="0" w:line="228" w:lineRule="auto"/>
        <w:tabs>
          <w:tab w:leader="none" w:pos="171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Cancellation and/or Adjustment of Global Notes. </w:t>
      </w:r>
      <w:r>
        <w:rPr>
          <w:rFonts w:ascii="Times New Roman" w:cs="Times New Roman" w:eastAsia="Times New Roman" w:hAnsi="Times New Roman"/>
          <w:sz w:val="20"/>
          <w:szCs w:val="20"/>
          <w:color w:val="auto"/>
        </w:rPr>
        <w:t>At such time as all beneficial interests in a particular Global Note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been exchanged for beneficial interests in another Global Note 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74" w:lineRule="exact"/>
        <w:rPr>
          <w:rFonts w:ascii="Times New Roman" w:cs="Times New Roman" w:eastAsia="Times New Roman" w:hAnsi="Times New Roman"/>
          <w:sz w:val="20"/>
          <w:szCs w:val="20"/>
          <w:color w:val="auto"/>
        </w:rPr>
      </w:pPr>
    </w:p>
    <w:p>
      <w:pPr>
        <w:ind w:left="1660" w:hanging="374"/>
        <w:spacing w:after="0"/>
        <w:tabs>
          <w:tab w:leader="none" w:pos="1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Provisions Relating to Transfers and Exchanges</w:t>
      </w: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45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permit registrations of transfers and exchanges, the Issuer will execute and the Trustee will authenticate Global Notes and Definitive Notes upon receipt of an Authentication Order in accordance with Section 2.02 or at the Registrar’s request.</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70" w:lineRule="auto"/>
        <w:tabs>
          <w:tab w:leader="none" w:pos="234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or to a Holder of a Definitive Note for any registration of transfer or exchange, but the Issuer or the Registrar may require payment of a sum sufficient to cover any transfer tax or similar governmental charge payable in connection therewith (other than any such transfer taxes or similar governmental charge payable upon exchange pursuant to Sections 2.10, 3.06, 3.10, 4.10, 4.15 and 9.04 not involving any transfer).</w:t>
      </w:r>
    </w:p>
    <w:p>
      <w:pPr>
        <w:spacing w:after="0" w:line="148" w:lineRule="exact"/>
        <w:rPr>
          <w:rFonts w:ascii="Times New Roman" w:cs="Times New Roman" w:eastAsia="Times New Roman" w:hAnsi="Times New Roman"/>
          <w:sz w:val="18"/>
          <w:szCs w:val="18"/>
          <w:color w:val="auto"/>
        </w:rPr>
      </w:pPr>
    </w:p>
    <w:p>
      <w:pPr>
        <w:ind w:left="640" w:firstLine="1286"/>
        <w:spacing w:after="0" w:line="247" w:lineRule="auto"/>
        <w:tabs>
          <w:tab w:leader="none" w:pos="237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will not be required to register the transfer of or exchange of any Note selected for redemption in whole or in part, except the unredeemed portion of any Note being redeemed in part.</w:t>
      </w:r>
    </w:p>
    <w:p>
      <w:pPr>
        <w:spacing w:after="0" w:line="166"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38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174"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Registrar nor the Issuer will be required:</w:t>
      </w:r>
    </w:p>
    <w:p>
      <w:pPr>
        <w:spacing w:after="0" w:line="209" w:lineRule="exact"/>
        <w:rPr>
          <w:rFonts w:ascii="Times New Roman" w:cs="Times New Roman" w:eastAsia="Times New Roman" w:hAnsi="Times New Roman"/>
          <w:sz w:val="20"/>
          <w:szCs w:val="20"/>
          <w:color w:val="auto"/>
        </w:rPr>
      </w:pPr>
    </w:p>
    <w:p>
      <w:pPr>
        <w:jc w:val="both"/>
        <w:ind w:left="640" w:right="80" w:firstLine="1925"/>
        <w:spacing w:after="0" w:line="236" w:lineRule="auto"/>
        <w:tabs>
          <w:tab w:leader="none" w:pos="3025"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4" w:right="339" w:bottom="1440" w:gutter="0" w:footer="0" w:header="0"/>
        </w:sectPr>
      </w:pPr>
    </w:p>
    <w:bookmarkStart w:id="61" w:name="page62"/>
    <w:bookmarkEnd w:id="61"/>
    <w:p>
      <w:pPr>
        <w:spacing w:after="0" w:line="170" w:lineRule="exact"/>
        <w:rPr>
          <w:sz w:val="20"/>
          <w:szCs w:val="20"/>
          <w:color w:val="auto"/>
        </w:rPr>
      </w:pPr>
    </w:p>
    <w:p>
      <w:pPr>
        <w:ind w:left="1280" w:right="20" w:firstLine="1285"/>
        <w:spacing w:after="0" w:line="247" w:lineRule="auto"/>
        <w:tabs>
          <w:tab w:leader="none" w:pos="302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any Note selected for redemption in whole or in part, except the unredeemed portion of any Note being redeemed in part; or</w:t>
      </w:r>
    </w:p>
    <w:p>
      <w:pPr>
        <w:spacing w:after="0" w:line="166" w:lineRule="exact"/>
        <w:rPr>
          <w:rFonts w:ascii="Times New Roman" w:cs="Times New Roman" w:eastAsia="Times New Roman" w:hAnsi="Times New Roman"/>
          <w:sz w:val="20"/>
          <w:szCs w:val="20"/>
          <w:color w:val="auto"/>
        </w:rPr>
      </w:pPr>
    </w:p>
    <w:p>
      <w:pPr>
        <w:ind w:left="3060" w:hanging="495"/>
        <w:spacing w:after="0"/>
        <w:tabs>
          <w:tab w:leader="none" w:pos="30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between a record date and the next succeeding Interest</w:t>
      </w:r>
    </w:p>
    <w:p>
      <w:pPr>
        <w:spacing w:after="0" w:line="28"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Payment Date.</w:t>
      </w:r>
    </w:p>
    <w:p>
      <w:pPr>
        <w:spacing w:after="0" w:line="187" w:lineRule="exact"/>
        <w:rPr>
          <w:rFonts w:ascii="Times New Roman" w:cs="Times New Roman" w:eastAsia="Times New Roman" w:hAnsi="Times New Roman"/>
          <w:sz w:val="18"/>
          <w:szCs w:val="18"/>
          <w:color w:val="auto"/>
        </w:rPr>
      </w:pPr>
    </w:p>
    <w:p>
      <w:pPr>
        <w:jc w:val="both"/>
        <w:ind w:left="640" w:firstLine="1286"/>
        <w:spacing w:after="0" w:line="233" w:lineRule="auto"/>
        <w:tabs>
          <w:tab w:leader="none" w:pos="23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73" w:lineRule="exact"/>
        <w:rPr>
          <w:rFonts w:ascii="Times New Roman" w:cs="Times New Roman" w:eastAsia="Times New Roman" w:hAnsi="Times New Roman"/>
          <w:sz w:val="20"/>
          <w:szCs w:val="20"/>
          <w:color w:val="auto"/>
        </w:rPr>
      </w:pPr>
    </w:p>
    <w:p>
      <w:pPr>
        <w:ind w:left="2420" w:hanging="494"/>
        <w:spacing w:after="0"/>
        <w:tabs>
          <w:tab w:leader="none" w:pos="24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authenticate Global Notes and Definitive Notes in accordance with the provisions of Section</w:t>
      </w:r>
    </w:p>
    <w:p>
      <w:pPr>
        <w:spacing w:after="0" w:line="5"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w:t>
      </w:r>
    </w:p>
    <w:p>
      <w:pPr>
        <w:spacing w:after="0" w:line="174" w:lineRule="exact"/>
        <w:rPr>
          <w:rFonts w:ascii="Times New Roman" w:cs="Times New Roman" w:eastAsia="Times New Roman" w:hAnsi="Times New Roman"/>
          <w:sz w:val="20"/>
          <w:szCs w:val="20"/>
          <w:color w:val="auto"/>
        </w:rPr>
      </w:pPr>
    </w:p>
    <w:p>
      <w:pPr>
        <w:ind w:left="640" w:firstLine="1286"/>
        <w:spacing w:after="0" w:line="247" w:lineRule="auto"/>
        <w:tabs>
          <w:tab w:leader="none" w:pos="236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certifications, certificates and Opinions of Counsel required to be submitted to the Registrar pursuant to this Section 2.06 to effect a registration of transfer or exchange may be submitted by facsimile or electronic image scan.</w:t>
      </w:r>
    </w:p>
    <w:p>
      <w:pPr>
        <w:spacing w:after="0" w:line="179"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51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herein to the contrary, neither the Trustee nor the Registrar shall be responsible for ascertaining whether any transfer complies with the registration provisions of or exemptions from the Securities Act or state securities laws.</w:t>
      </w:r>
    </w:p>
    <w:p>
      <w:pPr>
        <w:spacing w:after="0" w:line="17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8"/>
          <w:szCs w:val="18"/>
          <w:i w:val="1"/>
          <w:iCs w:val="1"/>
          <w:color w:val="auto"/>
        </w:rPr>
        <w:t>Replacement Notes.</w:t>
      </w:r>
    </w:p>
    <w:p>
      <w:pPr>
        <w:spacing w:after="0" w:line="198"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If any mutilated Note is surrendered to the Trustee or either the Issuer or the Trustee receives evidence to its satisfaction of the destruction, loss or theft of any Note, and such other reasonable requirements as may be imposed by the Issuer as permitted by Section 8-405 of the Uniform Commercial Code have been satisfied, then, in the absence of notice to the Issuer or the Trustee that such Note has been acquired by a “protected purchaser” within the meaning of Section 8-405 of the Uniform Commercial Code, the Issuer will issue and the Trustee, upon receipt of an Authentication Order, will authenticate a replacement Note if the Trustee’s requirements are met. If required by the Trustee or the Issuer, an indemnity bond must be supplied by the Holder that is sufficient in the judgment of the Trustee or the Issuer, as applicable, to protect the Issuer, the Trustee, any Agent and any authenticating agent from any loss that any of them may suffer if a Note is replaced. The Issuer may charge the Holder for its expenses in replacing a Note.</w:t>
      </w:r>
    </w:p>
    <w:p>
      <w:pPr>
        <w:spacing w:after="0" w:line="177"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Every replacement Note is an additional obligation of the Issuer and will be entitled to all of the benefits of this Indenture equally and proportionately with all other Notes duly issued hereunder.</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8"/>
          <w:szCs w:val="18"/>
          <w:i w:val="1"/>
          <w:iCs w:val="1"/>
          <w:color w:val="auto"/>
        </w:rPr>
        <w:t>Outstanding Notes.</w:t>
      </w:r>
    </w:p>
    <w:p>
      <w:pPr>
        <w:spacing w:after="0" w:line="198" w:lineRule="exact"/>
        <w:rPr>
          <w:sz w:val="20"/>
          <w:szCs w:val="20"/>
          <w:color w:val="auto"/>
        </w:rPr>
      </w:pPr>
    </w:p>
    <w:p>
      <w:pPr>
        <w:ind w:right="40" w:firstLine="640"/>
        <w:spacing w:after="0" w:line="236" w:lineRule="auto"/>
        <w:rPr>
          <w:sz w:val="20"/>
          <w:szCs w:val="20"/>
          <w:color w:val="auto"/>
        </w:rPr>
      </w:pPr>
      <w:r>
        <w:rPr>
          <w:rFonts w:ascii="Times New Roman" w:cs="Times New Roman" w:eastAsia="Times New Roman" w:hAnsi="Times New Roman"/>
          <w:sz w:val="20"/>
          <w:szCs w:val="20"/>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Issuer or an Affiliate of the Issuer holds the Note.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0"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If a Note is replaced pursuant to Section 2.07, it ceases to be outstanding unless the Trustee receives proof satisfactory to it that the replaced Note is held by a protected purchaser within the meaning of Section 8-405 of the Uniform Commercial Code.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the principal amount of any Note is considered paid under Section 4.01, it ceases to be outstanding and interest on it ceases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w:t>
      </w:r>
    </w:p>
    <w:p>
      <w:pPr>
        <w:spacing w:after="0" w:line="18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If the Paying Agent (other than the Issuer, a Subsidiary or an Affiliate of any thereof) holds, by 11:00 a.m., New York City time, on a redemption date or other maturity date, money sufficient to pay Notes payable on that date, then on and after that date such Notes will be deemed to be no longer outstanding and will cease to accrue interest.</w:t>
      </w:r>
    </w:p>
    <w:p>
      <w:pPr>
        <w:spacing w:after="0" w:line="17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18"/>
          <w:szCs w:val="18"/>
          <w:i w:val="1"/>
          <w:iCs w:val="1"/>
          <w:color w:val="auto"/>
        </w:rPr>
        <w:t>Treasury Notes.</w:t>
      </w:r>
    </w:p>
    <w:p>
      <w:pPr>
        <w:spacing w:after="0" w:line="19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In determining whether the Holders of the required principal amount of Notes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8"/>
          <w:szCs w:val="18"/>
          <w:i w:val="1"/>
          <w:iCs w:val="1"/>
          <w:color w:val="auto"/>
        </w:rPr>
        <w:t>Temporary Notes.</w:t>
      </w:r>
    </w:p>
    <w:p>
      <w:pPr>
        <w:spacing w:after="0" w:line="19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Holders of temporary Notes will be entitled to all of the benefits of this Indenture.</w:t>
      </w:r>
    </w:p>
    <w:p>
      <w:pPr>
        <w:spacing w:after="0" w:line="19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8"/>
          <w:szCs w:val="18"/>
          <w:i w:val="1"/>
          <w:iCs w:val="1"/>
          <w:color w:val="auto"/>
        </w:rPr>
        <w:t>Cancellation.</w:t>
      </w:r>
    </w:p>
    <w:p>
      <w:pPr>
        <w:spacing w:after="0" w:line="212"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The Issuer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and its own policies). Upon written request of the Issuer, certification of the disposition of all canceled Notes shall be delivered to the Issuer. The Issuer may not issue new Notes to replace Notes that it has paid or that have been delivered to the Trustee for cancellation.</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8"/>
          <w:szCs w:val="18"/>
          <w:i w:val="1"/>
          <w:iCs w:val="1"/>
          <w:color w:val="auto"/>
        </w:rPr>
        <w:t>Defaulted Interest.</w:t>
      </w:r>
    </w:p>
    <w:p>
      <w:pPr>
        <w:spacing w:after="0" w:line="196"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the Notes, it will pay the defaulted interest in any lawful manner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to the extent lawful, interest payable on the defaulted interest, to the Persons who are Holders on a subsequent special record date, in each case at the rate provided in the Notes and in Section 4.01;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special record date shall not be required with respect to payments of defaulted interest made within the applicable grace period for such payment. The Issuer will notify the Trustee, and the Paying Agent if other than the Trustee, in writing of the amount of defaulted interest proposed to be paid on each Note and the date of the proposed payment. The Issuer will fix or cause to be fixed each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special record date may be less than 10 days prior to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33" w:lineRule="auto"/>
        <w:rPr>
          <w:sz w:val="20"/>
          <w:szCs w:val="20"/>
          <w:color w:val="auto"/>
        </w:rPr>
      </w:pPr>
      <w:r>
        <w:rPr>
          <w:rFonts w:ascii="Times New Roman" w:cs="Times New Roman" w:eastAsia="Times New Roman" w:hAnsi="Times New Roman"/>
          <w:sz w:val="20"/>
          <w:szCs w:val="20"/>
          <w:color w:val="auto"/>
        </w:rPr>
        <w:t>related payment date for such defaulted interest. For purposes of Sections 2.05, 2.06, 3.05, 3.08, 3.10, 4.10 and 4.15, reference to “Interest Payment Date” shall be deemed to refer to and include any such payment date so fixed. At least 10 days before the special record date, the Issuer (or, upon the written request of the Issuer, the Trustee in the name and at the expense of the Issuer) will mail or cause to be mailed to Holders a notice that states the special record date, the related payment date and the amount of such interest to be paid.</w:t>
      </w:r>
    </w:p>
    <w:p>
      <w:pPr>
        <w:spacing w:after="0" w:line="18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Notwithstanding the foregoing, any interest which is paid prior to the expiration of the 30-day period set forth in Section 6.01(a) shall be paid to the Holders as of the record day for the Interest Payment Date for which interest has not been paid.</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8"/>
          <w:szCs w:val="18"/>
          <w:i w:val="1"/>
          <w:iCs w:val="1"/>
          <w:color w:val="auto"/>
        </w:rPr>
        <w:t>Issuance of Additional Notes.</w:t>
      </w:r>
    </w:p>
    <w:p>
      <w:pPr>
        <w:spacing w:after="0" w:line="198" w:lineRule="exact"/>
        <w:rPr>
          <w:sz w:val="20"/>
          <w:szCs w:val="20"/>
          <w:color w:val="auto"/>
        </w:rPr>
      </w:pPr>
    </w:p>
    <w:p>
      <w:pPr>
        <w:jc w:val="both"/>
        <w:ind w:firstLine="1286"/>
        <w:spacing w:after="0" w:line="228" w:lineRule="auto"/>
        <w:tabs>
          <w:tab w:leader="none" w:pos="171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shall be entitled, subject to its compliance with Article 4, to issue Additional Notes under this Indenture. Any Additional Notes shall be part of the same series as the Initial Notes issued on the Issue Date, rank equally with the Initial Notes and have identical terms and conditions to the Initial Notes in all respects other than (a) the date of issuance, (b) the issue price and (c) at the option of the Issuer, (i) as to the payment of interest accruing prior to the issue date of such Additional Notes, and (ii) the first payment of interest following the issue date of such Additional Notes. The Initial Notes and any Additional Notes subsequently issued upon original issue under this Indenture shall be treated as a single class for all purposes under this Indenture, including directions, waivers, amendments, consents, redemptions and offers to purchase, and none of the Holders of any Initial Notes or any Additional Notes shall have the right to vote or consent as a separate class on any matter to which such Holders are entitled to vote or consent;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Additional Notes are not fungible with the Initial Notes for U.S. federal income tax purposes, such Additional Notes shall have a different CUSIP number (or other applicable identifying number).</w:t>
      </w:r>
    </w:p>
    <w:p>
      <w:pPr>
        <w:spacing w:after="0" w:line="174" w:lineRule="exact"/>
        <w:rPr>
          <w:rFonts w:ascii="Times New Roman" w:cs="Times New Roman" w:eastAsia="Times New Roman" w:hAnsi="Times New Roman"/>
          <w:sz w:val="20"/>
          <w:szCs w:val="20"/>
          <w:color w:val="auto"/>
        </w:rPr>
      </w:pPr>
    </w:p>
    <w:p>
      <w:pPr>
        <w:ind w:firstLine="1286"/>
        <w:spacing w:after="0" w:line="247" w:lineRule="auto"/>
        <w:tabs>
          <w:tab w:leader="none" w:pos="17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Additional Notes, the Issuer shall set forth in a supplemental indenture or an Officer’s Certificate, a copy of which shall be delivered to the Trustee at or prior to original issuance thereof, the following information:</w:t>
      </w:r>
    </w:p>
    <w:p>
      <w:pPr>
        <w:spacing w:after="0" w:line="166" w:lineRule="exact"/>
        <w:rPr>
          <w:rFonts w:ascii="Times New Roman" w:cs="Times New Roman" w:eastAsia="Times New Roman" w:hAnsi="Times New Roman"/>
          <w:sz w:val="20"/>
          <w:szCs w:val="20"/>
          <w:color w:val="auto"/>
        </w:rPr>
      </w:pPr>
    </w:p>
    <w:p>
      <w:pPr>
        <w:ind w:left="2460" w:hanging="534"/>
        <w:spacing w:after="0"/>
        <w:tabs>
          <w:tab w:leader="none" w:pos="24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such Additional Notes to be authenticated and delivered pursuant to this</w:t>
      </w:r>
    </w:p>
    <w:p>
      <w:pPr>
        <w:spacing w:after="0" w:line="18"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174" w:lineRule="exact"/>
        <w:rPr>
          <w:rFonts w:ascii="Times New Roman" w:cs="Times New Roman" w:eastAsia="Times New Roman" w:hAnsi="Times New Roman"/>
          <w:sz w:val="20"/>
          <w:szCs w:val="20"/>
          <w:color w:val="auto"/>
        </w:rPr>
      </w:pPr>
    </w:p>
    <w:p>
      <w:pPr>
        <w:ind w:left="640" w:right="20" w:firstLine="1286"/>
        <w:spacing w:after="0" w:line="247" w:lineRule="auto"/>
        <w:tabs>
          <w:tab w:leader="none" w:pos="235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date (and the corresponding date from which interest shall accrue thereon and the first Interest Payment Date therefor), the CUSIP and/or ISIN number and the issue price of such Additional Notes; and</w:t>
      </w:r>
    </w:p>
    <w:p>
      <w:pPr>
        <w:spacing w:after="0" w:line="166" w:lineRule="exact"/>
        <w:rPr>
          <w:rFonts w:ascii="Times New Roman" w:cs="Times New Roman" w:eastAsia="Times New Roman" w:hAnsi="Times New Roman"/>
          <w:sz w:val="20"/>
          <w:szCs w:val="20"/>
          <w:color w:val="auto"/>
        </w:rPr>
      </w:pPr>
    </w:p>
    <w:p>
      <w:pPr>
        <w:ind w:left="640" w:firstLine="1286"/>
        <w:spacing w:after="0" w:line="247" w:lineRule="auto"/>
        <w:tabs>
          <w:tab w:leader="none" w:pos="236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Additional Notes shall be subject to the restrictions on transfer set forth in Section 2.06 relating to Restricted Global Notes and Restricted Definitive Notes.</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8"/>
          <w:szCs w:val="18"/>
          <w:i w:val="1"/>
          <w:iCs w:val="1"/>
          <w:color w:val="auto"/>
        </w:rPr>
        <w:t>Computation of Interest.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Interest on the Notes shall be computed on the basis of a 360-day year of twelve 30-day months.</w:t>
      </w:r>
    </w:p>
    <w:p>
      <w:pPr>
        <w:spacing w:after="0" w:line="19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8"/>
          <w:szCs w:val="18"/>
          <w:i w:val="1"/>
          <w:iCs w:val="1"/>
          <w:color w:val="auto"/>
        </w:rPr>
        <w:t>CUSIP Number.</w:t>
      </w:r>
    </w:p>
    <w:p>
      <w:pPr>
        <w:spacing w:after="0" w:line="212"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 xml:space="preserve">The Issuer in issuing the Notes may use “CUSIP” numbers (if then generally in use), and, if so, the Trustee shall use “CUSIP” numbers in notices of redemption as a convenience to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 shall have no liability for any defect in the CUSIP numbers as they appear on the Notes, in 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6" w:right="339" w:bottom="1440" w:gutter="0" w:footer="0" w:header="0"/>
        </w:sectPr>
      </w:pPr>
    </w:p>
    <w:bookmarkStart w:id="64" w:name="page65"/>
    <w:bookmarkEnd w:id="64"/>
    <w:p>
      <w:pPr>
        <w:jc w:val="both"/>
        <w:spacing w:after="0" w:line="233" w:lineRule="auto"/>
        <w:rPr>
          <w:sz w:val="20"/>
          <w:szCs w:val="20"/>
          <w:color w:val="auto"/>
        </w:rPr>
      </w:pPr>
      <w:r>
        <w:rPr>
          <w:rFonts w:ascii="Times New Roman" w:cs="Times New Roman" w:eastAsia="Times New Roman" w:hAnsi="Times New Roman"/>
          <w:sz w:val="20"/>
          <w:szCs w:val="20"/>
          <w:color w:val="auto"/>
        </w:rPr>
        <w:t>notice or elsewhere and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3</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REDEMPTION AND PREPAYMENT</w:t>
      </w:r>
    </w:p>
    <w:p>
      <w:pPr>
        <w:spacing w:after="0" w:line="172"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3.01</w:t>
      </w:r>
      <w:r>
        <w:rPr>
          <w:sz w:val="20"/>
          <w:szCs w:val="20"/>
          <w:color w:val="auto"/>
        </w:rPr>
        <w:tab/>
      </w:r>
      <w:r>
        <w:rPr>
          <w:rFonts w:ascii="Times New Roman" w:cs="Times New Roman" w:eastAsia="Times New Roman" w:hAnsi="Times New Roman"/>
          <w:sz w:val="18"/>
          <w:szCs w:val="18"/>
          <w:i w:val="1"/>
          <w:iCs w:val="1"/>
          <w:color w:val="auto"/>
        </w:rPr>
        <w:t>Notices to Trustee.</w:t>
      </w:r>
    </w:p>
    <w:p>
      <w:pPr>
        <w:spacing w:after="0" w:line="198"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If the Issuer elects to redeem Notes pursuant to the optional redemption provisions of Section 3.08, the Issuer must furnish to the Trustee, at least five Business Days prior to the giving of notice of a redemption (or such shorter period as shall be acceptable to the Trustee), an Officer’s Certificate setting forth:</w:t>
      </w:r>
    </w:p>
    <w:p>
      <w:pPr>
        <w:spacing w:after="0" w:line="171" w:lineRule="exact"/>
        <w:rPr>
          <w:sz w:val="20"/>
          <w:szCs w:val="20"/>
          <w:color w:val="auto"/>
        </w:rPr>
      </w:pPr>
    </w:p>
    <w:p>
      <w:pPr>
        <w:ind w:left="1700" w:hanging="414"/>
        <w:spacing w:after="0"/>
        <w:tabs>
          <w:tab w:leader="none" w:pos="17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clause of this Indenture pursuant to which the redemption shall occur;</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Notes to be redeemed; and</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(if then determined and otherwise the method of determination).</w:t>
      </w:r>
    </w:p>
    <w:p>
      <w:pPr>
        <w:spacing w:after="0" w:line="19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3.02</w:t>
      </w:r>
      <w:r>
        <w:rPr>
          <w:sz w:val="20"/>
          <w:szCs w:val="20"/>
          <w:color w:val="auto"/>
        </w:rPr>
        <w:tab/>
      </w:r>
      <w:r>
        <w:rPr>
          <w:rFonts w:ascii="Times New Roman" w:cs="Times New Roman" w:eastAsia="Times New Roman" w:hAnsi="Times New Roman"/>
          <w:sz w:val="18"/>
          <w:szCs w:val="18"/>
          <w:i w:val="1"/>
          <w:iCs w:val="1"/>
          <w:color w:val="auto"/>
        </w:rPr>
        <w:t>Selection of Notes to Be Redeemed.</w:t>
      </w:r>
    </w:p>
    <w:p>
      <w:pPr>
        <w:spacing w:after="0" w:line="196"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 xml:space="preserve">If less than all of the Notes are to be redeemed at any time, the Trustee will select Notes for redemption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in the case of Notes issued in global form pursuant to Article 2, based on a method as DTC or its nominee or successor may require or a method that most nearly approximates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selection as the Trustee deems fair and appropriate and is in accordance with the applicable procedures of DTC) unless otherwise required by law or applicable stock exchange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 knows of such listing) or depositary requirements.</w:t>
      </w:r>
    </w:p>
    <w:p>
      <w:pPr>
        <w:spacing w:after="0" w:line="174"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The Trustee will promptly notify the Issuer in writing of the Notes selected for redemption and, in the case of any Note selected for partial redemption, the principal amount thereof to be redeemed. Notes and portions of Notes selected will be in minimum amounts of $2,000 or integral multiples of $1,000 in excess thereof. Except as provided in the preceding sentence, provisions of this Indenture that apply to Notes called for redemption also apply to portions of Notes called for redemption.</w:t>
      </w:r>
    </w:p>
    <w:p>
      <w:pPr>
        <w:spacing w:after="0" w:line="17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3.03</w:t>
      </w:r>
      <w:r>
        <w:rPr>
          <w:sz w:val="20"/>
          <w:szCs w:val="20"/>
          <w:color w:val="auto"/>
        </w:rPr>
        <w:tab/>
      </w:r>
      <w:r>
        <w:rPr>
          <w:rFonts w:ascii="Times New Roman" w:cs="Times New Roman" w:eastAsia="Times New Roman" w:hAnsi="Times New Roman"/>
          <w:sz w:val="18"/>
          <w:szCs w:val="18"/>
          <w:i w:val="1"/>
          <w:iCs w:val="1"/>
          <w:color w:val="auto"/>
        </w:rPr>
        <w:t>Notice of Redemption.</w:t>
      </w:r>
    </w:p>
    <w:p>
      <w:pPr>
        <w:spacing w:after="0" w:line="212"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At least 10 days but not more than 60 days before a redemption date, the Issuer will send or cause to be sent, by first class mail (or electronically if DTC is the recipient), a notice of redemption to each Holder whose Notes are to be redeemed at its registered address (with a copy to the Trustee), except that redemption notices may be given more than 60 days prior to a redemption date if the notice is issued in connection with a defeasance of the Notes or a satisfaction and discharge of this Indenture pursuant to Article 8 or 11.</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notice will identify the Notes to be redeemed and will state: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6" w:right="339" w:bottom="1440" w:gutter="0" w:footer="0" w:header="0"/>
        </w:sectPr>
      </w:pPr>
    </w:p>
    <w:bookmarkStart w:id="65" w:name="page66"/>
    <w:bookmarkEnd w:id="65"/>
    <w:p>
      <w:pPr>
        <w:spacing w:after="0" w:line="170" w:lineRule="exact"/>
        <w:rPr>
          <w:sz w:val="20"/>
          <w:szCs w:val="20"/>
          <w:color w:val="auto"/>
        </w:rPr>
      </w:pPr>
    </w:p>
    <w:p>
      <w:pPr>
        <w:ind w:left="1700" w:hanging="414"/>
        <w:spacing w:after="0"/>
        <w:tabs>
          <w:tab w:leader="none" w:pos="17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(if then determined and otherwise the method of determination);</w:t>
      </w:r>
    </w:p>
    <w:p>
      <w:pPr>
        <w:spacing w:after="0" w:line="196" w:lineRule="exact"/>
        <w:rPr>
          <w:rFonts w:ascii="Times New Roman" w:cs="Times New Roman" w:eastAsia="Times New Roman" w:hAnsi="Times New Roman"/>
          <w:sz w:val="20"/>
          <w:szCs w:val="20"/>
          <w:color w:val="auto"/>
        </w:rPr>
      </w:pPr>
    </w:p>
    <w:p>
      <w:pPr>
        <w:jc w:val="both"/>
        <w:ind w:firstLine="1286"/>
        <w:spacing w:after="0" w:line="242" w:lineRule="auto"/>
        <w:tabs>
          <w:tab w:leader="none" w:pos="17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thereof upon cancellation of the original Note;</w:t>
      </w:r>
    </w:p>
    <w:p>
      <w:pPr>
        <w:spacing w:after="0" w:line="170"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196" w:lineRule="exact"/>
        <w:rPr>
          <w:rFonts w:ascii="Times New Roman" w:cs="Times New Roman" w:eastAsia="Times New Roman" w:hAnsi="Times New Roman"/>
          <w:sz w:val="20"/>
          <w:szCs w:val="20"/>
          <w:color w:val="auto"/>
        </w:rPr>
      </w:pPr>
    </w:p>
    <w:p>
      <w:pPr>
        <w:ind w:right="20" w:firstLine="1286"/>
        <w:spacing w:after="0" w:line="247" w:lineRule="auto"/>
        <w:tabs>
          <w:tab w:leader="none" w:pos="178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Issuer defaults in making such redemption payment, interest on Notes or portions thereof called for redemption ceases to accrue on and after the redemption date;</w:t>
      </w:r>
    </w:p>
    <w:p>
      <w:pPr>
        <w:spacing w:after="0" w:line="166" w:lineRule="exact"/>
        <w:rPr>
          <w:rFonts w:ascii="Times New Roman" w:cs="Times New Roman" w:eastAsia="Times New Roman" w:hAnsi="Times New Roman"/>
          <w:sz w:val="20"/>
          <w:szCs w:val="20"/>
          <w:color w:val="auto"/>
        </w:rPr>
      </w:pPr>
    </w:p>
    <w:p>
      <w:pPr>
        <w:ind w:left="1740" w:hanging="454"/>
        <w:spacing w:after="0"/>
        <w:tabs>
          <w:tab w:leader="none" w:pos="1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redeemed;</w:t>
      </w:r>
    </w:p>
    <w:p>
      <w:pPr>
        <w:spacing w:after="0" w:line="174" w:lineRule="exact"/>
        <w:rPr>
          <w:rFonts w:ascii="Times New Roman" w:cs="Times New Roman" w:eastAsia="Times New Roman" w:hAnsi="Times New Roman"/>
          <w:sz w:val="18"/>
          <w:szCs w:val="18"/>
          <w:color w:val="auto"/>
        </w:rPr>
      </w:pPr>
    </w:p>
    <w:p>
      <w:pPr>
        <w:ind w:right="20" w:firstLine="1286"/>
        <w:spacing w:after="0" w:line="261" w:lineRule="auto"/>
        <w:tabs>
          <w:tab w:leader="none" w:pos="17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or ISIN number, if any, listed in such notice or printed on the Notes; and</w:t>
      </w:r>
    </w:p>
    <w:p>
      <w:pPr>
        <w:spacing w:after="0" w:line="152" w:lineRule="exact"/>
        <w:rPr>
          <w:rFonts w:ascii="Times New Roman" w:cs="Times New Roman" w:eastAsia="Times New Roman" w:hAnsi="Times New Roman"/>
          <w:sz w:val="20"/>
          <w:szCs w:val="20"/>
          <w:color w:val="auto"/>
        </w:rPr>
      </w:pPr>
    </w:p>
    <w:p>
      <w:pPr>
        <w:ind w:left="1660" w:hanging="374"/>
        <w:spacing w:after="0"/>
        <w:tabs>
          <w:tab w:leader="none" w:pos="1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conditions precedent to such redemption.</w:t>
      </w:r>
    </w:p>
    <w:p>
      <w:pPr>
        <w:spacing w:after="0" w:line="194"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 xml:space="preserve">At the Issuer’s request, the Trustee will give the notice of redemption in the Issuer’s name and at the Issuer’s expense;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Officer’s Certificate delivered to the Trustee pursuant to Section 3.01 requests that the Trustee give such notice and sets forth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information to be stated in such notice as provided in the preceding paragraph.</w:t>
      </w:r>
    </w:p>
    <w:p>
      <w:pPr>
        <w:spacing w:after="0" w:line="174"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A notice of redemption with respect to a redemption described in Section 3.08(b) need not set forth the Applicable Premium but only the manner of calculation thereof. The Issuer shall notify the Trustee of the Applicable Premium with respect to any such redemption promptly after the calculation, and the Trustee shall not be responsible for making, confirming or verifying such calculation.</w:t>
      </w:r>
    </w:p>
    <w:p>
      <w:pPr>
        <w:spacing w:after="0" w:line="18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3.04</w:t>
      </w:r>
      <w:r>
        <w:rPr>
          <w:sz w:val="20"/>
          <w:szCs w:val="20"/>
          <w:color w:val="auto"/>
        </w:rPr>
        <w:tab/>
      </w:r>
      <w:r>
        <w:rPr>
          <w:rFonts w:ascii="Times New Roman" w:cs="Times New Roman" w:eastAsia="Times New Roman" w:hAnsi="Times New Roman"/>
          <w:sz w:val="18"/>
          <w:szCs w:val="18"/>
          <w:i w:val="1"/>
          <w:iCs w:val="1"/>
          <w:color w:val="auto"/>
        </w:rPr>
        <w:t>Effect of Notice of Redemption.</w:t>
      </w:r>
    </w:p>
    <w:p>
      <w:pPr>
        <w:spacing w:after="0" w:line="198" w:lineRule="exact"/>
        <w:rPr>
          <w:sz w:val="20"/>
          <w:szCs w:val="20"/>
          <w:color w:val="auto"/>
        </w:rPr>
      </w:pPr>
    </w:p>
    <w:p>
      <w:pPr>
        <w:ind w:right="60" w:firstLine="640"/>
        <w:spacing w:after="0" w:line="229" w:lineRule="auto"/>
        <w:rPr>
          <w:sz w:val="20"/>
          <w:szCs w:val="20"/>
          <w:color w:val="auto"/>
        </w:rPr>
      </w:pPr>
      <w:r>
        <w:rPr>
          <w:rFonts w:ascii="Times New Roman" w:cs="Times New Roman" w:eastAsia="Times New Roman" w:hAnsi="Times New Roman"/>
          <w:sz w:val="20"/>
          <w:szCs w:val="20"/>
          <w:color w:val="auto"/>
        </w:rPr>
        <w:t>Once notice of redemption is given in accordance with Section 3.03, Notes or portions thereof called for redemption become irrevocably due and payable (subject to satisfaction of any conditions to such redemption) on the redemption date at the redemption price. A notice of redemption may, at the Issuer’s discretion, be subject to one or more conditions precedent. If a redemption is subject to the satisfaction of one or more conditions precedent, the related notice shall describe each such condition and, if applicable, shall state that, in the Issuer’s discretion, the date of redemption may be delayed until such time as any or all such conditions shall be satisfied or waived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such date of redemption be delayed to a date later than 60 days after the date on which such notice was sent), or such redemption may not occur and such notice may be rescinded in the event that any or all such conditions shall not have been satisfied or waived by the Issuer by the date of redemption, or by the date of redemption as so delayed.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6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3.05</w:t>
      </w:r>
      <w:r>
        <w:rPr>
          <w:sz w:val="20"/>
          <w:szCs w:val="20"/>
          <w:color w:val="auto"/>
        </w:rPr>
        <w:tab/>
      </w:r>
      <w:r>
        <w:rPr>
          <w:rFonts w:ascii="Times New Roman" w:cs="Times New Roman" w:eastAsia="Times New Roman" w:hAnsi="Times New Roman"/>
          <w:sz w:val="18"/>
          <w:szCs w:val="18"/>
          <w:i w:val="1"/>
          <w:iCs w:val="1"/>
          <w:color w:val="auto"/>
        </w:rPr>
        <w:t>Deposit of Redemption Price.</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No later than 11:00 a.m., New York City time, on the redemption date, the Issuer will deposit with the Trustee or with the Paying Agent money sufficient to pay the redemption price of and accrued interest on all Notes to be redeemed on that date. The Trustee or the Paying Agent will promptly return to the Issuer any money deposited with the Trustee or the Paying Agent by the Issuer in excess of the amounts necessary to pay the redemption price of and accrued interest on all Notes to be redeemed.</w:t>
      </w:r>
    </w:p>
    <w:p>
      <w:pPr>
        <w:spacing w:after="0" w:line="175"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15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3.06</w:t>
      </w:r>
      <w:r>
        <w:rPr>
          <w:sz w:val="20"/>
          <w:szCs w:val="20"/>
          <w:color w:val="auto"/>
        </w:rPr>
        <w:tab/>
      </w:r>
      <w:r>
        <w:rPr>
          <w:rFonts w:ascii="Times New Roman" w:cs="Times New Roman" w:eastAsia="Times New Roman" w:hAnsi="Times New Roman"/>
          <w:sz w:val="18"/>
          <w:szCs w:val="18"/>
          <w:i w:val="1"/>
          <w:iCs w:val="1"/>
          <w:color w:val="auto"/>
        </w:rPr>
        <w:t>Notes Redeemed in Part.</w:t>
      </w:r>
    </w:p>
    <w:p>
      <w:pPr>
        <w:spacing w:after="0" w:line="212"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Upon surrender of a Note that is redeemed in part, the Issuer will issue and, upon receipt of an Authentication Order, the Trustee will authenticate for the Holder at the expense of the Issuer a new Note equal in principal amount to the unredeemed portion of the Note surrendered.</w:t>
      </w:r>
    </w:p>
    <w:p>
      <w:pPr>
        <w:spacing w:after="0" w:line="17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3.07</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19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3.08</w:t>
      </w:r>
      <w:r>
        <w:rPr>
          <w:sz w:val="20"/>
          <w:szCs w:val="20"/>
          <w:color w:val="auto"/>
        </w:rPr>
        <w:tab/>
      </w:r>
      <w:r>
        <w:rPr>
          <w:rFonts w:ascii="Times New Roman" w:cs="Times New Roman" w:eastAsia="Times New Roman" w:hAnsi="Times New Roman"/>
          <w:sz w:val="18"/>
          <w:szCs w:val="18"/>
          <w:i w:val="1"/>
          <w:iCs w:val="1"/>
          <w:color w:val="auto"/>
        </w:rPr>
        <w:t>Optional Redemption.</w:t>
      </w:r>
    </w:p>
    <w:p>
      <w:pPr>
        <w:spacing w:after="0" w:line="198" w:lineRule="exact"/>
        <w:rPr>
          <w:sz w:val="20"/>
          <w:szCs w:val="20"/>
          <w:color w:val="auto"/>
        </w:rPr>
      </w:pPr>
    </w:p>
    <w:p>
      <w:pPr>
        <w:jc w:val="both"/>
        <w:ind w:firstLine="1286"/>
        <w:spacing w:after="0" w:line="229" w:lineRule="auto"/>
        <w:tabs>
          <w:tab w:leader="none" w:pos="175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prior to July 15, 2029, the Issuer may on any one or more occasions redeem up to 40% of the aggregate principal amount of the Notes (including, without limitation, any Additional Notes) issued under this Indenture, in an amount not greater than the net cash proceeds of one or more Equity Offerings by the Issuer, upon notice as provided in this Indenture, at a redemption price equal to 107.250% of the principal amount of the Notes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excluding, the date of redemption (subject to the rights of Holders of Notes on the relevant record date to receive interest on the relevant Interest Payment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at least 60%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76"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2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prior to July 15, 2029, the Issuer may on any one or more occasions redeem all or a part of the Notes, upon notice as provided in this Indenture, at a redemption price equal to 100% of the principal amount of the Notes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174" w:lineRule="exact"/>
        <w:rPr>
          <w:rFonts w:ascii="Times New Roman" w:cs="Times New Roman" w:eastAsia="Times New Roman" w:hAnsi="Times New Roman"/>
          <w:sz w:val="20"/>
          <w:szCs w:val="20"/>
          <w:color w:val="auto"/>
        </w:rPr>
      </w:pPr>
    </w:p>
    <w:p>
      <w:pPr>
        <w:ind w:left="1760" w:hanging="474"/>
        <w:spacing w:after="0"/>
        <w:tabs>
          <w:tab w:leader="none" w:pos="1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pursuant to Section 3.08(a), (b) or (e), the Notes will not be redeemable at the Issuer’s option prior to July 15,</w:t>
      </w:r>
    </w:p>
    <w:p>
      <w:pPr>
        <w:spacing w:after="0" w:line="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2029.</w:t>
      </w:r>
    </w:p>
    <w:p>
      <w:pPr>
        <w:spacing w:after="0" w:line="174"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2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after July 15, 2029, the Issuer may on any one or more occasions redeem all or a part of the Notes, upon notice as provided in this Indenture, at the redemption prices (expressed as percentages of principal amount) set forth below,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on the Notes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01" w:lineRule="auto"/>
        <w:rPr>
          <w:sz w:val="20"/>
          <w:szCs w:val="20"/>
          <w:color w:val="auto"/>
        </w:rPr>
      </w:pPr>
      <w:r>
        <w:rPr>
          <w:rFonts w:ascii="Times New Roman" w:cs="Times New Roman" w:eastAsia="Times New Roman" w:hAnsi="Times New Roman"/>
          <w:sz w:val="18"/>
          <w:szCs w:val="18"/>
          <w:color w:val="auto"/>
        </w:rPr>
        <w:t>redeemed to, but excluding, the applicable date of redemption, subject to the rights of Holders of Notes on the relevant record date to receive interest on the relevant Interest Payment Date, if redeemed during the twelve-month period beginning on July 15 of the years indicated below:</w:t>
      </w:r>
    </w:p>
    <w:p>
      <w:pPr>
        <w:spacing w:after="0" w:line="120" w:lineRule="exact"/>
        <w:rPr>
          <w:sz w:val="20"/>
          <w:szCs w:val="20"/>
          <w:color w:val="auto"/>
        </w:rPr>
      </w:pPr>
    </w:p>
    <w:tbl>
      <w:tblPr>
        <w:tblLayout w:type="fixed"/>
        <w:tblInd w:w="820" w:type="dxa"/>
        <w:tblCellMar>
          <w:top w:w="0" w:type="dxa"/>
          <w:left w:w="0" w:type="dxa"/>
          <w:bottom w:w="0" w:type="dxa"/>
          <w:right w:w="0" w:type="dxa"/>
        </w:tblCellMar>
      </w:tblPr>
      <w:tr>
        <w:trPr>
          <w:trHeight w:val="250"/>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Year</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Percentage</w:t>
            </w:r>
          </w:p>
        </w:tc>
      </w:tr>
      <w:tr>
        <w:trPr>
          <w:trHeight w:val="27"/>
        </w:trPr>
        <w:tc>
          <w:tcPr>
            <w:tcW w:w="360" w:type="dxa"/>
            <w:vAlign w:val="bottom"/>
            <w:shd w:val="clear" w:color="auto" w:fill="000000"/>
          </w:tcPr>
          <w:p>
            <w:pPr>
              <w:spacing w:after="0"/>
              <w:rPr>
                <w:sz w:val="2"/>
                <w:szCs w:val="2"/>
                <w:color w:val="auto"/>
              </w:rPr>
            </w:pPr>
          </w:p>
        </w:tc>
        <w:tc>
          <w:tcPr>
            <w:tcW w:w="7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498"/>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2029</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103.625%</w:t>
            </w:r>
          </w:p>
        </w:tc>
        <w:tc>
          <w:tcPr>
            <w:tcW w:w="280" w:type="dxa"/>
            <w:vAlign w:val="bottom"/>
          </w:tcPr>
          <w:p>
            <w:pPr>
              <w:spacing w:after="0"/>
              <w:rPr>
                <w:sz w:val="24"/>
                <w:szCs w:val="24"/>
                <w:color w:val="auto"/>
              </w:rPr>
            </w:pPr>
          </w:p>
        </w:tc>
      </w:tr>
      <w:tr>
        <w:trPr>
          <w:trHeight w:val="293"/>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101.813%</w:t>
            </w:r>
          </w:p>
        </w:tc>
      </w:tr>
      <w:tr>
        <w:trPr>
          <w:trHeight w:val="466"/>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w:t>
            </w:r>
          </w:p>
        </w:tc>
      </w:tr>
    </w:tbl>
    <w:p>
      <w:pPr>
        <w:spacing w:after="0" w:line="200" w:lineRule="exact"/>
        <w:rPr>
          <w:sz w:val="20"/>
          <w:szCs w:val="20"/>
          <w:color w:val="auto"/>
        </w:rPr>
      </w:pPr>
    </w:p>
    <w:p>
      <w:pPr>
        <w:spacing w:after="0" w:line="292" w:lineRule="exact"/>
        <w:rPr>
          <w:sz w:val="20"/>
          <w:szCs w:val="20"/>
          <w:color w:val="auto"/>
        </w:rPr>
      </w:pPr>
    </w:p>
    <w:p>
      <w:pPr>
        <w:ind w:left="1720" w:hanging="434"/>
        <w:spacing w:after="0"/>
        <w:tabs>
          <w:tab w:leader="none" w:pos="1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all (but not a portion of) the Notes when permitted by, and pursuant to the conditions in,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4.15(f).</w:t>
      </w:r>
    </w:p>
    <w:p>
      <w:pPr>
        <w:spacing w:after="0" w:line="174" w:lineRule="exact"/>
        <w:rPr>
          <w:sz w:val="20"/>
          <w:szCs w:val="20"/>
          <w:color w:val="auto"/>
        </w:rPr>
      </w:pPr>
    </w:p>
    <w:p>
      <w:pPr>
        <w:ind w:left="1660" w:hanging="374"/>
        <w:spacing w:after="0"/>
        <w:tabs>
          <w:tab w:leader="none" w:pos="16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redemption pursuant to this Section 3.08 shall be made pursuant to the provisions of Sections 3.01 through 3.06.</w:t>
      </w:r>
    </w:p>
    <w:p>
      <w:pPr>
        <w:spacing w:after="0" w:line="196" w:lineRule="exact"/>
        <w:rPr>
          <w:rFonts w:ascii="Times New Roman" w:cs="Times New Roman" w:eastAsia="Times New Roman" w:hAnsi="Times New Roman"/>
          <w:sz w:val="20"/>
          <w:szCs w:val="20"/>
          <w:color w:val="auto"/>
        </w:rPr>
      </w:pPr>
    </w:p>
    <w:p>
      <w:pPr>
        <w:ind w:firstLine="1286"/>
        <w:spacing w:after="0" w:line="247" w:lineRule="auto"/>
        <w:tabs>
          <w:tab w:leader="none" w:pos="172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may at any time and from time to time purchase Notes in the open market or otherwise, in each case, without any restriction under this Indenture.</w:t>
      </w:r>
    </w:p>
    <w:p>
      <w:pPr>
        <w:spacing w:after="0" w:line="17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3.09</w:t>
      </w:r>
      <w:r>
        <w:rPr>
          <w:sz w:val="20"/>
          <w:szCs w:val="20"/>
          <w:color w:val="auto"/>
        </w:rPr>
        <w:tab/>
      </w:r>
      <w:r>
        <w:rPr>
          <w:rFonts w:ascii="Times New Roman" w:cs="Times New Roman" w:eastAsia="Times New Roman" w:hAnsi="Times New Roman"/>
          <w:sz w:val="18"/>
          <w:szCs w:val="18"/>
          <w:i w:val="1"/>
          <w:iCs w:val="1"/>
          <w:color w:val="auto"/>
        </w:rPr>
        <w:t>Mandatory Redemption.</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Issuer is not required to make mandatory redemption or sinking fund payments with respect to the Notes.</w:t>
      </w:r>
    </w:p>
    <w:p>
      <w:pPr>
        <w:spacing w:after="0" w:line="19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3.10</w:t>
      </w:r>
      <w:r>
        <w:rPr>
          <w:sz w:val="20"/>
          <w:szCs w:val="20"/>
          <w:color w:val="auto"/>
        </w:rPr>
        <w:tab/>
      </w:r>
      <w:r>
        <w:rPr>
          <w:rFonts w:ascii="Times New Roman" w:cs="Times New Roman" w:eastAsia="Times New Roman" w:hAnsi="Times New Roman"/>
          <w:sz w:val="18"/>
          <w:szCs w:val="18"/>
          <w:i w:val="1"/>
          <w:iCs w:val="1"/>
          <w:color w:val="auto"/>
        </w:rPr>
        <w:t>Offer to Purchase by Application of Excess Proceeds.</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In the event that, pursuant to Section 4.10, the Issuer is required to commence an Asset Sale Offer to all Holders to purchase Notes, it will follow the procedures specified below.</w:t>
      </w:r>
    </w:p>
    <w:p>
      <w:pPr>
        <w:spacing w:after="0" w:line="16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Asset Sale Offer shall be made to all Holders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this Indenture with respect to offers to purchase, prepay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Times New Roman" w:cs="Times New Roman" w:eastAsia="Times New Roman" w:hAnsi="Times New Roman"/>
          <w:sz w:val="18"/>
          <w:szCs w:val="18"/>
          <w:i w:val="1"/>
          <w:iCs w:val="1"/>
          <w:color w:val="auto"/>
        </w:rPr>
        <w:t>Offer Period</w:t>
      </w:r>
      <w:r>
        <w:rPr>
          <w:rFonts w:ascii="Times New Roman" w:cs="Times New Roman" w:eastAsia="Times New Roman" w:hAnsi="Times New Roman"/>
          <w:sz w:val="18"/>
          <w:szCs w:val="18"/>
          <w:color w:val="auto"/>
        </w:rPr>
        <w:t>”). No later than three Business Days after the termination of the Offer Period (the “</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 the Issuer will apply all Excess Proceeds (the “</w:t>
      </w:r>
      <w:r>
        <w:rPr>
          <w:rFonts w:ascii="Times New Roman" w:cs="Times New Roman" w:eastAsia="Times New Roman" w:hAnsi="Times New Roman"/>
          <w:sz w:val="18"/>
          <w:szCs w:val="18"/>
          <w:i w:val="1"/>
          <w:iCs w:val="1"/>
          <w:color w:val="auto"/>
        </w:rPr>
        <w:t>Offer Amount</w:t>
      </w:r>
      <w:r>
        <w:rPr>
          <w:rFonts w:ascii="Times New Roman" w:cs="Times New Roman" w:eastAsia="Times New Roman" w:hAnsi="Times New Roman"/>
          <w:sz w:val="18"/>
          <w:szCs w:val="18"/>
          <w:color w:val="auto"/>
        </w:rPr>
        <w:t xml:space="preserve">”) to the purchase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surrendered, if applicable) or, if less than the Offer Amount has been tendered, all Notes and other Indebtedness tendered in response to the Asset Sale Offer. Payment for any Notes so purchased will be made in the same manner specified in the last paragraph of this Section 3.10.</w:t>
      </w:r>
    </w:p>
    <w:p>
      <w:pPr>
        <w:spacing w:after="0" w:line="161"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If the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Sale Offer.</w:t>
      </w:r>
    </w:p>
    <w:p>
      <w:pPr>
        <w:spacing w:after="0" w:line="18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Upon the commencement of an Asset Sale Offer, the Issuer will deliver, by first class mail, a notice to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96" w:right="339" w:bottom="1440" w:gutter="0" w:footer="0" w:header="0"/>
        </w:sectPr>
      </w:pPr>
    </w:p>
    <w:bookmarkStart w:id="68" w:name="page69"/>
    <w:bookmarkEnd w:id="68"/>
    <w:p>
      <w:pPr>
        <w:ind w:firstLine="1286"/>
        <w:spacing w:after="0" w:line="247" w:lineRule="auto"/>
        <w:tabs>
          <w:tab w:leader="none" w:pos="174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Asset Sale Offer is being made pursuant to this Section 3.10 and Section 4.10 and the length of time the Asset Sale Offer will remain open;</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Amount, the purchase price and the Purchase Date;</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or accepted for payment will continue to accrue interest;</w:t>
      </w:r>
    </w:p>
    <w:p>
      <w:pPr>
        <w:spacing w:after="0" w:line="209" w:lineRule="exact"/>
        <w:rPr>
          <w:rFonts w:ascii="Times New Roman" w:cs="Times New Roman" w:eastAsia="Times New Roman" w:hAnsi="Times New Roman"/>
          <w:sz w:val="20"/>
          <w:szCs w:val="20"/>
          <w:color w:val="auto"/>
        </w:rPr>
      </w:pPr>
    </w:p>
    <w:p>
      <w:pPr>
        <w:ind w:firstLine="1286"/>
        <w:spacing w:after="0" w:line="247" w:lineRule="auto"/>
        <w:tabs>
          <w:tab w:leader="none" w:pos="172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Issuer defaults in making such payment, any Note accepted for payment pursuant to the Asset Sale Offer will cease to accrue interest on and after the Purchase Date;</w:t>
      </w:r>
    </w:p>
    <w:p>
      <w:pPr>
        <w:spacing w:after="0" w:line="166" w:lineRule="exact"/>
        <w:rPr>
          <w:rFonts w:ascii="Times New Roman" w:cs="Times New Roman" w:eastAsia="Times New Roman" w:hAnsi="Times New Roman"/>
          <w:sz w:val="20"/>
          <w:szCs w:val="20"/>
          <w:color w:val="auto"/>
        </w:rPr>
      </w:pPr>
    </w:p>
    <w:p>
      <w:pPr>
        <w:ind w:firstLine="1286"/>
        <w:spacing w:after="0" w:line="247" w:lineRule="auto"/>
        <w:tabs>
          <w:tab w:leader="none" w:pos="176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electing to have a Note purchased pursuant to an Asset Sale Offer may elect to have Notes purchased in minimum denominations of $2,000 and any integral multiple of $1,000 in excess thereof;</w:t>
      </w:r>
    </w:p>
    <w:p>
      <w:pPr>
        <w:spacing w:after="0" w:line="166" w:lineRule="exact"/>
        <w:rPr>
          <w:rFonts w:ascii="Times New Roman" w:cs="Times New Roman" w:eastAsia="Times New Roman" w:hAnsi="Times New Roman"/>
          <w:sz w:val="20"/>
          <w:szCs w:val="20"/>
          <w:color w:val="auto"/>
        </w:rPr>
      </w:pPr>
    </w:p>
    <w:p>
      <w:pPr>
        <w:jc w:val="both"/>
        <w:ind w:firstLine="1286"/>
        <w:spacing w:after="0" w:line="274" w:lineRule="auto"/>
        <w:tabs>
          <w:tab w:leader="none" w:pos="17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Notes purchased pursuant to any Asset Sale Offer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144" w:lineRule="exact"/>
        <w:rPr>
          <w:rFonts w:ascii="Times New Roman" w:cs="Times New Roman" w:eastAsia="Times New Roman" w:hAnsi="Times New Roman"/>
          <w:sz w:val="18"/>
          <w:szCs w:val="18"/>
          <w:color w:val="auto"/>
        </w:rPr>
      </w:pPr>
    </w:p>
    <w:p>
      <w:pPr>
        <w:jc w:val="both"/>
        <w:ind w:firstLine="1286"/>
        <w:spacing w:after="0" w:line="236" w:lineRule="auto"/>
        <w:tabs>
          <w:tab w:leader="none" w:pos="172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will be entitled to withdraw their election if the Issuer, the Depositary or the Paying Agent, as the case may be, receives, not later than the expiration of the Offer Period, a telegram, electronic image scan, facsimile transmission or letter setting forth the name of the Holder, the principal amount of the Note the Holder delivered for purchase and a statement that such Holder is withdrawing his election to have such Note purchased;</w:t>
      </w:r>
    </w:p>
    <w:p>
      <w:pPr>
        <w:spacing w:after="0" w:line="174" w:lineRule="exact"/>
        <w:rPr>
          <w:rFonts w:ascii="Times New Roman" w:cs="Times New Roman" w:eastAsia="Times New Roman" w:hAnsi="Times New Roman"/>
          <w:sz w:val="20"/>
          <w:szCs w:val="20"/>
          <w:color w:val="auto"/>
        </w:rPr>
      </w:pPr>
    </w:p>
    <w:p>
      <w:pPr>
        <w:jc w:val="both"/>
        <w:ind w:firstLine="1286"/>
        <w:spacing w:after="0" w:line="231" w:lineRule="auto"/>
        <w:tabs>
          <w:tab w:leader="none" w:pos="175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if the aggregate principal amount of Notes surrendered by Holders thereof exceeds the Offer Amount allocated to the purchase of Notes in the Asset Sale Offer, the Trustee will select the Notes to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(except that any Notes represented by a Global Note shall be selected by such method as DTC or its nominee or successor may require or a method that most nearly approximates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selection as the Trustee deems fair and appropriate and is in accordance with DTC’s applicable procedures) based on the principal amount of Notes surrendered (with such adjustments as may be deemed appropriate by the Issuer so that only Notes in minimum denominations of $2,000 and any integral multiple of $1,000 in excess thereof will be purchased; and</w:t>
      </w:r>
    </w:p>
    <w:p>
      <w:pPr>
        <w:spacing w:after="0" w:line="177" w:lineRule="exact"/>
        <w:rPr>
          <w:rFonts w:ascii="Times New Roman" w:cs="Times New Roman" w:eastAsia="Times New Roman" w:hAnsi="Times New Roman"/>
          <w:sz w:val="20"/>
          <w:szCs w:val="20"/>
          <w:color w:val="auto"/>
        </w:rPr>
      </w:pPr>
    </w:p>
    <w:p>
      <w:pPr>
        <w:ind w:firstLine="1286"/>
        <w:spacing w:after="0" w:line="247" w:lineRule="auto"/>
        <w:tabs>
          <w:tab w:leader="none" w:pos="179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whose Notes were purchased only in part will be issued new Notes equal in principal amount to the unpurchased portion of the Notes surrendered (or transferred by book-entry transfer).</w:t>
      </w:r>
    </w:p>
    <w:p>
      <w:pPr>
        <w:spacing w:after="0" w:line="164"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On or before the Purchase Date, the Issuer will, to the extent lawful, accept for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extent necessary, the Notes or portions thereof tendered pursuant to the Asset Sale Offer and required to be purchased pursuant to this Section 3.10 and Section 4.10, or if Notes in an aggregate principal amount less than the Offer Amount allocated to the purchase of Notes in the Asset Sale Offer have been tendered, all Notes tendered, and will deliver or cause to be delivered to the Trustee the Notes properly accepted together with an Officer’s Certificate stating that such Notes or portions thereof were accepted for payment by the Issuer in accordance with the terms of this Section 3.10. Notes to be purchased shall, on the Purchase Date, become due and payable at the purchase price and from and after such date (unless the Issuer shall default in the payment of the purchase price) such Notes shall cease to accrue interest. The Issuer, the depositary for the Asset Sale Offer or the Paying Agent, as the case may be, will promptly (but in any case not later than five days after the Purchase Date) mail or deliver to each tendering Holder an amount equal to the purchase price of the Notes tendered by such Holder and accepted by the Issuer for purchase (or, if any Notes are then in global form, it will promptly make such payment thereon through the facilities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6" w:right="339" w:bottom="1440" w:gutter="0" w:footer="0" w:header="0"/>
        </w:sectPr>
      </w:pPr>
    </w:p>
    <w:bookmarkStart w:id="69" w:name="page70"/>
    <w:bookmarkEnd w:id="69"/>
    <w:p>
      <w:pPr>
        <w:jc w:val="both"/>
        <w:spacing w:after="0" w:line="233" w:lineRule="auto"/>
        <w:rPr>
          <w:sz w:val="20"/>
          <w:szCs w:val="20"/>
          <w:color w:val="auto"/>
        </w:rPr>
      </w:pPr>
      <w:r>
        <w:rPr>
          <w:rFonts w:ascii="Times New Roman" w:cs="Times New Roman" w:eastAsia="Times New Roman" w:hAnsi="Times New Roman"/>
          <w:sz w:val="20"/>
          <w:szCs w:val="20"/>
          <w:color w:val="auto"/>
        </w:rPr>
        <w:t>DTC), and the Issuer will promptly issue a new Note, and the Trustee, upon written request from the Issuer, will authenticate and mail or deliver (or cause to be transferred by book entry) such new Note to such Holder, in a principal amount equal to any unpurchased portion of the Note surrendered. Any Note not so accepted shall be promptly mailed or delivered by the Issuer to the Holder thereof. The Issuer will publicly announce the results of the Asset Sale Offer on the Purchase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COVENANTS</w:t>
      </w:r>
    </w:p>
    <w:p>
      <w:pPr>
        <w:spacing w:after="0" w:line="172"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4.01</w:t>
      </w:r>
      <w:r>
        <w:rPr>
          <w:sz w:val="20"/>
          <w:szCs w:val="20"/>
          <w:color w:val="auto"/>
        </w:rPr>
        <w:tab/>
      </w:r>
      <w:r>
        <w:rPr>
          <w:rFonts w:ascii="Times New Roman" w:cs="Times New Roman" w:eastAsia="Times New Roman" w:hAnsi="Times New Roman"/>
          <w:sz w:val="18"/>
          <w:szCs w:val="18"/>
          <w:i w:val="1"/>
          <w:iCs w:val="1"/>
          <w:color w:val="auto"/>
        </w:rPr>
        <w:t>Payment of Notes.</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The Issuer will pay or cause to be paid the principal of, premium on, if any, and interest on the Notes on the dates and in the manner provided in the Notes. Principal, interest and premium, if any, will be considered paid on the date due if the Paying Agent, if other than the Issuer or a Subsidiary of the Issuer, holds as of 11:00 a.m., New York City time, on the due date money deposited by the Issuer in immediately available funds and designated for and sufficient to pay all principal, interest and premium, if any, if any, then due.</w:t>
      </w:r>
    </w:p>
    <w:p>
      <w:pPr>
        <w:spacing w:after="0" w:line="175"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The Issuer will pay interest (including post-petition interest in any proceeding under any Bankruptcy Law) on overdue principal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at the same rate to the extent lawful.</w:t>
      </w:r>
    </w:p>
    <w:p>
      <w:pPr>
        <w:spacing w:after="0" w:line="173"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The Issuer may at any time, for the purpose of obtaining satisfaction and discharge with respect to the Notes or for any other purpose, pay, or direct any Paying Agent to pay, to the Trustee all sums held in trust by the Issuer or such Paying Agent, such sums to be held by the Trustee upon the same terms as those upon which such sums were held by the Issuer or such Paying Agent; and, upon such payment by any Paying Agent to the Trustee, such Paying Agent shall be released from all further liability with respect to such money.</w:t>
      </w:r>
    </w:p>
    <w:p>
      <w:pPr>
        <w:spacing w:after="0" w:line="17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4.02</w:t>
      </w:r>
      <w:r>
        <w:rPr>
          <w:sz w:val="20"/>
          <w:szCs w:val="20"/>
          <w:color w:val="auto"/>
        </w:rPr>
        <w:tab/>
      </w:r>
      <w:r>
        <w:rPr>
          <w:rFonts w:ascii="Times New Roman" w:cs="Times New Roman" w:eastAsia="Times New Roman" w:hAnsi="Times New Roman"/>
          <w:sz w:val="18"/>
          <w:szCs w:val="18"/>
          <w:i w:val="1"/>
          <w:iCs w:val="1"/>
          <w:color w:val="auto"/>
        </w:rPr>
        <w:t>Maintenance of Office or Agency.</w:t>
      </w:r>
    </w:p>
    <w:p>
      <w:pPr>
        <w:spacing w:after="0" w:line="198"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 xml:space="preserve">The Issuer will maintain, an office or agency (which may be an office of the Trustee or an Affiliate of the Trustee)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 shall not be deemed an agent of the Issuer for service of legal process.</w:t>
      </w:r>
    </w:p>
    <w:p>
      <w:pPr>
        <w:spacing w:after="0" w:line="178"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will in any manner relieve the Issuer of its obligation to maintain an office or agency for such purposes. The Issuer will give prompt written notice to the Trustee of any such designation or rescission and of any change in the location of any such other office or agency.</w:t>
      </w:r>
    </w:p>
    <w:p>
      <w:pPr>
        <w:spacing w:after="0" w:line="152"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Issuer hereby designates the Corporate Trust Office of the Trustee as one such office or agency of the Issuer in accordance with Section 2.03 of this Indenture.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6" w:right="339" w:bottom="1440" w:gutter="0" w:footer="0" w:header="0"/>
        </w:sectPr>
      </w:pPr>
    </w:p>
    <w:bookmarkStart w:id="70" w:name="page71"/>
    <w:bookmarkEnd w:id="70"/>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 xml:space="preserve">With respect to any Global Notes, the Corporate Trust Office of the Trustee shall be the office or agency where such Global Notes may be presented or surrendered for payment or for registration of transfer or exchange, or where successor Notes may be delivered in exchange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presentation, surrender or delivery effected pursuant to the Applicable Procedures of the Depositary shall be deemed to have been effected at such office or agency in accordance with the provisions of this Indenture.</w:t>
      </w:r>
    </w:p>
    <w:p>
      <w:pPr>
        <w:spacing w:after="0" w:line="18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4.03</w:t>
      </w:r>
      <w:r>
        <w:rPr>
          <w:sz w:val="20"/>
          <w:szCs w:val="20"/>
          <w:color w:val="auto"/>
        </w:rPr>
        <w:tab/>
      </w:r>
      <w:r>
        <w:rPr>
          <w:rFonts w:ascii="Times New Roman" w:cs="Times New Roman" w:eastAsia="Times New Roman" w:hAnsi="Times New Roman"/>
          <w:sz w:val="18"/>
          <w:szCs w:val="18"/>
          <w:i w:val="1"/>
          <w:iCs w:val="1"/>
          <w:color w:val="auto"/>
        </w:rPr>
        <w:t>Reports.</w:t>
      </w:r>
    </w:p>
    <w:p>
      <w:pPr>
        <w:spacing w:after="0" w:line="198" w:lineRule="exact"/>
        <w:rPr>
          <w:sz w:val="20"/>
          <w:szCs w:val="20"/>
          <w:color w:val="auto"/>
        </w:rPr>
      </w:pPr>
    </w:p>
    <w:p>
      <w:pPr>
        <w:jc w:val="both"/>
        <w:ind w:firstLine="1286"/>
        <w:spacing w:after="0" w:line="236" w:lineRule="auto"/>
        <w:tabs>
          <w:tab w:leader="none" w:pos="174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required by the rules and regulations of the SEC, so long as any Notes are outstanding, the Issuer will furnish to the Holders of Notes (or file with the SEC for public availability), within the time periods specified in the SEC’s rules and regulations applicable to a non-accelerated filer, after giving effect to all applicable extensions and cure periods:</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31" w:lineRule="auto"/>
        <w:tabs>
          <w:tab w:leader="none" w:pos="2379"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quarterly and annual reports that would be required to be filed with the SEC on Forms 10-Q and 10-K if the Issuer were required to file such reports, including a “Management’s Discussion and Analysis of Financial Condition and Results of Operations” and, with respect to the annual report only, a report on the Issuer’s consolidated financial statements by the Issuer’s certified independent accountants; provided, however, that if the SEC permits Exchange Act reporting companies to elect to file semiannual reports instead of quarterly reports, the Company may elect to furnish such semiannual reports to the holders of Notes (or file with the SEC for public availability) instead of quarterly reports; and</w:t>
      </w:r>
    </w:p>
    <w:p>
      <w:pPr>
        <w:spacing w:after="0" w:line="177" w:lineRule="exact"/>
        <w:rPr>
          <w:rFonts w:ascii="Times New Roman" w:cs="Times New Roman" w:eastAsia="Times New Roman" w:hAnsi="Times New Roman"/>
          <w:sz w:val="20"/>
          <w:szCs w:val="20"/>
          <w:color w:val="auto"/>
        </w:rPr>
      </w:pPr>
    </w:p>
    <w:p>
      <w:pPr>
        <w:ind w:left="2360" w:hanging="434"/>
        <w:spacing w:after="0"/>
        <w:tabs>
          <w:tab w:leader="none" w:pos="23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the Issuer were required to file</w:t>
      </w:r>
    </w:p>
    <w:p>
      <w:pPr>
        <w:spacing w:after="0" w:line="2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reports.</w:t>
      </w:r>
    </w:p>
    <w:p>
      <w:pPr>
        <w:spacing w:after="0" w:line="174" w:lineRule="exact"/>
        <w:rPr>
          <w:sz w:val="20"/>
          <w:szCs w:val="20"/>
          <w:color w:val="auto"/>
        </w:rPr>
      </w:pPr>
    </w:p>
    <w:p>
      <w:pPr>
        <w:ind w:right="20" w:firstLine="640"/>
        <w:spacing w:after="0" w:line="247" w:lineRule="auto"/>
        <w:rPr>
          <w:sz w:val="20"/>
          <w:szCs w:val="20"/>
          <w:color w:val="auto"/>
        </w:rPr>
      </w:pPr>
      <w:r>
        <w:rPr>
          <w:rFonts w:ascii="Times New Roman" w:cs="Times New Roman" w:eastAsia="Times New Roman" w:hAnsi="Times New Roman"/>
          <w:sz w:val="20"/>
          <w:szCs w:val="20"/>
          <w:color w:val="auto"/>
        </w:rPr>
        <w:t>The availability of the foregoing reports on the SEC’s EDGAR filing system will be deemed to satisfy the foregoing delivery requirements.</w:t>
      </w:r>
    </w:p>
    <w:p>
      <w:pPr>
        <w:spacing w:after="0" w:line="166" w:lineRule="exact"/>
        <w:rPr>
          <w:sz w:val="20"/>
          <w:szCs w:val="20"/>
          <w:color w:val="auto"/>
        </w:rPr>
      </w:pPr>
    </w:p>
    <w:p>
      <w:pPr>
        <w:jc w:val="both"/>
        <w:ind w:firstLine="1286"/>
        <w:spacing w:after="0" w:line="230" w:lineRule="auto"/>
        <w:tabs>
          <w:tab w:leader="none" w:pos="173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Issuer has designated as an Unrestricted Subsidiary any of its Subsidiaries that is a Significant Subsidiary (or that, taken together with other Unrestricted Subsidiaries, would be a Significant Subsidiary), then the quarterly, semiannual and annual financial information required by Section 4.03(a) will include (a) the aggregate amount of total property, plant and equipment, net, total operating revenues and net income represented by such Unrestricted Subsidiaries and (b) to the extent material,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separate from the financial condition and results of operations of the Unrestricted Subsidiaries of the Issuer.</w:t>
      </w:r>
    </w:p>
    <w:p>
      <w:pPr>
        <w:spacing w:after="0" w:line="176" w:lineRule="exact"/>
        <w:rPr>
          <w:rFonts w:ascii="Times New Roman" w:cs="Times New Roman" w:eastAsia="Times New Roman" w:hAnsi="Times New Roman"/>
          <w:sz w:val="20"/>
          <w:szCs w:val="20"/>
          <w:color w:val="auto"/>
        </w:rPr>
      </w:pPr>
    </w:p>
    <w:p>
      <w:pPr>
        <w:jc w:val="both"/>
        <w:ind w:firstLine="1286"/>
        <w:spacing w:after="0" w:line="233" w:lineRule="auto"/>
        <w:tabs>
          <w:tab w:leader="none" w:pos="175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direct or indirect parent company of the Issuer becomes a guarantor of the Notes, the Issuer may satisfy its obligations under this Section 4.03 with respect to financial and other information relating to the Issuer by furnishing corresponding information relating to such parent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same includes a reasonable summary of the differences between the information relating to such parent, on the one hand, and the information relating to the Issuer and its Restricted Subsidiaries on a standalone basis, on the other hand.</w:t>
      </w:r>
    </w:p>
    <w:p>
      <w:pPr>
        <w:spacing w:after="0" w:line="176" w:lineRule="exact"/>
        <w:rPr>
          <w:rFonts w:ascii="Times New Roman" w:cs="Times New Roman" w:eastAsia="Times New Roman" w:hAnsi="Times New Roman"/>
          <w:sz w:val="20"/>
          <w:szCs w:val="20"/>
          <w:color w:val="auto"/>
        </w:rPr>
      </w:pPr>
    </w:p>
    <w:p>
      <w:pPr>
        <w:jc w:val="both"/>
        <w:ind w:firstLine="1286"/>
        <w:spacing w:after="0" w:line="233" w:lineRule="auto"/>
        <w:tabs>
          <w:tab w:leader="none" w:pos="182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Defaults or Events of Default arising from a failure to furnish or file in a timely manner a report or information required by this Section 4.03 shall be deemed cured (and the Issuer shall be deemed to be in compliance with this Section 4.03) upon furnishing or filing such report or information as contemplated by this Section 4.03 (but without regard to the date on which such report or information is so furnished or filed);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cure shall not otherwise affect the rights of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6" w:right="339" w:bottom="1440" w:gutter="0" w:footer="0" w:header="0"/>
        </w:sectPr>
      </w:pPr>
    </w:p>
    <w:bookmarkStart w:id="71" w:name="page72"/>
    <w:bookmarkEnd w:id="71"/>
    <w:p>
      <w:pPr>
        <w:ind w:right="20"/>
        <w:spacing w:after="0" w:line="247" w:lineRule="auto"/>
        <w:rPr>
          <w:sz w:val="20"/>
          <w:szCs w:val="20"/>
          <w:color w:val="auto"/>
        </w:rPr>
      </w:pPr>
      <w:r>
        <w:rPr>
          <w:rFonts w:ascii="Times New Roman" w:cs="Times New Roman" w:eastAsia="Times New Roman" w:hAnsi="Times New Roman"/>
          <w:sz w:val="20"/>
          <w:szCs w:val="20"/>
          <w:color w:val="auto"/>
        </w:rPr>
        <w:t>Holders under Article 6 if the principal, interest and premium, if any, have been accelerated in accordance with the terms of this Indenture and such acceleration has not been rescinded or cancelled prior to such cure.</w:t>
      </w:r>
    </w:p>
    <w:p>
      <w:pPr>
        <w:spacing w:after="0" w:line="166" w:lineRule="exact"/>
        <w:rPr>
          <w:sz w:val="20"/>
          <w:szCs w:val="20"/>
          <w:color w:val="auto"/>
        </w:rPr>
      </w:pPr>
    </w:p>
    <w:p>
      <w:pPr>
        <w:jc w:val="both"/>
        <w:ind w:firstLine="1286"/>
        <w:spacing w:after="0" w:line="242" w:lineRule="auto"/>
        <w:tabs>
          <w:tab w:leader="none" w:pos="173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so long as any Notes remain outstanding, the Issuer will furnish to the Holders and Beneficial Owners of the Notes and to securities analysts and prospective investors in the Notes, upon their request, the information required to be delivered pursuant to Rule 144A(d)(4) under the Securities Act.</w:t>
      </w:r>
    </w:p>
    <w:p>
      <w:pPr>
        <w:spacing w:after="0" w:line="170" w:lineRule="exact"/>
        <w:rPr>
          <w:rFonts w:ascii="Times New Roman" w:cs="Times New Roman" w:eastAsia="Times New Roman" w:hAnsi="Times New Roman"/>
          <w:sz w:val="20"/>
          <w:szCs w:val="20"/>
          <w:color w:val="auto"/>
        </w:rPr>
      </w:pPr>
    </w:p>
    <w:p>
      <w:pPr>
        <w:jc w:val="both"/>
        <w:ind w:firstLine="1286"/>
        <w:spacing w:after="0" w:line="229" w:lineRule="auto"/>
        <w:tabs>
          <w:tab w:leader="none" w:pos="172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4.03 does not impose any duty on the Issuer under the Sarbanes Oxley Act of 2002, as amended, and the related SEC rules that would not otherwise be applicable. The Issuer will be deemed to have furnished to the Holders and Beneficial Owners of the Notes and to securities analysts and prospective investors the reports referred to in clauses (1) and (2) of Section 4.03(a) or the information referred to in Section 4.03(e) if the Issuer has posted such reports or information on the Issuer Website. For purposes of this Section 4.03, the term “</w:t>
      </w:r>
      <w:r>
        <w:rPr>
          <w:rFonts w:ascii="Times New Roman" w:cs="Times New Roman" w:eastAsia="Times New Roman" w:hAnsi="Times New Roman"/>
          <w:sz w:val="20"/>
          <w:szCs w:val="20"/>
          <w:i w:val="1"/>
          <w:iCs w:val="1"/>
          <w:color w:val="auto"/>
        </w:rPr>
        <w:t>Issuer Website</w:t>
      </w:r>
      <w:r>
        <w:rPr>
          <w:rFonts w:ascii="Times New Roman" w:cs="Times New Roman" w:eastAsia="Times New Roman" w:hAnsi="Times New Roman"/>
          <w:sz w:val="20"/>
          <w:szCs w:val="20"/>
          <w:color w:val="auto"/>
        </w:rPr>
        <w:t>” means the collection of web pages that may be accessed on the World Wide Web using the URL address http://www.crc.com or such other address as the Issuer may from time to time maintain for public information.</w:t>
      </w:r>
    </w:p>
    <w:p>
      <w:pPr>
        <w:spacing w:after="0" w:line="176" w:lineRule="exact"/>
        <w:rPr>
          <w:rFonts w:ascii="Times New Roman" w:cs="Times New Roman" w:eastAsia="Times New Roman" w:hAnsi="Times New Roman"/>
          <w:sz w:val="20"/>
          <w:szCs w:val="20"/>
          <w:color w:val="auto"/>
        </w:rPr>
      </w:pPr>
    </w:p>
    <w:p>
      <w:pPr>
        <w:jc w:val="both"/>
        <w:ind w:firstLine="1286"/>
        <w:spacing w:after="0" w:line="231" w:lineRule="auto"/>
        <w:tabs>
          <w:tab w:leader="none" w:pos="173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is for informational purposes only, and the Trustee’s receipt thereof shall not constitute actual or constructive notice of any information contained therein or determinable from information contained therein, including the Issuer’s compliance with any of its covenants under this Indenture (as to which the Trustee is entitled to certificates). The Trustee shall not be 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17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4.04</w:t>
      </w:r>
      <w:r>
        <w:rPr>
          <w:sz w:val="20"/>
          <w:szCs w:val="20"/>
          <w:color w:val="auto"/>
        </w:rPr>
        <w:tab/>
      </w:r>
      <w:r>
        <w:rPr>
          <w:rFonts w:ascii="Times New Roman" w:cs="Times New Roman" w:eastAsia="Times New Roman" w:hAnsi="Times New Roman"/>
          <w:sz w:val="18"/>
          <w:szCs w:val="18"/>
          <w:i w:val="1"/>
          <w:iCs w:val="1"/>
          <w:color w:val="auto"/>
        </w:rPr>
        <w:t>Compliance Certificate.</w:t>
      </w:r>
    </w:p>
    <w:p>
      <w:pPr>
        <w:spacing w:after="0" w:line="198" w:lineRule="exact"/>
        <w:rPr>
          <w:sz w:val="20"/>
          <w:szCs w:val="20"/>
          <w:color w:val="auto"/>
        </w:rPr>
      </w:pPr>
    </w:p>
    <w:p>
      <w:pPr>
        <w:jc w:val="both"/>
        <w:ind w:firstLine="1286"/>
        <w:spacing w:after="0" w:line="229" w:lineRule="auto"/>
        <w:tabs>
          <w:tab w:leader="none" w:pos="175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deliver to the Trustee, within 120 days after the end of each fiscal year, beginning with the fiscal year ending December 31, 2026,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w:t>
      </w:r>
    </w:p>
    <w:p>
      <w:pPr>
        <w:spacing w:after="0" w:line="176"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0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of the Notes are outstanding, upon any Officer of the Issuer becoming aware of any Default or Event of Default, the Issuer shall deliver to the Trustee a written statement specifying such Default or Event of Default and what action the Issuer is taking or proposes to take with respect thereto within 30 days after such Officer becomes aware of the occurrence and continuance of such Default or Event of Default, unless such Default or Event of Default has been cured before the end of the 30-day period.</w:t>
      </w:r>
    </w:p>
    <w:p>
      <w:pPr>
        <w:spacing w:after="0" w:line="17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4.05</w:t>
      </w:r>
      <w:r>
        <w:rPr>
          <w:sz w:val="20"/>
          <w:szCs w:val="20"/>
          <w:color w:val="auto"/>
        </w:rPr>
        <w:tab/>
      </w:r>
      <w:r>
        <w:rPr>
          <w:rFonts w:ascii="Times New Roman" w:cs="Times New Roman" w:eastAsia="Times New Roman" w:hAnsi="Times New Roman"/>
          <w:sz w:val="18"/>
          <w:szCs w:val="18"/>
          <w:i w:val="1"/>
          <w:iCs w:val="1"/>
          <w:color w:val="auto"/>
        </w:rPr>
        <w:t>Taxes.</w:t>
      </w:r>
    </w:p>
    <w:p>
      <w:pPr>
        <w:spacing w:after="0" w:line="198" w:lineRule="exact"/>
        <w:rPr>
          <w:sz w:val="20"/>
          <w:szCs w:val="20"/>
          <w:color w:val="auto"/>
        </w:rPr>
      </w:pPr>
    </w:p>
    <w:p>
      <w:pPr>
        <w:ind w:firstLine="640"/>
        <w:spacing w:after="0" w:line="247" w:lineRule="auto"/>
        <w:rPr>
          <w:sz w:val="20"/>
          <w:szCs w:val="20"/>
          <w:color w:val="auto"/>
        </w:rPr>
      </w:pPr>
      <w:r>
        <w:rPr>
          <w:rFonts w:ascii="Times New Roman" w:cs="Times New Roman" w:eastAsia="Times New Roman" w:hAnsi="Times New Roman"/>
          <w:sz w:val="20"/>
          <w:szCs w:val="20"/>
          <w:color w:val="auto"/>
        </w:rPr>
        <w:t>The Issuer will pay, and will cause each of its Subsidiaries to pay, prior to delinquency, all material taxes, assessments, and governmental levies except such as are contested in good faith and by appropriate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proceedings or where the failure to effect such payment is not adverse in any material respect to the Holders of the Notes.</w:t>
      </w:r>
    </w:p>
    <w:p>
      <w:pPr>
        <w:spacing w:after="0" w:line="19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4.06</w:t>
      </w:r>
      <w:r>
        <w:rPr>
          <w:sz w:val="20"/>
          <w:szCs w:val="20"/>
          <w:color w:val="auto"/>
        </w:rPr>
        <w:tab/>
      </w:r>
      <w:r>
        <w:rPr>
          <w:rFonts w:ascii="Times New Roman" w:cs="Times New Roman" w:eastAsia="Times New Roman" w:hAnsi="Times New Roman"/>
          <w:sz w:val="18"/>
          <w:szCs w:val="18"/>
          <w:i w:val="1"/>
          <w:iCs w:val="1"/>
          <w:color w:val="auto"/>
        </w:rPr>
        <w:t>Stay, Extension and Usury Laws.</w:t>
      </w:r>
    </w:p>
    <w:p>
      <w:pPr>
        <w:spacing w:after="0" w:line="198"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4.07</w:t>
      </w:r>
      <w:r>
        <w:rPr>
          <w:sz w:val="20"/>
          <w:szCs w:val="20"/>
          <w:color w:val="auto"/>
        </w:rPr>
        <w:tab/>
      </w:r>
      <w:r>
        <w:rPr>
          <w:rFonts w:ascii="Times New Roman" w:cs="Times New Roman" w:eastAsia="Times New Roman" w:hAnsi="Times New Roman"/>
          <w:sz w:val="18"/>
          <w:szCs w:val="18"/>
          <w:i w:val="1"/>
          <w:iCs w:val="1"/>
          <w:color w:val="auto"/>
        </w:rPr>
        <w:t>Restricted Payments.</w:t>
      </w:r>
    </w:p>
    <w:p>
      <w:pPr>
        <w:spacing w:after="0" w:line="198" w:lineRule="exact"/>
        <w:rPr>
          <w:sz w:val="20"/>
          <w:szCs w:val="20"/>
          <w:color w:val="auto"/>
        </w:rPr>
      </w:pPr>
    </w:p>
    <w:p>
      <w:pPr>
        <w:ind w:left="1700" w:hanging="414"/>
        <w:spacing w:after="0"/>
        <w:tabs>
          <w:tab w:leader="none" w:pos="17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not, and will not permit any of its Restricted Subsidiaries to, directly or indirectly:</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31" w:lineRule="auto"/>
        <w:tabs>
          <w:tab w:leader="none" w:pos="239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dividend or make any other payment or distribution on account of the Issuer’s or any of its Restricted Subsidiaries’ Equity Interests (including, without limitation, any payment in connection with any merger or consolidation involving the Issuer or any of its Restricted Subsidiaries) or to the direct or indirect holders of the Issuer’s or any of its Restricted Subsidiaries’ Equity Interests in their capacity as such (other than dividends or other payments or distributions payable in Equity Interests (other than Disqualified Stock) of the Issuer and other than dividends or other payments or distributions payable to the Issuer or a Restricted Subsidiary of the Issuer);</w:t>
      </w:r>
    </w:p>
    <w:p>
      <w:pPr>
        <w:spacing w:after="0" w:line="177"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35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redeem or otherwise acquire or retire for value (including, without limitation, in connection with any merger or consolidation involving the Issuer) any Equity Interests of the Issuer or any direct or indirect parent of the Issuer other than through the exchange therefor solely of Equity Interests (other than Disqualified Stock) of the Issuer and other than any acquisition or retirement for value from, or payment to, the Issuer or any Restricted Subsidiary of the Issuer;</w:t>
      </w:r>
    </w:p>
    <w:p>
      <w:pPr>
        <w:spacing w:after="0" w:line="186" w:lineRule="exact"/>
        <w:rPr>
          <w:rFonts w:ascii="Times New Roman" w:cs="Times New Roman" w:eastAsia="Times New Roman" w:hAnsi="Times New Roman"/>
          <w:sz w:val="20"/>
          <w:szCs w:val="20"/>
          <w:color w:val="auto"/>
        </w:rPr>
      </w:pPr>
    </w:p>
    <w:p>
      <w:pPr>
        <w:jc w:val="both"/>
        <w:ind w:left="640" w:firstLine="1286"/>
        <w:spacing w:after="0" w:line="229" w:lineRule="auto"/>
        <w:tabs>
          <w:tab w:leader="none" w:pos="237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payment on or with respect to, or repurchase, redeem, defease or otherwise acquire or retire for value any Indebtedness of the Issuer or any Guarantor that is contractually subordinated in right of payment to the Notes or to any Guarantee (excluding (a) any intercompany Indebtedness between or among the Issuer and any of its Restricted Subsidiaries and (b) the repurchase or other acquisition or retirement for value of any such Indebtedness in anticipation of satisfying a sinking fund or other payment obligation due within one year of the date of such repurchase or other acquisition or retirement for value), except a payment of interest or principal at the Stated Maturity thereof; or</w:t>
      </w:r>
    </w:p>
    <w:p>
      <w:pPr>
        <w:spacing w:after="0" w:line="176" w:lineRule="exact"/>
        <w:rPr>
          <w:rFonts w:ascii="Times New Roman" w:cs="Times New Roman" w:eastAsia="Times New Roman" w:hAnsi="Times New Roman"/>
          <w:sz w:val="20"/>
          <w:szCs w:val="20"/>
          <w:color w:val="auto"/>
        </w:rPr>
      </w:pPr>
    </w:p>
    <w:p>
      <w:pPr>
        <w:ind w:left="640" w:firstLine="1286"/>
        <w:spacing w:after="0" w:line="247" w:lineRule="auto"/>
        <w:tabs>
          <w:tab w:leader="none" w:pos="238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Restricted Investment (all such payments and other actions set forth in clauses (1) through (4) of this Section 4.07(a), being collectively referred to as “</w:t>
      </w:r>
      <w:r>
        <w:rPr>
          <w:rFonts w:ascii="Times New Roman" w:cs="Times New Roman" w:eastAsia="Times New Roman" w:hAnsi="Times New Roman"/>
          <w:sz w:val="20"/>
          <w:szCs w:val="20"/>
          <w:i w:val="1"/>
          <w:iCs w:val="1"/>
          <w:color w:val="auto"/>
        </w:rPr>
        <w:t>Restricted Payments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at the time of and after giving effect to such Restricted Payment,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6" w:right="339" w:bottom="1440" w:gutter="0" w:footer="0" w:header="0"/>
        </w:sectPr>
      </w:pPr>
    </w:p>
    <w:bookmarkStart w:id="73" w:name="page74"/>
    <w:bookmarkEnd w:id="73"/>
    <w:p>
      <w:pPr>
        <w:spacing w:after="0" w:line="170" w:lineRule="exact"/>
        <w:rPr>
          <w:sz w:val="20"/>
          <w:szCs w:val="20"/>
          <w:color w:val="auto"/>
        </w:rPr>
      </w:pPr>
    </w:p>
    <w:p>
      <w:pPr>
        <w:ind w:left="1940" w:hanging="495"/>
        <w:spacing w:after="0"/>
        <w:tabs>
          <w:tab w:leader="none" w:pos="19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occur as a consequence of such</w:t>
      </w:r>
    </w:p>
    <w:p>
      <w:pPr>
        <w:spacing w:after="0" w:line="28"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Restricted Payment;</w:t>
      </w:r>
    </w:p>
    <w:p>
      <w:pPr>
        <w:spacing w:after="0" w:line="172" w:lineRule="exact"/>
        <w:rPr>
          <w:rFonts w:ascii="Times New Roman" w:cs="Times New Roman" w:eastAsia="Times New Roman" w:hAnsi="Times New Roman"/>
          <w:sz w:val="18"/>
          <w:szCs w:val="18"/>
          <w:color w:val="auto"/>
        </w:rPr>
      </w:pPr>
    </w:p>
    <w:p>
      <w:pPr>
        <w:jc w:val="both"/>
        <w:ind w:left="160" w:firstLine="1285"/>
        <w:spacing w:after="0" w:line="237" w:lineRule="auto"/>
        <w:tabs>
          <w:tab w:leader="none" w:pos="1902"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would, at the time of such Restricted Payment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as if such Restricted Payment had been made at the beginning of the applicable four-quarter period, have been permitted to incur at least $1.00 of additional Indebtedness pursuant to the Fixed Charge Coverage Ratio test set forth in Section 4.09(a); and</w:t>
      </w:r>
    </w:p>
    <w:p>
      <w:pPr>
        <w:spacing w:after="0" w:line="173" w:lineRule="exact"/>
        <w:rPr>
          <w:rFonts w:ascii="Times New Roman" w:cs="Times New Roman" w:eastAsia="Times New Roman" w:hAnsi="Times New Roman"/>
          <w:sz w:val="20"/>
          <w:szCs w:val="20"/>
          <w:color w:val="auto"/>
        </w:rPr>
      </w:pPr>
    </w:p>
    <w:p>
      <w:pPr>
        <w:jc w:val="both"/>
        <w:ind w:left="160" w:firstLine="1285"/>
        <w:spacing w:after="0" w:line="260" w:lineRule="auto"/>
        <w:tabs>
          <w:tab w:leader="none" w:pos="192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the Issuer and its Restricted Subsidiaries since June 5, 2024 (excluding Restricted Payments permitted by clauses (1) through</w:t>
      </w:r>
    </w:p>
    <w:p>
      <w:pPr>
        <w:jc w:val="both"/>
        <w:ind w:left="160" w:firstLine="6"/>
        <w:spacing w:after="0" w:line="247" w:lineRule="auto"/>
        <w:tabs>
          <w:tab w:leader="none" w:pos="5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4.07(b), but including Restricted Payments made under clause (15) of Section 4.07(b) only to the extent that such Restricted Payments at the time thereof would not reduce the amount available for Restricted Payments under this clause</w:t>
      </w: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(4)(C) to less than zero) is less than the sum, without duplication, of:</w:t>
      </w:r>
    </w:p>
    <w:p>
      <w:pPr>
        <w:spacing w:after="0" w:line="174" w:lineRule="exact"/>
        <w:rPr>
          <w:rFonts w:ascii="Times New Roman" w:cs="Times New Roman" w:eastAsia="Times New Roman" w:hAnsi="Times New Roman"/>
          <w:sz w:val="18"/>
          <w:szCs w:val="18"/>
          <w:color w:val="auto"/>
        </w:rPr>
      </w:pPr>
    </w:p>
    <w:p>
      <w:pPr>
        <w:jc w:val="both"/>
        <w:ind w:left="800" w:firstLine="1285"/>
        <w:spacing w:after="0" w:line="236" w:lineRule="auto"/>
        <w:tabs>
          <w:tab w:leader="none" w:pos="2464"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50% of the Consolidated Net Income of the Issuer for the period (taken as one accounting period) from April 1, 2024 to the end of the Issuer’s most recently ended fiscal quarter for which internal financial statements are available at the time of such Restricted Payment (or, if such Consolidated Net Income for such period is a deficit, </w:t>
      </w: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100% of such deficit);</w:t>
      </w:r>
      <w:r>
        <w:rPr>
          <w:rFonts w:ascii="Times New Roman" w:cs="Times New Roman" w:eastAsia="Times New Roman" w:hAnsi="Times New Roman"/>
          <w:sz w:val="20"/>
          <w:szCs w:val="20"/>
          <w:i w:val="1"/>
          <w:iCs w:val="1"/>
          <w:color w:val="auto"/>
        </w:rPr>
        <w:t xml:space="preserve"> plus</w:t>
      </w:r>
    </w:p>
    <w:p>
      <w:pPr>
        <w:spacing w:after="0" w:line="174" w:lineRule="exact"/>
        <w:rPr>
          <w:rFonts w:ascii="Times New Roman" w:cs="Times New Roman" w:eastAsia="Times New Roman" w:hAnsi="Times New Roman"/>
          <w:sz w:val="20"/>
          <w:szCs w:val="20"/>
          <w:color w:val="auto"/>
        </w:rPr>
      </w:pPr>
    </w:p>
    <w:p>
      <w:pPr>
        <w:jc w:val="both"/>
        <w:ind w:left="800" w:firstLine="1285"/>
        <w:spacing w:after="0" w:line="227" w:lineRule="auto"/>
        <w:tabs>
          <w:tab w:leader="none" w:pos="2604"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net cash proceeds and the Fair Market Value of any Capital Stock of Persons engaged primarily in the Oil and Gas Business or any other assets that are used or useful in the Oil and Gas Business other than cash, in each case received by the Issuer since June 5, 2024 as a contribution to its common equity capital or from the issue or sale of Equity Interests of the Issuer (other than Disqualified Stock) or received by the Issuer from the issue or sale of convertible or exchangeable Disqualified Stock or convertible or exchangeable debt securities of the Issuer that have been converted into or exchanged for such Equity Interests since June 5, 2024 or from the issue or sale of options, warrants or rights to purchase such Equity Interests that have been exercised for such Equity Interests since June 5, 2024 (other than, in either case, Equity Interests (or Disqualified Stock or debt securities) sold to a Restricted Subsidiary of the Issuer or to an employee stock ownership plan, option plan or similar trust to the extent such sale to an employee stock ownership plan, option plan or similar trust is financed by loans from or guaranteed by the Issuer or any Restricted Subsidiary (unless such loans have been repaid with cash on or prior to the date of determination)); </w:t>
      </w:r>
      <w:r>
        <w:rPr>
          <w:rFonts w:ascii="Times New Roman" w:cs="Times New Roman" w:eastAsia="Times New Roman" w:hAnsi="Times New Roman"/>
          <w:sz w:val="20"/>
          <w:szCs w:val="20"/>
          <w:i w:val="1"/>
          <w:iCs w:val="1"/>
          <w:color w:val="auto"/>
        </w:rPr>
        <w:t>plus</w:t>
      </w:r>
    </w:p>
    <w:p>
      <w:pPr>
        <w:spacing w:after="0" w:line="175" w:lineRule="exact"/>
        <w:rPr>
          <w:rFonts w:ascii="Times New Roman" w:cs="Times New Roman" w:eastAsia="Times New Roman" w:hAnsi="Times New Roman"/>
          <w:sz w:val="20"/>
          <w:szCs w:val="20"/>
          <w:color w:val="auto"/>
        </w:rPr>
      </w:pPr>
    </w:p>
    <w:p>
      <w:pPr>
        <w:ind w:left="800" w:right="20" w:firstLine="1285"/>
        <w:spacing w:after="0" w:line="261" w:lineRule="auto"/>
        <w:tabs>
          <w:tab w:leader="none" w:pos="2568"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included in Consolidated Net Income for such period, if any Restricted Investment that was made by the Issuer or any of its Restricted Subsidiaries after June 5, 2024 is sold (other than to the Issuer or any Restricted Subsidiary of the Issuer) or otherwise cancelled, liquidated or repaid, 100% of the aggregate cash, and the Fair Market Value of any property other than cash, constituting the return of capital to the Issuer or any of its Restricted Subsidiaries with respect to such Restricted Investment resulting from such sale, cancellation, liquidation or repayment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out-of-pocket costs incurred in connection with any such sale); </w:t>
      </w:r>
      <w:r>
        <w:rPr>
          <w:rFonts w:ascii="Times New Roman" w:cs="Times New Roman" w:eastAsia="Times New Roman" w:hAnsi="Times New Roman"/>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0120"/>
          </w:cols>
          <w:pgMar w:left="1440" w:top="1440" w:right="339" w:bottom="1440" w:gutter="0" w:footer="0" w:header="0"/>
        </w:sectPr>
      </w:pPr>
    </w:p>
    <w:bookmarkStart w:id="74" w:name="page75"/>
    <w:bookmarkEnd w:id="74"/>
    <w:p>
      <w:pPr>
        <w:spacing w:after="0" w:line="170" w:lineRule="exact"/>
        <w:rPr>
          <w:sz w:val="20"/>
          <w:szCs w:val="20"/>
          <w:color w:val="auto"/>
        </w:rPr>
      </w:pPr>
    </w:p>
    <w:p>
      <w:pPr>
        <w:jc w:val="both"/>
        <w:ind w:left="1920" w:firstLine="1285"/>
        <w:spacing w:after="0" w:line="229" w:lineRule="auto"/>
        <w:tabs>
          <w:tab w:leader="none" w:pos="371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by which Indebtedness of the Issuer or its Restricted Subsidiaries is reduced on the Issuer’s balance sheet upon the conversion or exchange (other than by a Restricted Subsidiary of the Issuer) subsequent to June 5, 2024 of any such Indebtedness of the Issuer or its Restricted Subsidiaries convertible or exchangeable for Equity Interests (other than Disqualified Stock) of the Issuer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amount of any cash, or the Fair Market Value of any other property (other than such Equity Interests), distributed by the Issuer upon such conversion or exchange and excluding the net cash proceeds from the conversion or exchange financed, directly or indirectly, using funds borrowed from the Issuer or any Restricted Subsidiary), together with the net proceeds, if any, received by the Issuer or any of its Restricted Subsidiaries upon such conversion or exchange; </w:t>
      </w:r>
      <w:r>
        <w:rPr>
          <w:rFonts w:ascii="Times New Roman" w:cs="Times New Roman" w:eastAsia="Times New Roman" w:hAnsi="Times New Roman"/>
          <w:sz w:val="20"/>
          <w:szCs w:val="20"/>
          <w:i w:val="1"/>
          <w:iCs w:val="1"/>
          <w:color w:val="auto"/>
        </w:rPr>
        <w:t>plus</w:t>
      </w:r>
    </w:p>
    <w:p>
      <w:pPr>
        <w:spacing w:after="0" w:line="176" w:lineRule="exact"/>
        <w:rPr>
          <w:rFonts w:ascii="Times New Roman" w:cs="Times New Roman" w:eastAsia="Times New Roman" w:hAnsi="Times New Roman"/>
          <w:sz w:val="20"/>
          <w:szCs w:val="20"/>
          <w:color w:val="auto"/>
        </w:rPr>
      </w:pPr>
    </w:p>
    <w:p>
      <w:pPr>
        <w:jc w:val="both"/>
        <w:ind w:left="1920" w:firstLine="1285"/>
        <w:spacing w:after="0" w:line="229" w:lineRule="auto"/>
        <w:tabs>
          <w:tab w:leader="none" w:pos="364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Unrestricted Subsidiary of the Issuer designated as such after June 5, 2024 is redesignated as a Restricted Subsidiary pursuant to the terms of this Indenture or is merged or consolidated with or into, or transfers or otherwise disposes of all or substantially all of its properties or assets to or is liquidated into, the Issuer or a Restricted Subsidiary after June 5, 2024, the lesser of, as of the date of such redesignation, merger, consolidation, transfer, disposition or liquidation, (A) the Fair Market Value of the Issuer’s Restricted Investment in such Subsidiary (or of the properties or assets disposed of, as applicable) as of the date of such redesignation, merger, consolidation, transfer, disposition or liquidation and (B) such Fair Market Value as of the date on which such Subsidiary was originally designated as an Unrestricted Subsidiary after June 5, 2024; </w:t>
      </w:r>
      <w:r>
        <w:rPr>
          <w:rFonts w:ascii="Times New Roman" w:cs="Times New Roman" w:eastAsia="Times New Roman" w:hAnsi="Times New Roman"/>
          <w:sz w:val="20"/>
          <w:szCs w:val="20"/>
          <w:i w:val="1"/>
          <w:iCs w:val="1"/>
          <w:color w:val="auto"/>
        </w:rPr>
        <w:t>plus</w:t>
      </w:r>
    </w:p>
    <w:p>
      <w:pPr>
        <w:spacing w:after="0" w:line="176" w:lineRule="exact"/>
        <w:rPr>
          <w:rFonts w:ascii="Times New Roman" w:cs="Times New Roman" w:eastAsia="Times New Roman" w:hAnsi="Times New Roman"/>
          <w:sz w:val="20"/>
          <w:szCs w:val="20"/>
          <w:color w:val="auto"/>
        </w:rPr>
      </w:pPr>
    </w:p>
    <w:p>
      <w:pPr>
        <w:jc w:val="both"/>
        <w:ind w:left="1920" w:firstLine="1285"/>
        <w:spacing w:after="0" w:line="233" w:lineRule="auto"/>
        <w:tabs>
          <w:tab w:leader="none" w:pos="3822"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equal to the net reduction in Restricted Investments made since June 5, 2024 resulting from dividends, distributions, redemptions or repurchases, proceeds of sales or other dispositions thereof, interest payments, repayments of loans or advances, releases of guarantees or other transfers of assets (including transfers as a result of a merger or liquidation), in each case to the Issuer or any of its Restricted Subsidiaries from any Person (including, without limitation, Unrestricted Subsidiaries) in respect of Restricted Investments; </w:t>
      </w:r>
      <w:r>
        <w:rPr>
          <w:rFonts w:ascii="Times New Roman" w:cs="Times New Roman" w:eastAsia="Times New Roman" w:hAnsi="Times New Roman"/>
          <w:sz w:val="20"/>
          <w:szCs w:val="20"/>
          <w:i w:val="1"/>
          <w:iCs w:val="1"/>
          <w:color w:val="auto"/>
        </w:rPr>
        <w:t>plus</w:t>
      </w:r>
    </w:p>
    <w:p>
      <w:pPr>
        <w:spacing w:after="0" w:line="176" w:lineRule="exact"/>
        <w:rPr>
          <w:rFonts w:ascii="Times New Roman" w:cs="Times New Roman" w:eastAsia="Times New Roman" w:hAnsi="Times New Roman"/>
          <w:sz w:val="20"/>
          <w:szCs w:val="20"/>
          <w:color w:val="auto"/>
        </w:rPr>
      </w:pPr>
    </w:p>
    <w:p>
      <w:pPr>
        <w:jc w:val="both"/>
        <w:ind w:left="1920" w:firstLine="1285"/>
        <w:spacing w:after="0" w:line="236" w:lineRule="auto"/>
        <w:tabs>
          <w:tab w:leader="none" w:pos="375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included in clause (vi), any dividends received in cash by the Issuer or any of its Restricted Subsidiaries since June 5, 2024 from an Unrestricted Subsidiary, to the extent such dividends were not otherwise included in the Consolidated Net Income of the Issuer for such period; </w:t>
      </w:r>
      <w:r>
        <w:rPr>
          <w:rFonts w:ascii="Times New Roman" w:cs="Times New Roman" w:eastAsia="Times New Roman" w:hAnsi="Times New Roman"/>
          <w:sz w:val="20"/>
          <w:szCs w:val="20"/>
          <w:i w:val="1"/>
          <w:iCs w:val="1"/>
          <w:color w:val="auto"/>
        </w:rPr>
        <w:t>plus</w:t>
      </w:r>
    </w:p>
    <w:p>
      <w:pPr>
        <w:spacing w:after="0" w:line="174" w:lineRule="exact"/>
        <w:rPr>
          <w:rFonts w:ascii="Times New Roman" w:cs="Times New Roman" w:eastAsia="Times New Roman" w:hAnsi="Times New Roman"/>
          <w:sz w:val="20"/>
          <w:szCs w:val="20"/>
          <w:color w:val="auto"/>
        </w:rPr>
      </w:pPr>
    </w:p>
    <w:p>
      <w:pPr>
        <w:ind w:left="3800" w:hanging="595"/>
        <w:spacing w:after="0"/>
        <w:tabs>
          <w:tab w:leader="none" w:pos="38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$30.0 million.</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 4.07(a) will not prohibit any of the following actions:</w:t>
      </w:r>
    </w:p>
    <w:p>
      <w:pPr>
        <w:spacing w:after="0" w:line="196" w:lineRule="exact"/>
        <w:rPr>
          <w:sz w:val="20"/>
          <w:szCs w:val="20"/>
          <w:color w:val="auto"/>
        </w:rPr>
      </w:pPr>
    </w:p>
    <w:p>
      <w:pPr>
        <w:jc w:val="both"/>
        <w:ind w:right="640" w:firstLine="1286"/>
        <w:spacing w:after="0" w:line="242" w:lineRule="auto"/>
        <w:tabs>
          <w:tab w:leader="none" w:pos="170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0" w:lineRule="exact"/>
        <w:rPr>
          <w:sz w:val="20"/>
          <w:szCs w:val="20"/>
          <w:color w:val="auto"/>
        </w:rPr>
      </w:pPr>
    </w:p>
    <w:p>
      <w:pPr>
        <w:jc w:val="both"/>
        <w:ind w:left="-480" w:firstLine="1286"/>
        <w:spacing w:after="0" w:line="231" w:lineRule="auto"/>
        <w:tabs>
          <w:tab w:leader="none" w:pos="122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making of any Restricted Payment in exchange for, or out of or with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such net cash proceeds that are utilized for any such Restricted Payment will not be considered to be net proceeds of Equity Interests for purposes of clause (C)(ii) of Section 4.07(a) above and will not be considered to be net cash proceeds from an Equity Offering for purposes of Section 3.08;</w:t>
      </w:r>
    </w:p>
    <w:p>
      <w:pPr>
        <w:spacing w:after="0" w:line="177" w:lineRule="exact"/>
        <w:rPr>
          <w:rFonts w:ascii="Times New Roman" w:cs="Times New Roman" w:eastAsia="Times New Roman" w:hAnsi="Times New Roman"/>
          <w:sz w:val="20"/>
          <w:szCs w:val="20"/>
          <w:color w:val="auto"/>
        </w:rPr>
      </w:pPr>
    </w:p>
    <w:p>
      <w:pPr>
        <w:jc w:val="both"/>
        <w:ind w:left="-480" w:firstLine="1286"/>
        <w:spacing w:after="0" w:line="236" w:lineRule="auto"/>
        <w:tabs>
          <w:tab w:leader="none" w:pos="12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declaration and payment of any dividend or distribution (or, in the case of any partnership or limited liability company, any similar distribution) by a Restricted Subsidiary of the Issuer to the holders of its Equity Interests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a basis more favorable to the Issuer);</w:t>
      </w:r>
    </w:p>
    <w:p>
      <w:pPr>
        <w:spacing w:after="0" w:line="174" w:lineRule="exact"/>
        <w:rPr>
          <w:rFonts w:ascii="Times New Roman" w:cs="Times New Roman" w:eastAsia="Times New Roman" w:hAnsi="Times New Roman"/>
          <w:sz w:val="20"/>
          <w:szCs w:val="20"/>
          <w:color w:val="auto"/>
        </w:rPr>
      </w:pPr>
    </w:p>
    <w:p>
      <w:pPr>
        <w:jc w:val="both"/>
        <w:ind w:left="-480" w:firstLine="1286"/>
        <w:spacing w:after="0" w:line="236" w:lineRule="auto"/>
        <w:tabs>
          <w:tab w:leader="none" w:pos="124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redemption, defeasance, satisfaction and discharge or other acquisition or retirement for value of Indebtedness of the Issuer or any Guarantor that is contractually subordinated in right of payment to the Notes or to any Guarantee or any Disqualified Stock of the Issuer out or with the net cash proceeds from a substantially concurrent incurrence of, or in exchange for, Permitted Refinancing Indebtedness;</w:t>
      </w:r>
    </w:p>
    <w:p>
      <w:pPr>
        <w:spacing w:after="0" w:line="174" w:lineRule="exact"/>
        <w:rPr>
          <w:rFonts w:ascii="Times New Roman" w:cs="Times New Roman" w:eastAsia="Times New Roman" w:hAnsi="Times New Roman"/>
          <w:sz w:val="20"/>
          <w:szCs w:val="20"/>
          <w:color w:val="auto"/>
        </w:rPr>
      </w:pPr>
    </w:p>
    <w:p>
      <w:pPr>
        <w:jc w:val="both"/>
        <w:ind w:left="-480" w:firstLine="1286"/>
        <w:spacing w:after="0" w:line="227" w:lineRule="auto"/>
        <w:tabs>
          <w:tab w:leader="none" w:pos="122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repurchase, redemption or other acquisition or retirement for value of any Equity Interests of the Issuer or any Restricted Subsidiary of the Issuer held by any current or former officer, director or employee of the Issuer or any of its Restricted Subsidiaries pursuant to any equity subscription agreement, equity option agreement, unitholders’ agreement or similar agreement;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aggregate price paid for all such repurchased, redeemed, acquired or retired Equity Interests may not exceed $10.0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million in any calendar year (with any portion of such $10.0 million amount that is unused in any calendar year to be carried forward to successive calendar years and added to such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 the cash proceeds received by the Issuer or any of its Restricted Subsidiaries from sales of Equity Interests of the Issuer to employees or directors of the Issuer that occur after the Issue Date (to the extent the cash proceeds from the sale of such Equity Interests have not otherwise been applied to the payment of Restricted Payments by virtue of clause (C)(ii) of Section 4.07(a),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cash proceeds of key man life insurance policies received by the Issuer or any of its Restricted Subsidiaries after the Issue Date,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(c) the amount of payments previously effected by using amounts specified in the foregoing clauses (a) and (b);</w:t>
      </w:r>
    </w:p>
    <w:p>
      <w:pPr>
        <w:spacing w:after="0" w:line="179" w:lineRule="exact"/>
        <w:rPr>
          <w:rFonts w:ascii="Times New Roman" w:cs="Times New Roman" w:eastAsia="Times New Roman" w:hAnsi="Times New Roman"/>
          <w:sz w:val="20"/>
          <w:szCs w:val="20"/>
          <w:color w:val="auto"/>
        </w:rPr>
      </w:pPr>
    </w:p>
    <w:p>
      <w:pPr>
        <w:jc w:val="both"/>
        <w:ind w:left="-480" w:firstLine="1286"/>
        <w:spacing w:after="0" w:line="233" w:lineRule="auto"/>
        <w:tabs>
          <w:tab w:leader="none" w:pos="126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employees of the Issuer or employees or directors of any Subsidiary of the Issuer, in each case as permitted by Section 402 of the Sarbanes-Oxley Act of 2002, as amended, the proceeds of which are used to purchase Capital Stock of the Issuer, or to refinance loans or advances made pursuant to this clause (6), in an aggregate amount not in excess of $2.0 million at any one time outstanding;</w:t>
      </w:r>
    </w:p>
    <w:p>
      <w:pPr>
        <w:spacing w:after="0" w:line="186" w:lineRule="exact"/>
        <w:rPr>
          <w:rFonts w:ascii="Times New Roman" w:cs="Times New Roman" w:eastAsia="Times New Roman" w:hAnsi="Times New Roman"/>
          <w:sz w:val="20"/>
          <w:szCs w:val="20"/>
          <w:color w:val="auto"/>
        </w:rPr>
      </w:pPr>
    </w:p>
    <w:p>
      <w:pPr>
        <w:jc w:val="both"/>
        <w:ind w:left="-480" w:firstLine="1286"/>
        <w:spacing w:after="0" w:line="229" w:lineRule="auto"/>
        <w:tabs>
          <w:tab w:leader="none" w:pos="123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or other acquisition or retirement for value of Equity Interests deemed to occur upon the exercise, conversion or exchange of units or other equity options, warrants, incentives or other rights to acquire Equity Interests to the extent such Equity Interests represent a portion of the exercise, conversion or exchange price of those unit or other equity options or other rights and any repurchase or other acquisition or retirement for value of Equity Interests made in lieu of withholding taxes in connection with any exercise, conversion or exchange of units or other equity options, warrants, incentives or other rights to acquire Equity Interests;</w:t>
      </w:r>
    </w:p>
    <w:p>
      <w:pPr>
        <w:spacing w:after="0" w:line="176" w:lineRule="exact"/>
        <w:rPr>
          <w:rFonts w:ascii="Times New Roman" w:cs="Times New Roman" w:eastAsia="Times New Roman" w:hAnsi="Times New Roman"/>
          <w:sz w:val="20"/>
          <w:szCs w:val="20"/>
          <w:color w:val="auto"/>
        </w:rPr>
      </w:pPr>
    </w:p>
    <w:p>
      <w:pPr>
        <w:ind w:left="-480" w:right="20" w:firstLine="1286"/>
        <w:spacing w:after="0" w:line="247" w:lineRule="auto"/>
        <w:tabs>
          <w:tab w:leader="none" w:pos="130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redemption or other acquisition or retirement for value of Equity Interests of the Issuer or any Restricted Subsidiary of the Issuer representing fractional units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0120"/>
          </w:cols>
          <w:pgMar w:left="1440" w:top="1440" w:right="339" w:bottom="1440" w:gutter="0" w:footer="0" w:header="0"/>
        </w:sectPr>
      </w:pPr>
    </w:p>
    <w:bookmarkStart w:id="76" w:name="page77"/>
    <w:bookmarkEnd w:id="76"/>
    <w:p>
      <w:pPr>
        <w:ind w:left="640"/>
        <w:spacing w:after="0" w:line="247" w:lineRule="auto"/>
        <w:rPr>
          <w:sz w:val="20"/>
          <w:szCs w:val="20"/>
          <w:color w:val="auto"/>
        </w:rPr>
      </w:pPr>
      <w:r>
        <w:rPr>
          <w:rFonts w:ascii="Times New Roman" w:cs="Times New Roman" w:eastAsia="Times New Roman" w:hAnsi="Times New Roman"/>
          <w:sz w:val="20"/>
          <w:szCs w:val="20"/>
          <w:color w:val="auto"/>
        </w:rPr>
        <w:t>of such Equity Interests in connection with a merger or consolidation involving the Issuer or such Restricted Subsidiary or any other transaction permitted by this Indenture;</w:t>
      </w:r>
    </w:p>
    <w:p>
      <w:pPr>
        <w:spacing w:after="0" w:line="166" w:lineRule="exact"/>
        <w:rPr>
          <w:sz w:val="20"/>
          <w:szCs w:val="20"/>
          <w:color w:val="auto"/>
        </w:rPr>
      </w:pPr>
    </w:p>
    <w:p>
      <w:pPr>
        <w:jc w:val="both"/>
        <w:ind w:left="640" w:firstLine="1286"/>
        <w:spacing w:after="0" w:line="233" w:lineRule="auto"/>
        <w:tabs>
          <w:tab w:leader="none" w:pos="237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declaration and payment of dividends to holders of any class or series of Disqualified Stock of the Issuer or any Preferred Stock of any Restricted Subsidiary of the Issuer issued in accordance with Section 4.09 or (b) any cash payments due upon conversion of convertible debt securities of the Issuer and any purchase of, or payment under, any bond hedge, capped call or call option and warrant transaction acquired with respect to such convertible debt securities using an amount not greater than the proceeds of such convertible debt securities;</w:t>
      </w:r>
    </w:p>
    <w:p>
      <w:pPr>
        <w:spacing w:after="0" w:line="176"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50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cash, dividends, distributions, advances or other Restricted Payments by the Issuer or any of its Restricted Subsidiaries to allow the payment of cash in lieu of the issuance of fractional units upon (i) the exercise of options or warrants, incentives or other rights to acquire Equity Interests or (ii) the exercise, conversion or exchange of Equity Interests of any such Person;</w:t>
      </w:r>
    </w:p>
    <w:p>
      <w:pPr>
        <w:spacing w:after="0" w:line="173" w:lineRule="exact"/>
        <w:rPr>
          <w:rFonts w:ascii="Times New Roman" w:cs="Times New Roman" w:eastAsia="Times New Roman" w:hAnsi="Times New Roman"/>
          <w:sz w:val="20"/>
          <w:szCs w:val="20"/>
          <w:color w:val="auto"/>
        </w:rPr>
      </w:pPr>
    </w:p>
    <w:p>
      <w:pPr>
        <w:jc w:val="both"/>
        <w:ind w:left="640" w:firstLine="1286"/>
        <w:spacing w:after="0" w:line="230" w:lineRule="auto"/>
        <w:tabs>
          <w:tab w:leader="none" w:pos="251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redemption or other acquisition or retirement for value of Indebtedness that is subordinated or junior in right of payment to the Notes or any Guarantee at a purchase price not greater than (i) 101% of the principal amount of such subordinated or junior Indebtedness in the event of a Change of Control or (ii) 100% of the principal amount of such subordinated or junior Indebtedness in the event of an Asset Sale,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in connection with any change of control offer or prepayment offer required by the terms of such Indebtedness, but only if (a) in the case of a Change of Control, the Issuer has first complied with and fully satisfied its obligations in accordance with Section 4.15, or (b) in the case of an Asset Sale, the Issuer has complied with and fully satisfied its obligations in accordance with Section 4.10;</w:t>
      </w:r>
    </w:p>
    <w:p>
      <w:pPr>
        <w:spacing w:after="0" w:line="176" w:lineRule="exact"/>
        <w:rPr>
          <w:rFonts w:ascii="Times New Roman" w:cs="Times New Roman" w:eastAsia="Times New Roman" w:hAnsi="Times New Roman"/>
          <w:sz w:val="20"/>
          <w:szCs w:val="20"/>
          <w:color w:val="auto"/>
        </w:rPr>
      </w:pPr>
    </w:p>
    <w:p>
      <w:pPr>
        <w:jc w:val="both"/>
        <w:ind w:left="640" w:firstLine="1286"/>
        <w:spacing w:after="0" w:line="242" w:lineRule="auto"/>
        <w:tabs>
          <w:tab w:leader="none" w:pos="262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conveyance of or other disposition or distribution of Equity Interests or Indebtedness of any Unrestricted Subsidiary (or a Restricted Subsidiary that owns no assets other than the Equity Interests of an Unrestricted Subsidiary) other than an Unrestricted Subsidiary the primary assets of which are cash and/or Cash Equivalents;</w:t>
      </w:r>
    </w:p>
    <w:p>
      <w:pPr>
        <w:spacing w:after="0" w:line="170"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44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on the Issuer’s common stock in an amount not to exceed $0.4050 per share per quarter (subject to proportionate adjustment for stock splits, stock dividends or reclassifications of the Issuer’s common stock);</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45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Restricted Payments since the Issue Date which, when combined with the outstanding amount of all other Restricted Payments effected pursuant to this clause (14), does not exceed the greater of (i) $570.0 million and (ii) 5.0% of Adjusted Consolidated Net Tangible Assets (determined at the time of making the Restricted Payment); and</w:t>
      </w:r>
    </w:p>
    <w:p>
      <w:pPr>
        <w:spacing w:after="0" w:line="172" w:lineRule="exact"/>
        <w:rPr>
          <w:rFonts w:ascii="Times New Roman" w:cs="Times New Roman" w:eastAsia="Times New Roman" w:hAnsi="Times New Roman"/>
          <w:sz w:val="20"/>
          <w:szCs w:val="20"/>
          <w:color w:val="auto"/>
        </w:rPr>
      </w:pPr>
    </w:p>
    <w:p>
      <w:pPr>
        <w:jc w:val="both"/>
        <w:ind w:left="640" w:firstLine="1286"/>
        <w:spacing w:after="0" w:line="243" w:lineRule="auto"/>
        <w:tabs>
          <w:tab w:leader="none" w:pos="253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Restricted Payments;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this clause (15), at the time of any such Restricted Payment the Total Leverage Ratio is not greater than 1.25 to 1.00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after giving effect to such Restricted Payment.</w:t>
      </w:r>
    </w:p>
    <w:p>
      <w:pPr>
        <w:spacing w:after="0" w:line="170"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The amount of all Restricted Payments (other than cash) will be the Fair Market Value, on the date of the Restricted Payment, of the Restricted Investment proposed to be made or the asset(s) or securities proposed to be transferred or issued by the Issuer or any of its Restricted Subsidiaries, as the case may be, pursuant to the Restricted Payment, except that the Fair Market Value of any non-cash dividend paid within 60 days after the date of declaration will be determined as of such date of declaration. The Fair Market Value of any Restricted Investment, assets or securities that are required to be valued by this Section 4.07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6" w:right="339" w:bottom="1440" w:gutter="0" w:footer="0" w:header="0"/>
        </w:sectPr>
      </w:pPr>
    </w:p>
    <w:bookmarkStart w:id="77" w:name="page78"/>
    <w:bookmarkEnd w:id="77"/>
    <w:p>
      <w:pPr>
        <w:jc w:val="both"/>
        <w:spacing w:after="0" w:line="255" w:lineRule="auto"/>
        <w:rPr>
          <w:sz w:val="20"/>
          <w:szCs w:val="20"/>
          <w:color w:val="auto"/>
        </w:rPr>
      </w:pPr>
      <w:r>
        <w:rPr>
          <w:rFonts w:ascii="Times New Roman" w:cs="Times New Roman" w:eastAsia="Times New Roman" w:hAnsi="Times New Roman"/>
          <w:sz w:val="18"/>
          <w:szCs w:val="18"/>
          <w:color w:val="auto"/>
        </w:rPr>
        <w:t>will be determined in accordance with the definition of that term. For purposes of determining compliance with this Section 4.07, in the event that a Restricted Payment (or payment or other transaction that, except for being a Permitted Investment or Permitted Payment, would constitute a Restricted Payment) meets the criteria of more than one of the categories of Restricted Payments described in the preceding clauses</w:t>
      </w:r>
    </w:p>
    <w:p>
      <w:pPr>
        <w:spacing w:after="0" w:line="2" w:lineRule="exact"/>
        <w:rPr>
          <w:sz w:val="20"/>
          <w:szCs w:val="20"/>
          <w:color w:val="auto"/>
        </w:rPr>
      </w:pPr>
    </w:p>
    <w:p>
      <w:pPr>
        <w:jc w:val="both"/>
        <w:ind w:firstLine="7"/>
        <w:spacing w:after="0" w:line="229" w:lineRule="auto"/>
        <w:tabs>
          <w:tab w:leader="none" w:pos="28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(15) of Section 4.07(b), or is permitted pursuant to Section 4.07(a) or is a Permitted Investment or Permitted Payment, the Issuer will be permitted to classify (or later classify or reclassify in whole or in part in its sole discretion) such Restricted Payment or other such transaction (or portion thereof) on the date made or later reclassify such Restricted Payment or other such transaction (or portion thereof) in any manner that complies with this Section 4.07. “</w:t>
      </w:r>
      <w:r>
        <w:rPr>
          <w:rFonts w:ascii="Times New Roman" w:cs="Times New Roman" w:eastAsia="Times New Roman" w:hAnsi="Times New Roman"/>
          <w:sz w:val="20"/>
          <w:szCs w:val="20"/>
          <w:i w:val="1"/>
          <w:iCs w:val="1"/>
          <w:color w:val="auto"/>
        </w:rPr>
        <w:t>Permitted Payment</w:t>
      </w:r>
      <w:r>
        <w:rPr>
          <w:rFonts w:ascii="Times New Roman" w:cs="Times New Roman" w:eastAsia="Times New Roman" w:hAnsi="Times New Roman"/>
          <w:sz w:val="20"/>
          <w:szCs w:val="20"/>
          <w:color w:val="auto"/>
        </w:rPr>
        <w:t>” means any transaction expressly excluded from clauses (1), (2) and (3) of Section 4.07(a).</w:t>
      </w:r>
    </w:p>
    <w:p>
      <w:pPr>
        <w:spacing w:after="0" w:line="174"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For purposes of this Section 4.07 and the definition of “Permitted Investments,” a contribution, sale or incurrence will be deemed to be “substantially concurrent” if the related Restricted Payment or purchase, repurchase, redemption, defeasance, satisfaction and discharge, retirement or other acquisition for value or payment of principal or acquisition of assets or Capital Stock occurs no later than 180 days after such contribution, sale or incurrence.</w:t>
      </w:r>
    </w:p>
    <w:p>
      <w:pPr>
        <w:spacing w:after="0" w:line="18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4.08</w:t>
      </w:r>
      <w:r>
        <w:rPr>
          <w:sz w:val="20"/>
          <w:szCs w:val="20"/>
          <w:color w:val="auto"/>
        </w:rPr>
        <w:tab/>
      </w:r>
      <w:r>
        <w:rPr>
          <w:rFonts w:ascii="Times New Roman" w:cs="Times New Roman" w:eastAsia="Times New Roman" w:hAnsi="Times New Roman"/>
          <w:sz w:val="18"/>
          <w:szCs w:val="18"/>
          <w:i w:val="1"/>
          <w:iCs w:val="1"/>
          <w:color w:val="auto"/>
        </w:rPr>
        <w:t>Dividend and Other Payment Restrictions Affecting Restricted Subsidiaries.</w:t>
      </w:r>
    </w:p>
    <w:p>
      <w:pPr>
        <w:spacing w:after="0" w:line="198" w:lineRule="exact"/>
        <w:rPr>
          <w:sz w:val="20"/>
          <w:szCs w:val="20"/>
          <w:color w:val="auto"/>
        </w:rPr>
      </w:pPr>
    </w:p>
    <w:p>
      <w:pPr>
        <w:ind w:firstLine="1286"/>
        <w:spacing w:after="0" w:line="247" w:lineRule="auto"/>
        <w:tabs>
          <w:tab w:leader="none" w:pos="169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166" w:lineRule="exact"/>
        <w:rPr>
          <w:rFonts w:ascii="Times New Roman" w:cs="Times New Roman" w:eastAsia="Times New Roman" w:hAnsi="Times New Roman"/>
          <w:sz w:val="20"/>
          <w:szCs w:val="20"/>
          <w:color w:val="auto"/>
        </w:rPr>
      </w:pPr>
    </w:p>
    <w:p>
      <w:pPr>
        <w:jc w:val="both"/>
        <w:ind w:left="640" w:firstLine="1286"/>
        <w:spacing w:after="0" w:line="230" w:lineRule="auto"/>
        <w:tabs>
          <w:tab w:leader="none" w:pos="2505"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dividends or make any other distributions on its Capital Stock to the Issuer or any of its Restricted Subsidiaries, or pay any indebtedness owed to the Issuer or any of its Restricted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priority that any series of Preferred Stock of a Restricted Subsidiary has in receiving dividends or liquidating distributions before dividends or liquidating distributions are paid in respect of common stock of such Restricted Subsidiary shall not constitute a restriction on the ability to pay or make dividends or distributions on Capital Stock for purposes of this Section 4.08 and (ii) the subordination of Indebtedness owed to the Issuer or any Restricted Subsidiary to other Indebtedness incurred by any Restricted Subsidiary shall not be deemed a restriction on the ability to pay Indebtedness;</w:t>
      </w:r>
    </w:p>
    <w:p>
      <w:pPr>
        <w:spacing w:after="0" w:line="176"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52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or advances to the Issuer or any of its Restricted Subsidiaries (it being understood that the subordination of loans or advances made to the Issuer or any Restricted Subsidiary to other Indebtedness incurred by the Issuer or any Restricted Subsidiary shall not be deemed a restriction on the ability to make loans or advances); or</w:t>
      </w:r>
    </w:p>
    <w:p>
      <w:pPr>
        <w:spacing w:after="0" w:line="174"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lease or transfer any of its properties or assets to the Issuer or any of its Restricted Subsidiaries.</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in Section 4.08(a) will not apply to encumbrances or restrictions existing under or by reason of:</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4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agreements governing Existing Indebtedness and the Credit Agreement as in effect on the Issue Date and any amendments, restatements, modifications, renewals, supplements, refundings, replacements or refinancings of those agreements;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encumbrances or restrictions contained in such amendments, restatements, modifications, renewals, supplements,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refundings, replacements or refinancings are not materially more restrictive, taken as a whole, with respect to such dividend and other payment restrictions than those contained in those agreements on the Issue Date, as determined in good faith by the Issuer;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6" w:right="339" w:bottom="1440" w:gutter="0" w:footer="0" w:header="0"/>
        </w:sectPr>
      </w:pPr>
    </w:p>
    <w:bookmarkStart w:id="78" w:name="page79"/>
    <w:bookmarkEnd w:id="78"/>
    <w:p>
      <w:pPr>
        <w:ind w:left="1220" w:hanging="414"/>
        <w:spacing w:after="0"/>
        <w:tabs>
          <w:tab w:leader="none" w:pos="12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Indenture, the Notes and the Guarantees;</w:t>
      </w:r>
    </w:p>
    <w:p>
      <w:pPr>
        <w:spacing w:after="0" w:line="196" w:lineRule="exact"/>
        <w:rPr>
          <w:rFonts w:ascii="Times New Roman" w:cs="Times New Roman" w:eastAsia="Times New Roman" w:hAnsi="Times New Roman"/>
          <w:sz w:val="20"/>
          <w:szCs w:val="20"/>
          <w:color w:val="auto"/>
        </w:rPr>
      </w:pPr>
    </w:p>
    <w:p>
      <w:pPr>
        <w:jc w:val="both"/>
        <w:ind w:left="-480" w:firstLine="1286"/>
        <w:spacing w:after="0" w:line="233" w:lineRule="auto"/>
        <w:tabs>
          <w:tab w:leader="none" w:pos="12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agreements governing other Indebtedness permitted to be incurred under the provisions of Section 4.09 and any amendments, restatements, modifications, renewals, supplements, refundings, replacements or refinancings of those agreements;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encumbrances or restrictions contained therein are not materially more restrictive, taken as a whole, than those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contained in this Indenture, the Notes and the Guarantees or the Credit Agreement as in effect on the Issue Date, as determined in good faith by the Issuer;</w:t>
      </w:r>
    </w:p>
    <w:p>
      <w:pPr>
        <w:spacing w:after="0" w:line="176" w:lineRule="exact"/>
        <w:rPr>
          <w:rFonts w:ascii="Times New Roman" w:cs="Times New Roman" w:eastAsia="Times New Roman" w:hAnsi="Times New Roman"/>
          <w:sz w:val="20"/>
          <w:szCs w:val="20"/>
          <w:color w:val="auto"/>
        </w:rPr>
      </w:pPr>
    </w:p>
    <w:p>
      <w:pPr>
        <w:ind w:left="1220" w:hanging="414"/>
        <w:spacing w:after="0"/>
        <w:tabs>
          <w:tab w:leader="none" w:pos="12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 rule, regulation, order, approval, license, permit or similar restriction;</w:t>
      </w:r>
    </w:p>
    <w:p>
      <w:pPr>
        <w:spacing w:after="0" w:line="196" w:lineRule="exact"/>
        <w:rPr>
          <w:rFonts w:ascii="Times New Roman" w:cs="Times New Roman" w:eastAsia="Times New Roman" w:hAnsi="Times New Roman"/>
          <w:sz w:val="20"/>
          <w:szCs w:val="20"/>
          <w:color w:val="auto"/>
        </w:rPr>
      </w:pPr>
    </w:p>
    <w:p>
      <w:pPr>
        <w:jc w:val="both"/>
        <w:ind w:left="-480" w:firstLine="1286"/>
        <w:spacing w:after="0" w:line="231" w:lineRule="auto"/>
        <w:tabs>
          <w:tab w:leader="none" w:pos="127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instrument governing Indebtedness or Capital Stock or other agreement of a Person acquired (including by merger or consolidation), or the assets of which are acquired, by the Issuer or any of its Restricted Subsidiaries as in effect at the time of such acquisition (except to the extent such Indebtedness or Capital Stock or other agreement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Indebtedness, such Indebtedness was permitted by the terms of this Indenture to be incurred;</w:t>
      </w:r>
    </w:p>
    <w:p>
      <w:pPr>
        <w:spacing w:after="0" w:line="177" w:lineRule="exact"/>
        <w:rPr>
          <w:rFonts w:ascii="Times New Roman" w:cs="Times New Roman" w:eastAsia="Times New Roman" w:hAnsi="Times New Roman"/>
          <w:sz w:val="20"/>
          <w:szCs w:val="20"/>
          <w:color w:val="auto"/>
        </w:rPr>
      </w:pPr>
    </w:p>
    <w:p>
      <w:pPr>
        <w:ind w:left="-480" w:firstLine="1286"/>
        <w:spacing w:after="0" w:line="247" w:lineRule="auto"/>
        <w:tabs>
          <w:tab w:leader="none" w:pos="134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non-assignment provisions in Hydrocarbon purchase and sale or exchange agreements or similar operational agreements or in licenses, easements or leases, in each case, entered into in the ordinary course of business;</w:t>
      </w:r>
    </w:p>
    <w:p>
      <w:pPr>
        <w:spacing w:after="0" w:line="166" w:lineRule="exact"/>
        <w:rPr>
          <w:rFonts w:ascii="Times New Roman" w:cs="Times New Roman" w:eastAsia="Times New Roman" w:hAnsi="Times New Roman"/>
          <w:sz w:val="20"/>
          <w:szCs w:val="20"/>
          <w:color w:val="auto"/>
        </w:rPr>
      </w:pPr>
    </w:p>
    <w:p>
      <w:pPr>
        <w:ind w:left="-480" w:firstLine="1286"/>
        <w:spacing w:after="0" w:line="247" w:lineRule="auto"/>
        <w:tabs>
          <w:tab w:leader="none" w:pos="14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obligations for property acquired in the ordinary course of business and Finance Lease Obligations that impose restrictions on the property purchased or leased of the nature described in clause (3) of Section 4.08(a);</w:t>
      </w:r>
    </w:p>
    <w:p>
      <w:pPr>
        <w:spacing w:after="0" w:line="166" w:lineRule="exact"/>
        <w:rPr>
          <w:rFonts w:ascii="Times New Roman" w:cs="Times New Roman" w:eastAsia="Times New Roman" w:hAnsi="Times New Roman"/>
          <w:sz w:val="20"/>
          <w:szCs w:val="20"/>
          <w:color w:val="auto"/>
        </w:rPr>
      </w:pPr>
    </w:p>
    <w:p>
      <w:pPr>
        <w:ind w:left="-480" w:right="20" w:firstLine="1286"/>
        <w:spacing w:after="0" w:line="247" w:lineRule="auto"/>
        <w:tabs>
          <w:tab w:leader="none" w:pos="133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for the sale or other disposition of a Restricted Subsidiary that restricts distributions by that Restricted Subsidiary pending its sale or other disposition;</w:t>
      </w:r>
    </w:p>
    <w:p>
      <w:pPr>
        <w:spacing w:after="0" w:line="164" w:lineRule="exact"/>
        <w:rPr>
          <w:rFonts w:ascii="Times New Roman" w:cs="Times New Roman" w:eastAsia="Times New Roman" w:hAnsi="Times New Roman"/>
          <w:sz w:val="20"/>
          <w:szCs w:val="20"/>
          <w:color w:val="auto"/>
        </w:rPr>
      </w:pPr>
    </w:p>
    <w:p>
      <w:pPr>
        <w:jc w:val="both"/>
        <w:ind w:left="-480" w:firstLine="1286"/>
        <w:spacing w:after="0" w:line="243" w:lineRule="auto"/>
        <w:tabs>
          <w:tab w:leader="none" w:pos="127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Refinancing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restrictions contained in the agreements governing such Permitted Refinancing Indebtedness are not materially more restrictive, taken as a whole, than those contained in the agreements governing the Indebtedness being refinanced, as determined in good faith by the Issuer;</w:t>
      </w:r>
    </w:p>
    <w:p>
      <w:pPr>
        <w:spacing w:after="0" w:line="169" w:lineRule="exact"/>
        <w:rPr>
          <w:rFonts w:ascii="Times New Roman" w:cs="Times New Roman" w:eastAsia="Times New Roman" w:hAnsi="Times New Roman"/>
          <w:sz w:val="20"/>
          <w:szCs w:val="20"/>
          <w:color w:val="auto"/>
        </w:rPr>
      </w:pPr>
    </w:p>
    <w:p>
      <w:pPr>
        <w:ind w:left="-480" w:firstLine="1286"/>
        <w:spacing w:after="0" w:line="247" w:lineRule="auto"/>
        <w:tabs>
          <w:tab w:leader="none" w:pos="135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permitted to be incurred under the provisions of Section 4.12 that limit the right of the debtor to dispose of the assets subject to such Liens;</w:t>
      </w:r>
    </w:p>
    <w:p>
      <w:pPr>
        <w:spacing w:after="0" w:line="166" w:lineRule="exact"/>
        <w:rPr>
          <w:rFonts w:ascii="Times New Roman" w:cs="Times New Roman" w:eastAsia="Times New Roman" w:hAnsi="Times New Roman"/>
          <w:sz w:val="20"/>
          <w:szCs w:val="20"/>
          <w:color w:val="auto"/>
        </w:rPr>
      </w:pPr>
    </w:p>
    <w:p>
      <w:pPr>
        <w:jc w:val="both"/>
        <w:ind w:left="-480" w:firstLine="1286"/>
        <w:spacing w:after="0" w:line="233" w:lineRule="auto"/>
        <w:tabs>
          <w:tab w:leader="none" w:pos="137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limiting the disposition or distribution of assets or property in joint venture agreements, asset sale agreements, sale-leaseback agreements, stock sale agreements, shareholders’ agreements, partnership agreements and other similar agreements (including agreements entered into in connection with a Restricted Investment) entered into with the approval of the Board of Directors of the Issuer or in the ordinary course of business, which limitation is applicable only to the assets or property that is the subject of such agreements;</w:t>
      </w:r>
    </w:p>
    <w:p>
      <w:pPr>
        <w:spacing w:after="0" w:line="176" w:lineRule="exact"/>
        <w:rPr>
          <w:rFonts w:ascii="Times New Roman" w:cs="Times New Roman" w:eastAsia="Times New Roman" w:hAnsi="Times New Roman"/>
          <w:sz w:val="20"/>
          <w:szCs w:val="20"/>
          <w:color w:val="auto"/>
        </w:rPr>
      </w:pPr>
    </w:p>
    <w:p>
      <w:pPr>
        <w:ind w:left="-480" w:right="380" w:firstLine="1286"/>
        <w:spacing w:after="0" w:line="236" w:lineRule="auto"/>
        <w:tabs>
          <w:tab w:leader="none" w:pos="13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relating to any property or assets acquired after the Issue Date, so long as such encumbrance or restriction relates only to the property or assets so acquired and is not and was not created in anticipation of such acquisition;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0120"/>
          </w:cols>
          <w:pgMar w:left="1440" w:top="1396" w:right="339" w:bottom="1440" w:gutter="0" w:footer="0" w:header="0"/>
        </w:sectPr>
      </w:pPr>
    </w:p>
    <w:bookmarkStart w:id="79" w:name="page80"/>
    <w:bookmarkEnd w:id="79"/>
    <w:p>
      <w:pPr>
        <w:spacing w:after="0" w:line="170" w:lineRule="exact"/>
        <w:rPr>
          <w:sz w:val="20"/>
          <w:szCs w:val="20"/>
          <w:color w:val="auto"/>
        </w:rPr>
      </w:pPr>
    </w:p>
    <w:p>
      <w:pPr>
        <w:ind w:left="640" w:firstLine="1286"/>
        <w:spacing w:after="0" w:line="247" w:lineRule="auto"/>
        <w:tabs>
          <w:tab w:leader="none" w:pos="245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or restrictions on cash, Cash Equivalents or other deposits or net worth requirements imposed by customers or lessors under contracts or leases entered into in the ordinary course of business;</w:t>
      </w:r>
    </w:p>
    <w:p>
      <w:pPr>
        <w:spacing w:after="0" w:line="164" w:lineRule="exact"/>
        <w:rPr>
          <w:rFonts w:ascii="Times New Roman" w:cs="Times New Roman" w:eastAsia="Times New Roman" w:hAnsi="Times New Roman"/>
          <w:sz w:val="20"/>
          <w:szCs w:val="20"/>
          <w:color w:val="auto"/>
        </w:rPr>
      </w:pPr>
    </w:p>
    <w:p>
      <w:pPr>
        <w:jc w:val="both"/>
        <w:ind w:left="640" w:firstLine="1286"/>
        <w:spacing w:after="0" w:line="234" w:lineRule="auto"/>
        <w:tabs>
          <w:tab w:leader="none" w:pos="250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Preferred Stock issued by a Restricted Subsidiary of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issuance of such Preferred Stock is permitted pursuant to Section 4.09 and the terms of such Preferred Stock do not expressly restrict the ability of a Restricted Subsidiary of the Issuer to pay dividends or make any other distributions on its Equity Interests (other than requirements to pay dividends or liquidation preferences on such Preferred Stock prior to paying any dividends or making any other distributions on such other Equity Interests);</w:t>
      </w:r>
    </w:p>
    <w:p>
      <w:pPr>
        <w:spacing w:after="0" w:line="173" w:lineRule="exact"/>
        <w:rPr>
          <w:rFonts w:ascii="Times New Roman" w:cs="Times New Roman" w:eastAsia="Times New Roman" w:hAnsi="Times New Roman"/>
          <w:sz w:val="20"/>
          <w:szCs w:val="20"/>
          <w:color w:val="auto"/>
        </w:rPr>
      </w:pPr>
    </w:p>
    <w:p>
      <w:pPr>
        <w:jc w:val="both"/>
        <w:ind w:left="640" w:firstLine="1286"/>
        <w:spacing w:after="0" w:line="253" w:lineRule="auto"/>
        <w:tabs>
          <w:tab w:leader="none" w:pos="24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contained in the terms of any Indebtedness or any agreement pursuant to which such Indebtedness was incurred if (x) either (a) the encumbrance or restriction applies only in the event of a payment default or a default with respect to a financial covenant in such Indebtedness or agreement or (b) any such encumbrance or restriction will not materially affect the Issuer’s ability to make principal or interest payments on the Notes, as determined in good faith by the Issuer and</w:t>
      </w:r>
    </w:p>
    <w:p>
      <w:pPr>
        <w:spacing w:after="0" w:line="2" w:lineRule="exact"/>
        <w:rPr>
          <w:rFonts w:ascii="Times New Roman" w:cs="Times New Roman" w:eastAsia="Times New Roman" w:hAnsi="Times New Roman"/>
          <w:sz w:val="18"/>
          <w:szCs w:val="18"/>
          <w:color w:val="auto"/>
        </w:rPr>
      </w:pPr>
    </w:p>
    <w:p>
      <w:pPr>
        <w:ind w:left="920" w:hanging="274"/>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encumbrance or restriction is not materially more disadvantageous to the Holders than is customary in comparable financings or</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agreements, as determined in good faith by the Issuer;</w:t>
      </w:r>
    </w:p>
    <w:p>
      <w:pPr>
        <w:spacing w:after="0" w:line="174" w:lineRule="exact"/>
        <w:rPr>
          <w:sz w:val="20"/>
          <w:szCs w:val="20"/>
          <w:color w:val="auto"/>
        </w:rPr>
      </w:pPr>
    </w:p>
    <w:p>
      <w:pPr>
        <w:ind w:left="2440" w:hanging="514"/>
        <w:spacing w:after="0"/>
        <w:tabs>
          <w:tab w:leader="none" w:pos="24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permitted from time to time under this Indenture;</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60" w:lineRule="auto"/>
        <w:tabs>
          <w:tab w:leader="none" w:pos="244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encumbrances and restrictions contained in contracts entered into in the ordinary course of business, not relating to any Indebtedness, and that do not, taken as a whole, detract from the value of, or from the ability of the Issuer and its Restricted Subsidiaries to realize the value of, property or assets of the Issuer or any Restricted Subsidiary in any manner material to the Issuer or any Restricted Subsidiary, as determined in good faith by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encumbrances or restrictions will not materially affect the Issuer’s ability to make principal or interest payments on the Notes, as determined in good faith by the Issuer;</w:t>
      </w:r>
    </w:p>
    <w:p>
      <w:pPr>
        <w:spacing w:after="0" w:line="158" w:lineRule="exact"/>
        <w:rPr>
          <w:rFonts w:ascii="Times New Roman" w:cs="Times New Roman" w:eastAsia="Times New Roman" w:hAnsi="Times New Roman"/>
          <w:sz w:val="18"/>
          <w:szCs w:val="18"/>
          <w:color w:val="auto"/>
        </w:rPr>
      </w:pPr>
    </w:p>
    <w:p>
      <w:pPr>
        <w:ind w:left="640" w:firstLine="1286"/>
        <w:spacing w:after="0" w:line="261" w:lineRule="auto"/>
        <w:tabs>
          <w:tab w:leader="none" w:pos="251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encumbrances and restrictions contained in agreements of the types described in the definition of “Permitted Business Investments”; or</w:t>
      </w:r>
    </w:p>
    <w:p>
      <w:pPr>
        <w:spacing w:after="0" w:line="152" w:lineRule="exact"/>
        <w:rPr>
          <w:rFonts w:ascii="Times New Roman" w:cs="Times New Roman" w:eastAsia="Times New Roman" w:hAnsi="Times New Roman"/>
          <w:sz w:val="20"/>
          <w:szCs w:val="20"/>
          <w:color w:val="auto"/>
        </w:rPr>
      </w:pPr>
    </w:p>
    <w:p>
      <w:pPr>
        <w:ind w:left="2440" w:hanging="514"/>
        <w:spacing w:after="0"/>
        <w:tabs>
          <w:tab w:leader="none" w:pos="24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Investment.</w:t>
      </w:r>
    </w:p>
    <w:p>
      <w:pPr>
        <w:spacing w:after="0" w:line="196"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accessions and contractual rights relating primarily thereto and all proceeds thereof (including dividends, distributions and increases in respect thereof).</w:t>
      </w:r>
    </w:p>
    <w:p>
      <w:pPr>
        <w:spacing w:after="0" w:line="17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4.09</w:t>
      </w:r>
      <w:r>
        <w:rPr>
          <w:sz w:val="20"/>
          <w:szCs w:val="20"/>
          <w:color w:val="auto"/>
        </w:rPr>
        <w:tab/>
      </w:r>
      <w:r>
        <w:rPr>
          <w:rFonts w:ascii="Times New Roman" w:cs="Times New Roman" w:eastAsia="Times New Roman" w:hAnsi="Times New Roman"/>
          <w:sz w:val="18"/>
          <w:szCs w:val="18"/>
          <w:i w:val="1"/>
          <w:iCs w:val="1"/>
          <w:color w:val="auto"/>
        </w:rPr>
        <w:t>Incurrence of Indebtedness and Issuance of Preferred Stock.</w:t>
      </w:r>
    </w:p>
    <w:p>
      <w:pPr>
        <w:spacing w:after="0" w:line="198" w:lineRule="exact"/>
        <w:rPr>
          <w:sz w:val="20"/>
          <w:szCs w:val="20"/>
          <w:color w:val="auto"/>
        </w:rPr>
      </w:pPr>
    </w:p>
    <w:p>
      <w:pPr>
        <w:jc w:val="both"/>
        <w:ind w:firstLine="1286"/>
        <w:spacing w:after="0" w:line="231" w:lineRule="auto"/>
        <w:tabs>
          <w:tab w:leader="none" w:pos="175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Times New Roman" w:cs="Times New Roman" w:eastAsia="Times New Roman" w:hAnsi="Times New Roman"/>
          <w:sz w:val="20"/>
          <w:szCs w:val="20"/>
          <w:i w:val="1"/>
          <w:iCs w:val="1"/>
          <w:color w:val="auto"/>
        </w:rPr>
        <w:t>incur</w:t>
      </w:r>
      <w:r>
        <w:rPr>
          <w:rFonts w:ascii="Times New Roman" w:cs="Times New Roman" w:eastAsia="Times New Roman" w:hAnsi="Times New Roman"/>
          <w:sz w:val="20"/>
          <w:szCs w:val="20"/>
          <w:color w:val="auto"/>
        </w:rPr>
        <w:t xml:space="preserve">”) any Indebtedness (including Acquired Debt), and the Issuer will not issue any Disqualified Stock and will not permit any of its Restricted Subsidiaries to issue any Preferred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Issuer may incur Indebtedness (including Acquired Debt) or issue Disqualified Stock, and any Restricted Subsidiary may incur Indebtedness (including Acquired Debt) or issue Preferred Stock, if the Fixed Charge Coverage Ratio for the Issuer’s most recently ended four full fiscal quarters for which internal financial statements are available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immediately preceding the date on which such additional Indebtedness is incurred or such Disqualified Stock or such Preferred Stock is issued, as the case may be, would have been at least 2.0 to 1.0, determined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(including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application of the net proceeds therefrom), as if the additional Indebtedness had been incurred or the Disqualified Stock or the Preferred Stock had been issued, as the case may be, at the beginning of such four-quarter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Indebtedness (including Acquired Debt) that may be incurred and Preferred Stock that may be issued by Restricted Subsidiaries that are not Guarantors, in each case, in reliance on the Fixed Charge Coverage Ratio test set forth in this Section 4.09(a) shall not exceed the greater of (i) $570.0 million and (ii) 5% of Adjusted Consolidated Net Tangible Assets determined on the date of such incurrence or issuance.</w:t>
      </w:r>
    </w:p>
    <w:p>
      <w:pPr>
        <w:spacing w:after="0" w:line="176" w:lineRule="exact"/>
        <w:rPr>
          <w:sz w:val="20"/>
          <w:szCs w:val="20"/>
          <w:color w:val="auto"/>
        </w:rPr>
      </w:pPr>
    </w:p>
    <w:p>
      <w:pPr>
        <w:ind w:firstLine="1286"/>
        <w:spacing w:after="0" w:line="247" w:lineRule="auto"/>
        <w:tabs>
          <w:tab w:leader="none" w:pos="170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4.09(a) will not prohibit the incurrence of any of the following items of Indebtedness or issuances of Disqualified Stock or Preferred Stock, as applicable (collectively, “</w:t>
      </w:r>
      <w:r>
        <w:rPr>
          <w:rFonts w:ascii="Times New Roman" w:cs="Times New Roman" w:eastAsia="Times New Roman" w:hAnsi="Times New Roman"/>
          <w:sz w:val="20"/>
          <w:szCs w:val="20"/>
          <w:i w:val="1"/>
          <w:iCs w:val="1"/>
          <w:color w:val="auto"/>
        </w:rPr>
        <w:t>Permitted Debt</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353"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any Restricted Subsidiary (whether as borrower or guarantor) of Indebtedness and letters of credit under one or more Credit Facilities in an aggregate principal amount at any one time outstanding under this clause (1) (with letters of credit being deemed to have a principal amount equal to the maximum potential liability of the Issuer and its Restricted Subsidiaries thereunder) not to exceed the greatest of (i) $1.5 billion, (ii) the Borrowing Base and (iii) 30.0% of Adjusted Consolidated Net Tangible Assets determined on the date of such incurrence;</w:t>
      </w:r>
    </w:p>
    <w:p>
      <w:pPr>
        <w:spacing w:after="0" w:line="17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and its Restricted Subsidiaries of the Existing Indebtedness;</w:t>
      </w:r>
    </w:p>
    <w:p>
      <w:pPr>
        <w:spacing w:after="0" w:line="196" w:lineRule="exact"/>
        <w:rPr>
          <w:rFonts w:ascii="Times New Roman" w:cs="Times New Roman" w:eastAsia="Times New Roman" w:hAnsi="Times New Roman"/>
          <w:sz w:val="20"/>
          <w:szCs w:val="20"/>
          <w:color w:val="auto"/>
        </w:rPr>
      </w:pPr>
    </w:p>
    <w:p>
      <w:pPr>
        <w:ind w:left="640" w:firstLine="1286"/>
        <w:spacing w:after="0" w:line="247" w:lineRule="auto"/>
        <w:tabs>
          <w:tab w:leader="none" w:pos="2357"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and the Guarantors of Indebtedness represented by (a) the Initial Notes issued on the Issue Date and (b) any Guarantees of the Initial Notes issued on the Issue Date;</w:t>
      </w:r>
    </w:p>
    <w:p>
      <w:pPr>
        <w:spacing w:after="0" w:line="166" w:lineRule="exact"/>
        <w:rPr>
          <w:rFonts w:ascii="Times New Roman" w:cs="Times New Roman" w:eastAsia="Times New Roman" w:hAnsi="Times New Roman"/>
          <w:sz w:val="20"/>
          <w:szCs w:val="20"/>
          <w:color w:val="auto"/>
        </w:rPr>
      </w:pPr>
    </w:p>
    <w:p>
      <w:pPr>
        <w:jc w:val="both"/>
        <w:ind w:left="640" w:firstLine="1286"/>
        <w:spacing w:after="0" w:line="256" w:lineRule="auto"/>
        <w:tabs>
          <w:tab w:leader="none" w:pos="23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(x) in connection with Sale and Leaseback Transactions, or (y) represented by Finance Lease Obligations, mortgage financings or purchase money obligations or other Indebtedness that in the case of this clause (y)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(together with improvements, additions, accessions and contractual rights relating primarily thereto), and any Permitted Refinancing Indebtedness incurred to renew, refund, refinance, replace, defease or discharge any Indebtedness incurred pursuant to this clause (4), in an aggregate principal amount, when taken together with the outstanding amount of all other Indebtedness or Permitted Refinancing Indebtedness incurred pursuant to this clause (4), not to exceed the greater of (a) $570.0 million and (b) 5.0% of Adjusted Consolidated Net Tangible Assets determined at the date of such incurrence;</w:t>
      </w:r>
    </w:p>
    <w:p>
      <w:pPr>
        <w:spacing w:after="0" w:line="158" w:lineRule="exact"/>
        <w:rPr>
          <w:rFonts w:ascii="Times New Roman" w:cs="Times New Roman" w:eastAsia="Times New Roman" w:hAnsi="Times New Roman"/>
          <w:sz w:val="18"/>
          <w:szCs w:val="18"/>
          <w:color w:val="auto"/>
        </w:rPr>
      </w:pPr>
    </w:p>
    <w:p>
      <w:pPr>
        <w:jc w:val="both"/>
        <w:ind w:left="640" w:firstLine="1286"/>
        <w:spacing w:after="0" w:line="236" w:lineRule="auto"/>
        <w:tabs>
          <w:tab w:leader="none" w:pos="246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or Disqualified Stock or Preferred Stock that was permitted by this Indenture to be incurred under Section 4.09(a) or clause (2), (3), (5) or (15) of this Section 4.09(b);</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96" w:right="339" w:bottom="1440" w:gutter="0" w:footer="0" w:header="0"/>
        </w:sectPr>
      </w:pPr>
    </w:p>
    <w:bookmarkStart w:id="81" w:name="page82"/>
    <w:bookmarkEnd w:id="81"/>
    <w:p>
      <w:pPr>
        <w:ind w:firstLine="1286"/>
        <w:spacing w:after="0" w:line="247" w:lineRule="auto"/>
        <w:tabs>
          <w:tab w:leader="none" w:pos="170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the Issuer or any of its Restricted Subsidiaries of intercompany Indebtedness between or among the Issuer and any of its Restricted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w:t>
      </w:r>
    </w:p>
    <w:p>
      <w:pPr>
        <w:spacing w:after="0" w:line="166" w:lineRule="exact"/>
        <w:rPr>
          <w:rFonts w:ascii="Times New Roman" w:cs="Times New Roman" w:eastAsia="Times New Roman" w:hAnsi="Times New Roman"/>
          <w:sz w:val="20"/>
          <w:szCs w:val="20"/>
          <w:color w:val="auto"/>
        </w:rPr>
      </w:pPr>
    </w:p>
    <w:p>
      <w:pPr>
        <w:jc w:val="both"/>
        <w:ind w:left="640" w:firstLine="1285"/>
        <w:spacing w:after="0" w:line="242" w:lineRule="auto"/>
        <w:tabs>
          <w:tab w:leader="none" w:pos="244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Issuer or any Guarantor is the obligor on such Indebtedness and the payee is not the Issuer or a Guarantor, such Indebtedness must be unsecured and expressly subordinated to the prior payment in full in cash of all Obligations then due with respect to the Notes, in the case of the Issuer, or the Guarantee, in the case of a Guarantor; and</w:t>
      </w:r>
    </w:p>
    <w:p>
      <w:pPr>
        <w:spacing w:after="0" w:line="170" w:lineRule="exact"/>
        <w:rPr>
          <w:rFonts w:ascii="Times New Roman" w:cs="Times New Roman" w:eastAsia="Times New Roman" w:hAnsi="Times New Roman"/>
          <w:sz w:val="20"/>
          <w:szCs w:val="20"/>
          <w:color w:val="auto"/>
        </w:rPr>
      </w:pPr>
    </w:p>
    <w:p>
      <w:pPr>
        <w:jc w:val="both"/>
        <w:ind w:left="640" w:firstLine="1285"/>
        <w:spacing w:after="0" w:line="236" w:lineRule="auto"/>
        <w:tabs>
          <w:tab w:leader="none" w:pos="244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subsequent issuance or transfer of Equity Interests that results in any such Indebtedness being held by a Person other than the Issuer or a Restricted Subsidiary of the Issuer and (ii) any sale or other transfer of any such Indebtedness to a Person that is not either the Issuer or a Restricted Subsidiary of the Issuer,</w:t>
      </w:r>
    </w:p>
    <w:p>
      <w:pPr>
        <w:spacing w:after="0" w:line="17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will be deemed, in each case, to constitute an incurrence of such Indebtedness by the Issuer or such Restricted Subsidiary, as the case may be, that was not permitted by this clause (6);</w:t>
      </w:r>
    </w:p>
    <w:p>
      <w:pPr>
        <w:spacing w:after="0" w:line="166" w:lineRule="exact"/>
        <w:rPr>
          <w:sz w:val="20"/>
          <w:szCs w:val="20"/>
          <w:color w:val="auto"/>
        </w:rPr>
      </w:pPr>
    </w:p>
    <w:p>
      <w:pPr>
        <w:ind w:firstLine="1286"/>
        <w:spacing w:after="0" w:line="247" w:lineRule="auto"/>
        <w:tabs>
          <w:tab w:leader="none" w:pos="172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by any of the Issuer’s Restricted Subsidiaries to the Issuer or to any of its Restricted Subsidiaries of any Preferred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w:t>
      </w:r>
    </w:p>
    <w:p>
      <w:pPr>
        <w:spacing w:after="0" w:line="179" w:lineRule="exact"/>
        <w:rPr>
          <w:rFonts w:ascii="Times New Roman" w:cs="Times New Roman" w:eastAsia="Times New Roman" w:hAnsi="Times New Roman"/>
          <w:sz w:val="20"/>
          <w:szCs w:val="20"/>
          <w:color w:val="auto"/>
        </w:rPr>
      </w:pPr>
    </w:p>
    <w:p>
      <w:pPr>
        <w:ind w:left="640" w:firstLine="1285"/>
        <w:spacing w:after="0" w:line="247" w:lineRule="auto"/>
        <w:tabs>
          <w:tab w:leader="none" w:pos="2462"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subsequent issuance or transfer of Equity Interests that results in any such Preferred Stock being held by a Person other than the Issuer or a Restricted Subsidiary of the Issuer; and</w:t>
      </w:r>
    </w:p>
    <w:p>
      <w:pPr>
        <w:spacing w:after="0" w:line="166" w:lineRule="exact"/>
        <w:rPr>
          <w:rFonts w:ascii="Times New Roman" w:cs="Times New Roman" w:eastAsia="Times New Roman" w:hAnsi="Times New Roman"/>
          <w:sz w:val="20"/>
          <w:szCs w:val="20"/>
          <w:color w:val="auto"/>
        </w:rPr>
      </w:pPr>
    </w:p>
    <w:p>
      <w:pPr>
        <w:ind w:left="640" w:firstLine="1285"/>
        <w:spacing w:after="0" w:line="247" w:lineRule="auto"/>
        <w:tabs>
          <w:tab w:leader="none" w:pos="2488"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other transfer of any such Preferred Stock to a Person that is not either the Issuer or a Restricted Subsidiary of the Issuer,</w:t>
      </w:r>
    </w:p>
    <w:p>
      <w:pPr>
        <w:spacing w:after="0" w:line="16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will be deemed, in each case, to constitute an issuance of such Preferred Stock by such Restricted Subsidiary that was not permitted by this clause (7);</w:t>
      </w:r>
    </w:p>
    <w:p>
      <w:pPr>
        <w:spacing w:after="0" w:line="166" w:lineRule="exact"/>
        <w:rPr>
          <w:sz w:val="20"/>
          <w:szCs w:val="20"/>
          <w:color w:val="auto"/>
        </w:rPr>
      </w:pPr>
    </w:p>
    <w:p>
      <w:pPr>
        <w:ind w:left="1700" w:hanging="414"/>
        <w:spacing w:after="0"/>
        <w:tabs>
          <w:tab w:leader="none" w:pos="17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any of its Restricted Subsidiaries of Hedging Obligations;</w:t>
      </w:r>
    </w:p>
    <w:p>
      <w:pPr>
        <w:spacing w:after="0" w:line="196" w:lineRule="exact"/>
        <w:rPr>
          <w:rFonts w:ascii="Times New Roman" w:cs="Times New Roman" w:eastAsia="Times New Roman" w:hAnsi="Times New Roman"/>
          <w:sz w:val="20"/>
          <w:szCs w:val="20"/>
          <w:color w:val="auto"/>
        </w:rPr>
      </w:pPr>
    </w:p>
    <w:p>
      <w:pPr>
        <w:jc w:val="both"/>
        <w:ind w:firstLine="1286"/>
        <w:spacing w:after="0" w:line="231" w:lineRule="auto"/>
        <w:tabs>
          <w:tab w:leader="none" w:pos="174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 by the Issuer or any of the Guarantors of Indebtedness of the Issuer or a Restricted Subsidiary of the Issuer to the extent that the guaranteed Indebtedness was permitted to be incurred by another provision of this Section 4.09;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the Indebtedness being guaranteed is subordinated to or</w:t>
      </w:r>
      <w:r>
        <w:rPr>
          <w:rFonts w:ascii="Times New Roman" w:cs="Times New Roman" w:eastAsia="Times New Roman" w:hAnsi="Times New Roman"/>
          <w:sz w:val="20"/>
          <w:szCs w:val="20"/>
          <w:i w:val="1"/>
          <w:iCs w:val="1"/>
          <w:color w:val="auto"/>
        </w:rPr>
        <w:t xml:space="preserve"> pari passu </w:t>
      </w:r>
      <w:r>
        <w:rPr>
          <w:rFonts w:ascii="Times New Roman" w:cs="Times New Roman" w:eastAsia="Times New Roman" w:hAnsi="Times New Roman"/>
          <w:sz w:val="20"/>
          <w:szCs w:val="20"/>
          <w:color w:val="auto"/>
        </w:rPr>
        <w:t>with the Notes, then the guarantee must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subordinated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as applicable, to the same extent as the Indebtedness guaranteed, and if the guarantee is by a Restricted Subsidiary that is not a Guarantor, the Indebtedness guaranteed could have otherwise been incurred by such Restricted Subsidiary under this Section 4.09;</w:t>
      </w:r>
    </w:p>
    <w:p>
      <w:pPr>
        <w:spacing w:after="0" w:line="177" w:lineRule="exact"/>
        <w:rPr>
          <w:rFonts w:ascii="Times New Roman" w:cs="Times New Roman" w:eastAsia="Times New Roman" w:hAnsi="Times New Roman"/>
          <w:sz w:val="20"/>
          <w:szCs w:val="20"/>
          <w:color w:val="auto"/>
        </w:rPr>
      </w:pPr>
    </w:p>
    <w:p>
      <w:pPr>
        <w:jc w:val="both"/>
        <w:ind w:firstLine="1286"/>
        <w:spacing w:after="0" w:line="233" w:lineRule="auto"/>
        <w:tabs>
          <w:tab w:leader="none" w:pos="187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any of its Restricted Subsidiaries of Indebtedness in respect of self-insurance obligations or bid, plugging and abandonment, appeal, reimbursement, performance, surety and similar bonds and completion guarantees issued or provided by, or for the account of, the Issuer or a Restricted Subsidiary in the ordinary course of business and any guarantees or obligations with respect to letters of credit functioning as or supporting any of the foregoing bonds or obligations and workers’ compensation claims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0600"/>
          </w:cols>
          <w:pgMar w:left="960" w:top="1396" w:right="339" w:bottom="1440" w:gutter="0" w:footer="0" w:header="0"/>
        </w:sectPr>
      </w:pPr>
    </w:p>
    <w:bookmarkStart w:id="82" w:name="page83"/>
    <w:bookmarkEnd w:id="82"/>
    <w:p>
      <w:pPr>
        <w:jc w:val="both"/>
        <w:ind w:left="640" w:firstLine="1286"/>
        <w:spacing w:after="0" w:line="236" w:lineRule="auto"/>
        <w:tabs>
          <w:tab w:leader="none" w:pos="245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174" w:lineRule="exact"/>
        <w:rPr>
          <w:rFonts w:ascii="Times New Roman" w:cs="Times New Roman" w:eastAsia="Times New Roman" w:hAnsi="Times New Roman"/>
          <w:sz w:val="20"/>
          <w:szCs w:val="20"/>
          <w:color w:val="auto"/>
        </w:rPr>
      </w:pPr>
    </w:p>
    <w:p>
      <w:pPr>
        <w:ind w:left="640" w:firstLine="1286"/>
        <w:spacing w:after="0" w:line="261" w:lineRule="auto"/>
        <w:tabs>
          <w:tab w:leader="none" w:pos="24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any of its Restricted Subsidiaries of in-kind obligations relating to net oil, natural gas liquid or natural gas balancing positions arising in the ordinary course of business;</w:t>
      </w:r>
    </w:p>
    <w:p>
      <w:pPr>
        <w:spacing w:after="0" w:line="152" w:lineRule="exact"/>
        <w:rPr>
          <w:rFonts w:ascii="Times New Roman" w:cs="Times New Roman" w:eastAsia="Times New Roman" w:hAnsi="Times New Roman"/>
          <w:sz w:val="20"/>
          <w:szCs w:val="20"/>
          <w:color w:val="auto"/>
        </w:rPr>
      </w:pPr>
    </w:p>
    <w:p>
      <w:pPr>
        <w:jc w:val="both"/>
        <w:ind w:left="640" w:firstLine="1286"/>
        <w:spacing w:after="0" w:line="231" w:lineRule="auto"/>
        <w:tabs>
          <w:tab w:leader="none" w:pos="245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of any obligation arising from agreements of the Issuer or any Restricted Subsidiary of the Issuer providing for indemnification, guarantees (other than guarantees of Indebtedness), adjustment of purchase price, holdbacks, earn outs or similar obligations, in each case, incurred or assumed in connection with the disposition or acquisition of any business, assets or Capital Stock of a Restricted Subsidiary in a transaction permitted by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obligation is not reflected on the face of the balance sheet of the Issuer or any Restricted Subsidiary;</w:t>
      </w:r>
    </w:p>
    <w:p>
      <w:pPr>
        <w:spacing w:after="0" w:line="172" w:lineRule="exact"/>
        <w:rPr>
          <w:rFonts w:ascii="Times New Roman" w:cs="Times New Roman" w:eastAsia="Times New Roman" w:hAnsi="Times New Roman"/>
          <w:sz w:val="20"/>
          <w:szCs w:val="20"/>
          <w:color w:val="auto"/>
        </w:rPr>
      </w:pPr>
    </w:p>
    <w:p>
      <w:pPr>
        <w:jc w:val="both"/>
        <w:ind w:left="640" w:firstLine="1286"/>
        <w:spacing w:after="0" w:line="242" w:lineRule="auto"/>
        <w:tabs>
          <w:tab w:leader="none" w:pos="24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 of (or a guarantee limited in recourse solely to) Equity Interests in an Unrestricted Subsidiary or Joint Venture held by the Issuer or a Restricted Subsidiary to secure Indebtedness of such Unrestricted Subsidiary or Joint Venture and solely to the extent such Indebtedness constitutes Non-Recourse Debt;</w:t>
      </w:r>
    </w:p>
    <w:p>
      <w:pPr>
        <w:spacing w:after="0" w:line="170" w:lineRule="exact"/>
        <w:rPr>
          <w:rFonts w:ascii="Times New Roman" w:cs="Times New Roman" w:eastAsia="Times New Roman" w:hAnsi="Times New Roman"/>
          <w:sz w:val="20"/>
          <w:szCs w:val="20"/>
          <w:color w:val="auto"/>
        </w:rPr>
      </w:pPr>
    </w:p>
    <w:p>
      <w:pPr>
        <w:ind w:left="2440" w:hanging="514"/>
        <w:spacing w:after="0"/>
        <w:tabs>
          <w:tab w:leader="none" w:pos="24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its Restricted Subsidiaries of Permitted Acquisition Indebtedness;</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59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its Restricted Subsidiaries of Indebtedness consisting of the financing of insurance premiums in customary amounts consistent with the operations and business of the Issuer and the Restricted Subsidiaries; and</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4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Issuer or any Restricted Subsidiary of additional Indebtedness or the issuance by the Issuer of any Disqualified Stock or by any Restricted Subsidiary of Preferred Stock in an aggregate principal amount, when taken together with the outstanding amount of all other Indebtedness incurred or Disqualified Stock or Preferred Stock issued pursuant to this clause (17), not to exceed the greater of (i) $570.0 million and (ii) 5.0% of Adjusted Consolidated Net Tangible Assets determined on the date of such incurrence or issuance.</w:t>
      </w:r>
    </w:p>
    <w:p>
      <w:pPr>
        <w:spacing w:after="0" w:line="176"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 xml:space="preserve">Indebtedness permitted by this Section 4.09 need not be permitted solely by reference to one provision permitting such Indebtedness or Disqualified Stock or Preferred Stock but may be permitted in part by one such provision and in part by one or more other provisions of this Section 4.09. For purposes of determining compliance with this Section 4.09, in the event that an item of Indebtedness or Disqualified Stock or Preferred Stock meets the criteria of more than one of the categories of Permitted Debt described in clauses (1) through (17) of Section 4.09(b), or is entitled to be incurred pursuant to Section 4.09(a), the Issuer will be permitted to divide, classify and reclassify such item of Indebtedness or Disqualified Stock or Preferred Stock on the date of its incurrence or issuance, or later redivide or reclassify all or a portion of such item of Indebtedness or Disqualified Stock or Preferred Stock, in any manner (including by dividing and classifying such item of Indebtedness or Disqualified Stock or Preferred Stock in more than one type of Indebtedness or Disqualified Stock or Preferred Stock permitted under this Section 4.09) that complies with this Section 4.09;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Indebtedness outstanding under the Credit Agreement on the Issue Date shall be considered incurred under clause (1) of Section 4.09(b) and may not be reclassified.</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the event an item of Indebtedness, Disqualified Stock or Preferred Stock (or any portion thereof)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96" w:right="339" w:bottom="1440" w:gutter="0" w:footer="0" w:header="0"/>
        </w:sectPr>
      </w:pPr>
    </w:p>
    <w:bookmarkStart w:id="83" w:name="page84"/>
    <w:bookmarkEnd w:id="83"/>
    <w:p>
      <w:pPr>
        <w:jc w:val="both"/>
        <w:spacing w:after="0" w:line="230" w:lineRule="auto"/>
        <w:rPr>
          <w:sz w:val="20"/>
          <w:szCs w:val="20"/>
          <w:color w:val="auto"/>
        </w:rPr>
      </w:pPr>
      <w:r>
        <w:rPr>
          <w:rFonts w:ascii="Times New Roman" w:cs="Times New Roman" w:eastAsia="Times New Roman" w:hAnsi="Times New Roman"/>
          <w:sz w:val="20"/>
          <w:szCs w:val="20"/>
          <w:color w:val="auto"/>
        </w:rPr>
        <w:t>is incurred or issued pursuant to Section 4.09(b) (other than Section 4.09(b)(15)) on the same date that an item of Indebtedness, Disqualified Stock or Preferred Stock (or any portion thereof) is incurred or issued under Section 4.09(a) or 4.09(b)(15) above, then the Fixed Charge Coverage Ratio will be calculated with respect to such incurrence or issuance under Section 4.09(a) or 4.09(b)(15) without regard to any incurrence or issuance under Section 4.09(b) (other than with respect to any incurrence or issuance under Section 4.09(b)(15)). Unless the Issuer elects otherwise, the incurrence or issuance of Indebtedness, Disqualified Stock or Preferred Stock will be deemed incurred or issued first under Section 4.09(a) or 4.09(b)(15) to the extent permitted, with the balance incurred or issued under Section 4.09(b) (other than pursuant to Section 4.09(b)(15)).</w:t>
      </w:r>
    </w:p>
    <w:p>
      <w:pPr>
        <w:spacing w:after="0" w:line="176"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 xml:space="preserve">If Indebtedness originally incurred in reliance upon a financial ratio or metric is being refinanced and such refinancing would cause the maximum amount of Indebtedness thereunder to be exceeded at such time, then such refinancing will nevertheless be permitted thereunder and such additional Indebtedness will be deemed to have been incurred under the applicable clause so long as the principal amount of such additional Indebtedness does not exceed the principal amount of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of fees, underwriting discounts, accrued and unpaid interest, premiums and other costs and expenses incurred in connection with such refinancing.</w:t>
      </w:r>
    </w:p>
    <w:p>
      <w:pPr>
        <w:spacing w:after="0" w:line="172"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 xml:space="preserve">The dollar equivalent principal amount of any Indebtedness denominated in a foreign currency and incurred pursuant to any dollar-denominated restriction on the incurrence of Indebtedness shall be calculated based on the relevant exchange rates in effect at the time of incurrence, in the case of term Indebtedness, or first committed, in the case of revolving credit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77"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Notwithstanding any other provision of this Section 4.09, the maximum amount of Indebtedness that the Issuer and the Restricted Subsidiaries may incur pursuant to this Section 4.09 shall not be deemed to be exceeded solely as a result of fluctuations in the exchange rates of currencies. The principal amount of any Indebtedness incurred to refinance other Indebtedness, if incurred in a different currency from the Indebtedness being refinanced, shall be calculated based on the currency exchange rate applicable to the currencies in which such Permitted Refinancing Indebtedness is denominated that is in effect on the date of such refinancing.</w:t>
      </w:r>
    </w:p>
    <w:p>
      <w:pPr>
        <w:spacing w:after="0" w:line="176" w:lineRule="exact"/>
        <w:rPr>
          <w:sz w:val="20"/>
          <w:szCs w:val="20"/>
          <w:color w:val="auto"/>
        </w:rPr>
      </w:pPr>
    </w:p>
    <w:p>
      <w:pPr>
        <w:jc w:val="both"/>
        <w:ind w:firstLine="640"/>
        <w:spacing w:after="0" w:line="227" w:lineRule="auto"/>
        <w:rPr>
          <w:sz w:val="20"/>
          <w:szCs w:val="20"/>
          <w:color w:val="auto"/>
        </w:rPr>
      </w:pPr>
      <w:r>
        <w:rPr>
          <w:rFonts w:ascii="Times New Roman" w:cs="Times New Roman" w:eastAsia="Times New Roman" w:hAnsi="Times New Roman"/>
          <w:sz w:val="20"/>
          <w:szCs w:val="20"/>
          <w:color w:val="auto"/>
        </w:rPr>
        <w:t xml:space="preserve">The accrual of interest or Preferred Stock dividends, the accretion or amortization of original issue discount, the payment of interest on any Indebtedness or on the Notes in the form of additional Indebtedness with the same term and the payment of dividends on Preferred Stock or Disqualified Stock in the form of additional securities of the same class of Preferred Stock or Disqualified Stock will not be deemed to be an incurrence of Indebtedness or an issuance of Preferred Stock or Disqualified Stock for purposes of this Section 4.09;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thereof is included in Fixed Charges of the Issuer as accrued to the extent required by the definition of such term. For purposes of this Section 4.09, (i) the accrual of an obligation to pay a premium in respect of Indebtedness or Disqualified Stock or Preferred Stock arising in connection with the issuance of a notice of redemption or making of a mandatory offer to purchase such Indebtedness or Disqualified Stock or Preferred Stock, and (ii) unrealized losses or charges in respect of Hedging Obligations (including those resulting from the application of FASB ASC Topic No.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will, in the case of clause (i) or (ii), not be deemed to be an incurrence of Indebtedness or Disqualified Stock or Preferred Stock. Further, the accounting reclassification of any obligation or Disqualified Stock or Preferred Stock of the Issuer or any of its Restricted Subsidiaries as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6" w:right="339" w:bottom="1440" w:gutter="0" w:footer="0" w:header="0"/>
        </w:sectPr>
      </w:pPr>
    </w:p>
    <w:bookmarkStart w:id="84" w:name="page85"/>
    <w:bookmarkEnd w:id="84"/>
    <w:p>
      <w:pPr>
        <w:spacing w:after="0" w:line="247" w:lineRule="auto"/>
        <w:rPr>
          <w:sz w:val="20"/>
          <w:szCs w:val="20"/>
          <w:color w:val="auto"/>
        </w:rPr>
      </w:pPr>
      <w:r>
        <w:rPr>
          <w:rFonts w:ascii="Times New Roman" w:cs="Times New Roman" w:eastAsia="Times New Roman" w:hAnsi="Times New Roman"/>
          <w:sz w:val="20"/>
          <w:szCs w:val="20"/>
          <w:color w:val="auto"/>
        </w:rPr>
        <w:t>Indebtedness or Disqualified Stock or Preferred Stock will not be deemed an incurrence of Indebtedness or issuance of Disqualified Stock or Preferred Stock for purposes of this Section 4.09.</w:t>
      </w:r>
    </w:p>
    <w:p>
      <w:pPr>
        <w:spacing w:after="0" w:line="166" w:lineRule="exact"/>
        <w:rPr>
          <w:sz w:val="20"/>
          <w:szCs w:val="20"/>
          <w:color w:val="auto"/>
        </w:rPr>
      </w:pPr>
    </w:p>
    <w:p>
      <w:pPr>
        <w:ind w:firstLine="640"/>
        <w:spacing w:after="0" w:line="247" w:lineRule="auto"/>
        <w:rPr>
          <w:sz w:val="20"/>
          <w:szCs w:val="20"/>
          <w:color w:val="auto"/>
        </w:rPr>
      </w:pPr>
      <w:r>
        <w:rPr>
          <w:rFonts w:ascii="Times New Roman" w:cs="Times New Roman" w:eastAsia="Times New Roman" w:hAnsi="Times New Roman"/>
          <w:sz w:val="20"/>
          <w:szCs w:val="20"/>
          <w:color w:val="auto"/>
        </w:rPr>
        <w:t>The “amount” or “principal amount” of any Indebtedness or Preferred Stock or Disqualified Stock outstanding at any time of determination as used herein shall be as set forth below or, if not set forth below, determined in accordance with GAAP:</w:t>
      </w:r>
    </w:p>
    <w:p>
      <w:pPr>
        <w:spacing w:after="0" w:line="180" w:lineRule="exact"/>
        <w:rPr>
          <w:sz w:val="20"/>
          <w:szCs w:val="20"/>
          <w:color w:val="auto"/>
        </w:rPr>
      </w:pPr>
    </w:p>
    <w:p>
      <w:pPr>
        <w:ind w:left="1440" w:hanging="474"/>
        <w:spacing w:after="0"/>
        <w:tabs>
          <w:tab w:leader="none" w:pos="14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accreted value of the Indebtedness, in the case of any Indebtedness issued with original issue discount;</w:t>
      </w:r>
    </w:p>
    <w:p>
      <w:pPr>
        <w:spacing w:after="0" w:line="196" w:lineRule="exact"/>
        <w:rPr>
          <w:rFonts w:ascii="Times New Roman" w:cs="Times New Roman" w:eastAsia="Times New Roman" w:hAnsi="Times New Roman"/>
          <w:sz w:val="20"/>
          <w:szCs w:val="20"/>
          <w:color w:val="auto"/>
        </w:rPr>
      </w:pPr>
    </w:p>
    <w:p>
      <w:pPr>
        <w:ind w:left="1420" w:hanging="454"/>
        <w:spacing w:after="0"/>
        <w:tabs>
          <w:tab w:leader="none" w:pos="14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Indebtedness, in the case of any other Indebtedness;</w:t>
      </w:r>
    </w:p>
    <w:p>
      <w:pPr>
        <w:spacing w:after="0" w:line="196" w:lineRule="exact"/>
        <w:rPr>
          <w:rFonts w:ascii="Times New Roman" w:cs="Times New Roman" w:eastAsia="Times New Roman" w:hAnsi="Times New Roman"/>
          <w:sz w:val="20"/>
          <w:szCs w:val="20"/>
          <w:color w:val="auto"/>
        </w:rPr>
      </w:pPr>
    </w:p>
    <w:p>
      <w:pPr>
        <w:ind w:left="1420" w:hanging="454"/>
        <w:spacing w:after="0"/>
        <w:tabs>
          <w:tab w:leader="none" w:pos="14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Indebtedness of another Person secured by a Lien on the assets of the specified Person, the lesser of:</w:t>
      </w:r>
    </w:p>
    <w:p>
      <w:pPr>
        <w:spacing w:after="0" w:line="196" w:lineRule="exact"/>
        <w:rPr>
          <w:rFonts w:ascii="Times New Roman" w:cs="Times New Roman" w:eastAsia="Times New Roman" w:hAnsi="Times New Roman"/>
          <w:sz w:val="20"/>
          <w:szCs w:val="20"/>
          <w:color w:val="auto"/>
        </w:rPr>
      </w:pPr>
    </w:p>
    <w:p>
      <w:pPr>
        <w:ind w:left="3580" w:hanging="375"/>
        <w:spacing w:after="0"/>
        <w:tabs>
          <w:tab w:leader="none" w:pos="358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such assets at the date of determination; and</w:t>
      </w:r>
    </w:p>
    <w:p>
      <w:pPr>
        <w:spacing w:after="0" w:line="196" w:lineRule="exact"/>
        <w:rPr>
          <w:rFonts w:ascii="Times New Roman" w:cs="Times New Roman" w:eastAsia="Times New Roman" w:hAnsi="Times New Roman"/>
          <w:sz w:val="20"/>
          <w:szCs w:val="20"/>
          <w:color w:val="auto"/>
        </w:rPr>
      </w:pPr>
    </w:p>
    <w:p>
      <w:pPr>
        <w:ind w:left="3640" w:hanging="435"/>
        <w:spacing w:after="0"/>
        <w:tabs>
          <w:tab w:leader="none" w:pos="36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Indebtedness of the other Person;</w:t>
      </w:r>
    </w:p>
    <w:p>
      <w:pPr>
        <w:spacing w:after="0" w:line="196" w:lineRule="exact"/>
        <w:rPr>
          <w:rFonts w:ascii="Times New Roman" w:cs="Times New Roman" w:eastAsia="Times New Roman" w:hAnsi="Times New Roman"/>
          <w:sz w:val="20"/>
          <w:szCs w:val="20"/>
          <w:color w:val="auto"/>
        </w:rPr>
      </w:pPr>
    </w:p>
    <w:p>
      <w:pPr>
        <w:ind w:left="1440" w:hanging="474"/>
        <w:spacing w:after="0"/>
        <w:tabs>
          <w:tab w:leader="none" w:pos="14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Finance Lease Obligation, the amount determined in accordance with the definition thereof;</w:t>
      </w:r>
    </w:p>
    <w:p>
      <w:pPr>
        <w:spacing w:after="0" w:line="196" w:lineRule="exact"/>
        <w:rPr>
          <w:rFonts w:ascii="Times New Roman" w:cs="Times New Roman" w:eastAsia="Times New Roman" w:hAnsi="Times New Roman"/>
          <w:sz w:val="20"/>
          <w:szCs w:val="20"/>
          <w:color w:val="auto"/>
        </w:rPr>
      </w:pPr>
    </w:p>
    <w:p>
      <w:pPr>
        <w:ind w:left="1520" w:hanging="554"/>
        <w:spacing w:after="0" w:line="242" w:lineRule="auto"/>
        <w:tabs>
          <w:tab w:leader="none" w:pos="142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Preferred Stock, (x) if other than Disqualified Stock, the greater of its voluntary or involuntary liquidation preference and its maximum fixed redemption price or repurchase price or (y) if Disqualified Stock, as specified in the definition thereof;</w:t>
      </w:r>
    </w:p>
    <w:p>
      <w:pPr>
        <w:spacing w:after="0" w:line="170" w:lineRule="exact"/>
        <w:rPr>
          <w:rFonts w:ascii="Times New Roman" w:cs="Times New Roman" w:eastAsia="Times New Roman" w:hAnsi="Times New Roman"/>
          <w:sz w:val="20"/>
          <w:szCs w:val="20"/>
          <w:color w:val="auto"/>
        </w:rPr>
      </w:pPr>
    </w:p>
    <w:p>
      <w:pPr>
        <w:ind w:left="1400" w:hanging="434"/>
        <w:spacing w:after="0"/>
        <w:tabs>
          <w:tab w:leader="none" w:pos="14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Interest Rate Agreements included in Section 4.09(b), zero;</w:t>
      </w:r>
    </w:p>
    <w:p>
      <w:pPr>
        <w:spacing w:after="0" w:line="196" w:lineRule="exact"/>
        <w:rPr>
          <w:rFonts w:ascii="Times New Roman" w:cs="Times New Roman" w:eastAsia="Times New Roman" w:hAnsi="Times New Roman"/>
          <w:sz w:val="20"/>
          <w:szCs w:val="20"/>
          <w:color w:val="auto"/>
        </w:rPr>
      </w:pPr>
    </w:p>
    <w:p>
      <w:pPr>
        <w:ind w:left="1520" w:hanging="554"/>
        <w:spacing w:after="0" w:line="247" w:lineRule="auto"/>
        <w:tabs>
          <w:tab w:leader="none" w:pos="146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all other unconditional obligations, the amount of the liability thereof determined in accordance with GAAP; and</w:t>
      </w:r>
    </w:p>
    <w:p>
      <w:pPr>
        <w:spacing w:after="0" w:line="166" w:lineRule="exact"/>
        <w:rPr>
          <w:rFonts w:ascii="Times New Roman" w:cs="Times New Roman" w:eastAsia="Times New Roman" w:hAnsi="Times New Roman"/>
          <w:sz w:val="20"/>
          <w:szCs w:val="20"/>
          <w:color w:val="auto"/>
        </w:rPr>
      </w:pPr>
    </w:p>
    <w:p>
      <w:pPr>
        <w:ind w:left="1440" w:hanging="474"/>
        <w:spacing w:after="0"/>
        <w:tabs>
          <w:tab w:leader="none" w:pos="14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all other contingent obligations, the maximum liability at such date of such Person.</w:t>
      </w:r>
    </w:p>
    <w:p>
      <w:pPr>
        <w:spacing w:after="0" w:line="196"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For purposes of determining any particular amount of Indebtedness, (i) guarantees of, or obligations in respect of letters of credit relating to, Indebtedness otherwise included in the determination of such amount shall not also be included and (ii) if obligations in respect of letters of credit are incurred pursuant to a Credit Facility and are being treated as incurred pursuant to clause (1) of Section 4.09(b) and the letters of credit relate to other Indebtedness, then the amount of such other Indebtedness equal to the face amount of such letters of credit shall not be included. If Indebtedness is secured by a letter of credit that serves only to secure such Indebtedness, then the total amount deemed incurred shall be equal to the greater of (x) the principal of such Indebtedness and (y) the amount that may be drawn under such letter of credit.</w:t>
      </w:r>
    </w:p>
    <w:p>
      <w:pPr>
        <w:spacing w:after="0" w:line="15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18"/>
          <w:szCs w:val="18"/>
          <w:i w:val="1"/>
          <w:iCs w:val="1"/>
          <w:color w:val="auto"/>
        </w:rPr>
        <w:t>Asset Sales.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Issuer will not, and will not permit any of its Restricted Subsidiaries to, consummate an Asset Sale unless:</w:t>
      </w:r>
    </w:p>
    <w:p>
      <w:pPr>
        <w:spacing w:after="0" w:line="196" w:lineRule="exact"/>
        <w:rPr>
          <w:sz w:val="20"/>
          <w:szCs w:val="20"/>
          <w:color w:val="auto"/>
        </w:rPr>
      </w:pPr>
    </w:p>
    <w:p>
      <w:pPr>
        <w:ind w:firstLine="1286"/>
        <w:spacing w:after="0" w:line="247" w:lineRule="auto"/>
        <w:tabs>
          <w:tab w:leader="none" w:pos="175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a Restricted Subsidiary, as the case may be) receives consideration at the time of the Asset Sale at least equal to the Fair Market Value (measured within 15 days of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definitive agreement with respect to such Asset Sale) of the assets or Equity Interests issued or sold or otherwise disposed of; and</w:t>
      </w:r>
    </w:p>
    <w:p>
      <w:pPr>
        <w:spacing w:after="0" w:line="196" w:lineRule="exact"/>
        <w:rPr>
          <w:sz w:val="20"/>
          <w:szCs w:val="20"/>
          <w:color w:val="auto"/>
        </w:rPr>
      </w:pPr>
    </w:p>
    <w:p>
      <w:pPr>
        <w:ind w:firstLine="1286"/>
        <w:spacing w:after="0" w:line="247" w:lineRule="auto"/>
        <w:tabs>
          <w:tab w:leader="none" w:pos="176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75% of the aggregate consideration received in the Asset Sale by the Issuer or a Restricted Subsidiary and all other Asset Sales since the Issue Date is in the form of cash or Cash Equivalents.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For purposes of this provision, each of the following will be deemed to be cash:</w:t>
      </w:r>
    </w:p>
    <w:p>
      <w:pPr>
        <w:spacing w:after="0" w:line="210" w:lineRule="exact"/>
        <w:rPr>
          <w:sz w:val="20"/>
          <w:szCs w:val="20"/>
          <w:color w:val="auto"/>
        </w:rPr>
      </w:pPr>
    </w:p>
    <w:p>
      <w:pPr>
        <w:jc w:val="both"/>
        <w:ind w:left="640" w:firstLine="1286"/>
        <w:spacing w:after="0" w:line="229" w:lineRule="auto"/>
        <w:tabs>
          <w:tab w:leader="none" w:pos="239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as shown on the Issuer’s most recent consolidated balance sheet, of the Issuer or any Restricted Subsidiary (other than contingent liabilities and liabilities that are by their terms subordinated to the Notes or any Guarantee) that are assumed by the transferee of any such assets pursuant to a novation or indemnity agreement that releases the Issuer or such Restricted Subsidiary from or indemnifies against further liability (or in lieu of such absence of liability, the acquiring Person or its parent company agrees to indemnify and hold the Issuer or such Restricted Subsidiary harmless from and against any loss, liability or cost in respect of such assumed liabilities);</w:t>
      </w:r>
    </w:p>
    <w:p>
      <w:pPr>
        <w:spacing w:after="0" w:line="176"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37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Asset Sale of oil and gas properties by the Issuer or any of its Restricted Subsidiaries where the Issuer or such Restricted Subsidiary retains an interest in such property, the costs and expenses of the Issuer or such Restricted Subsidiary related to the exploration, development, completion or production of such properties and activities related thereto that the transferee (or an Affiliate thereof) agrees to pay;</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35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securities, notes or other obligations received by the Issuer or any Restricted Subsidiary from such transferee that are, within 180 days of the Asset Sale, converted by the Issuer or such Restricted Subsidiary into cash, to the extent of the cash received in that conversion;</w:t>
      </w:r>
    </w:p>
    <w:p>
      <w:pPr>
        <w:spacing w:after="0" w:line="174"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Assets; and</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37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Designated Non-cash Consideration received by the Issuer or such Restricted Subsidiary in such Asset Sale having an aggregate Fair Market Value, taken together with all other Designated Non-cash Consideration received pursuant to this clause (5), not to exceed an amount equal to 5.0% of the Issuer’s Adjusted Consolidated Net Tangible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76" w:lineRule="exact"/>
        <w:rPr>
          <w:rFonts w:ascii="Times New Roman" w:cs="Times New Roman" w:eastAsia="Times New Roman" w:hAnsi="Times New Roman"/>
          <w:sz w:val="20"/>
          <w:szCs w:val="20"/>
          <w:color w:val="auto"/>
        </w:rPr>
      </w:pPr>
    </w:p>
    <w:p>
      <w:pPr>
        <w:ind w:firstLine="1286"/>
        <w:spacing w:after="0" w:line="247" w:lineRule="auto"/>
        <w:tabs>
          <w:tab w:leader="none" w:pos="1719"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365 days after the receipt of any Net Proceeds from an Asset Sale, the Issuer (or any Restricted Subsidiary) may apply such Net Proceeds at its option to any combination of the following:</w:t>
      </w:r>
    </w:p>
    <w:p>
      <w:pPr>
        <w:spacing w:after="0" w:line="16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repay, redeem or repurchase any Senior Debt;</w:t>
      </w:r>
    </w:p>
    <w:p>
      <w:pPr>
        <w:spacing w:after="0" w:line="19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invest in or acquire Additional Assets; or</w:t>
      </w:r>
    </w:p>
    <w:p>
      <w:pPr>
        <w:spacing w:after="0" w:line="183"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capital expenditures in respect of the Issuer’s or any Restricted Subsidiaries’ Oil and Gas Business.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6" w:right="339" w:bottom="1440" w:gutter="0" w:footer="0" w:header="0"/>
        </w:sectPr>
      </w:pPr>
    </w:p>
    <w:bookmarkStart w:id="86" w:name="page87"/>
    <w:bookmarkEnd w:id="86"/>
    <w:p>
      <w:pPr>
        <w:spacing w:after="0" w:line="170" w:lineRule="exact"/>
        <w:rPr>
          <w:sz w:val="20"/>
          <w:szCs w:val="20"/>
          <w:color w:val="auto"/>
        </w:rPr>
      </w:pPr>
    </w:p>
    <w:p>
      <w:pPr>
        <w:jc w:val="both"/>
        <w:ind w:firstLine="1286"/>
        <w:spacing w:after="0" w:line="233" w:lineRule="auto"/>
        <w:tabs>
          <w:tab w:leader="none" w:pos="176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of clause (2) or (3) of Section 4.10(c) shall be deemed to be satisfied if a bona fide binding contract committing to make the investment, acquisition or expenditure referred to therein is entered into by the Issuer (or any Restricted Subsidiary) with a Person other than a Restricted Subsidiary within the time period specified in Section 4.10(c) and such Net Proceeds are subsequently applied in accordance with such contract within six months following the later of (x) the date such agreement is entered into and (y) the time period specified in the preceding paragraph.</w:t>
      </w:r>
    </w:p>
    <w:p>
      <w:pPr>
        <w:spacing w:after="0" w:line="176" w:lineRule="exact"/>
        <w:rPr>
          <w:rFonts w:ascii="Times New Roman" w:cs="Times New Roman" w:eastAsia="Times New Roman" w:hAnsi="Times New Roman"/>
          <w:sz w:val="20"/>
          <w:szCs w:val="20"/>
          <w:color w:val="auto"/>
        </w:rPr>
      </w:pPr>
    </w:p>
    <w:p>
      <w:pPr>
        <w:ind w:firstLine="1286"/>
        <w:spacing w:after="0" w:line="301" w:lineRule="auto"/>
        <w:tabs>
          <w:tab w:leader="none" w:pos="179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final application of any Net Proceeds, the Issuer (or any Restricted Subsidiary) may temporarily reduce Indebtedness under any Credit Facility or otherwise expend or invest the Net Proceeds in any manner that is not prohibited by this Indenture.</w:t>
      </w:r>
    </w:p>
    <w:p>
      <w:pPr>
        <w:spacing w:after="0" w:line="118" w:lineRule="exact"/>
        <w:rPr>
          <w:rFonts w:ascii="Times New Roman" w:cs="Times New Roman" w:eastAsia="Times New Roman" w:hAnsi="Times New Roman"/>
          <w:sz w:val="18"/>
          <w:szCs w:val="18"/>
          <w:color w:val="auto"/>
        </w:rPr>
      </w:pPr>
    </w:p>
    <w:p>
      <w:pPr>
        <w:jc w:val="both"/>
        <w:ind w:firstLine="1286"/>
        <w:spacing w:after="0" w:line="251" w:lineRule="auto"/>
        <w:tabs>
          <w:tab w:leader="none" w:pos="16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Proceeds from Asset Sales that are not applied or invested as provided in Section 4.10(c) will constitute “</w:t>
      </w:r>
      <w:r>
        <w:rPr>
          <w:rFonts w:ascii="Times New Roman" w:cs="Times New Roman" w:eastAsia="Times New Roman" w:hAnsi="Times New Roman"/>
          <w:sz w:val="18"/>
          <w:szCs w:val="18"/>
          <w:i w:val="1"/>
          <w:i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When the aggregate amount of Excess Proceeds exceeds $50.0 million, within ten days thereof, the Issuer will make an offer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 xml:space="preserve">”) to all Holders of Notes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this Indenture with respect to offers to purchase, prepay or redeem with the proceeds of sales of assets to purchase, prepay or redeem,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principal amounts of Notes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(or, in the case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issued with significant original issue discount, based on the accreted value thereof) tendered), the maximum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the amount of all fees and expenses, including premiums, incurred in connection therewith) that may be purchased, prepaid or redeemed out of the Excess Proceeds. The offer price in any Asset Sale Offer will be equal to 100% of the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purchase, prepayment or redemption, subject to the rights of Holders of Notes on the relevant record date to receive interest due on the relevant Interest Payment Date, and will be payable in cash. If any Excess Proceeds remain after consummation of an Asset Sale Offer, the Issuer or any Restricted Subsidiary may use those Excess Proceeds for any purpose not otherwise prohibited by this Indenture. If the aggregate principal amount of Notes tendered in such Asset Sale Offer exceeds the amount of Excess Proceeds allocated to the purchase of Notes, the Trustee will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that any Notes represented by a Note in global form will be selected by such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DTC’s applicable procedures), based on the principal amounts tendered (with such adjustments as may be deemed appropriate by the Issuer so that only Notes in minimum denominations of $2,000 and any integral multiple of $1,000 in excess thereof will be purchased). Upon completion of each Asset Sale Offer, the amount of Excess Proceeds will be reset at zero. The Issuer may satisfy the foregoing obligation with respect to any Excess Proceeds by making an Asset Sale Offer prior to the expiration of the relevant 365 day period or with respect to Excess Proceeds of $50.0 million or less.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jc w:val="both"/>
        <w:ind w:firstLine="1286"/>
        <w:spacing w:after="0" w:line="233" w:lineRule="auto"/>
        <w:tabs>
          <w:tab w:leader="none" w:pos="174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Section 3.10 or this Section 4.10, the Issuer will comply with the applicable securities laws and regulations and will not be deemed to have breached its obligations under Section 3.10 or this Section 4.10 by virtue of such compliance.</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4.11</w:t>
      </w:r>
      <w:r>
        <w:rPr>
          <w:sz w:val="20"/>
          <w:szCs w:val="20"/>
          <w:color w:val="auto"/>
        </w:rPr>
        <w:tab/>
      </w:r>
      <w:r>
        <w:rPr>
          <w:rFonts w:ascii="Times New Roman" w:cs="Times New Roman" w:eastAsia="Times New Roman" w:hAnsi="Times New Roman"/>
          <w:sz w:val="18"/>
          <w:szCs w:val="18"/>
          <w:i w:val="1"/>
          <w:iCs w:val="1"/>
          <w:color w:val="auto"/>
        </w:rPr>
        <w:t>Transactions with Affiliates.</w:t>
      </w:r>
    </w:p>
    <w:p>
      <w:pPr>
        <w:spacing w:after="0" w:line="198" w:lineRule="exact"/>
        <w:rPr>
          <w:sz w:val="20"/>
          <w:szCs w:val="20"/>
          <w:color w:val="auto"/>
        </w:rPr>
      </w:pPr>
    </w:p>
    <w:p>
      <w:pPr>
        <w:jc w:val="both"/>
        <w:ind w:firstLine="1286"/>
        <w:spacing w:after="0" w:line="236" w:lineRule="auto"/>
        <w:tabs>
          <w:tab w:leader="none" w:pos="171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49" w:lineRule="auto"/>
        <w:rPr>
          <w:sz w:val="20"/>
          <w:szCs w:val="20"/>
          <w:color w:val="auto"/>
        </w:rPr>
      </w:pPr>
      <w:r>
        <w:rPr>
          <w:rFonts w:ascii="Times New Roman" w:cs="Times New Roman" w:eastAsia="Times New Roman" w:hAnsi="Times New Roman"/>
          <w:sz w:val="20"/>
          <w:szCs w:val="20"/>
          <w:color w:val="auto"/>
        </w:rPr>
        <w:t>understanding, loan, advance or guarantee with, or for the benefit of, any Affiliate of the Issuer (each, an “</w:t>
      </w:r>
      <w:r>
        <w:rPr>
          <w:rFonts w:ascii="Times New Roman" w:cs="Times New Roman" w:eastAsia="Times New Roman" w:hAnsi="Times New Roman"/>
          <w:sz w:val="20"/>
          <w:szCs w:val="20"/>
          <w:i w:val="1"/>
          <w:iCs w:val="1"/>
          <w:color w:val="auto"/>
        </w:rPr>
        <w:t>Affiliate Transaction</w:t>
      </w:r>
      <w:r>
        <w:rPr>
          <w:rFonts w:ascii="Times New Roman" w:cs="Times New Roman" w:eastAsia="Times New Roman" w:hAnsi="Times New Roman"/>
          <w:sz w:val="20"/>
          <w:szCs w:val="20"/>
          <w:color w:val="auto"/>
        </w:rPr>
        <w:t>”) involving aggregate consideration to or from the Issuer or a Restricted Subsidiary in excess of $25.0 million, unless:</w:t>
      </w:r>
    </w:p>
    <w:p>
      <w:pPr>
        <w:spacing w:after="0" w:line="164" w:lineRule="exact"/>
        <w:rPr>
          <w:sz w:val="20"/>
          <w:szCs w:val="20"/>
          <w:color w:val="auto"/>
        </w:rPr>
      </w:pPr>
    </w:p>
    <w:p>
      <w:pPr>
        <w:jc w:val="both"/>
        <w:ind w:left="640" w:firstLine="1286"/>
        <w:spacing w:after="0" w:line="233" w:lineRule="auto"/>
        <w:tabs>
          <w:tab w:leader="none" w:pos="237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Affiliate Transaction is on terms that are no less favorable to the Issuer or the relevant Restricted Subsidiary than those that could have been obtained in a comparable transaction by the Issuer or such Restricted Subsidiary with an unrelated Person or, if, as determined in good faith by the Issuer, no comparable transaction is available with which to compare such Affiliate Transaction, such Affiliate Transaction is otherwise fair to the Issuer or the relevant Restricted Subsidiary from a financial point of view; and</w:t>
      </w:r>
    </w:p>
    <w:p>
      <w:pPr>
        <w:spacing w:after="0" w:line="176" w:lineRule="exact"/>
        <w:rPr>
          <w:rFonts w:ascii="Times New Roman" w:cs="Times New Roman" w:eastAsia="Times New Roman" w:hAnsi="Times New Roman"/>
          <w:sz w:val="20"/>
          <w:szCs w:val="20"/>
          <w:color w:val="auto"/>
        </w:rPr>
      </w:pPr>
    </w:p>
    <w:p>
      <w:pPr>
        <w:jc w:val="both"/>
        <w:ind w:left="640" w:firstLine="1286"/>
        <w:spacing w:after="0" w:line="231" w:lineRule="auto"/>
        <w:tabs>
          <w:tab w:leader="none" w:pos="252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delivers to the Trustee, with respect to any Affiliate Transaction or series of related Affiliate Transactions involving aggregate consideration in excess of $50.0 million, an Officer’s Certificate certifying that such Affiliate Transaction or series of related Affiliate Transactions complies with this Section 4.11 and that such Affiliate Transaction or series of related Affiliate Transactions has been approved by a majority of the members of the Board of Directors of the Issuer and by a majority of the disinterested members of the Board of Directors of the Issuer, if any.</w:t>
      </w:r>
    </w:p>
    <w:p>
      <w:pPr>
        <w:spacing w:after="0" w:line="185" w:lineRule="exact"/>
        <w:rPr>
          <w:rFonts w:ascii="Times New Roman" w:cs="Times New Roman" w:eastAsia="Times New Roman" w:hAnsi="Times New Roman"/>
          <w:sz w:val="20"/>
          <w:szCs w:val="20"/>
          <w:color w:val="auto"/>
        </w:rPr>
      </w:pPr>
    </w:p>
    <w:p>
      <w:pPr>
        <w:ind w:left="1740" w:hanging="454"/>
        <w:spacing w:after="0"/>
        <w:tabs>
          <w:tab w:leader="none" w:pos="17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will not be deemed to be Affiliate Transactions and, therefore, will not be subject to the provisions</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Section 4.11(1):</w:t>
      </w:r>
    </w:p>
    <w:p>
      <w:pPr>
        <w:spacing w:after="0" w:line="174" w:lineRule="exact"/>
        <w:rPr>
          <w:rFonts w:ascii="Times New Roman" w:cs="Times New Roman" w:eastAsia="Times New Roman" w:hAnsi="Times New Roman"/>
          <w:sz w:val="18"/>
          <w:szCs w:val="18"/>
          <w:color w:val="auto"/>
        </w:rPr>
      </w:pPr>
    </w:p>
    <w:p>
      <w:pPr>
        <w:jc w:val="both"/>
        <w:ind w:left="640" w:firstLine="1286"/>
        <w:spacing w:after="0" w:line="236" w:lineRule="auto"/>
        <w:tabs>
          <w:tab w:leader="none" w:pos="2371"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employment agreement, employee benefit plan, officer or director indemnification agreement or any similar arrangement entered into by the Issuer or any of its Restricted Subsidiaries in the ordinary course of business and payments pursuant thereto;</w:t>
      </w:r>
    </w:p>
    <w:p>
      <w:pPr>
        <w:spacing w:after="0" w:line="174"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Issuer and/or its Restricted Subsidiaries;</w:t>
      </w:r>
    </w:p>
    <w:p>
      <w:pPr>
        <w:spacing w:after="0" w:line="196" w:lineRule="exact"/>
        <w:rPr>
          <w:rFonts w:ascii="Times New Roman" w:cs="Times New Roman" w:eastAsia="Times New Roman" w:hAnsi="Times New Roman"/>
          <w:sz w:val="20"/>
          <w:szCs w:val="20"/>
          <w:color w:val="auto"/>
        </w:rPr>
      </w:pPr>
    </w:p>
    <w:p>
      <w:pPr>
        <w:ind w:left="640" w:firstLine="1286"/>
        <w:spacing w:after="0" w:line="247" w:lineRule="auto"/>
        <w:tabs>
          <w:tab w:leader="none" w:pos="2388"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a Person (other than an Unrestricted Subsidiary of the Issuer) that is an Affiliate of the Issuer solely because the Issuer owns, directly or through a Restricted Subsidiary, an Equity Interest in, and controls, such Person;</w:t>
      </w:r>
    </w:p>
    <w:p>
      <w:pPr>
        <w:spacing w:after="0" w:line="179"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357"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reasonable and customary fees and reimbursement of expenses (pursuant to indemnity agreements or otherwise) of, or provision of directors’ and officers’ liability insurance, compensation, indemnification and other benefits to, officers, directors, employees or consultants of the Issuer or any of its Subsidiaries;</w:t>
      </w:r>
    </w:p>
    <w:p>
      <w:pPr>
        <w:spacing w:after="0" w:line="174"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Equity Interests (other than Disqualified Stock) of the Issuer to Affiliates of the Issuer;</w:t>
      </w:r>
    </w:p>
    <w:p>
      <w:pPr>
        <w:spacing w:after="0" w:line="19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Payments or Permitted Investments or Permitted Payments that are permitted by Section 4.07;</w:t>
      </w:r>
    </w:p>
    <w:p>
      <w:pPr>
        <w:spacing w:after="0" w:line="183" w:lineRule="exact"/>
        <w:rPr>
          <w:rFonts w:ascii="Times New Roman" w:cs="Times New Roman" w:eastAsia="Times New Roman" w:hAnsi="Times New Roman"/>
          <w:sz w:val="20"/>
          <w:szCs w:val="20"/>
          <w:color w:val="auto"/>
        </w:rPr>
      </w:pPr>
    </w:p>
    <w:p>
      <w:pPr>
        <w:jc w:val="both"/>
        <w:ind w:left="640" w:firstLine="1286"/>
        <w:spacing w:after="0" w:line="219" w:lineRule="auto"/>
        <w:tabs>
          <w:tab w:leader="none" w:pos="242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the Issuer or any of its Restricted Subsidiaries and any Person that would not otherwise constitute an Affiliate Transaction except for the fact that any director or officer of such other Person is also a director or officer of the Issuer or such Restricted Subsidiary, as applicable; provided that such director or officer abstains from voting as a director of the Issuer or such Restricted Subsidiary, as applicable, on any matter involving such other Person;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4" w:right="339" w:bottom="1440" w:gutter="0" w:footer="0" w:header="0"/>
        </w:sectPr>
      </w:pPr>
    </w:p>
    <w:bookmarkStart w:id="88" w:name="page89"/>
    <w:bookmarkEnd w:id="88"/>
    <w:p>
      <w:pPr>
        <w:spacing w:after="0" w:line="170" w:lineRule="exact"/>
        <w:rPr>
          <w:sz w:val="20"/>
          <w:szCs w:val="20"/>
          <w:color w:val="auto"/>
        </w:rPr>
      </w:pPr>
    </w:p>
    <w:p>
      <w:pPr>
        <w:jc w:val="both"/>
        <w:ind w:left="640" w:firstLine="1286"/>
        <w:spacing w:after="0" w:line="233" w:lineRule="auto"/>
        <w:tabs>
          <w:tab w:leader="none" w:pos="244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 which the Issuer or any of its Restricted Subsidiaries, as the case may be, delivers to the Trustee a letter from an accounting, appraisal, advisory or investment banking firm of national standing stating that such transaction is fair to the Issuer or such Restricted Subsidiary from a financial point of view or that such transaction meets the requirements of Section 4.11(a)(1);</w:t>
      </w:r>
    </w:p>
    <w:p>
      <w:pPr>
        <w:spacing w:after="0" w:line="186" w:lineRule="exact"/>
        <w:rPr>
          <w:rFonts w:ascii="Times New Roman" w:cs="Times New Roman" w:eastAsia="Times New Roman" w:hAnsi="Times New Roman"/>
          <w:sz w:val="20"/>
          <w:szCs w:val="20"/>
          <w:color w:val="auto"/>
        </w:rPr>
      </w:pPr>
    </w:p>
    <w:p>
      <w:pPr>
        <w:jc w:val="both"/>
        <w:ind w:left="640" w:firstLine="1286"/>
        <w:spacing w:after="0" w:line="260" w:lineRule="auto"/>
        <w:tabs>
          <w:tab w:leader="none" w:pos="241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guarantees by the Issuer or any of its Restricted Subsidiaries of performance of obligations of the Issuer’s Unrestricted Subsidiaries in the ordinary course of business, except for guarantees of Indebtedness in respect of borrowed money, and</w:t>
      </w:r>
    </w:p>
    <w:p>
      <w:pPr>
        <w:jc w:val="both"/>
        <w:ind w:left="640" w:firstLine="6"/>
        <w:spacing w:after="0" w:line="229" w:lineRule="auto"/>
        <w:tabs>
          <w:tab w:leader="none" w:pos="93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by the Issuer or any Restricted Subsidiary of the Issuer of (or any guarantee by the Issuer or any Restricted Subsidiary limited in recourse solely to) Equity Interests in Unrestricted Subsidiaries for the benefit of lenders or other creditors of the Issuer’s Unrestricted Subsidiaries;</w:t>
      </w:r>
    </w:p>
    <w:p>
      <w:pPr>
        <w:spacing w:after="0" w:line="172" w:lineRule="exact"/>
        <w:rPr>
          <w:rFonts w:ascii="Times New Roman" w:cs="Times New Roman" w:eastAsia="Times New Roman" w:hAnsi="Times New Roman"/>
          <w:sz w:val="20"/>
          <w:szCs w:val="20"/>
          <w:color w:val="auto"/>
        </w:rPr>
      </w:pPr>
    </w:p>
    <w:p>
      <w:pPr>
        <w:jc w:val="both"/>
        <w:ind w:left="640" w:firstLine="1286"/>
        <w:spacing w:after="0" w:line="231" w:lineRule="auto"/>
        <w:tabs>
          <w:tab w:leader="none" w:pos="247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Unrestricted Subsidiaries, joint ventures, customers, clients, suppliers or purchasers or sellers of goods or services, or lessors or lessees of property, which are, in the aggregate (taking into account all the costs and benefits associated with such transactions), not materially less favorable to the Issuer and its Restricted Subsidiaries than those that would have been obtained in a comparable transaction by the Issuer or such Restricted Subsidiary with an unrelated Person or are on terms at least as favorable as might reasonably have been obtained at such time from an unaffiliated party, in each case, as determined in good faith by the Issuer;</w:t>
      </w:r>
    </w:p>
    <w:p>
      <w:pPr>
        <w:spacing w:after="0" w:line="177" w:lineRule="exact"/>
        <w:rPr>
          <w:rFonts w:ascii="Times New Roman" w:cs="Times New Roman" w:eastAsia="Times New Roman" w:hAnsi="Times New Roman"/>
          <w:sz w:val="20"/>
          <w:szCs w:val="20"/>
          <w:color w:val="auto"/>
        </w:rPr>
      </w:pPr>
    </w:p>
    <w:p>
      <w:pPr>
        <w:jc w:val="both"/>
        <w:ind w:left="640" w:firstLine="1286"/>
        <w:spacing w:after="0" w:line="231" w:lineRule="auto"/>
        <w:tabs>
          <w:tab w:leader="none" w:pos="2435"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(other than purchases or sales of assets) effected in accordance with the terms of (a) any agreements with Affiliates of the Issuer pursuant to agreements in effect on the Issue Date, (b) any amendment or replacement of any of such agreements or (c) any agreement entered into hereafter that is similar to any such agreements, so long as, in the case of clause (b) or (c), the terms of any such amendment or replacement agreement or future agreement, taken as a whole, are no less advantageous to the Issuer or no less favorable to the Holders in any material respect than the agreement so amended or replaced or the similar such agreement, respectively, as determined in good faith by the Issuer;</w:t>
      </w:r>
    </w:p>
    <w:p>
      <w:pPr>
        <w:spacing w:after="0" w:line="177" w:lineRule="exact"/>
        <w:rPr>
          <w:rFonts w:ascii="Times New Roman" w:cs="Times New Roman" w:eastAsia="Times New Roman" w:hAnsi="Times New Roman"/>
          <w:sz w:val="20"/>
          <w:szCs w:val="20"/>
          <w:color w:val="auto"/>
        </w:rPr>
      </w:pPr>
    </w:p>
    <w:p>
      <w:pPr>
        <w:jc w:val="both"/>
        <w:ind w:left="640" w:firstLine="1286"/>
        <w:spacing w:after="0" w:line="229" w:lineRule="auto"/>
        <w:tabs>
          <w:tab w:leader="none" w:pos="258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purchases and sales of electric power, steam, water, natural gas or other hydrocarbons and other commercial relationships and transactions, or the provision of payroll, cash management, purchasing, insurance, indemnity and liability sharing, hedging, management, technology and licensing arrangements, marketing, or the granting or of acquiring of rights of way, easements, servitudes or other real property interests, or other sharing of assets or equipment, in each case between the Issuer or any Restricted Subsidiary and any Unrestricted Subsidiary or joint venture, and (b) any transactions entered into in connection with the CMB Transactions; and</w:t>
      </w:r>
    </w:p>
    <w:p>
      <w:pPr>
        <w:spacing w:after="0" w:line="176"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45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contracts for exploring for, producing, marketing, storing or otherwise handling Hydrocarbons, or activities or services reasonably related or ancillary thereto, or other operational contracts, any such contracts entered into in the ordinary course of business and otherwise in compliance with the terms of this Indenture which are fair to the Issuer and its Restricted Subsidiaries, or are on terms at least as favorable as might reasonably have been obtained at such time from an unaffiliated party, in each case, as determined in good faith by the Issuer.</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4.12</w:t>
      </w:r>
      <w:r>
        <w:rPr>
          <w:sz w:val="20"/>
          <w:szCs w:val="20"/>
          <w:color w:val="auto"/>
        </w:rPr>
        <w:tab/>
      </w:r>
      <w:r>
        <w:rPr>
          <w:rFonts w:ascii="Times New Roman" w:cs="Times New Roman" w:eastAsia="Times New Roman" w:hAnsi="Times New Roman"/>
          <w:sz w:val="18"/>
          <w:szCs w:val="18"/>
          <w:i w:val="1"/>
          <w:iCs w:val="1"/>
          <w:color w:val="auto"/>
        </w:rPr>
        <w:t>Liens.</w:t>
      </w:r>
    </w:p>
    <w:p>
      <w:pPr>
        <w:spacing w:after="0" w:line="198" w:lineRule="exact"/>
        <w:rPr>
          <w:sz w:val="20"/>
          <w:szCs w:val="20"/>
          <w:color w:val="auto"/>
        </w:rPr>
      </w:pPr>
    </w:p>
    <w:p>
      <w:pPr>
        <w:ind w:firstLine="640"/>
        <w:spacing w:after="0" w:line="247" w:lineRule="auto"/>
        <w:rPr>
          <w:sz w:val="20"/>
          <w:szCs w:val="20"/>
          <w:color w:val="auto"/>
        </w:rPr>
      </w:pPr>
      <w:r>
        <w:rPr>
          <w:rFonts w:ascii="Times New Roman" w:cs="Times New Roman" w:eastAsia="Times New Roman" w:hAnsi="Times New Roman"/>
          <w:sz w:val="20"/>
          <w:szCs w:val="20"/>
          <w:color w:val="auto"/>
        </w:rPr>
        <w:t>The Issuer will not and will not permit any of its Restricted Subsidiaries to, directly or indirectly, create, incur, assume or otherwise cause or suffer to exist or become effective any Lien of any kind (other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than Permitted Liens) securing Indebtedness upon any of their property or assets, now owned or hereafter acquired, unless the Notes or any Guarantee of such Restricted Subsidiary, as applicable, are secured on an equal and ratable basis with the Indebtedness so secured (or, in the case of Indebtedness subordinated to the Notes or any Guarantee, prior or senior thereto, with the same relative priority as the Notes or Guarantee shall have with respect to such subordinated Indebtedness) until such time as such Indebtedness is no longer secured by a Lien. Any Lien created for the benefit of the Holders of the Notes pursuant to the preceding sentence shall provide by its terms that such Lien shall be automatically and unconditionally released and discharged upon the release and discharge of the initial Lien;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no Event of Default has occurred and is continuing at the time of such release and discharge. In the event of the termination of Section 4.09 of this Indenture pursuant to Section 4.18, all calculations under Section 4.12 (including with respect to the definition of “Permitted Liens”) of this Indenture shall be made as if Section 4.09 had not been terminated.</w:t>
      </w:r>
    </w:p>
    <w:p>
      <w:pPr>
        <w:spacing w:after="0" w:line="179"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For purposes of determining compliance with this Section 4.12, in the event that a Lien meets the criteria of more than one of the categories of Permitted Liens, the Issuer will be permitted to classify (or later classify or reclassify in whole or in part in its sole discretion) such Lien (or portion thereof) on the date made or later reclassify such Lien (or portion thereof) in any manner that complies with this Section 4.12.</w:t>
      </w:r>
    </w:p>
    <w:p>
      <w:pPr>
        <w:spacing w:after="0" w:line="17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19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4.14</w:t>
      </w:r>
      <w:r>
        <w:rPr>
          <w:sz w:val="20"/>
          <w:szCs w:val="20"/>
          <w:color w:val="auto"/>
        </w:rPr>
        <w:tab/>
      </w:r>
      <w:r>
        <w:rPr>
          <w:rFonts w:ascii="Times New Roman" w:cs="Times New Roman" w:eastAsia="Times New Roman" w:hAnsi="Times New Roman"/>
          <w:sz w:val="18"/>
          <w:szCs w:val="18"/>
          <w:i w:val="1"/>
          <w:iCs w:val="1"/>
          <w:color w:val="auto"/>
        </w:rPr>
        <w:t>Organizational Existence.</w:t>
      </w:r>
    </w:p>
    <w:p>
      <w:pPr>
        <w:spacing w:after="0" w:line="19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 xml:space="preserve">Subject to Article 5, the Issuer shall do or cause to be done all things necessary to preserve and keep in full force and effect the existence, the rights (charter and statutory), licenses and franchises of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Issuer shall not be required to preserve any such right, license or franchise if the Issuer shall determine that the preservation thereof is no longer desirable in the conduct of the business of the Issuer.</w:t>
      </w:r>
    </w:p>
    <w:p>
      <w:pPr>
        <w:spacing w:after="0" w:line="17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4.15</w:t>
      </w:r>
      <w:r>
        <w:rPr>
          <w:sz w:val="20"/>
          <w:szCs w:val="20"/>
          <w:color w:val="auto"/>
        </w:rPr>
        <w:tab/>
      </w:r>
      <w:r>
        <w:rPr>
          <w:rFonts w:ascii="Times New Roman" w:cs="Times New Roman" w:eastAsia="Times New Roman" w:hAnsi="Times New Roman"/>
          <w:sz w:val="18"/>
          <w:szCs w:val="18"/>
          <w:i w:val="1"/>
          <w:iCs w:val="1"/>
          <w:color w:val="auto"/>
        </w:rPr>
        <w:t>Offer to Repurchase Upon Change of Control Triggering Event.</w:t>
      </w:r>
    </w:p>
    <w:p>
      <w:pPr>
        <w:spacing w:after="0" w:line="212" w:lineRule="exact"/>
        <w:rPr>
          <w:sz w:val="20"/>
          <w:szCs w:val="20"/>
          <w:color w:val="auto"/>
        </w:rPr>
      </w:pPr>
    </w:p>
    <w:p>
      <w:pPr>
        <w:jc w:val="both"/>
        <w:ind w:firstLine="1286"/>
        <w:spacing w:after="0" w:line="229" w:lineRule="auto"/>
        <w:tabs>
          <w:tab w:leader="none" w:pos="182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of Control Triggering Event occurs, each Holder of Notes will have the right to require the Issuer to repurchase all or any part (equal to $2,000 or an integral multiple of $1,000 in excess thereof) of that Holder’s Notes pursuant to a cash tender offer (“</w:t>
      </w:r>
      <w:r>
        <w:rPr>
          <w:rFonts w:ascii="Times New Roman" w:cs="Times New Roman" w:eastAsia="Times New Roman" w:hAnsi="Times New Roman"/>
          <w:sz w:val="20"/>
          <w:szCs w:val="20"/>
          <w:i w:val="1"/>
          <w:iCs w:val="1"/>
          <w:color w:val="auto"/>
        </w:rPr>
        <w:t>Change of Control Offer</w:t>
      </w:r>
      <w:r>
        <w:rPr>
          <w:rFonts w:ascii="Times New Roman" w:cs="Times New Roman" w:eastAsia="Times New Roman" w:hAnsi="Times New Roman"/>
          <w:sz w:val="20"/>
          <w:szCs w:val="20"/>
          <w:color w:val="auto"/>
        </w:rPr>
        <w:t>”) on the terms set forth in this Section 4.15. In the Change of Control Offer, the Issuer will offer a payment in cash (“</w:t>
      </w:r>
      <w:r>
        <w:rPr>
          <w:rFonts w:ascii="Times New Roman" w:cs="Times New Roman" w:eastAsia="Times New Roman" w:hAnsi="Times New Roman"/>
          <w:sz w:val="20"/>
          <w:szCs w:val="20"/>
          <w:i w:val="1"/>
          <w:iCs w:val="1"/>
          <w:color w:val="auto"/>
        </w:rPr>
        <w:t>Change of Control Payment</w:t>
      </w:r>
      <w:r>
        <w:rPr>
          <w:rFonts w:ascii="Times New Roman" w:cs="Times New Roman" w:eastAsia="Times New Roman" w:hAnsi="Times New Roman"/>
          <w:sz w:val="20"/>
          <w:szCs w:val="20"/>
          <w:color w:val="auto"/>
        </w:rPr>
        <w:t xml:space="preserve">”)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on the Notes repurchased to, but excluding, the date of purchase (the “</w:t>
      </w:r>
      <w:r>
        <w:rPr>
          <w:rFonts w:ascii="Times New Roman" w:cs="Times New Roman" w:eastAsia="Times New Roman" w:hAnsi="Times New Roman"/>
          <w:sz w:val="20"/>
          <w:szCs w:val="20"/>
          <w:i w:val="1"/>
          <w:iCs w:val="1"/>
          <w:color w:val="auto"/>
        </w:rPr>
        <w:t>Change of Control Purchase Date</w:t>
      </w:r>
      <w:r>
        <w:rPr>
          <w:rFonts w:ascii="Times New Roman" w:cs="Times New Roman" w:eastAsia="Times New Roman" w:hAnsi="Times New Roman"/>
          <w:sz w:val="20"/>
          <w:szCs w:val="20"/>
          <w:color w:val="auto"/>
        </w:rPr>
        <w:t>”), subject to the rights of Holders of Notes on the relevant record date to receive interest due on the relevant Interest Payment Date.</w:t>
      </w:r>
    </w:p>
    <w:p>
      <w:pPr>
        <w:spacing w:after="0" w:line="176"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Within 30 days following any Change of Control Triggering Event, the Issuer will send a notice to each Holder (with a copy to the Trustee) describing the transaction or transactions that constitute the Change of Control and offering to repurchase Notes properly tendered prior to the expiration date specified in the notice, which date will be no earlier than 10 days and no later than 60 days from the date such notice is sent, pursuant to the procedures required by this Section 4.15 and described in such notice. The Issuer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4.15, the Issuer will comply with the applicable securities laws and regulations and will not be deemed to have breached its obligations under this Section 4.15 by virtue of such compliance.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96" w:right="339" w:bottom="1440" w:gutter="0" w:footer="0" w:header="0"/>
        </w:sectPr>
      </w:pPr>
    </w:p>
    <w:bookmarkStart w:id="90" w:name="page91"/>
    <w:bookmarkEnd w:id="90"/>
    <w:p>
      <w:pPr>
        <w:jc w:val="both"/>
        <w:ind w:firstLine="1286"/>
        <w:spacing w:after="0" w:line="236" w:lineRule="auto"/>
        <w:tabs>
          <w:tab w:leader="none" w:pos="183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the expiration of the Change of Control Offer, the Issuer will, to the extent lawful, accept for payment all Notes or portions of Notes properly tendered pursuant to the Change of Control Offer. Promptly after such acceptance, the Issuer will, on the Change of Control Purchase Date:</w:t>
      </w:r>
    </w:p>
    <w:p>
      <w:pPr>
        <w:spacing w:after="0" w:line="174" w:lineRule="exact"/>
        <w:rPr>
          <w:rFonts w:ascii="Times New Roman" w:cs="Times New Roman" w:eastAsia="Times New Roman" w:hAnsi="Times New Roman"/>
          <w:sz w:val="20"/>
          <w:szCs w:val="20"/>
          <w:color w:val="auto"/>
        </w:rPr>
      </w:pPr>
    </w:p>
    <w:p>
      <w:pPr>
        <w:ind w:left="640" w:firstLine="1286"/>
        <w:spacing w:after="0" w:line="261" w:lineRule="auto"/>
        <w:tabs>
          <w:tab w:leader="none" w:pos="2426"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Payment in respect of all Notes or portions of Notes properly tendered; and</w:t>
      </w:r>
    </w:p>
    <w:p>
      <w:pPr>
        <w:spacing w:after="0" w:line="152" w:lineRule="exact"/>
        <w:rPr>
          <w:rFonts w:ascii="Times New Roman" w:cs="Times New Roman" w:eastAsia="Times New Roman" w:hAnsi="Times New Roman"/>
          <w:sz w:val="20"/>
          <w:szCs w:val="20"/>
          <w:color w:val="auto"/>
        </w:rPr>
      </w:pPr>
    </w:p>
    <w:p>
      <w:pPr>
        <w:ind w:left="640" w:right="20" w:firstLine="1286"/>
        <w:spacing w:after="0" w:line="247" w:lineRule="auto"/>
        <w:tabs>
          <w:tab w:leader="none" w:pos="237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the Notes properly accepted together with an Officer’s Certificate stating the aggregate principal amount of Notes or portions of Notes being purchased by the Issuer.</w:t>
      </w:r>
    </w:p>
    <w:p>
      <w:pPr>
        <w:spacing w:after="0" w:line="166"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Notes to be purchased shall, on the Change of Control Purchase Date, become due and payable at the Change of Control Payment, and from and after such date (unless the Issuer shall default in depositing the Change of Control Payment) such Notes shall cease to accrue interest. The Paying Agent will promptly mail to each Holder of Notes properly tendered the Change of Control Payment for such Notes (or, if such Notes are then in global form, it will make such payment thereon through the facilities of DTC), and the Issuer will promptly issue a new Note, and the Trustee, upon written request from the Issuer, will promptly authenticate and mail or deliver (or cause to be transferred by book entry) to each Holder such new Note in the principal amount equal to any unpurchased portion of the Notes surrendered by such Holder, if any. The Issuer will publicly announce the results of the Change of Control Offer on or as soon as practicable after the Change of Control Purchase Date.</w:t>
      </w:r>
    </w:p>
    <w:p>
      <w:pPr>
        <w:spacing w:after="0" w:line="177" w:lineRule="exact"/>
        <w:rPr>
          <w:sz w:val="20"/>
          <w:szCs w:val="20"/>
          <w:color w:val="auto"/>
        </w:rPr>
      </w:pPr>
    </w:p>
    <w:p>
      <w:pPr>
        <w:jc w:val="both"/>
        <w:ind w:firstLine="1286"/>
        <w:spacing w:after="0" w:line="236" w:lineRule="auto"/>
        <w:tabs>
          <w:tab w:leader="none" w:pos="17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described above that require the Issuer to make a Change of Control Offer following a Change of Control Triggering Event will be applicable whether or not any other provisions of this Indenture are applicable, except as described in paragraph (d) below.</w:t>
      </w:r>
    </w:p>
    <w:p>
      <w:pPr>
        <w:spacing w:after="0" w:line="174" w:lineRule="exact"/>
        <w:rPr>
          <w:rFonts w:ascii="Times New Roman" w:cs="Times New Roman" w:eastAsia="Times New Roman" w:hAnsi="Times New Roman"/>
          <w:sz w:val="20"/>
          <w:szCs w:val="20"/>
          <w:color w:val="auto"/>
        </w:rPr>
      </w:pPr>
    </w:p>
    <w:p>
      <w:pPr>
        <w:jc w:val="both"/>
        <w:ind w:firstLine="1286"/>
        <w:spacing w:after="0" w:line="229" w:lineRule="auto"/>
        <w:tabs>
          <w:tab w:leader="none" w:pos="170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4.15, the Issuer will not be required to make a Change of Control Offer upon a Change of Control Triggering Event if (1) a third party makes the Change of Control Offer in the manner, at the time and otherwise in compliance with the requirements set forth in this Section 4.15 applicable to a Change of Control Offer made by the Issuer and purchases all Notes properly tendered and not withdrawn under the Change of Control Offer, (2) notice of redemption of all outstanding Notes has been given pursuant to Section 3.03, unless and until there is a default in payment of the applicable redemption price or (3) in connection with or in contemplation of any Change of Control, the Issuer or a third party has made an offer to purchase (an “</w:t>
      </w:r>
      <w:r>
        <w:rPr>
          <w:rFonts w:ascii="Times New Roman" w:cs="Times New Roman" w:eastAsia="Times New Roman" w:hAnsi="Times New Roman"/>
          <w:sz w:val="20"/>
          <w:szCs w:val="20"/>
          <w:i w:val="1"/>
          <w:iCs w:val="1"/>
          <w:color w:val="auto"/>
        </w:rPr>
        <w:t>Alternate Offer</w:t>
      </w:r>
      <w:r>
        <w:rPr>
          <w:rFonts w:ascii="Times New Roman" w:cs="Times New Roman" w:eastAsia="Times New Roman" w:hAnsi="Times New Roman"/>
          <w:sz w:val="20"/>
          <w:szCs w:val="20"/>
          <w:color w:val="auto"/>
        </w:rPr>
        <w:t>”) any and all Notes validly tendered at a cash price equal to or higher than the Change of Control Payment and has purchased all Notes properly tendered in accordance with the terms of such Alternate Offer.</w:t>
      </w:r>
    </w:p>
    <w:p>
      <w:pPr>
        <w:spacing w:after="0" w:line="176" w:lineRule="exact"/>
        <w:rPr>
          <w:rFonts w:ascii="Times New Roman" w:cs="Times New Roman" w:eastAsia="Times New Roman" w:hAnsi="Times New Roman"/>
          <w:sz w:val="20"/>
          <w:szCs w:val="20"/>
          <w:color w:val="auto"/>
        </w:rPr>
      </w:pPr>
    </w:p>
    <w:p>
      <w:pPr>
        <w:jc w:val="both"/>
        <w:ind w:firstLine="1286"/>
        <w:spacing w:after="0" w:line="242" w:lineRule="auto"/>
        <w:tabs>
          <w:tab w:leader="none" w:pos="175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Indenture, a Change of Control Offer or an Alternate Offer may be made in advance of a Change of Control, or conditioned upon the consummation of such Change of Control, if a definitive agreement is in place for the Change of Control at the time the Change of Control Offer or Alternate Offer is made.</w:t>
      </w:r>
    </w:p>
    <w:p>
      <w:pPr>
        <w:spacing w:after="0" w:line="170" w:lineRule="exact"/>
        <w:rPr>
          <w:rFonts w:ascii="Times New Roman" w:cs="Times New Roman" w:eastAsia="Times New Roman" w:hAnsi="Times New Roman"/>
          <w:sz w:val="20"/>
          <w:szCs w:val="20"/>
          <w:color w:val="auto"/>
        </w:rPr>
      </w:pPr>
    </w:p>
    <w:p>
      <w:pPr>
        <w:jc w:val="both"/>
        <w:ind w:firstLine="1286"/>
        <w:spacing w:after="0" w:line="258" w:lineRule="auto"/>
        <w:tabs>
          <w:tab w:leader="none" w:pos="170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Indenture, in the event that, upon consummation of a Change of Control Offer, Alternate Offer, Asset Sale Offer or other tender offer, less than 10% of the aggregate principal amount of the Notes (including, without limitation, Additional Notes, if any) that were originally issued are outstanding and held by Holders other than the Issuer or Affiliates thereof, the Issuer will have the right, upon not less than 10 nor more than 60 days prior notice, to redeem all of the Notes that remain outstanding following such purchase at a redemption price equal to the price offered in such Change of Control Offer, Alternate Offer, Asset Sale Offer or other tender offer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not included in such amount, accrued and unpaid interest, if any, on the Notes that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6" w:right="339" w:bottom="1440" w:gutter="0" w:footer="0" w:header="0"/>
        </w:sectPr>
      </w:pPr>
    </w:p>
    <w:bookmarkStart w:id="91" w:name="page92"/>
    <w:bookmarkEnd w:id="91"/>
    <w:p>
      <w:pPr>
        <w:jc w:val="both"/>
        <w:spacing w:after="0" w:line="247" w:lineRule="auto"/>
        <w:rPr>
          <w:sz w:val="20"/>
          <w:szCs w:val="20"/>
          <w:color w:val="auto"/>
        </w:rPr>
      </w:pPr>
      <w:r>
        <w:rPr>
          <w:rFonts w:ascii="Times New Roman" w:cs="Times New Roman" w:eastAsia="Times New Roman" w:hAnsi="Times New Roman"/>
          <w:sz w:val="20"/>
          <w:szCs w:val="20"/>
          <w:color w:val="auto"/>
        </w:rPr>
        <w:t>remain outstanding, to the date of redemption, subject to the rights of Holders of Notes on the relevant record date to receive interest on the relevant Interest Payment Date.</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4.16</w:t>
      </w:r>
      <w:r>
        <w:rPr>
          <w:sz w:val="20"/>
          <w:szCs w:val="20"/>
          <w:color w:val="auto"/>
        </w:rPr>
        <w:tab/>
      </w:r>
      <w:r>
        <w:rPr>
          <w:rFonts w:ascii="Times New Roman" w:cs="Times New Roman" w:eastAsia="Times New Roman" w:hAnsi="Times New Roman"/>
          <w:sz w:val="18"/>
          <w:szCs w:val="18"/>
          <w:i w:val="1"/>
          <w:iCs w:val="1"/>
          <w:color w:val="auto"/>
        </w:rPr>
        <w:t>Additional Guarantees.</w:t>
      </w:r>
    </w:p>
    <w:p>
      <w:pPr>
        <w:spacing w:after="0" w:line="198"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 xml:space="preserve">If, after the Issue Date, any Restricted Subsidiary of the Issuer that is not already a Guarantor guarantees or otherwise becomes an obligor with respect to any other Indebtedness of the Issuer or any Guarantor in excess of the De Minimis Guaranteed Amount, then such Restricted Subsidiary will become a Guarantor by executing a supplemental indenture in substantially 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and delivering it to the Trustee within 20 Business Days of the date on which it guaranteed or became an obligor with respect to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preceding shall not apply to Subsidiaries of the Issuer that have properly been designated as Unrestricted Subsidiaries in accordance with this Indenture for so long as they continue to constitute Unrestricted Subsidiaries. Notwithstanding the preceding, any Guarantee of a Restricted Subsidiary that was incurred pursuant to this paragraph shall be subject to all limitations and provisions described in Article 10, including provisions for the release of such Guarantee.</w:t>
      </w:r>
    </w:p>
    <w:p>
      <w:pPr>
        <w:spacing w:after="0" w:line="175"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4.17</w:t>
      </w:r>
      <w:r>
        <w:rPr>
          <w:sz w:val="20"/>
          <w:szCs w:val="20"/>
          <w:color w:val="auto"/>
        </w:rPr>
        <w:tab/>
      </w:r>
      <w:r>
        <w:rPr>
          <w:rFonts w:ascii="Times New Roman" w:cs="Times New Roman" w:eastAsia="Times New Roman" w:hAnsi="Times New Roman"/>
          <w:sz w:val="18"/>
          <w:szCs w:val="18"/>
          <w:i w:val="1"/>
          <w:iCs w:val="1"/>
          <w:color w:val="auto"/>
        </w:rPr>
        <w:t>Designation of Restricted and Unrestricted Subsidiaries.</w:t>
      </w:r>
    </w:p>
    <w:p>
      <w:pPr>
        <w:spacing w:after="0" w:line="212"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The Issuer may after the Issue Date designate any Restricted Subsidiary to be an Unrestricted Subsidiary if that designation would not cause a Default. If a Restricted Subsidiary is designated as an Unrestricted Subsidiary after the Issue Date, the aggregate Fair Market Value of all outstanding Investments owned by the Issuer and its Restricted Subsidiaries in the Subsidiary designated as an Unrestricted Subsidiary will be deemed to either be an Investment made as a “Restricted Payment” as of the time of the designation that will reduce the amount available for Restricted Payments under Section 4.07 (a) or represent a Permitted Investment under one or more clauses of the definition of “Permitted Investments,” as determined in good faith by the Issuer. That designation will only be permitted if the Investment would be permitted at that time and if the Subsidiary so designated otherwise meets the definition of an “Unrestricted Subsidiary.”</w:t>
      </w:r>
    </w:p>
    <w:p>
      <w:pPr>
        <w:spacing w:after="0" w:line="177"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0"/>
          <w:szCs w:val="20"/>
          <w:color w:val="auto"/>
        </w:rPr>
        <w:t>Any designation of a Subsidiary of the Issuer as an Unrestricted Subsidiary will be evidenced to the Trustee by filing with the Trustee an Officer’s Certificate certifying that such designation complied with the preceding conditions and was permitted by Section 4.07.</w:t>
      </w:r>
    </w:p>
    <w:p>
      <w:pPr>
        <w:spacing w:after="0" w:line="151"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 xml:space="preserve">The Issuer may at any time designate any Unrestricted Subsidiary to be a Restricted Subsidiary of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designation will be deemed to be an incurrence of Indebtedness and Liens by a Restricted Subsidiary of the Issuer of any outstanding Indebtedness of such Unrestricted Subsidiary, and such designation will only be permitted if (1) such Indebtedness is permitted under Section 4.09, with the Fixed Charge Coverage Ratio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 if such designation had occurred at the beginning of the applicable reference period; (2) such Indebtedness is permitted under Section 4.12; and (3) no Default or Event of Default would be in existence following such designation.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of the Issuer as of such date and, if such Indebtedness or Liens are not permitted to be incurred as of such date under Sections 4.09 and/or 4.12, the Issuer will be in default of Section 4.09 and/or Section 4.12, as applicable.</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4.18</w:t>
      </w:r>
      <w:r>
        <w:rPr>
          <w:sz w:val="20"/>
          <w:szCs w:val="20"/>
          <w:color w:val="auto"/>
        </w:rPr>
        <w:tab/>
      </w:r>
      <w:r>
        <w:rPr>
          <w:rFonts w:ascii="Times New Roman" w:cs="Times New Roman" w:eastAsia="Times New Roman" w:hAnsi="Times New Roman"/>
          <w:sz w:val="18"/>
          <w:szCs w:val="18"/>
          <w:i w:val="1"/>
          <w:iCs w:val="1"/>
          <w:color w:val="auto"/>
        </w:rPr>
        <w:t>Covenant Termination.</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Notwithstanding any provision of this Indenture or of the Notes to the contrary, if at any time following the Issue Date (a) the Notes are rated Baa3 or better by Moody’s, BBB- or better by S&amp;P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96" w:right="339" w:bottom="1440" w:gutter="0" w:footer="0" w:header="0"/>
        </w:sectPr>
      </w:pPr>
    </w:p>
    <w:bookmarkStart w:id="92" w:name="page93"/>
    <w:bookmarkEnd w:id="92"/>
    <w:p>
      <w:pPr>
        <w:jc w:val="both"/>
        <w:spacing w:after="0" w:line="231" w:lineRule="auto"/>
        <w:rPr>
          <w:sz w:val="20"/>
          <w:szCs w:val="20"/>
          <w:color w:val="auto"/>
        </w:rPr>
      </w:pPr>
      <w:r>
        <w:rPr>
          <w:rFonts w:ascii="Times New Roman" w:cs="Times New Roman" w:eastAsia="Times New Roman" w:hAnsi="Times New Roman"/>
          <w:sz w:val="20"/>
          <w:szCs w:val="20"/>
          <w:color w:val="auto"/>
        </w:rPr>
        <w:t>BBB- or better by Fitch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 (b) no Default or Event of Default shall have occurred and be continuing under this Indenture and (c) the Issuer has delivered to the Trustee an Officer’s Certificate certifying to such events, Sections 3.10, 4.07, 4.08, 4.09, 4.10, 4.11 and 4.17 and Section 5.01(a)(4) of this Indenture will thereafter terminate and no Default or Event of Default shall result from any failure to comply with any of the provisions of such Sections.</w:t>
      </w:r>
    </w:p>
    <w:p>
      <w:pPr>
        <w:spacing w:after="0" w:line="178"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8"/>
          <w:szCs w:val="18"/>
          <w:color w:val="auto"/>
        </w:rPr>
        <w:t>The Trustee shall have no duty to monitor the ratings of the Notes, shall not be deemed to have knowledge of the ratings of the Notes and may conclusively rely on any Officer’s Certificate provided by the Issuer with respect to the ratings of the Notes. The Trustee shall have no duty to notify the Holders whether the Issuer and its Restricted Subsidiaries are subject to the covenants described in this Article 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SUCCESSORS</w:t>
      </w:r>
    </w:p>
    <w:p>
      <w:pPr>
        <w:spacing w:after="0" w:line="172"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5.01</w:t>
      </w:r>
      <w:r>
        <w:rPr>
          <w:sz w:val="20"/>
          <w:szCs w:val="20"/>
          <w:color w:val="auto"/>
        </w:rPr>
        <w:tab/>
      </w:r>
      <w:r>
        <w:rPr>
          <w:rFonts w:ascii="Times New Roman" w:cs="Times New Roman" w:eastAsia="Times New Roman" w:hAnsi="Times New Roman"/>
          <w:sz w:val="18"/>
          <w:szCs w:val="18"/>
          <w:i w:val="1"/>
          <w:iCs w:val="1"/>
          <w:color w:val="auto"/>
        </w:rPr>
        <w:t>Merger, Consolidation or Sale of Assets.</w:t>
      </w:r>
    </w:p>
    <w:p>
      <w:pPr>
        <w:spacing w:after="0" w:line="198" w:lineRule="exact"/>
        <w:rPr>
          <w:sz w:val="20"/>
          <w:szCs w:val="20"/>
          <w:color w:val="auto"/>
        </w:rPr>
      </w:pPr>
    </w:p>
    <w:p>
      <w:pPr>
        <w:jc w:val="both"/>
        <w:ind w:firstLine="1286"/>
        <w:spacing w:after="0" w:line="236" w:lineRule="auto"/>
        <w:tabs>
          <w:tab w:leader="none" w:pos="170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not, directly or indirectly, (x) consolidate or merge with or into another Person (whether or not the Issuer is the survivor), or (y) sell, assign, transfer, convey, lease or otherwise dispose of all or substantially all of its properties or assets, in one or more related transactions, to another Person, unless:</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31" w:lineRule="auto"/>
        <w:tabs>
          <w:tab w:leader="none" w:pos="2391"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either (a) the Issuer is the surviving Person or (b) the Person formed by or surviving any such consolidation or merger (if other than the Issuer) or to which such sale, assignment, transfer, conveyance, lease or other disposition has been made is a Person organized or existing under the laws of the United States, any state of the United States or the District of Columbia;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at any time such surviving Person is a limited liability company or limited partnership, there shall be a co-issuer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Notes that is a corporation organized or existing under the laws of the United States, any state of the United States or the District of Columbia;</w:t>
      </w:r>
    </w:p>
    <w:p>
      <w:pPr>
        <w:spacing w:after="0" w:line="177"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40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formed by or surviving any such consolidation or merger (if other than the Issuer) or the Person to which such sale, assignment, transfer, conveyance, lease or other disposition has been made assumes all the obligations of the Issuer under the Notes and this Indenture pursuant to a supplemental indenture or other agreement in a form reasonably satisfactory to the Trustee;</w:t>
      </w:r>
    </w:p>
    <w:p>
      <w:pPr>
        <w:spacing w:after="0" w:line="18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such transaction, no Default or Event of Default exists;</w:t>
      </w:r>
    </w:p>
    <w:p>
      <w:pPr>
        <w:spacing w:after="0" w:line="194" w:lineRule="exact"/>
        <w:rPr>
          <w:rFonts w:ascii="Times New Roman" w:cs="Times New Roman" w:eastAsia="Times New Roman" w:hAnsi="Times New Roman"/>
          <w:sz w:val="20"/>
          <w:szCs w:val="20"/>
          <w:color w:val="auto"/>
        </w:rPr>
      </w:pPr>
    </w:p>
    <w:p>
      <w:pPr>
        <w:ind w:left="640" w:firstLine="1286"/>
        <w:spacing w:after="0" w:line="249" w:lineRule="auto"/>
        <w:tabs>
          <w:tab w:leader="none" w:pos="2372"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such transaction and any related financing transaction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 if the same had occurred at the beginning of the applicable four-quarter period, either</w:t>
      </w:r>
    </w:p>
    <w:p>
      <w:pPr>
        <w:spacing w:after="0" w:line="164" w:lineRule="exact"/>
        <w:rPr>
          <w:rFonts w:ascii="Times New Roman" w:cs="Times New Roman" w:eastAsia="Times New Roman" w:hAnsi="Times New Roman"/>
          <w:sz w:val="20"/>
          <w:szCs w:val="20"/>
          <w:color w:val="auto"/>
        </w:rPr>
      </w:pPr>
    </w:p>
    <w:p>
      <w:pPr>
        <w:jc w:val="both"/>
        <w:ind w:left="1280" w:firstLine="1285"/>
        <w:spacing w:after="0" w:line="233" w:lineRule="auto"/>
        <w:tabs>
          <w:tab w:leader="none" w:pos="3122"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the Person formed by or surviving any such consolidation or merger (if other than the Issuer), or to which such sale, assignment, transfer, conveyance, lease or other disposition has been made, would be permitted to incur at least $1.00 of additional Indebtedness pursuant to the Fixed Charge Coverage Ratio test set forth in Section 4.09(a); 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96" w:right="339" w:bottom="1440" w:gutter="0" w:footer="0" w:header="0"/>
        </w:sectPr>
      </w:pPr>
    </w:p>
    <w:bookmarkStart w:id="93" w:name="page94"/>
    <w:bookmarkEnd w:id="93"/>
    <w:p>
      <w:pPr>
        <w:jc w:val="both"/>
        <w:ind w:left="1280" w:firstLine="1285"/>
        <w:spacing w:after="0" w:line="233" w:lineRule="auto"/>
        <w:tabs>
          <w:tab w:leader="none" w:pos="3199" w:val="left"/>
        </w:tabs>
        <w:numPr>
          <w:ilvl w:val="2"/>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Fixed Charge Coverage Ratio of the Issuer or the Person formed by or surviving any such consolidation or merger (if other than the Issuer), or to which such sale, assignment, transfer, conveyance, lease or other disposition has been made, is equal to or greater than the Fixed Charge Coverage Ratio of the Issuer immediately prior to such transaction; and</w:t>
      </w:r>
    </w:p>
    <w:p>
      <w:pPr>
        <w:spacing w:after="0" w:line="186" w:lineRule="exact"/>
        <w:rPr>
          <w:rFonts w:ascii="Times New Roman" w:cs="Times New Roman" w:eastAsia="Times New Roman" w:hAnsi="Times New Roman"/>
          <w:sz w:val="20"/>
          <w:szCs w:val="20"/>
          <w:color w:val="auto"/>
        </w:rPr>
      </w:pPr>
    </w:p>
    <w:p>
      <w:pPr>
        <w:ind w:left="640" w:firstLine="1286"/>
        <w:spacing w:after="0" w:line="247" w:lineRule="auto"/>
        <w:tabs>
          <w:tab w:leader="none" w:pos="2369"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has delivered to the Trustee an Officer’s Certificate and an Opinion of Counsel, each stating that such consolidation, merger or disposition and such supplemental indenture, if any, comply with this Indenture.</w:t>
      </w:r>
    </w:p>
    <w:p>
      <w:pPr>
        <w:spacing w:after="0" w:line="166" w:lineRule="exact"/>
        <w:rPr>
          <w:rFonts w:ascii="Times New Roman" w:cs="Times New Roman" w:eastAsia="Times New Roman" w:hAnsi="Times New Roman"/>
          <w:sz w:val="20"/>
          <w:szCs w:val="20"/>
          <w:color w:val="auto"/>
        </w:rPr>
      </w:pPr>
    </w:p>
    <w:p>
      <w:pPr>
        <w:jc w:val="both"/>
        <w:ind w:firstLine="1286"/>
        <w:spacing w:after="0" w:line="255" w:lineRule="auto"/>
        <w:tabs>
          <w:tab w:leader="none" w:pos="170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restrictions described in Sections 5.01(a)(3), 5.01(a)(4) or 5.01(a)(5), (i) any Restricted Subsidiary of the Issuer may consolidate with or merge into the Issuer and (ii) the Issuer may consolidate with or merge into or dispose all or substantially all of its properties or assets to any Guarantor; and the Issuer, in the case of clause (i) or (ii), will not be required to comply with Sections 5.01(a)</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 5.01(a)(4) or 5.01(a)(5) in connection with any such consolidation, merger or disposition.</w:t>
      </w:r>
    </w:p>
    <w:p>
      <w:pPr>
        <w:spacing w:after="0" w:line="174" w:lineRule="exact"/>
        <w:rPr>
          <w:rFonts w:ascii="Times New Roman" w:cs="Times New Roman" w:eastAsia="Times New Roman" w:hAnsi="Times New Roman"/>
          <w:sz w:val="18"/>
          <w:szCs w:val="18"/>
          <w:color w:val="auto"/>
        </w:rPr>
      </w:pPr>
    </w:p>
    <w:p>
      <w:pPr>
        <w:ind w:left="1720" w:hanging="434"/>
        <w:spacing w:after="0"/>
        <w:tabs>
          <w:tab w:leader="none" w:pos="1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5.01(a), the Issuer may reorganize as any other form of entity in accordance with the following</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procedures:</w:t>
      </w:r>
    </w:p>
    <w:p>
      <w:pPr>
        <w:spacing w:after="0" w:line="187" w:lineRule="exact"/>
        <w:rPr>
          <w:rFonts w:ascii="Times New Roman" w:cs="Times New Roman" w:eastAsia="Times New Roman" w:hAnsi="Times New Roman"/>
          <w:sz w:val="18"/>
          <w:szCs w:val="18"/>
          <w:color w:val="auto"/>
        </w:rPr>
      </w:pPr>
    </w:p>
    <w:p>
      <w:pPr>
        <w:ind w:left="640" w:right="20" w:firstLine="1286"/>
        <w:spacing w:after="0" w:line="247" w:lineRule="auto"/>
        <w:tabs>
          <w:tab w:leader="none" w:pos="238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reorganization involves the conversion (by merger, sale, contribution or exchange of assets or otherwise) of the Issuer into a form of entity other than a corporation formed under Delaware law;</w:t>
      </w:r>
    </w:p>
    <w:p>
      <w:pPr>
        <w:spacing w:after="0" w:line="166" w:lineRule="exact"/>
        <w:rPr>
          <w:rFonts w:ascii="Times New Roman" w:cs="Times New Roman" w:eastAsia="Times New Roman" w:hAnsi="Times New Roman"/>
          <w:sz w:val="20"/>
          <w:szCs w:val="20"/>
          <w:color w:val="auto"/>
        </w:rPr>
      </w:pPr>
    </w:p>
    <w:p>
      <w:pPr>
        <w:ind w:left="640" w:firstLine="1286"/>
        <w:spacing w:after="0" w:line="247" w:lineRule="auto"/>
        <w:tabs>
          <w:tab w:leader="none" w:pos="2363"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entity so formed by or resulting from such reorganization is an entity organized or existing under the laws of the United States, any state thereof or the District of Columbia;</w:t>
      </w:r>
    </w:p>
    <w:p>
      <w:pPr>
        <w:spacing w:after="0" w:line="166" w:lineRule="exact"/>
        <w:rPr>
          <w:rFonts w:ascii="Times New Roman" w:cs="Times New Roman" w:eastAsia="Times New Roman" w:hAnsi="Times New Roman"/>
          <w:sz w:val="20"/>
          <w:szCs w:val="20"/>
          <w:color w:val="auto"/>
        </w:rPr>
      </w:pPr>
    </w:p>
    <w:p>
      <w:pPr>
        <w:ind w:left="640" w:firstLine="1286"/>
        <w:spacing w:after="0" w:line="301" w:lineRule="auto"/>
        <w:tabs>
          <w:tab w:leader="none" w:pos="237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so formed by or resulting from such reorganization assumes all the obligations of the Issuer under the Notes and this Indenture pursuant to a supplemental indenture or other agreement in a form reasonably satisfactory to the Trustee;</w:t>
      </w:r>
    </w:p>
    <w:p>
      <w:pPr>
        <w:spacing w:after="0" w:line="120" w:lineRule="exact"/>
        <w:rPr>
          <w:rFonts w:ascii="Times New Roman" w:cs="Times New Roman" w:eastAsia="Times New Roman" w:hAnsi="Times New Roman"/>
          <w:sz w:val="18"/>
          <w:szCs w:val="18"/>
          <w:color w:val="auto"/>
        </w:rPr>
      </w:pPr>
    </w:p>
    <w:p>
      <w:pPr>
        <w:ind w:left="2340" w:hanging="414"/>
        <w:spacing w:after="0"/>
        <w:tabs>
          <w:tab w:leader="none" w:pos="23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such reorganization no Default or Event of Default exists; and</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383"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reorganization is not materially adverse to the Holders or Beneficial Owners of the Notes (for purposes of this clause (5) a reorganization will not be considered materially adverse to the Holders or Beneficial Owners of the Notes solely because the successor or survivor of such reorganization (a) is subject to federal or state income taxation as an entity or (b) is considered to be an “includible corporation” of an affiliated group of corporations within the meaning of Section 1504(b) of the Code or any similar state or local law).</w:t>
      </w:r>
    </w:p>
    <w:p>
      <w:pPr>
        <w:spacing w:after="0" w:line="176"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3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Guarantor may not sell or otherwise dispose of, in one or a series of related transactions, all or substantially all of its properties or assets to, or consolidate with or merge with or into (whether or not such Guarantor is the surviving Person) another Person, other than the Issuer or another Guarantor, unless:</w:t>
      </w:r>
    </w:p>
    <w:p>
      <w:pPr>
        <w:spacing w:after="0" w:line="174" w:lineRule="exact"/>
        <w:rPr>
          <w:rFonts w:ascii="Times New Roman" w:cs="Times New Roman" w:eastAsia="Times New Roman" w:hAnsi="Times New Roman"/>
          <w:sz w:val="20"/>
          <w:szCs w:val="20"/>
          <w:color w:val="auto"/>
        </w:rPr>
      </w:pPr>
    </w:p>
    <w:p>
      <w:pPr>
        <w:ind w:left="2480" w:hanging="554"/>
        <w:spacing w:after="0"/>
        <w:tabs>
          <w:tab w:leader="none" w:pos="248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or series of related transactions, no Default or Event of</w:t>
      </w:r>
    </w:p>
    <w:p>
      <w:pPr>
        <w:spacing w:after="0" w:line="18"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exists; and</w:t>
      </w:r>
    </w:p>
    <w:p>
      <w:pPr>
        <w:spacing w:after="0" w:line="161"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6" w:right="339" w:bottom="1440" w:gutter="0" w:footer="0" w:header="0"/>
        </w:sectPr>
      </w:pPr>
    </w:p>
    <w:bookmarkStart w:id="94" w:name="page95"/>
    <w:bookmarkEnd w:id="94"/>
    <w:p>
      <w:pPr>
        <w:jc w:val="both"/>
        <w:ind w:left="1280" w:firstLine="1285"/>
        <w:spacing w:after="0" w:line="236" w:lineRule="auto"/>
        <w:tabs>
          <w:tab w:leader="none" w:pos="312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surviving any such consolidation or merger (if other than the Guarantor) unconditionally assumes all the obligations of that Guarantor under its Guarantee and this Indenture pursuant to a supplemental indenture or other agreement in form reasonably satisfactory to the Trustee; or</w:t>
      </w:r>
    </w:p>
    <w:p>
      <w:pPr>
        <w:spacing w:after="0" w:line="174" w:lineRule="exact"/>
        <w:rPr>
          <w:rFonts w:ascii="Times New Roman" w:cs="Times New Roman" w:eastAsia="Times New Roman" w:hAnsi="Times New Roman"/>
          <w:sz w:val="20"/>
          <w:szCs w:val="20"/>
          <w:color w:val="auto"/>
        </w:rPr>
      </w:pPr>
    </w:p>
    <w:p>
      <w:pPr>
        <w:ind w:left="3020" w:hanging="455"/>
        <w:spacing w:after="0"/>
        <w:tabs>
          <w:tab w:leader="none" w:pos="30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transaction or series of transactions does not violate Section 4.10.</w:t>
      </w:r>
    </w:p>
    <w:p>
      <w:pPr>
        <w:spacing w:after="0" w:line="210"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In case of any such consolidation, merger, sale or other disposition and upon the assumption by the successor Person, by supplemental indenture, executed and delivered to the Trustee and satisfactory in form to the Trustee, of the Guarantee of the Guarantor and the due and punctual performance of all of the covenants and conditions of this Indenture to be performed by the Guarantor, such successor Person will succeed to and be substituted for the Guarantor with the same effect as if it had been named herein as a Guarantor.</w:t>
      </w:r>
    </w:p>
    <w:p>
      <w:pPr>
        <w:spacing w:after="0" w:line="173" w:lineRule="exact"/>
        <w:rPr>
          <w:sz w:val="20"/>
          <w:szCs w:val="20"/>
          <w:color w:val="auto"/>
        </w:rPr>
      </w:pPr>
    </w:p>
    <w:p>
      <w:pPr>
        <w:jc w:val="both"/>
        <w:ind w:firstLine="1286"/>
        <w:spacing w:after="0" w:line="233" w:lineRule="auto"/>
        <w:tabs>
          <w:tab w:leader="none" w:pos="170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5.01, the transfer (by lease, assignment, sale or otherwise, in a single transaction or series of transactions) of all or substantially all of the properties or assets of one or more Restricted Subsidiaries of the Issuer, the Capital Stock of which constitutes all or substantially all of the properties or assets of the Issuer, shall be deemed to be the transfer of all or substantially all of the properties or assets of the Issuer.</w:t>
      </w:r>
    </w:p>
    <w:p>
      <w:pPr>
        <w:spacing w:after="0" w:line="186" w:lineRule="exact"/>
        <w:rPr>
          <w:rFonts w:ascii="Times New Roman" w:cs="Times New Roman" w:eastAsia="Times New Roman" w:hAnsi="Times New Roman"/>
          <w:sz w:val="20"/>
          <w:szCs w:val="20"/>
          <w:color w:val="auto"/>
        </w:rPr>
      </w:pPr>
    </w:p>
    <w:p>
      <w:pPr>
        <w:jc w:val="both"/>
        <w:ind w:firstLine="1286"/>
        <w:spacing w:after="0" w:line="228" w:lineRule="auto"/>
        <w:tabs>
          <w:tab w:leader="none" w:pos="169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75"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5.02</w:t>
      </w:r>
      <w:r>
        <w:rPr>
          <w:sz w:val="20"/>
          <w:szCs w:val="20"/>
          <w:color w:val="auto"/>
        </w:rPr>
        <w:tab/>
      </w:r>
      <w:r>
        <w:rPr>
          <w:rFonts w:ascii="Times New Roman" w:cs="Times New Roman" w:eastAsia="Times New Roman" w:hAnsi="Times New Roman"/>
          <w:sz w:val="18"/>
          <w:szCs w:val="18"/>
          <w:i w:val="1"/>
          <w:iCs w:val="1"/>
          <w:color w:val="auto"/>
        </w:rPr>
        <w:t>Successor Issuer Substituted.</w:t>
      </w:r>
    </w:p>
    <w:p>
      <w:pPr>
        <w:spacing w:after="0" w:line="21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conveyance, lease or other disposition of all or substantially all of the properties or assets of the Issuer in a transaction that is subject to, and that complies with the provisions of, Section 5.01 in which the Issuer is not the surviving or successor Person, the successor Person formed by such consolidation or into or with which the Issuer is merged or to which such sale, assignment, transfer, conveyance, lease or other disposition is made shall succeed to, and be substituted for, and may exercise every right and power of the Issuer under this Indenture with the same effect as if such successor Person had been named as the predecessor Issuer herein and shall be substituted for the Issuer (so that from and after the date of such consolidation, merger, sale, assignment, transfer, lease, conveyance or other disposition, the provisions of this Indenture referring to the “Issuer” shall refer instead to the successor Person and not to the predecessor Issuer) and such predecessor Issuer shall be discharged and released from all of its obligations and covenants under this Indenture and the Notes and the Trustee shall enter into a supplemental indenture to evidence the succession and substitution of such successor and such discharge and release of such predecessor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predecessor Issuer shall not be relieved from the obligation to pay the principal of, or premium or interest, if any, on, the Notes in the case of a lease of all or substantially all of the Issuer’s properties or assets in a transaction that is subject to, and that complies with the provisions of, Section 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396" w:right="339" w:bottom="1440" w:gutter="0" w:footer="0" w:header="0"/>
        </w:sectPr>
      </w:pPr>
    </w:p>
    <w:bookmarkStart w:id="95" w:name="page96"/>
    <w:bookmarkEnd w:id="95"/>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DEFAULTS AND REMEDIES</w:t>
      </w:r>
    </w:p>
    <w:p>
      <w:pPr>
        <w:spacing w:after="0" w:line="172"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18"/>
          <w:szCs w:val="18"/>
          <w:i w:val="1"/>
          <w:iCs w:val="1"/>
          <w:color w:val="auto"/>
        </w:rPr>
        <w:t>Events of Default.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of the following is an “</w:t>
      </w:r>
      <w:r>
        <w:rPr>
          <w:rFonts w:ascii="Times New Roman" w:cs="Times New Roman" w:eastAsia="Times New Roman" w:hAnsi="Times New Roman"/>
          <w:sz w:val="20"/>
          <w:szCs w:val="20"/>
          <w:i w:val="1"/>
          <w:iCs w:val="1"/>
          <w:color w:val="auto"/>
        </w:rPr>
        <w:t>Event of Default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1700" w:hanging="414"/>
        <w:spacing w:after="0"/>
        <w:tabs>
          <w:tab w:leader="none" w:pos="17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for 30 days in the payment when due of interest on the Notes;</w:t>
      </w:r>
    </w:p>
    <w:p>
      <w:pPr>
        <w:spacing w:after="0" w:line="196" w:lineRule="exact"/>
        <w:rPr>
          <w:rFonts w:ascii="Times New Roman" w:cs="Times New Roman" w:eastAsia="Times New Roman" w:hAnsi="Times New Roman"/>
          <w:sz w:val="20"/>
          <w:szCs w:val="20"/>
          <w:color w:val="auto"/>
        </w:rPr>
      </w:pPr>
    </w:p>
    <w:p>
      <w:pPr>
        <w:ind w:left="1760" w:hanging="474"/>
        <w:spacing w:after="0"/>
        <w:tabs>
          <w:tab w:leader="none" w:pos="1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Stated Maturity, upon redemption or otherwise) of the principal of, or premium, if</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on, the Notes;</w:t>
      </w:r>
    </w:p>
    <w:p>
      <w:pPr>
        <w:spacing w:after="0" w:line="174" w:lineRule="exact"/>
        <w:rPr>
          <w:rFonts w:ascii="Times New Roman" w:cs="Times New Roman" w:eastAsia="Times New Roman" w:hAnsi="Times New Roman"/>
          <w:sz w:val="18"/>
          <w:szCs w:val="18"/>
          <w:color w:val="auto"/>
        </w:rPr>
      </w:pPr>
    </w:p>
    <w:p>
      <w:pPr>
        <w:jc w:val="both"/>
        <w:ind w:firstLine="1286"/>
        <w:spacing w:after="0" w:line="236" w:lineRule="auto"/>
        <w:tabs>
          <w:tab w:leader="none" w:pos="172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for 30 days after written notice has been given, by certified mail, (1) to the Issuer by the Trustee at the direction of the Holders of at least 25% in aggregate principal amount of the Notes then outstanding or (2) to the Issuer and the Trustee by the Holders of at least 25% in aggregate principal amount of the Notes then outstanding to comply with its obligations to offer to repurchase or repurchase the Notes described under Section 3.10, 4.10 or 4.15;</w:t>
      </w:r>
    </w:p>
    <w:p>
      <w:pPr>
        <w:spacing w:after="0" w:line="174"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to comply with Section 5.01;</w:t>
      </w:r>
    </w:p>
    <w:p>
      <w:pPr>
        <w:spacing w:after="0" w:line="196"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1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for 180 days after written notice has been given, by certified mail, (1) to the Issuer by the Trustee at the direction of the Holders of at least 25% in aggregate principal amount of the Notes then outstanding or (2) to the Issuer and the Trustee by the Holders of at least 25% in aggregate principal amount of the Notes then outstanding to comply with Section 4.03;</w:t>
      </w:r>
    </w:p>
    <w:p>
      <w:pPr>
        <w:spacing w:after="0" w:line="174"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0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for 60 days after written notice has been given, by certified mail, (1) to the Issuer by the Trustee at the direction of the Holders of at least 25% in aggregate principal amount of the Notes then outstanding or (2) to the Issuer and the Trustee by the Holders of at least 25% in aggregate principal amount of the Notes then outstanding to comply with any of the other agreements in this Indenture;</w:t>
      </w:r>
    </w:p>
    <w:p>
      <w:pPr>
        <w:spacing w:after="0" w:line="174" w:lineRule="exact"/>
        <w:rPr>
          <w:rFonts w:ascii="Times New Roman" w:cs="Times New Roman" w:eastAsia="Times New Roman" w:hAnsi="Times New Roman"/>
          <w:sz w:val="20"/>
          <w:szCs w:val="20"/>
          <w:color w:val="auto"/>
        </w:rPr>
      </w:pPr>
    </w:p>
    <w:p>
      <w:pPr>
        <w:jc w:val="both"/>
        <w:ind w:firstLine="1286"/>
        <w:spacing w:after="0" w:line="233" w:lineRule="auto"/>
        <w:tabs>
          <w:tab w:leader="none" w:pos="185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whether such Indebtedness or guarantee now exists, or is created after the Issue Date, if that default:</w:t>
      </w:r>
    </w:p>
    <w:p>
      <w:pPr>
        <w:spacing w:after="0" w:line="173" w:lineRule="exact"/>
        <w:rPr>
          <w:rFonts w:ascii="Times New Roman" w:cs="Times New Roman" w:eastAsia="Times New Roman" w:hAnsi="Times New Roman"/>
          <w:sz w:val="20"/>
          <w:szCs w:val="20"/>
          <w:color w:val="auto"/>
        </w:rPr>
      </w:pPr>
    </w:p>
    <w:p>
      <w:pPr>
        <w:ind w:left="640" w:right="20" w:firstLine="1286"/>
        <w:spacing w:after="0" w:line="247" w:lineRule="auto"/>
        <w:tabs>
          <w:tab w:leader="none" w:pos="244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20"/>
          <w:szCs w:val="20"/>
          <w:i w:val="1"/>
          <w:iCs w:val="1"/>
          <w:color w:val="auto"/>
        </w:rPr>
        <w:t>Payment Default</w:t>
      </w:r>
      <w:r>
        <w:rPr>
          <w:rFonts w:ascii="Times New Roman" w:cs="Times New Roman" w:eastAsia="Times New Roman" w:hAnsi="Times New Roman"/>
          <w:sz w:val="20"/>
          <w:szCs w:val="20"/>
          <w:color w:val="auto"/>
        </w:rPr>
        <w:t>”); or</w:t>
      </w:r>
    </w:p>
    <w:p>
      <w:pPr>
        <w:spacing w:after="0" w:line="179"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 the acceleration of such Indebtedness prior to its express maturity,</w:t>
      </w:r>
    </w:p>
    <w:p>
      <w:pPr>
        <w:spacing w:after="0" w:line="1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and, in each case, the principal amount of any such Indebtedness, together with the principal amount of any other such Indebtedness under which there has been a Payment Default or the maturity of which has been so accelerated, aggregates $100.0 million and, within 20 Business Days of such Payment Default or acceleration, such Indebtedness has not been discharged or such Payment Default has not been cured or such acceleration has not been rescinded or annulled;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0" w:lineRule="exact"/>
        <w:rPr>
          <w:sz w:val="20"/>
          <w:szCs w:val="20"/>
          <w:color w:val="auto"/>
        </w:rPr>
      </w:pPr>
    </w:p>
    <w:p>
      <w:pPr>
        <w:jc w:val="both"/>
        <w:ind w:firstLine="1286"/>
        <w:spacing w:after="0" w:line="236" w:lineRule="auto"/>
        <w:tabs>
          <w:tab w:leader="none" w:pos="171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or any of its Restricted Subsidiaries to pay final judgments entered by a court or courts of competent jurisdiction aggregating in excess of $100.0 million (to the extent not covered by insurance by a reputable and creditworthy insurer as to which the insurer has not disclaimed coverage), which judgments are not paid, discharged or stayed, for a period of 60 days;</w:t>
      </w:r>
    </w:p>
    <w:p>
      <w:pPr>
        <w:spacing w:after="0" w:line="174" w:lineRule="exact"/>
        <w:rPr>
          <w:rFonts w:ascii="Times New Roman" w:cs="Times New Roman" w:eastAsia="Times New Roman" w:hAnsi="Times New Roman"/>
          <w:sz w:val="20"/>
          <w:szCs w:val="20"/>
          <w:color w:val="auto"/>
        </w:rPr>
      </w:pPr>
    </w:p>
    <w:p>
      <w:pPr>
        <w:ind w:firstLine="1286"/>
        <w:spacing w:after="0" w:line="317" w:lineRule="auto"/>
        <w:tabs>
          <w:tab w:leader="none" w:pos="179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Issuer’s Restricted Subsidiaries that is a Significant Subsidiary or any group of Restricted Subsidiaries of the Issuer that, taken together, would constitute a Significant Subsidiary pursuant to or within the meaning of Bankruptcy Law:</w:t>
      </w:r>
    </w:p>
    <w:p>
      <w:pPr>
        <w:spacing w:after="0" w:line="106" w:lineRule="exact"/>
        <w:rPr>
          <w:rFonts w:ascii="Times New Roman" w:cs="Times New Roman" w:eastAsia="Times New Roman" w:hAnsi="Times New Roman"/>
          <w:sz w:val="18"/>
          <w:szCs w:val="18"/>
          <w:color w:val="auto"/>
        </w:rPr>
      </w:pPr>
    </w:p>
    <w:p>
      <w:pPr>
        <w:ind w:left="2340" w:hanging="414"/>
        <w:spacing w:after="0"/>
        <w:tabs>
          <w:tab w:leader="none" w:pos="234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commences a voluntary case,</w:t>
      </w:r>
    </w:p>
    <w:p>
      <w:pPr>
        <w:spacing w:after="0" w:line="19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entry of an order for relief against it in an involuntary case,</w:t>
      </w:r>
    </w:p>
    <w:p>
      <w:pPr>
        <w:spacing w:after="0" w:line="19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appointment of a custodian of it or for all or substantially all of its property,</w:t>
      </w:r>
    </w:p>
    <w:p>
      <w:pPr>
        <w:spacing w:after="0" w:line="19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for the benefit of its creditors, or</w:t>
      </w:r>
    </w:p>
    <w:p>
      <w:pPr>
        <w:spacing w:after="0" w:line="19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is not paying its debts as they become due;</w:t>
      </w:r>
    </w:p>
    <w:p>
      <w:pPr>
        <w:spacing w:after="0" w:line="196" w:lineRule="exact"/>
        <w:rPr>
          <w:rFonts w:ascii="Times New Roman" w:cs="Times New Roman" w:eastAsia="Times New Roman" w:hAnsi="Times New Roman"/>
          <w:sz w:val="20"/>
          <w:szCs w:val="20"/>
          <w:color w:val="auto"/>
        </w:rPr>
      </w:pPr>
    </w:p>
    <w:p>
      <w:pPr>
        <w:ind w:left="1660" w:hanging="374"/>
        <w:spacing w:after="0"/>
        <w:tabs>
          <w:tab w:leader="none" w:pos="16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Bankruptcy Law that:</w:t>
      </w:r>
    </w:p>
    <w:p>
      <w:pPr>
        <w:spacing w:after="0" w:line="196" w:lineRule="exact"/>
        <w:rPr>
          <w:rFonts w:ascii="Times New Roman" w:cs="Times New Roman" w:eastAsia="Times New Roman" w:hAnsi="Times New Roman"/>
          <w:sz w:val="20"/>
          <w:szCs w:val="20"/>
          <w:color w:val="auto"/>
        </w:rPr>
      </w:pPr>
    </w:p>
    <w:p>
      <w:pPr>
        <w:ind w:left="640" w:right="20" w:firstLine="1286"/>
        <w:spacing w:after="0" w:line="317" w:lineRule="auto"/>
        <w:tabs>
          <w:tab w:leader="none" w:pos="235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or any of the Issuer’s Restricted Subsidiaries that is a Significant Subsidiary or any group of Restricted Subsidiaries of the Issuer that, taken together, would constitute a Significant Subsidiary in an involuntary case;</w:t>
      </w:r>
    </w:p>
    <w:p>
      <w:pPr>
        <w:spacing w:after="0" w:line="106" w:lineRule="exact"/>
        <w:rPr>
          <w:rFonts w:ascii="Times New Roman" w:cs="Times New Roman" w:eastAsia="Times New Roman" w:hAnsi="Times New Roman"/>
          <w:sz w:val="18"/>
          <w:szCs w:val="18"/>
          <w:color w:val="auto"/>
        </w:rPr>
      </w:pPr>
    </w:p>
    <w:p>
      <w:pPr>
        <w:jc w:val="both"/>
        <w:ind w:left="640" w:firstLine="1286"/>
        <w:spacing w:after="0" w:line="233" w:lineRule="auto"/>
        <w:tabs>
          <w:tab w:leader="none" w:pos="2357"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appoints a custodian of the Issuer or any of the Issuer’s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w:t>
      </w:r>
    </w:p>
    <w:p>
      <w:pPr>
        <w:spacing w:after="0" w:line="173" w:lineRule="exact"/>
        <w:rPr>
          <w:rFonts w:ascii="Times New Roman" w:cs="Times New Roman" w:eastAsia="Times New Roman" w:hAnsi="Times New Roman"/>
          <w:sz w:val="20"/>
          <w:szCs w:val="20"/>
          <w:color w:val="auto"/>
        </w:rPr>
      </w:pPr>
    </w:p>
    <w:p>
      <w:pPr>
        <w:ind w:left="640" w:firstLine="1286"/>
        <w:spacing w:after="0" w:line="247" w:lineRule="auto"/>
        <w:tabs>
          <w:tab w:leader="none" w:pos="2342"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orders the liquidation of the Issuer or any of the Issuer’s Restricted Subsidiaries that is a Significant Subsidiary or any group of Restricted Subsidiaries of the Issuer that, taken together, would constitute a Significant Subsidiary;</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and the order or decree remains unstayed and in effect for 60 consecutive days; and</w:t>
      </w:r>
    </w:p>
    <w:p>
      <w:pPr>
        <w:spacing w:after="0" w:line="210" w:lineRule="exact"/>
        <w:rPr>
          <w:sz w:val="20"/>
          <w:szCs w:val="20"/>
          <w:color w:val="auto"/>
        </w:rPr>
      </w:pPr>
    </w:p>
    <w:p>
      <w:pPr>
        <w:jc w:val="both"/>
        <w:ind w:firstLine="1286"/>
        <w:spacing w:after="0" w:line="274" w:lineRule="auto"/>
        <w:tabs>
          <w:tab w:leader="none" w:pos="173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Guarantee is held in any judicial proceeding to be unenforceable or invalid or ceases for any reason to be in full force and effect, or any Guarantor, or any Person acting on behalf of any Guarantor, denies or disaffirms its obligations under its Guarantee, except, in each case, by reason of the release of such Guarantee in accordance with this Indenture.</w:t>
      </w:r>
    </w:p>
    <w:p>
      <w:pPr>
        <w:spacing w:after="0" w:line="144"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Any notice of Default or an Event of Default, notice of acceleration or instruction to the Trustee to provide a notice of Default or an Event of Default, notice of acceleration or to take any other action (a “</w:t>
      </w:r>
      <w:r>
        <w:rPr>
          <w:rFonts w:ascii="Times New Roman" w:cs="Times New Roman" w:eastAsia="Times New Roman" w:hAnsi="Times New Roman"/>
          <w:sz w:val="20"/>
          <w:szCs w:val="20"/>
          <w:i w:val="1"/>
          <w:iCs w:val="1"/>
          <w:color w:val="auto"/>
        </w:rPr>
        <w:t>Noteholder Direction</w:t>
      </w:r>
      <w:r>
        <w:rPr>
          <w:rFonts w:ascii="Times New Roman" w:cs="Times New Roman" w:eastAsia="Times New Roman" w:hAnsi="Times New Roman"/>
          <w:sz w:val="20"/>
          <w:szCs w:val="20"/>
          <w:color w:val="auto"/>
        </w:rPr>
        <w:t>”) provided by any one or more Holders (each, a “</w:t>
      </w:r>
      <w:r>
        <w:rPr>
          <w:rFonts w:ascii="Times New Roman" w:cs="Times New Roman" w:eastAsia="Times New Roman" w:hAnsi="Times New Roman"/>
          <w:sz w:val="20"/>
          <w:szCs w:val="20"/>
          <w:i w:val="1"/>
          <w:iCs w:val="1"/>
          <w:color w:val="auto"/>
        </w:rPr>
        <w:t>Directing Holder</w:t>
      </w:r>
      <w:r>
        <w:rPr>
          <w:rFonts w:ascii="Times New Roman" w:cs="Times New Roman" w:eastAsia="Times New Roman" w:hAnsi="Times New Roman"/>
          <w:sz w:val="20"/>
          <w:szCs w:val="20"/>
          <w:color w:val="auto"/>
        </w:rPr>
        <w:t>”) must be accompanied by a written representation from each such Holder to the Issuer and the Trustee that such Holder is not, or, in the case such Holder is DTC or DTC’s nominee, that such Holder is being instructed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97" w:name="page98"/>
    <w:bookmarkEnd w:id="97"/>
    <w:p>
      <w:pPr>
        <w:jc w:val="both"/>
        <w:spacing w:after="0" w:line="229" w:lineRule="auto"/>
        <w:rPr>
          <w:sz w:val="20"/>
          <w:szCs w:val="20"/>
          <w:color w:val="auto"/>
        </w:rPr>
      </w:pPr>
      <w:r>
        <w:rPr>
          <w:rFonts w:ascii="Times New Roman" w:cs="Times New Roman" w:eastAsia="Times New Roman" w:hAnsi="Times New Roman"/>
          <w:sz w:val="20"/>
          <w:szCs w:val="20"/>
          <w:color w:val="auto"/>
        </w:rPr>
        <w:t>solely by beneficial owners that are not, Net Short (a “</w:t>
      </w:r>
      <w:r>
        <w:rPr>
          <w:rFonts w:ascii="Times New Roman" w:cs="Times New Roman" w:eastAsia="Times New Roman" w:hAnsi="Times New Roman"/>
          <w:sz w:val="20"/>
          <w:szCs w:val="20"/>
          <w:i w:val="1"/>
          <w:iCs w:val="1"/>
          <w:color w:val="auto"/>
        </w:rPr>
        <w:t>Position Representation</w:t>
      </w:r>
      <w:r>
        <w:rPr>
          <w:rFonts w:ascii="Times New Roman" w:cs="Times New Roman" w:eastAsia="Times New Roman" w:hAnsi="Times New Roman"/>
          <w:sz w:val="20"/>
          <w:szCs w:val="20"/>
          <w:color w:val="auto"/>
        </w:rPr>
        <w:t>”), which representation, in the case of a Noteholder Direction relating to a notice of Event of Default shall be deemed repeated at all times until the resulting Event of Default is cured or otherwise ceases to exist or the Notes are accelerated. In addition, each Directing Holder must, at the time of providing a Noteholder Direction, provide the Issuer with such other information as the Issuer may reasonably request from time to time in order to verify the accuracy of such Directing Holder’s Position Representation within five Business Days of request therefor (a “</w:t>
      </w:r>
      <w:r>
        <w:rPr>
          <w:rFonts w:ascii="Times New Roman" w:cs="Times New Roman" w:eastAsia="Times New Roman" w:hAnsi="Times New Roman"/>
          <w:sz w:val="20"/>
          <w:szCs w:val="20"/>
          <w:i w:val="1"/>
          <w:iCs w:val="1"/>
          <w:color w:val="auto"/>
        </w:rPr>
        <w:t>Verification Covenant</w:t>
      </w:r>
      <w:r>
        <w:rPr>
          <w:rFonts w:ascii="Times New Roman" w:cs="Times New Roman" w:eastAsia="Times New Roman" w:hAnsi="Times New Roman"/>
          <w:sz w:val="20"/>
          <w:szCs w:val="20"/>
          <w:color w:val="auto"/>
        </w:rPr>
        <w:t>”). In any case in which the Holder is DTC or DTC’s nominee, any Position Representation or Verification Covenant required hereunder shall be provided by the beneficial owner of the Notes in lieu of DTC or DTC’s nominee and DTC or its nominee shall be entitled to conclusively rely on such Position Representation and Verification Covenant in delivering its direction to the Trustee.</w:t>
      </w:r>
    </w:p>
    <w:p>
      <w:pPr>
        <w:spacing w:after="0" w:line="179" w:lineRule="exact"/>
        <w:rPr>
          <w:sz w:val="20"/>
          <w:szCs w:val="20"/>
          <w:color w:val="auto"/>
        </w:rPr>
      </w:pPr>
    </w:p>
    <w:p>
      <w:pPr>
        <w:jc w:val="both"/>
        <w:ind w:firstLine="640"/>
        <w:spacing w:after="0" w:line="225" w:lineRule="auto"/>
        <w:rPr>
          <w:sz w:val="20"/>
          <w:szCs w:val="20"/>
          <w:color w:val="auto"/>
        </w:rPr>
      </w:pPr>
      <w:r>
        <w:rPr>
          <w:rFonts w:ascii="Times New Roman" w:cs="Times New Roman" w:eastAsia="Times New Roman" w:hAnsi="Times New Roman"/>
          <w:sz w:val="20"/>
          <w:szCs w:val="20"/>
          <w:color w:val="auto"/>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shall be automatically stayed and the cure period with respect to such Default or Event of Default shall be automatically reinstituted and any remedy stayed pending a final and non-appealable determination of a court of competent jurisdiction on such matter (a “</w:t>
      </w:r>
      <w:r>
        <w:rPr>
          <w:rFonts w:ascii="Times New Roman" w:cs="Times New Roman" w:eastAsia="Times New Roman" w:hAnsi="Times New Roman"/>
          <w:sz w:val="20"/>
          <w:szCs w:val="20"/>
          <w:i w:val="1"/>
          <w:iCs w:val="1"/>
          <w:color w:val="auto"/>
        </w:rPr>
        <w:t>Final Decision</w:t>
      </w:r>
      <w:r>
        <w:rPr>
          <w:rFonts w:ascii="Times New Roman" w:cs="Times New Roman" w:eastAsia="Times New Roman" w:hAnsi="Times New Roman"/>
          <w:sz w:val="20"/>
          <w:szCs w:val="20"/>
          <w:color w:val="auto"/>
        </w:rPr>
        <w:t>”). Once such Officer’s Certificate has been provided to the Trustee, the Trustee shall take no future action pursuant to the related Noteholder Direction until it receives notices of a Final Decision. If, following the delivery of a Noteholder Direction, but prior to acceleration of the Notes, the Issuer provides to the Trustee an Officer’s Certificate stating that a Directing Holder failed to satisfy its Verification Covenant (a “</w:t>
      </w:r>
      <w:r>
        <w:rPr>
          <w:rFonts w:ascii="Times New Roman" w:cs="Times New Roman" w:eastAsia="Times New Roman" w:hAnsi="Times New Roman"/>
          <w:sz w:val="20"/>
          <w:szCs w:val="20"/>
          <w:i w:val="1"/>
          <w:iCs w:val="1"/>
          <w:color w:val="auto"/>
        </w:rPr>
        <w:t>Verification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the cure period with respect to such Default shall be automatically stayed and the cure period with respect to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Default or Event of Default that resulted from the applicable Noteholder Direction shall be automatically reinstituted and any remedy stayed pending satisfaction of such Verification Covenant, and the Trustee shall take no further action pursuant to the related Noteholder Direction until the Issuer provides a subsequent Officer’s Certificate to the Trustee that such Verification Covenant has been satisfied (a “</w:t>
      </w:r>
      <w:r>
        <w:rPr>
          <w:rFonts w:ascii="Times New Roman" w:cs="Times New Roman" w:eastAsia="Times New Roman" w:hAnsi="Times New Roman"/>
          <w:sz w:val="20"/>
          <w:szCs w:val="20"/>
          <w:i w:val="1"/>
          <w:iCs w:val="1"/>
          <w:color w:val="auto"/>
        </w:rPr>
        <w:t>Covenant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Satisfaction Officer’s Certificate</w:t>
      </w:r>
      <w:r>
        <w:rPr>
          <w:rFonts w:ascii="Times New Roman" w:cs="Times New Roman" w:eastAsia="Times New Roman" w:hAnsi="Times New Roman"/>
          <w:sz w:val="20"/>
          <w:szCs w:val="20"/>
          <w:color w:val="auto"/>
        </w:rPr>
        <w:t>”). The Issuer shall promptly deliver a Covenant Satisfaction Officer’s Certificate following satisfaction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Directing Holder of its Verification Covenant and then the Trustee shall be permitted to act in accordance with such Noteholder Direction.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(other than any indemnity such Directing Holder may have offered the Trustee), with the effect that such Default or Event of Default shall be deemed never to have occurred, acceleration voided and the Trustee shall be deemed not to have received such Noteholder Direction or any notice of such Default or Event of Default and shall not be permitted to act thereon. Notwithstanding the above, if such Directing Holder’s participation is not required to achieve the requisite level of consent of Holders required under this Indenture to give such Noteholder Direction, the Trustee shall be permitted to act in accordance with such Noteholder Direction notwithstanding any action taken or to be taken by the Issuer.</w:t>
      </w:r>
    </w:p>
    <w:p>
      <w:pPr>
        <w:spacing w:after="0" w:line="194"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foregoing two paragraphs. 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394" w:right="339" w:bottom="1440" w:gutter="0" w:footer="0" w:header="0"/>
        </w:sectPr>
      </w:pPr>
    </w:p>
    <w:bookmarkStart w:id="98" w:name="page99"/>
    <w:bookmarkEnd w:id="98"/>
    <w:p>
      <w:pPr>
        <w:jc w:val="both"/>
        <w:spacing w:after="0" w:line="255" w:lineRule="auto"/>
        <w:rPr>
          <w:sz w:val="20"/>
          <w:szCs w:val="20"/>
          <w:color w:val="auto"/>
        </w:rPr>
      </w:pPr>
      <w:r>
        <w:rPr>
          <w:rFonts w:ascii="Times New Roman" w:cs="Times New Roman" w:eastAsia="Times New Roman" w:hAnsi="Times New Roman"/>
          <w:sz w:val="18"/>
          <w:szCs w:val="18"/>
          <w:color w:val="auto"/>
        </w:rPr>
        <w:t>Certificate delivered to it, or otherwise make calculations, investigations or determinations with respect to Derivative Instruments, Net Shorts, Long Derivative Instruments, Short Derivative Instruments or otherwise and shall have no liability for ceasing to take any action, staying any remedy or otherwise failing to act in accordance with a Noteholder Direction during the pendency of any litigation or a Noteholder Direction after a Verification Officer’s Certificate has been provided to it but prior to receipt of a Covenant Satisfaction Officer’s Certificate. The Trustee shall have no liability to the Issuer, any Holder or any other person in acting in good faith on a Noteholder Direction. The Trustee shall have no obligation to inquire if the Issuer will seek action to determine if a Directing Holder has breached its Position Representation or monitor any court proceedings undertaken in connection therewith or to monitor or investigate whether any Default or Event of Default has been publicly reported. Each Holder, by accepting a Note, will be deemed to acknowledge and agree that the Trustee (and any agent) shall not be liable to any party for acting or refraining to act in accordance with (i) the foregoing provisions, (ii) any Noteholder Direction, (iii) any Officer’s Certificate or Verification Officer’s Certificate described above or (iv) its duties under this Indenture.</w:t>
      </w:r>
    </w:p>
    <w:p>
      <w:pPr>
        <w:spacing w:after="0" w:line="15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6.02</w:t>
      </w:r>
      <w:r>
        <w:rPr>
          <w:sz w:val="20"/>
          <w:szCs w:val="20"/>
          <w:color w:val="auto"/>
        </w:rPr>
        <w:tab/>
      </w:r>
      <w:r>
        <w:rPr>
          <w:rFonts w:ascii="Times New Roman" w:cs="Times New Roman" w:eastAsia="Times New Roman" w:hAnsi="Times New Roman"/>
          <w:sz w:val="18"/>
          <w:szCs w:val="18"/>
          <w:i w:val="1"/>
          <w:iCs w:val="1"/>
          <w:color w:val="auto"/>
        </w:rPr>
        <w:t>Acceleration.</w:t>
      </w:r>
    </w:p>
    <w:p>
      <w:pPr>
        <w:spacing w:after="0" w:line="198"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In the case of an Event of Default specified in clause (i) or (j) of Section 6.01, with respect to the Issuer,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at the direction of the Holders of at least 25% in aggregate principal amount of the then outstanding Notes may declare the outstanding principal of, and accrued and unpaid interest, if any, on, all outstanding Notes to be due and payable immediately.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Upon any such declaration, the Notes shall become due and payable immediately.</w:t>
      </w:r>
    </w:p>
    <w:p>
      <w:pPr>
        <w:spacing w:after="0" w:line="196"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The Holders of a majority in aggregate principal amount of the then outstanding Notes by written notice to the Trustee may, on behalf of the Holders of all of the Notes, rescind an acceleration under this Indenture, if the rescission would not conflict with any judgment or decree, except a continuing Default or Event of Default in the payment of principal of, or interest or premium, if any, on, the Notes.</w:t>
      </w:r>
    </w:p>
    <w:p>
      <w:pPr>
        <w:spacing w:after="0" w:line="171"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Notwithstanding the foregoing, in the event of a declaration of acceleration of the Notes solely because an Event of Default described in Section 6.01(g) has occurred and is continuing, the declaration of acceleration of the Notes shall be automatically rescinded and annulled if the Event of Default or Payment Default triggering such Event of Default pursuant to Section 6.01(g) shall be remedied or cured by the Issuer or a Restricted Subsidiary or waived by the holders of the relevant Indebtedness within 30 Business Days after the declaration of acceleration with respect thereto and if the rescission and annulment of the acceleration of the Notes would not conflict with any judgment or decree of a court of competent jurisdiction obtained by the Trustee for the payment of amounts due on the Notes.</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6.03</w:t>
      </w:r>
      <w:r>
        <w:rPr>
          <w:sz w:val="20"/>
          <w:szCs w:val="20"/>
          <w:color w:val="auto"/>
        </w:rPr>
        <w:tab/>
      </w:r>
      <w:r>
        <w:rPr>
          <w:rFonts w:ascii="Times New Roman" w:cs="Times New Roman" w:eastAsia="Times New Roman" w:hAnsi="Times New Roman"/>
          <w:sz w:val="18"/>
          <w:szCs w:val="18"/>
          <w:i w:val="1"/>
          <w:iCs w:val="1"/>
          <w:color w:val="auto"/>
        </w:rPr>
        <w:t>Other Remedies.</w:t>
      </w:r>
    </w:p>
    <w:p>
      <w:pPr>
        <w:spacing w:after="0" w:line="212"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If an Event of Default occurs and is continuing, and is actually known to a Responsible Officer of the Trustee, the Trustee may pursue any available remedy to collect the payment of principal of, premium on, if any, or interest on, the Notes or to enforce the performance of any provision of the Notes or this Indenture.</w:t>
      </w:r>
    </w:p>
    <w:p>
      <w:pPr>
        <w:spacing w:after="0" w:line="175"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Holder of a Note in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96" w:right="339" w:bottom="1440" w:gutter="0" w:footer="0" w:header="0"/>
        </w:sectPr>
      </w:pPr>
    </w:p>
    <w:bookmarkStart w:id="99" w:name="page100"/>
    <w:bookmarkEnd w:id="99"/>
    <w:p>
      <w:pPr>
        <w:jc w:val="both"/>
        <w:spacing w:after="0" w:line="247" w:lineRule="auto"/>
        <w:rPr>
          <w:sz w:val="20"/>
          <w:szCs w:val="20"/>
          <w:color w:val="auto"/>
        </w:rPr>
      </w:pPr>
      <w:r>
        <w:rPr>
          <w:rFonts w:ascii="Times New Roman" w:cs="Times New Roman" w:eastAsia="Times New Roman" w:hAnsi="Times New Roman"/>
          <w:sz w:val="20"/>
          <w:szCs w:val="20"/>
          <w:color w:val="auto"/>
        </w:rPr>
        <w:t>exercising any right or remedy accruing upon an Event of Default shall not impair the right or remedy or constitute a waiver of or acquiescence in the Event of Default. All remedies are cumulative to the extent permitted by law.</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6.04</w:t>
      </w:r>
      <w:r>
        <w:rPr>
          <w:sz w:val="20"/>
          <w:szCs w:val="20"/>
          <w:color w:val="auto"/>
        </w:rPr>
        <w:tab/>
      </w:r>
      <w:r>
        <w:rPr>
          <w:rFonts w:ascii="Times New Roman" w:cs="Times New Roman" w:eastAsia="Times New Roman" w:hAnsi="Times New Roman"/>
          <w:sz w:val="18"/>
          <w:szCs w:val="18"/>
          <w:i w:val="1"/>
          <w:iCs w:val="1"/>
          <w:color w:val="auto"/>
        </w:rPr>
        <w:t>Waiver of Past Defaults.</w:t>
      </w:r>
    </w:p>
    <w:p>
      <w:pPr>
        <w:spacing w:after="0" w:line="198"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or as otherwise specified in Section 9.02.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2"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If a Default for a failure to report or failure to deliver a required certificate in connection with another default (the “</w:t>
      </w:r>
      <w:r>
        <w:rPr>
          <w:rFonts w:ascii="Times New Roman" w:cs="Times New Roman" w:eastAsia="Times New Roman" w:hAnsi="Times New Roman"/>
          <w:sz w:val="20"/>
          <w:szCs w:val="20"/>
          <w:i w:val="1"/>
          <w:iCs w:val="1"/>
          <w:color w:val="auto"/>
        </w:rPr>
        <w:t>Initial Default</w:t>
      </w:r>
      <w:r>
        <w:rPr>
          <w:rFonts w:ascii="Times New Roman" w:cs="Times New Roman" w:eastAsia="Times New Roman" w:hAnsi="Times New Roman"/>
          <w:sz w:val="20"/>
          <w:szCs w:val="20"/>
          <w:color w:val="auto"/>
        </w:rPr>
        <w:t xml:space="preserve">”) occurs, then at the time such Initial Default is cured, such Default for a failure to report or failure to deliver a required certificate in connection with another default that resulted solely because of that Initial Default will also be cured without any further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Issuer did not have actual knowledge of such Initial Default. Further,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 Any time period in this Indenture to cure any actual or alleged Default or Event of Default may be extended or stayed by a court of competent jurisdiction.</w:t>
      </w:r>
    </w:p>
    <w:p>
      <w:pPr>
        <w:spacing w:after="0" w:line="177"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6.05</w:t>
      </w:r>
      <w:r>
        <w:rPr>
          <w:sz w:val="20"/>
          <w:szCs w:val="20"/>
          <w:color w:val="auto"/>
        </w:rPr>
        <w:tab/>
      </w:r>
      <w:r>
        <w:rPr>
          <w:rFonts w:ascii="Times New Roman" w:cs="Times New Roman" w:eastAsia="Times New Roman" w:hAnsi="Times New Roman"/>
          <w:sz w:val="18"/>
          <w:szCs w:val="18"/>
          <w:i w:val="1"/>
          <w:iCs w:val="1"/>
          <w:color w:val="auto"/>
        </w:rPr>
        <w:t>Control by Majority.</w:t>
      </w:r>
    </w:p>
    <w:p>
      <w:pPr>
        <w:spacing w:after="0" w:line="19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 shall have no affirmative duty to determine whether any direction is prejudicial to any other Holder).</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6.06</w:t>
      </w:r>
      <w:r>
        <w:rPr>
          <w:sz w:val="20"/>
          <w:szCs w:val="20"/>
          <w:color w:val="auto"/>
        </w:rPr>
        <w:tab/>
      </w:r>
      <w:r>
        <w:rPr>
          <w:rFonts w:ascii="Times New Roman" w:cs="Times New Roman" w:eastAsia="Times New Roman" w:hAnsi="Times New Roman"/>
          <w:sz w:val="18"/>
          <w:szCs w:val="18"/>
          <w:i w:val="1"/>
          <w:iCs w:val="1"/>
          <w:color w:val="auto"/>
        </w:rPr>
        <w:t>Limitation on Suits.</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Except to enforce the right to receive payment of principal, premium, if any, or interest, if any, when due, no Holder of a Note may pursue any remedy with respect to this Indenture or the Notes unless:</w:t>
      </w:r>
    </w:p>
    <w:p>
      <w:pPr>
        <w:spacing w:after="0" w:line="166" w:lineRule="exact"/>
        <w:rPr>
          <w:sz w:val="20"/>
          <w:szCs w:val="20"/>
          <w:color w:val="auto"/>
        </w:rPr>
      </w:pPr>
    </w:p>
    <w:p>
      <w:pPr>
        <w:ind w:left="1700" w:hanging="414"/>
        <w:spacing w:after="0"/>
        <w:tabs>
          <w:tab w:leader="none" w:pos="17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has previously given the Trustee written notice that an Event of Default is continuing;</w:t>
      </w:r>
    </w:p>
    <w:p>
      <w:pPr>
        <w:spacing w:after="0" w:line="196" w:lineRule="exact"/>
        <w:rPr>
          <w:rFonts w:ascii="Times New Roman" w:cs="Times New Roman" w:eastAsia="Times New Roman" w:hAnsi="Times New Roman"/>
          <w:sz w:val="20"/>
          <w:szCs w:val="20"/>
          <w:color w:val="auto"/>
        </w:rPr>
      </w:pPr>
    </w:p>
    <w:p>
      <w:pPr>
        <w:ind w:left="1720" w:hanging="434"/>
        <w:spacing w:after="0"/>
        <w:tabs>
          <w:tab w:leader="none" w:pos="1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then outstanding Notes make a written request to the Trustee</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pursue the remedy;</w:t>
      </w:r>
    </w:p>
    <w:p>
      <w:pPr>
        <w:spacing w:after="0" w:line="187" w:lineRule="exact"/>
        <w:rPr>
          <w:rFonts w:ascii="Times New Roman" w:cs="Times New Roman" w:eastAsia="Times New Roman" w:hAnsi="Times New Roman"/>
          <w:sz w:val="18"/>
          <w:szCs w:val="18"/>
          <w:color w:val="auto"/>
        </w:rPr>
      </w:pPr>
    </w:p>
    <w:p>
      <w:pPr>
        <w:ind w:firstLine="1286"/>
        <w:spacing w:after="0" w:line="247" w:lineRule="auto"/>
        <w:tabs>
          <w:tab w:leader="none" w:pos="175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or Holders offer and, if requested, provide to the Trustee security or indemnity satisfactory to the Trustee against any loss, liability or expense;</w:t>
      </w:r>
    </w:p>
    <w:p>
      <w:pPr>
        <w:spacing w:after="0" w:line="166" w:lineRule="exact"/>
        <w:rPr>
          <w:rFonts w:ascii="Times New Roman" w:cs="Times New Roman" w:eastAsia="Times New Roman" w:hAnsi="Times New Roman"/>
          <w:sz w:val="20"/>
          <w:szCs w:val="20"/>
          <w:color w:val="auto"/>
        </w:rPr>
      </w:pPr>
    </w:p>
    <w:p>
      <w:pPr>
        <w:ind w:left="1780" w:hanging="494"/>
        <w:spacing w:after="0"/>
        <w:tabs>
          <w:tab w:leader="none" w:pos="1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does not comply with such request within 60 days after receipt of the request and the offer of security or</w:t>
      </w:r>
    </w:p>
    <w:p>
      <w:pPr>
        <w:spacing w:after="0" w:line="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indemnity;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396" w:right="339" w:bottom="1440" w:gutter="0" w:footer="0" w:header="0"/>
        </w:sectPr>
      </w:pPr>
    </w:p>
    <w:bookmarkStart w:id="100" w:name="page101"/>
    <w:bookmarkEnd w:id="100"/>
    <w:p>
      <w:pPr>
        <w:ind w:firstLine="1286"/>
        <w:spacing w:after="0" w:line="247" w:lineRule="auto"/>
        <w:tabs>
          <w:tab w:leader="none" w:pos="169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such 60-day period, Holders of a majority in aggregate principal amount of the then outstanding Notes do not give the Trustee a written direction inconsistent with such request.</w:t>
      </w:r>
    </w:p>
    <w:p>
      <w:pPr>
        <w:spacing w:after="0" w:line="16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A Holder of a Note may not use this Indenture to prejudice the rights of another Holder of a Note or to obtain a preference or priority over another Holder of a Note.</w:t>
      </w:r>
    </w:p>
    <w:p>
      <w:pPr>
        <w:spacing w:after="0" w:line="17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6.07</w:t>
      </w:r>
      <w:r>
        <w:rPr>
          <w:sz w:val="20"/>
          <w:szCs w:val="20"/>
          <w:color w:val="auto"/>
        </w:rPr>
        <w:tab/>
      </w:r>
      <w:r>
        <w:rPr>
          <w:rFonts w:ascii="Times New Roman" w:cs="Times New Roman" w:eastAsia="Times New Roman" w:hAnsi="Times New Roman"/>
          <w:sz w:val="18"/>
          <w:szCs w:val="18"/>
          <w:i w:val="1"/>
          <w:iCs w:val="1"/>
          <w:color w:val="auto"/>
        </w:rPr>
        <w:t>Rights of Holders of Notes to Receive Payment.</w:t>
      </w:r>
    </w:p>
    <w:p>
      <w:pPr>
        <w:spacing w:after="0" w:line="19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Notwithstanding any other provision of this Indenture, the right of any Holder of a Note to receive payment of principal of, premium on, if any, or interest on, the Note, on or after the respective due dates expressed in the Note, or to bring suit for the enforcement of any such payment on or after such respective dates, shall not be amended or modified in a manner adverse to such Holder without the consent of such Holder.</w:t>
      </w:r>
    </w:p>
    <w:p>
      <w:pPr>
        <w:spacing w:after="0" w:line="17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6.08</w:t>
      </w:r>
      <w:r>
        <w:rPr>
          <w:sz w:val="20"/>
          <w:szCs w:val="20"/>
          <w:color w:val="auto"/>
        </w:rPr>
        <w:tab/>
      </w:r>
      <w:r>
        <w:rPr>
          <w:rFonts w:ascii="Times New Roman" w:cs="Times New Roman" w:eastAsia="Times New Roman" w:hAnsi="Times New Roman"/>
          <w:sz w:val="18"/>
          <w:szCs w:val="18"/>
          <w:i w:val="1"/>
          <w:iCs w:val="1"/>
          <w:color w:val="auto"/>
        </w:rPr>
        <w:t>Collection Suit by Trustee.</w:t>
      </w:r>
    </w:p>
    <w:p>
      <w:pPr>
        <w:spacing w:after="0" w:line="19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If an Event of Default specified in Section 6.01(a) or (b) occurs and is continuing, the Trustee is authorized to recover judgment in its own name and as trustee of an express trust against the Issuer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6.09</w:t>
      </w:r>
      <w:r>
        <w:rPr>
          <w:sz w:val="20"/>
          <w:szCs w:val="20"/>
          <w:color w:val="auto"/>
        </w:rPr>
        <w:tab/>
      </w:r>
      <w:r>
        <w:rPr>
          <w:rFonts w:ascii="Times New Roman" w:cs="Times New Roman" w:eastAsia="Times New Roman" w:hAnsi="Times New Roman"/>
          <w:sz w:val="18"/>
          <w:szCs w:val="18"/>
          <w:i w:val="1"/>
          <w:iCs w:val="1"/>
          <w:color w:val="auto"/>
        </w:rPr>
        <w:t>Trustee May File Proofs of Claim.</w:t>
      </w:r>
    </w:p>
    <w:p>
      <w:pPr>
        <w:spacing w:after="0" w:line="19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87"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6.10</w:t>
      </w:r>
      <w:r>
        <w:rPr>
          <w:sz w:val="20"/>
          <w:szCs w:val="20"/>
          <w:color w:val="auto"/>
        </w:rPr>
        <w:tab/>
      </w:r>
      <w:r>
        <w:rPr>
          <w:rFonts w:ascii="Times New Roman" w:cs="Times New Roman" w:eastAsia="Times New Roman" w:hAnsi="Times New Roman"/>
          <w:sz w:val="18"/>
          <w:szCs w:val="18"/>
          <w:i w:val="1"/>
          <w:iCs w:val="1"/>
          <w:color w:val="auto"/>
        </w:rPr>
        <w:t>Priorities.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the Trustee collects any money pursuant to this Article 6, it shall pay out the money in the following order: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396" w:right="339" w:bottom="1440" w:gutter="0" w:footer="0" w:header="0"/>
        </w:sectPr>
      </w:pPr>
    </w:p>
    <w:bookmarkStart w:id="101" w:name="page102"/>
    <w:bookmarkEnd w:id="101"/>
    <w:p>
      <w:pPr>
        <w:spacing w:after="0" w:line="168" w:lineRule="exact"/>
        <w:rPr>
          <w:sz w:val="20"/>
          <w:szCs w:val="20"/>
          <w:color w:val="auto"/>
        </w:rPr>
      </w:pPr>
    </w:p>
    <w:p>
      <w:pPr>
        <w:jc w:val="both"/>
        <w:ind w:left="640" w:right="20" w:firstLine="640"/>
        <w:spacing w:after="0" w:line="249"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Trustee, its agents and attorneys for amounts due under this Indenture, including payment of all compensation,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expenses and liabilities incurred, and all advances made, by the Trustee and the costs and expenses of collection;</w:t>
      </w:r>
    </w:p>
    <w:p>
      <w:pPr>
        <w:spacing w:after="0" w:line="162" w:lineRule="exact"/>
        <w:rPr>
          <w:sz w:val="20"/>
          <w:szCs w:val="20"/>
          <w:color w:val="auto"/>
        </w:rPr>
      </w:pPr>
    </w:p>
    <w:p>
      <w:pPr>
        <w:jc w:val="both"/>
        <w:ind w:left="640" w:firstLine="640"/>
        <w:spacing w:after="0" w:line="243"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Holders of the Notes for amounts due and unpaid on the Notes for principal, interest and premium, if any, ratably,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without preference or priority of any kind, according to the amounts due and payable on the Notes for principal, interest and premium, if any, respectively; and</w:t>
      </w:r>
    </w:p>
    <w:p>
      <w:pPr>
        <w:spacing w:after="0" w:line="168" w:lineRule="exact"/>
        <w:rPr>
          <w:sz w:val="20"/>
          <w:szCs w:val="20"/>
          <w:color w:val="auto"/>
        </w:rPr>
      </w:pPr>
    </w:p>
    <w:p>
      <w:pPr>
        <w:ind w:left="128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to the Issuer or to such party as a court of competent jurisdiction shall direct.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Trustee may fix a record date and payment date for any payment to Holders of the Notes pursuant to this Section 6.10.</w:t>
      </w:r>
    </w:p>
    <w:p>
      <w:pPr>
        <w:spacing w:after="0" w:line="19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8"/>
          <w:szCs w:val="18"/>
          <w:i w:val="1"/>
          <w:iCs w:val="1"/>
          <w:color w:val="auto"/>
        </w:rPr>
        <w:t>Undertaking for Costs.</w:t>
      </w:r>
    </w:p>
    <w:p>
      <w:pPr>
        <w:spacing w:after="0" w:line="198"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TRUSTEE</w:t>
      </w:r>
    </w:p>
    <w:p>
      <w:pPr>
        <w:spacing w:after="0" w:line="172"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7.01</w:t>
      </w:r>
      <w:r>
        <w:rPr>
          <w:sz w:val="20"/>
          <w:szCs w:val="20"/>
          <w:color w:val="auto"/>
        </w:rPr>
        <w:tab/>
      </w:r>
      <w:r>
        <w:rPr>
          <w:rFonts w:ascii="Times New Roman" w:cs="Times New Roman" w:eastAsia="Times New Roman" w:hAnsi="Times New Roman"/>
          <w:sz w:val="18"/>
          <w:szCs w:val="18"/>
          <w:i w:val="1"/>
          <w:iCs w:val="1"/>
          <w:color w:val="auto"/>
        </w:rPr>
        <w:t>Duties of Trustee.</w:t>
      </w:r>
    </w:p>
    <w:p>
      <w:pPr>
        <w:spacing w:after="0" w:line="212" w:lineRule="exact"/>
        <w:rPr>
          <w:sz w:val="20"/>
          <w:szCs w:val="20"/>
          <w:color w:val="auto"/>
        </w:rPr>
      </w:pPr>
    </w:p>
    <w:p>
      <w:pPr>
        <w:jc w:val="both"/>
        <w:ind w:firstLine="1286"/>
        <w:spacing w:after="0" w:line="236" w:lineRule="auto"/>
        <w:tabs>
          <w:tab w:leader="none" w:pos="172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and is actually known to a Responsible Officer of the Trustee, the Trustee will exercise such of the rights and powers vested in it by this Indenture, and use the same degree of care and skill in its exercise, as a prudent man would exercise or use under the circumstances in the conduct of his own affairs under the same circumstances.</w:t>
      </w:r>
    </w:p>
    <w:p>
      <w:pPr>
        <w:spacing w:after="0" w:line="174"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196"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40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361"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74" w:lineRule="exact"/>
        <w:rPr>
          <w:rFonts w:ascii="Times New Roman" w:cs="Times New Roman" w:eastAsia="Times New Roman" w:hAnsi="Times New Roman"/>
          <w:sz w:val="20"/>
          <w:szCs w:val="20"/>
          <w:color w:val="auto"/>
        </w:rPr>
      </w:pPr>
    </w:p>
    <w:p>
      <w:pPr>
        <w:ind w:firstLine="1286"/>
        <w:spacing w:after="0" w:line="247" w:lineRule="auto"/>
        <w:tabs>
          <w:tab w:leader="none" w:pos="1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grossly negligent action, its own grossly negligent failure to act, or its own willful misconduct, except that:</w:t>
      </w:r>
    </w:p>
    <w:p>
      <w:pPr>
        <w:spacing w:after="0" w:line="16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paragraph does not limit the effect of paragraph (b) of this Section 7.01;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ind w:left="640" w:right="20" w:firstLine="1286"/>
        <w:spacing w:after="0" w:line="247" w:lineRule="auto"/>
        <w:tabs>
          <w:tab w:leader="none" w:pos="2372"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error of judgment made in good faith by a Responsible Officer, unless it is proved that the Trustee was grossly negligent in ascertaining the pertinent facts; and</w:t>
      </w:r>
    </w:p>
    <w:p>
      <w:pPr>
        <w:spacing w:after="0" w:line="166" w:lineRule="exact"/>
        <w:rPr>
          <w:rFonts w:ascii="Times New Roman" w:cs="Times New Roman" w:eastAsia="Times New Roman" w:hAnsi="Times New Roman"/>
          <w:sz w:val="20"/>
          <w:szCs w:val="20"/>
          <w:color w:val="auto"/>
        </w:rPr>
      </w:pPr>
    </w:p>
    <w:p>
      <w:pPr>
        <w:ind w:left="640" w:firstLine="1286"/>
        <w:spacing w:after="0" w:line="247" w:lineRule="auto"/>
        <w:tabs>
          <w:tab w:leader="none" w:pos="234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with respect to any action it takes or omits to take in good faith in accordance with a direction received by it pursuant to Section 6.05.</w:t>
      </w:r>
    </w:p>
    <w:p>
      <w:pPr>
        <w:spacing w:after="0" w:line="179" w:lineRule="exact"/>
        <w:rPr>
          <w:rFonts w:ascii="Times New Roman" w:cs="Times New Roman" w:eastAsia="Times New Roman" w:hAnsi="Times New Roman"/>
          <w:sz w:val="20"/>
          <w:szCs w:val="20"/>
          <w:color w:val="auto"/>
        </w:rPr>
      </w:pPr>
    </w:p>
    <w:p>
      <w:pPr>
        <w:ind w:firstLine="1286"/>
        <w:spacing w:after="0" w:line="247" w:lineRule="auto"/>
        <w:tabs>
          <w:tab w:leader="none" w:pos="173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therein expressly so provided, every provision of this Indenture that in any way relates to the Trustee is subject to this Section 7.01 and Section 7.02.</w:t>
      </w:r>
    </w:p>
    <w:p>
      <w:pPr>
        <w:spacing w:after="0" w:line="166" w:lineRule="exact"/>
        <w:rPr>
          <w:rFonts w:ascii="Times New Roman" w:cs="Times New Roman" w:eastAsia="Times New Roman" w:hAnsi="Times New Roman"/>
          <w:sz w:val="20"/>
          <w:szCs w:val="20"/>
          <w:color w:val="auto"/>
        </w:rPr>
      </w:pPr>
    </w:p>
    <w:p>
      <w:pPr>
        <w:jc w:val="both"/>
        <w:ind w:firstLine="1286"/>
        <w:spacing w:after="0" w:line="233" w:lineRule="auto"/>
        <w:tabs>
          <w:tab w:leader="none" w:pos="171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will require the Trustee to expend or risk its own funds or incur any liability. The Trustee will be under no obligation to exercise any of the rights or powers under this Indenture at the request or direction of any Holders of the Notes unless such Holders have offered, and if requested, provided to the Trustee indemnity or security satisfactory to the Trustee against any loss, liability or expense.</w:t>
      </w:r>
    </w:p>
    <w:p>
      <w:pPr>
        <w:spacing w:after="0" w:line="173" w:lineRule="exact"/>
        <w:rPr>
          <w:rFonts w:ascii="Times New Roman" w:cs="Times New Roman" w:eastAsia="Times New Roman" w:hAnsi="Times New Roman"/>
          <w:sz w:val="20"/>
          <w:szCs w:val="20"/>
          <w:color w:val="auto"/>
        </w:rPr>
      </w:pPr>
    </w:p>
    <w:p>
      <w:pPr>
        <w:ind w:firstLine="1286"/>
        <w:spacing w:after="0" w:line="247" w:lineRule="auto"/>
        <w:tabs>
          <w:tab w:leader="none" w:pos="167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17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7.02</w:t>
      </w:r>
      <w:r>
        <w:rPr>
          <w:sz w:val="20"/>
          <w:szCs w:val="20"/>
          <w:color w:val="auto"/>
        </w:rPr>
        <w:tab/>
      </w:r>
      <w:r>
        <w:rPr>
          <w:rFonts w:ascii="Times New Roman" w:cs="Times New Roman" w:eastAsia="Times New Roman" w:hAnsi="Times New Roman"/>
          <w:sz w:val="18"/>
          <w:szCs w:val="18"/>
          <w:i w:val="1"/>
          <w:iCs w:val="1"/>
          <w:color w:val="auto"/>
        </w:rPr>
        <w:t>Rights of Trustee.</w:t>
      </w:r>
    </w:p>
    <w:p>
      <w:pPr>
        <w:spacing w:after="0" w:line="198" w:lineRule="exact"/>
        <w:rPr>
          <w:sz w:val="20"/>
          <w:szCs w:val="20"/>
          <w:color w:val="auto"/>
        </w:rPr>
      </w:pPr>
    </w:p>
    <w:p>
      <w:pPr>
        <w:jc w:val="both"/>
        <w:ind w:firstLine="1286"/>
        <w:spacing w:after="0" w:line="274" w:lineRule="auto"/>
        <w:tabs>
          <w:tab w:leader="none" w:pos="169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w:t>
      </w:r>
    </w:p>
    <w:p>
      <w:pPr>
        <w:spacing w:after="0" w:line="144" w:lineRule="exact"/>
        <w:rPr>
          <w:rFonts w:ascii="Times New Roman" w:cs="Times New Roman" w:eastAsia="Times New Roman" w:hAnsi="Times New Roman"/>
          <w:sz w:val="18"/>
          <w:szCs w:val="18"/>
          <w:color w:val="auto"/>
        </w:rPr>
      </w:pPr>
    </w:p>
    <w:p>
      <w:pPr>
        <w:jc w:val="both"/>
        <w:ind w:firstLine="1286"/>
        <w:spacing w:after="0" w:line="233" w:lineRule="auto"/>
        <w:tabs>
          <w:tab w:leader="none" w:pos="173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76" w:lineRule="exact"/>
        <w:rPr>
          <w:rFonts w:ascii="Times New Roman" w:cs="Times New Roman" w:eastAsia="Times New Roman" w:hAnsi="Times New Roman"/>
          <w:sz w:val="20"/>
          <w:szCs w:val="20"/>
          <w:color w:val="auto"/>
        </w:rPr>
      </w:pPr>
    </w:p>
    <w:p>
      <w:pPr>
        <w:ind w:firstLine="1286"/>
        <w:spacing w:after="0" w:line="247" w:lineRule="auto"/>
        <w:tabs>
          <w:tab w:leader="none" w:pos="170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will not be responsible for the misconduct or negligence of any agent appointed with due care.</w:t>
      </w:r>
    </w:p>
    <w:p>
      <w:pPr>
        <w:spacing w:after="0" w:line="166" w:lineRule="exact"/>
        <w:rPr>
          <w:rFonts w:ascii="Times New Roman" w:cs="Times New Roman" w:eastAsia="Times New Roman" w:hAnsi="Times New Roman"/>
          <w:sz w:val="20"/>
          <w:szCs w:val="20"/>
          <w:color w:val="auto"/>
        </w:rPr>
      </w:pPr>
    </w:p>
    <w:p>
      <w:pPr>
        <w:ind w:firstLine="1286"/>
        <w:spacing w:after="0" w:line="247" w:lineRule="auto"/>
        <w:tabs>
          <w:tab w:leader="none" w:pos="176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action it takes or omits to take in good faith that it believes to be authorized or within the rights or powers conferred upon it by this Indenture.</w:t>
      </w:r>
    </w:p>
    <w:p>
      <w:pPr>
        <w:spacing w:after="0" w:line="166" w:lineRule="exact"/>
        <w:rPr>
          <w:rFonts w:ascii="Times New Roman" w:cs="Times New Roman" w:eastAsia="Times New Roman" w:hAnsi="Times New Roman"/>
          <w:sz w:val="20"/>
          <w:szCs w:val="20"/>
          <w:color w:val="auto"/>
        </w:rPr>
      </w:pPr>
    </w:p>
    <w:p>
      <w:pPr>
        <w:ind w:firstLine="1286"/>
        <w:spacing w:after="0" w:line="247" w:lineRule="auto"/>
        <w:tabs>
          <w:tab w:leader="none" w:pos="171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in this Indenture, any demand, request, direction or notice from the Issuer will be sufficient if signed by an Officer of the Issuer.</w:t>
      </w:r>
    </w:p>
    <w:p>
      <w:pPr>
        <w:spacing w:after="0" w:line="166" w:lineRule="exact"/>
        <w:rPr>
          <w:rFonts w:ascii="Times New Roman" w:cs="Times New Roman" w:eastAsia="Times New Roman" w:hAnsi="Times New Roman"/>
          <w:sz w:val="20"/>
          <w:szCs w:val="20"/>
          <w:color w:val="auto"/>
        </w:rPr>
      </w:pPr>
    </w:p>
    <w:p>
      <w:pPr>
        <w:jc w:val="both"/>
        <w:ind w:firstLine="1286"/>
        <w:spacing w:after="0" w:line="264"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vested in it by this Indenture at the request or direction of any of the Holders unless such Holders have offered to the Trustee indemnity or security satisfactory to it against the losses, liabilities and expenses that might be incurred by it in compliance with such request or direction. In no event shall the Trustee be liable to any Person for special, punitive, indirect, incidental, consequential or incidental loss or damage of any kind whatsoever (including, but not limited to, lost profits) for any action it takes or omits to take, even if the Trustee has been advised of the likelihood of such loss or damage.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396" w:right="339" w:bottom="1440" w:gutter="0" w:footer="0" w:header="0"/>
        </w:sectPr>
      </w:pPr>
    </w:p>
    <w:bookmarkStart w:id="103" w:name="page104"/>
    <w:bookmarkEnd w:id="103"/>
    <w:p>
      <w:pPr>
        <w:ind w:firstLine="1286"/>
        <w:spacing w:after="0" w:line="249" w:lineRule="auto"/>
        <w:tabs>
          <w:tab w:leader="none" w:pos="176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Trustee shall not be deemed to have notice of a Default or an Event of Default unless a Responsible Officer of the Trustee has actual knowledge of such Default or Event of Default.</w:t>
      </w:r>
    </w:p>
    <w:p>
      <w:pPr>
        <w:spacing w:after="0" w:line="163" w:lineRule="exact"/>
        <w:rPr>
          <w:rFonts w:ascii="Times New Roman" w:cs="Times New Roman" w:eastAsia="Times New Roman" w:hAnsi="Times New Roman"/>
          <w:sz w:val="21"/>
          <w:szCs w:val="21"/>
          <w:color w:val="auto"/>
        </w:rPr>
      </w:pPr>
    </w:p>
    <w:p>
      <w:pPr>
        <w:jc w:val="both"/>
        <w:ind w:firstLine="1286"/>
        <w:spacing w:after="0" w:line="233" w:lineRule="auto"/>
        <w:tabs>
          <w:tab w:leader="none" w:pos="172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7.01(b)(2), the Trustee shall not be bound to make any investigation into the facts or matters stated in any resolution, certificate, statement, instrument, opinion, report, notice, request, direction, consent, order, judgment, bond, debenture, note, other evidence of indebtedness or other paper or document, but the Trustee, in its discretion, may make such further inquiry or investigation into such facts or matters as it may see fit.</w:t>
      </w:r>
    </w:p>
    <w:p>
      <w:pPr>
        <w:spacing w:after="0" w:line="173" w:lineRule="exact"/>
        <w:rPr>
          <w:rFonts w:ascii="Times New Roman" w:cs="Times New Roman" w:eastAsia="Times New Roman" w:hAnsi="Times New Roman"/>
          <w:sz w:val="20"/>
          <w:szCs w:val="20"/>
          <w:color w:val="auto"/>
        </w:rPr>
      </w:pPr>
    </w:p>
    <w:p>
      <w:pPr>
        <w:jc w:val="both"/>
        <w:ind w:firstLine="1286"/>
        <w:spacing w:after="0" w:line="236" w:lineRule="auto"/>
        <w:tabs>
          <w:tab w:leader="none" w:pos="168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87" w:lineRule="exact"/>
        <w:rPr>
          <w:rFonts w:ascii="Times New Roman" w:cs="Times New Roman" w:eastAsia="Times New Roman" w:hAnsi="Times New Roman"/>
          <w:sz w:val="20"/>
          <w:szCs w:val="20"/>
          <w:color w:val="auto"/>
        </w:rPr>
      </w:pPr>
    </w:p>
    <w:p>
      <w:pPr>
        <w:ind w:left="1660" w:hanging="374"/>
        <w:spacing w:after="0"/>
        <w:tabs>
          <w:tab w:leader="none" w:pos="16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permissive rights of the Trustee enumerated herein shall not be construed as duties.</w:t>
      </w:r>
    </w:p>
    <w:p>
      <w:pPr>
        <w:spacing w:after="0" w:line="196" w:lineRule="exact"/>
        <w:rPr>
          <w:rFonts w:ascii="Times New Roman" w:cs="Times New Roman" w:eastAsia="Times New Roman" w:hAnsi="Times New Roman"/>
          <w:sz w:val="20"/>
          <w:szCs w:val="20"/>
          <w:color w:val="auto"/>
        </w:rPr>
      </w:pPr>
    </w:p>
    <w:p>
      <w:pPr>
        <w:jc w:val="both"/>
        <w:ind w:firstLine="1286"/>
        <w:spacing w:after="0" w:line="231" w:lineRule="auto"/>
        <w:tabs>
          <w:tab w:leader="none" w:pos="171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recitals contained herein and in the Notes, except for the Trustee’s certificates of authentication, shall be taken as the statements of the Issuer and the Guarantors, as applicable, and shall not be taken as the statements of the Trustee, and the Trustee assumes no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w:t>
      </w:r>
    </w:p>
    <w:p>
      <w:pPr>
        <w:spacing w:after="0" w:line="172" w:lineRule="exact"/>
        <w:rPr>
          <w:rFonts w:ascii="Times New Roman" w:cs="Times New Roman" w:eastAsia="Times New Roman" w:hAnsi="Times New Roman"/>
          <w:sz w:val="20"/>
          <w:szCs w:val="20"/>
          <w:color w:val="auto"/>
        </w:rPr>
      </w:pPr>
    </w:p>
    <w:p>
      <w:pPr>
        <w:jc w:val="both"/>
        <w:ind w:firstLine="1286"/>
        <w:spacing w:after="0" w:line="242" w:lineRule="auto"/>
        <w:tabs>
          <w:tab w:leader="none" w:pos="172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duty to ascertain or inquire as to the performance or observance of any of the terms of this Indenture or any other documents or agreements entered into in connection with the transactions contemplated hereby by the Issuer or any other party hereto.</w:t>
      </w:r>
    </w:p>
    <w:p>
      <w:pPr>
        <w:spacing w:after="0" w:line="170" w:lineRule="exact"/>
        <w:rPr>
          <w:rFonts w:ascii="Times New Roman" w:cs="Times New Roman" w:eastAsia="Times New Roman" w:hAnsi="Times New Roman"/>
          <w:sz w:val="20"/>
          <w:szCs w:val="20"/>
          <w:color w:val="auto"/>
        </w:rPr>
      </w:pPr>
    </w:p>
    <w:p>
      <w:pPr>
        <w:jc w:val="both"/>
        <w:ind w:firstLine="1286"/>
        <w:spacing w:after="0" w:line="229" w:lineRule="auto"/>
        <w:tabs>
          <w:tab w:leader="none" w:pos="18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any failure or delay in the performance of its obligations under this Indenture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7.03</w:t>
      </w:r>
      <w:r>
        <w:rPr>
          <w:sz w:val="20"/>
          <w:szCs w:val="20"/>
          <w:color w:val="auto"/>
        </w:rPr>
        <w:tab/>
      </w:r>
      <w:r>
        <w:rPr>
          <w:rFonts w:ascii="Times New Roman" w:cs="Times New Roman" w:eastAsia="Times New Roman" w:hAnsi="Times New Roman"/>
          <w:sz w:val="18"/>
          <w:szCs w:val="18"/>
          <w:i w:val="1"/>
          <w:iCs w:val="1"/>
          <w:color w:val="auto"/>
        </w:rPr>
        <w:t>Individual Rights of Trustee.</w:t>
      </w:r>
    </w:p>
    <w:p>
      <w:pPr>
        <w:spacing w:after="0" w:line="212"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(as defined in the TIA) after a Default has occurred and is continuing it must eliminate such conflict within 90 days or resign. Any Agent may do the same with like rights and duties. The Trustee is also subject to Section 7.10.</w:t>
      </w:r>
    </w:p>
    <w:p>
      <w:pPr>
        <w:spacing w:after="0" w:line="17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7.04</w:t>
      </w:r>
      <w:r>
        <w:rPr>
          <w:sz w:val="20"/>
          <w:szCs w:val="20"/>
          <w:color w:val="auto"/>
        </w:rPr>
        <w:tab/>
      </w:r>
      <w:r>
        <w:rPr>
          <w:rFonts w:ascii="Times New Roman" w:cs="Times New Roman" w:eastAsia="Times New Roman" w:hAnsi="Times New Roman"/>
          <w:sz w:val="18"/>
          <w:szCs w:val="18"/>
          <w:i w:val="1"/>
          <w:iCs w:val="1"/>
          <w:color w:val="auto"/>
        </w:rPr>
        <w:t>Trustee’s Disclaimer.</w:t>
      </w:r>
    </w:p>
    <w:p>
      <w:pPr>
        <w:spacing w:after="0" w:line="198"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09" w:right="339" w:bottom="1440" w:gutter="0" w:footer="0" w:header="0"/>
        </w:sectPr>
      </w:pPr>
    </w:p>
    <w:bookmarkStart w:id="104" w:name="page105"/>
    <w:bookmarkEnd w:id="104"/>
    <w:p>
      <w:pPr>
        <w:jc w:val="both"/>
        <w:spacing w:after="0" w:line="247" w:lineRule="auto"/>
        <w:rPr>
          <w:sz w:val="20"/>
          <w:szCs w:val="20"/>
          <w:color w:val="auto"/>
        </w:rPr>
      </w:pPr>
      <w:r>
        <w:rPr>
          <w:rFonts w:ascii="Times New Roman" w:cs="Times New Roman" w:eastAsia="Times New Roman" w:hAnsi="Times New Roman"/>
          <w:sz w:val="20"/>
          <w:szCs w:val="20"/>
          <w:color w:val="auto"/>
        </w:rPr>
        <w:t>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7.05</w:t>
      </w:r>
      <w:r>
        <w:rPr>
          <w:sz w:val="20"/>
          <w:szCs w:val="20"/>
          <w:color w:val="auto"/>
        </w:rPr>
        <w:tab/>
      </w:r>
      <w:r>
        <w:rPr>
          <w:rFonts w:ascii="Times New Roman" w:cs="Times New Roman" w:eastAsia="Times New Roman" w:hAnsi="Times New Roman"/>
          <w:sz w:val="18"/>
          <w:szCs w:val="18"/>
          <w:i w:val="1"/>
          <w:iCs w:val="1"/>
          <w:color w:val="auto"/>
        </w:rPr>
        <w:t>Notice of Defaults.</w:t>
      </w:r>
    </w:p>
    <w:p>
      <w:pPr>
        <w:spacing w:after="0" w:line="198"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If a Default or Event of Default occurs and is continuing and if it is actually known to a Responsible Officer of the Trustee, the Trustee will send to Holders of the Notes a notice of the Default or Event of Default within 90 days after the Trustee gains knowledge of any such Default or Event of Default unless such Default or Event of Default shall have been cured or waived before the giving of such notice.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w:t>
      </w:r>
    </w:p>
    <w:p>
      <w:pPr>
        <w:spacing w:after="0" w:line="176"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0"/>
          <w:szCs w:val="20"/>
          <w:color w:val="auto"/>
        </w:rPr>
        <w:t>Section 7.06</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19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7.07</w:t>
      </w:r>
      <w:r>
        <w:rPr>
          <w:sz w:val="20"/>
          <w:szCs w:val="20"/>
          <w:color w:val="auto"/>
        </w:rPr>
        <w:tab/>
      </w:r>
      <w:r>
        <w:rPr>
          <w:rFonts w:ascii="Times New Roman" w:cs="Times New Roman" w:eastAsia="Times New Roman" w:hAnsi="Times New Roman"/>
          <w:sz w:val="18"/>
          <w:szCs w:val="18"/>
          <w:i w:val="1"/>
          <w:iCs w:val="1"/>
          <w:color w:val="auto"/>
        </w:rPr>
        <w:t>Compensation and Indemnity.</w:t>
      </w:r>
    </w:p>
    <w:p>
      <w:pPr>
        <w:spacing w:after="0" w:line="198" w:lineRule="exact"/>
        <w:rPr>
          <w:sz w:val="20"/>
          <w:szCs w:val="20"/>
          <w:color w:val="auto"/>
        </w:rPr>
      </w:pPr>
    </w:p>
    <w:p>
      <w:pPr>
        <w:jc w:val="both"/>
        <w:ind w:firstLine="1286"/>
        <w:spacing w:after="0" w:line="231" w:lineRule="auto"/>
        <w:tabs>
          <w:tab w:leader="none" w:pos="172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pay to the Trustee (in its capacity as Trustee, and, to the extent it has been appointed as such, as Paying Agent and Registrar) from time to time reasonable compensation for its acceptance of this Indenture and services hereunder in accordance with a written schedule provided to the Issuer by the Trustee.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77" w:lineRule="exact"/>
        <w:rPr>
          <w:rFonts w:ascii="Times New Roman" w:cs="Times New Roman" w:eastAsia="Times New Roman" w:hAnsi="Times New Roman"/>
          <w:sz w:val="20"/>
          <w:szCs w:val="20"/>
          <w:color w:val="auto"/>
        </w:rPr>
      </w:pPr>
    </w:p>
    <w:p>
      <w:pPr>
        <w:jc w:val="both"/>
        <w:ind w:firstLine="1286"/>
        <w:spacing w:after="0" w:line="228" w:lineRule="auto"/>
        <w:tabs>
          <w:tab w:leader="none" w:pos="176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and the Guarantors will, jointly and severally, indemnify and hold harmless the Trustee against any and all losses, liabilities or expenses incurred by it arising out of or in connection with the acceptance or administration of its duties under this Indenture, including the costs and expenses (including attorneys’ fees)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third party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74" w:lineRule="exact"/>
        <w:rPr>
          <w:rFonts w:ascii="Times New Roman" w:cs="Times New Roman" w:eastAsia="Times New Roman" w:hAnsi="Times New Roman"/>
          <w:sz w:val="20"/>
          <w:szCs w:val="20"/>
          <w:color w:val="auto"/>
        </w:rPr>
      </w:pPr>
    </w:p>
    <w:p>
      <w:pPr>
        <w:ind w:firstLine="1286"/>
        <w:spacing w:after="0" w:line="261" w:lineRule="auto"/>
        <w:tabs>
          <w:tab w:leader="none" w:pos="169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Issuer and the Guarantors under this Section 7.07 will survive the satisfaction and discharge of this Indenture and the resignation or removal of the Trustee.</w:t>
      </w:r>
    </w:p>
    <w:p>
      <w:pPr>
        <w:spacing w:after="0" w:line="152"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2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secure the Issuer’s and the Guarantors’ payment obligations in this Section 7.07,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74" w:lineRule="exact"/>
        <w:rPr>
          <w:rFonts w:ascii="Times New Roman" w:cs="Times New Roman" w:eastAsia="Times New Roman" w:hAnsi="Times New Roman"/>
          <w:sz w:val="20"/>
          <w:szCs w:val="20"/>
          <w:color w:val="auto"/>
        </w:rPr>
      </w:pPr>
    </w:p>
    <w:p>
      <w:pPr>
        <w:ind w:firstLine="1286"/>
        <w:spacing w:after="0" w:line="247" w:lineRule="auto"/>
        <w:tabs>
          <w:tab w:leader="none" w:pos="172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6.01(i) or (j) occurs, the expenses and the compensation for the services (including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396" w:right="339" w:bottom="1440" w:gutter="0" w:footer="0" w:header="0"/>
        </w:sectPr>
      </w:pPr>
    </w:p>
    <w:bookmarkStart w:id="105" w:name="page106"/>
    <w:bookmarkEnd w:id="105"/>
    <w:p>
      <w:pPr>
        <w:ind w:right="20"/>
        <w:spacing w:after="0" w:line="247" w:lineRule="auto"/>
        <w:rPr>
          <w:sz w:val="20"/>
          <w:szCs w:val="20"/>
          <w:color w:val="auto"/>
        </w:rPr>
      </w:pPr>
      <w:r>
        <w:rPr>
          <w:rFonts w:ascii="Times New Roman" w:cs="Times New Roman" w:eastAsia="Times New Roman" w:hAnsi="Times New Roman"/>
          <w:sz w:val="20"/>
          <w:szCs w:val="20"/>
          <w:color w:val="auto"/>
        </w:rPr>
        <w:t>fees and expenses of its agents and counsel) are intended to constitute administrative expenses for purposes of priority under any Bankruptcy Law.</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7.08</w:t>
      </w:r>
      <w:r>
        <w:rPr>
          <w:sz w:val="20"/>
          <w:szCs w:val="20"/>
          <w:color w:val="auto"/>
        </w:rPr>
        <w:tab/>
      </w:r>
      <w:r>
        <w:rPr>
          <w:rFonts w:ascii="Times New Roman" w:cs="Times New Roman" w:eastAsia="Times New Roman" w:hAnsi="Times New Roman"/>
          <w:sz w:val="18"/>
          <w:szCs w:val="18"/>
          <w:i w:val="1"/>
          <w:iCs w:val="1"/>
          <w:color w:val="auto"/>
        </w:rPr>
        <w:t>Replacement of Trustee.</w:t>
      </w:r>
    </w:p>
    <w:p>
      <w:pPr>
        <w:spacing w:after="0" w:line="198" w:lineRule="exact"/>
        <w:rPr>
          <w:sz w:val="20"/>
          <w:szCs w:val="20"/>
          <w:color w:val="auto"/>
        </w:rPr>
      </w:pPr>
    </w:p>
    <w:p>
      <w:pPr>
        <w:ind w:firstLine="1286"/>
        <w:spacing w:after="0" w:line="261" w:lineRule="auto"/>
        <w:tabs>
          <w:tab w:leader="none" w:pos="176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resignation or removal of the Trustee and appointment of a successor Trustee will become effective only upon the successor Trustee’s acceptance of appointment as provided in this Section 7.08.</w:t>
      </w:r>
    </w:p>
    <w:p>
      <w:pPr>
        <w:spacing w:after="0" w:line="152"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1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resign in writing at any time and be discharged from the trust hereby created by so notifying the Issuer. The Holders of a majority in aggregate principal amount of the then outstanding Notes may remove the Trustee by so notifying the Trustee and the Issuer in writing at least 30 days prior to the requested date of removal. The Issuer may remove the Trustee if:</w:t>
      </w:r>
    </w:p>
    <w:p>
      <w:pPr>
        <w:spacing w:after="0" w:line="174"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fails to comply with Section 7.10;</w:t>
      </w:r>
    </w:p>
    <w:p>
      <w:pPr>
        <w:spacing w:after="0" w:line="196" w:lineRule="exact"/>
        <w:rPr>
          <w:rFonts w:ascii="Times New Roman" w:cs="Times New Roman" w:eastAsia="Times New Roman" w:hAnsi="Times New Roman"/>
          <w:sz w:val="20"/>
          <w:szCs w:val="20"/>
          <w:color w:val="auto"/>
        </w:rPr>
      </w:pPr>
    </w:p>
    <w:p>
      <w:pPr>
        <w:ind w:left="640" w:firstLine="1286"/>
        <w:spacing w:after="0" w:line="247" w:lineRule="auto"/>
        <w:tabs>
          <w:tab w:leader="none" w:pos="2413"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Bankruptcy Law;</w:t>
      </w:r>
    </w:p>
    <w:p>
      <w:pPr>
        <w:spacing w:after="0" w:line="16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 or</w:t>
      </w:r>
    </w:p>
    <w:p>
      <w:pPr>
        <w:spacing w:after="0" w:line="209"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w:t>
      </w:r>
    </w:p>
    <w:p>
      <w:pPr>
        <w:spacing w:after="0" w:line="196"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0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74"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7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successor Trustee does not take office within 60 days after the retiring Trustee resigns or is removed, the retiring Trustee (at the Issuer’s expense), the Issuer, or the Holders of at least 10% in aggregate principal amount of the then outstanding Notes may petition any court of competent jurisdiction for the appointment of a successor Trustee.</w:t>
      </w:r>
    </w:p>
    <w:p>
      <w:pPr>
        <w:spacing w:after="0" w:line="174" w:lineRule="exact"/>
        <w:rPr>
          <w:rFonts w:ascii="Times New Roman" w:cs="Times New Roman" w:eastAsia="Times New Roman" w:hAnsi="Times New Roman"/>
          <w:sz w:val="20"/>
          <w:szCs w:val="20"/>
          <w:color w:val="auto"/>
        </w:rPr>
      </w:pPr>
    </w:p>
    <w:p>
      <w:pPr>
        <w:jc w:val="both"/>
        <w:ind w:firstLine="1286"/>
        <w:spacing w:after="0" w:line="242" w:lineRule="auto"/>
        <w:tabs>
          <w:tab w:leader="none" w:pos="174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70" w:lineRule="exact"/>
        <w:rPr>
          <w:rFonts w:ascii="Times New Roman" w:cs="Times New Roman" w:eastAsia="Times New Roman" w:hAnsi="Times New Roman"/>
          <w:sz w:val="20"/>
          <w:szCs w:val="20"/>
          <w:color w:val="auto"/>
        </w:rPr>
      </w:pPr>
    </w:p>
    <w:p>
      <w:pPr>
        <w:jc w:val="both"/>
        <w:ind w:firstLine="1286"/>
        <w:spacing w:after="0" w:line="229" w:lineRule="auto"/>
        <w:tabs>
          <w:tab w:leader="none" w:pos="181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all sums owing to the Trustee hereunder have been paid and subject to the Lien provided for in Section 7.07. Notwithstanding replacement of the Trustee pursuant to this Section 7.08, the Issuer’s obligations under Section 7.07 will continue for the benefit of the retiring Trustee.</w:t>
      </w:r>
    </w:p>
    <w:p>
      <w:pPr>
        <w:spacing w:after="0" w:line="187"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7.09</w:t>
      </w:r>
      <w:r>
        <w:rPr>
          <w:sz w:val="20"/>
          <w:szCs w:val="20"/>
          <w:color w:val="auto"/>
        </w:rPr>
        <w:tab/>
      </w:r>
      <w:r>
        <w:rPr>
          <w:rFonts w:ascii="Times New Roman" w:cs="Times New Roman" w:eastAsia="Times New Roman" w:hAnsi="Times New Roman"/>
          <w:sz w:val="18"/>
          <w:szCs w:val="18"/>
          <w:i w:val="1"/>
          <w:iCs w:val="1"/>
          <w:color w:val="auto"/>
        </w:rPr>
        <w:t>Successor Trustee by Merger, etc.</w:t>
      </w:r>
    </w:p>
    <w:p>
      <w:pPr>
        <w:spacing w:after="0" w:line="198" w:lineRule="exact"/>
        <w:rPr>
          <w:sz w:val="20"/>
          <w:szCs w:val="20"/>
          <w:color w:val="auto"/>
        </w:rPr>
      </w:pPr>
    </w:p>
    <w:p>
      <w:pPr>
        <w:ind w:firstLine="640"/>
        <w:spacing w:after="0" w:line="247" w:lineRule="auto"/>
        <w:rPr>
          <w:sz w:val="20"/>
          <w:szCs w:val="20"/>
          <w:color w:val="auto"/>
        </w:rPr>
      </w:pPr>
      <w:r>
        <w:rPr>
          <w:rFonts w:ascii="Times New Roman" w:cs="Times New Roman" w:eastAsia="Times New Roman" w:hAnsi="Times New Roman"/>
          <w:sz w:val="20"/>
          <w:szCs w:val="20"/>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396" w:right="339" w:bottom="1440" w:gutter="0" w:footer="0" w:header="0"/>
        </w:sectPr>
      </w:pPr>
    </w:p>
    <w:bookmarkStart w:id="106" w:name="page107"/>
    <w:bookmarkEnd w:id="106"/>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7.10</w:t>
      </w:r>
      <w:r>
        <w:rPr>
          <w:sz w:val="20"/>
          <w:szCs w:val="20"/>
          <w:color w:val="auto"/>
        </w:rPr>
        <w:tab/>
      </w:r>
      <w:r>
        <w:rPr>
          <w:rFonts w:ascii="Times New Roman" w:cs="Times New Roman" w:eastAsia="Times New Roman" w:hAnsi="Times New Roman"/>
          <w:sz w:val="18"/>
          <w:szCs w:val="18"/>
          <w:i w:val="1"/>
          <w:iCs w:val="1"/>
          <w:color w:val="auto"/>
        </w:rPr>
        <w:t>Eligibility; Disqualification.</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ARTICLE 8</w:t>
      </w:r>
    </w:p>
    <w:p>
      <w:pPr>
        <w:spacing w:after="0" w:line="12" w:lineRule="exact"/>
        <w:rPr>
          <w:sz w:val="20"/>
          <w:szCs w:val="20"/>
          <w:color w:val="auto"/>
        </w:rPr>
      </w:pPr>
    </w:p>
    <w:p>
      <w:pPr>
        <w:ind w:left="640" w:right="3180" w:firstLine="2541"/>
        <w:spacing w:after="0" w:line="433" w:lineRule="auto"/>
        <w:rPr>
          <w:sz w:val="20"/>
          <w:szCs w:val="20"/>
          <w:color w:val="auto"/>
        </w:rPr>
      </w:pPr>
      <w:r>
        <w:rPr>
          <w:rFonts w:ascii="Times New Roman" w:cs="Times New Roman" w:eastAsia="Times New Roman" w:hAnsi="Times New Roman"/>
          <w:sz w:val="20"/>
          <w:szCs w:val="20"/>
          <w:color w:val="auto"/>
        </w:rPr>
        <w:t xml:space="preserve">LEGAL DEFEASANCE AND COVENANT DEFEASANCE Section 8.01 </w:t>
      </w:r>
      <w:r>
        <w:rPr>
          <w:rFonts w:ascii="Times New Roman" w:cs="Times New Roman" w:eastAsia="Times New Roman" w:hAnsi="Times New Roman"/>
          <w:sz w:val="20"/>
          <w:szCs w:val="20"/>
          <w:i w:val="1"/>
          <w:iCs w:val="1"/>
          <w:color w:val="auto"/>
        </w:rPr>
        <w:t>Option to Effect Legal Defeasance or Covenant Defeasance.</w:t>
      </w:r>
    </w:p>
    <w:p>
      <w:pPr>
        <w:spacing w:after="0" w:line="1"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0"/>
          <w:szCs w:val="20"/>
          <w:color w:val="auto"/>
        </w:rPr>
        <w:t>The Issuer may at any time, at its option as set forth in an Officer’s Certificate, elect to have either Section 8.02 or 8.03 be applied to all outstanding Notes upon compliance with the conditions set forth below in this Article 8.</w:t>
      </w:r>
    </w:p>
    <w:p>
      <w:pPr>
        <w:spacing w:after="0" w:line="15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8.02</w:t>
      </w:r>
      <w:r>
        <w:rPr>
          <w:sz w:val="20"/>
          <w:szCs w:val="20"/>
          <w:color w:val="auto"/>
        </w:rPr>
        <w:tab/>
      </w:r>
      <w:r>
        <w:rPr>
          <w:rFonts w:ascii="Times New Roman" w:cs="Times New Roman" w:eastAsia="Times New Roman" w:hAnsi="Times New Roman"/>
          <w:sz w:val="18"/>
          <w:szCs w:val="18"/>
          <w:i w:val="1"/>
          <w:iCs w:val="1"/>
          <w:color w:val="auto"/>
        </w:rPr>
        <w:t>Legal Defeasance and Discharge.</w:t>
      </w:r>
    </w:p>
    <w:p>
      <w:pPr>
        <w:spacing w:after="0" w:line="198"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Upon the Issuer’s exercise under Section 8.01 of the option applicable to this Section 8.02, the Issuer and each of the Guarantors will, subject to the satisfaction of the conditions set forth in Section 8.04, be deemed to have been discharged from their obligations with respect to all outstanding Notes (including the Guarantees) on the date the conditions set forth below are satisfied (hereinafter, “</w:t>
      </w:r>
      <w:r>
        <w:rPr>
          <w:rFonts w:ascii="Times New Roman" w:cs="Times New Roman" w:eastAsia="Times New Roman" w:hAnsi="Times New Roman"/>
          <w:sz w:val="20"/>
          <w:szCs w:val="20"/>
          <w:i w:val="1"/>
          <w:iCs w:val="1"/>
          <w:color w:val="auto"/>
        </w:rPr>
        <w:t>Legal Defeasance</w:t>
      </w:r>
      <w:r>
        <w:rPr>
          <w:rFonts w:ascii="Times New Roman" w:cs="Times New Roman" w:eastAsia="Times New Roman" w:hAnsi="Times New Roman"/>
          <w:sz w:val="20"/>
          <w:szCs w:val="20"/>
          <w:color w:val="auto"/>
        </w:rPr>
        <w:t>”).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Section 8.05 and the other Sections of this Indenture referred to in clauses (a) and (b) below, and to have satisfied all their other obligations under such Notes, the Guarantees and this Indenture (and the Trustee, on demand of and at the expense of the Issuer, shall execute proper instruments acknowledging the same), except for the following provisions which will survive until otherwise terminated or discharged hereunder:</w:t>
      </w:r>
    </w:p>
    <w:p>
      <w:pPr>
        <w:spacing w:after="0" w:line="179" w:lineRule="exact"/>
        <w:rPr>
          <w:sz w:val="20"/>
          <w:szCs w:val="20"/>
          <w:color w:val="auto"/>
        </w:rPr>
      </w:pPr>
    </w:p>
    <w:p>
      <w:pPr>
        <w:ind w:right="20" w:firstLine="1286"/>
        <w:spacing w:after="0" w:line="247" w:lineRule="auto"/>
        <w:tabs>
          <w:tab w:leader="none" w:pos="1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Holders of outstanding Notes to receive payments in respect of the principal of, premium on, if any, or interest on, such Notes when such payments are due from the trust referred to in Section 8.04;</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Issuer’s obligations with respect to such Notes under Article 2 and Section 4.02;</w:t>
      </w:r>
    </w:p>
    <w:p>
      <w:pPr>
        <w:spacing w:after="0" w:line="196" w:lineRule="exact"/>
        <w:rPr>
          <w:rFonts w:ascii="Times New Roman" w:cs="Times New Roman" w:eastAsia="Times New Roman" w:hAnsi="Times New Roman"/>
          <w:sz w:val="20"/>
          <w:szCs w:val="20"/>
          <w:color w:val="auto"/>
        </w:rPr>
      </w:pPr>
    </w:p>
    <w:p>
      <w:pPr>
        <w:ind w:firstLine="1286"/>
        <w:spacing w:after="0" w:line="247" w:lineRule="auto"/>
        <w:tabs>
          <w:tab w:leader="none" w:pos="170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duties and immunities of the Trustee hereunder and the Issuer’s and the Guarantors’ obligations in connection therewith; and</w:t>
      </w:r>
    </w:p>
    <w:p>
      <w:pPr>
        <w:spacing w:after="0" w:line="179"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Article 8.</w:t>
      </w:r>
    </w:p>
    <w:p>
      <w:pPr>
        <w:spacing w:after="0" w:line="19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Subject to compliance with this Article 8, the Issuer may exercise its option under this Section 8.02 notwithstanding the prior exercise of its option under Section 8.03.</w:t>
      </w:r>
    </w:p>
    <w:p>
      <w:pPr>
        <w:spacing w:after="0" w:line="16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8.03</w:t>
      </w:r>
      <w:r>
        <w:rPr>
          <w:sz w:val="20"/>
          <w:szCs w:val="20"/>
          <w:color w:val="auto"/>
        </w:rPr>
        <w:tab/>
      </w:r>
      <w:r>
        <w:rPr>
          <w:rFonts w:ascii="Times New Roman" w:cs="Times New Roman" w:eastAsia="Times New Roman" w:hAnsi="Times New Roman"/>
          <w:sz w:val="18"/>
          <w:szCs w:val="18"/>
          <w:i w:val="1"/>
          <w:iCs w:val="1"/>
          <w:color w:val="auto"/>
        </w:rPr>
        <w:t>Covenant Defeasance.</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Upon the Issuer’s exercise under Section 8.01 of the option applicable to this Section 8.03, the Issuer and each of the Guarantors will, subject to the satisfaction of the conditions set forth in Section 8.04, be released from each of their respective obligations under the covenants contained in Sections 3.10, 4.03,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94" w:right="339" w:bottom="1440" w:gutter="0" w:footer="0" w:header="0"/>
        </w:sectPr>
      </w:pPr>
    </w:p>
    <w:bookmarkStart w:id="107" w:name="page108"/>
    <w:bookmarkEnd w:id="107"/>
    <w:p>
      <w:pPr>
        <w:jc w:val="both"/>
        <w:spacing w:after="0" w:line="227" w:lineRule="auto"/>
        <w:rPr>
          <w:sz w:val="20"/>
          <w:szCs w:val="20"/>
          <w:color w:val="auto"/>
        </w:rPr>
      </w:pPr>
      <w:r>
        <w:rPr>
          <w:rFonts w:ascii="Times New Roman" w:cs="Times New Roman" w:eastAsia="Times New Roman" w:hAnsi="Times New Roman"/>
          <w:sz w:val="20"/>
          <w:szCs w:val="20"/>
          <w:color w:val="auto"/>
        </w:rPr>
        <w:t>4.04 4.05, 4.07, 4.08, 4.09, 4.10, 4.11, 4.12, 4.13, 4.14, 4.15, 4.16 and 4.17 and clause (4) of Section 5.01(a) with respect to all the outstanding Notes on and after the date the conditions set forth in Section 8.04 are satisfied (hereinafter, “</w:t>
      </w:r>
      <w:r>
        <w:rPr>
          <w:rFonts w:ascii="Times New Roman" w:cs="Times New Roman" w:eastAsia="Times New Roman" w:hAnsi="Times New Roman"/>
          <w:sz w:val="20"/>
          <w:szCs w:val="20"/>
          <w:i w:val="1"/>
          <w:iCs w:val="1"/>
          <w:color w:val="auto"/>
        </w:rPr>
        <w:t>Covenant Defeasance</w:t>
      </w:r>
      <w:r>
        <w:rPr>
          <w:rFonts w:ascii="Times New Roman" w:cs="Times New Roman" w:eastAsia="Times New Roman" w:hAnsi="Times New Roman"/>
          <w:sz w:val="20"/>
          <w:szCs w:val="20"/>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to the extent permitted by GAAP). For this purpose, Covenant Defeasance means that, with respect to the outstanding Notes and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Guarantees will be unaffected thereby. In addition, upon the Issuer’s exercise under Section 8.01 of the option applicable to this Section 8.03, subject to the satisfaction of the conditions set forth in Section 8.04, Sections 6.01(c), (d), (f), (g), (h) and (k) will not constitute Events of Default.</w:t>
      </w:r>
    </w:p>
    <w:p>
      <w:pPr>
        <w:spacing w:after="0" w:line="18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8.04</w:t>
      </w:r>
      <w:r>
        <w:rPr>
          <w:sz w:val="20"/>
          <w:szCs w:val="20"/>
          <w:color w:val="auto"/>
        </w:rPr>
        <w:tab/>
      </w:r>
      <w:r>
        <w:rPr>
          <w:rFonts w:ascii="Times New Roman" w:cs="Times New Roman" w:eastAsia="Times New Roman" w:hAnsi="Times New Roman"/>
          <w:sz w:val="18"/>
          <w:szCs w:val="18"/>
          <w:i w:val="1"/>
          <w:iCs w:val="1"/>
          <w:color w:val="auto"/>
        </w:rPr>
        <w:t>Conditions to Legal or Covenant Defeasance.</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order to exercise either Legal Defeasance or Covenant Defeasance under either Section 8.02 or 8.03:</w:t>
      </w:r>
    </w:p>
    <w:p>
      <w:pPr>
        <w:spacing w:after="0" w:line="196" w:lineRule="exact"/>
        <w:rPr>
          <w:sz w:val="20"/>
          <w:szCs w:val="20"/>
          <w:color w:val="auto"/>
        </w:rPr>
      </w:pPr>
    </w:p>
    <w:p>
      <w:pPr>
        <w:jc w:val="both"/>
        <w:ind w:firstLine="1286"/>
        <w:spacing w:after="0" w:line="226" w:lineRule="auto"/>
        <w:tabs>
          <w:tab w:leader="none" w:pos="175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must irrevocably deposit with the Trustee, in trust, for the benefit of the Holders, cash in U.S. dollars, non-callable Government Securities, or a combination thereof, in such amounts as will be sufficient to pay the principal of, premium on, if any, and interest on, the outstanding Notes on the stated date for payment thereof or on the applicable redemption date, as the case may be, and the Issuer must specify whether the Notes are being defeased to such stated date for payment or to a particular redemption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on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20"/>
          <w:szCs w:val="20"/>
          <w:i w:val="1"/>
          <w:iCs w:val="1"/>
          <w:color w:val="auto"/>
        </w:rPr>
        <w:t>Applicable Premium Deficit</w:t>
      </w:r>
      <w:r>
        <w:rPr>
          <w:rFonts w:ascii="Times New Roman" w:cs="Times New Roman" w:eastAsia="Times New Roman" w:hAnsi="Times New Roman"/>
          <w:sz w:val="20"/>
          <w:szCs w:val="20"/>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 shall have no liability whatsoever in the event that such Applicable Premium Deficit is not in fact paid after any Legal Defeasance or Covenant Defeasance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86" w:lineRule="exact"/>
        <w:rPr>
          <w:rFonts w:ascii="Times New Roman" w:cs="Times New Roman" w:eastAsia="Times New Roman" w:hAnsi="Times New Roman"/>
          <w:sz w:val="20"/>
          <w:szCs w:val="20"/>
          <w:color w:val="auto"/>
        </w:rPr>
      </w:pPr>
    </w:p>
    <w:p>
      <w:pPr>
        <w:ind w:right="20" w:firstLine="1286"/>
        <w:spacing w:after="0" w:line="247" w:lineRule="auto"/>
        <w:tabs>
          <w:tab w:leader="none" w:pos="176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election under Section 8.02, the Issuer must deliver to the Trustee an Opinion of Counsel reasonably acceptable to the Trustee confirming that:</w:t>
      </w:r>
    </w:p>
    <w:p>
      <w:pPr>
        <w:spacing w:after="0" w:line="166" w:lineRule="exact"/>
        <w:rPr>
          <w:rFonts w:ascii="Times New Roman" w:cs="Times New Roman" w:eastAsia="Times New Roman" w:hAnsi="Times New Roman"/>
          <w:sz w:val="20"/>
          <w:szCs w:val="20"/>
          <w:color w:val="auto"/>
        </w:rPr>
      </w:pPr>
    </w:p>
    <w:p>
      <w:pPr>
        <w:ind w:left="2340" w:hanging="414"/>
        <w:spacing w:after="0"/>
        <w:tabs>
          <w:tab w:leader="none" w:pos="23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has received from, or there has been published by, the Internal Revenue Service a ruling;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396" w:right="339" w:bottom="1440" w:gutter="0" w:footer="0" w:header="0"/>
        </w:sectPr>
      </w:pPr>
    </w:p>
    <w:bookmarkStart w:id="108" w:name="page109"/>
    <w:bookmarkEnd w:id="108"/>
    <w:p>
      <w:pPr>
        <w:jc w:val="both"/>
        <w:ind w:left="640" w:firstLine="1286"/>
        <w:spacing w:after="0" w:line="265" w:lineRule="auto"/>
        <w:tabs>
          <w:tab w:leader="none" w:pos="2359"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Issue Date,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65" w:lineRule="exact"/>
        <w:rPr>
          <w:rFonts w:ascii="Times New Roman" w:cs="Times New Roman" w:eastAsia="Times New Roman" w:hAnsi="Times New Roman"/>
          <w:sz w:val="18"/>
          <w:szCs w:val="18"/>
          <w:color w:val="auto"/>
        </w:rPr>
      </w:pPr>
    </w:p>
    <w:p>
      <w:pPr>
        <w:jc w:val="both"/>
        <w:ind w:firstLine="1286"/>
        <w:spacing w:after="0" w:line="233" w:lineRule="auto"/>
        <w:tabs>
          <w:tab w:leader="none" w:pos="175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election under Section 8.03, the Issuer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3" w:lineRule="exact"/>
        <w:rPr>
          <w:rFonts w:ascii="Times New Roman" w:cs="Times New Roman" w:eastAsia="Times New Roman" w:hAnsi="Times New Roman"/>
          <w:sz w:val="20"/>
          <w:szCs w:val="20"/>
          <w:color w:val="auto"/>
        </w:rPr>
      </w:pPr>
    </w:p>
    <w:p>
      <w:pPr>
        <w:jc w:val="both"/>
        <w:ind w:firstLine="1286"/>
        <w:spacing w:after="0" w:line="233" w:lineRule="auto"/>
        <w:tabs>
          <w:tab w:leader="none" w:pos="1711"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must deliver to the Trustee an Officer’s Certificate stating that 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 all or a portion of which are to be applied to such deposit);</w:t>
      </w:r>
    </w:p>
    <w:p>
      <w:pPr>
        <w:spacing w:after="0" w:line="186" w:lineRule="exact"/>
        <w:rPr>
          <w:rFonts w:ascii="Times New Roman" w:cs="Times New Roman" w:eastAsia="Times New Roman" w:hAnsi="Times New Roman"/>
          <w:sz w:val="20"/>
          <w:szCs w:val="20"/>
          <w:color w:val="auto"/>
        </w:rPr>
      </w:pPr>
    </w:p>
    <w:p>
      <w:pPr>
        <w:jc w:val="both"/>
        <w:ind w:firstLine="1286"/>
        <w:spacing w:after="0" w:line="233" w:lineRule="auto"/>
        <w:tabs>
          <w:tab w:leader="none" w:pos="170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must deliver to the Trustee an Officer’s Certificate stating that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Guarantor is a party or by which the Issuer or any Guarantor is bound;</w:t>
      </w:r>
    </w:p>
    <w:p>
      <w:pPr>
        <w:spacing w:after="0" w:line="173" w:lineRule="exact"/>
        <w:rPr>
          <w:rFonts w:ascii="Times New Roman" w:cs="Times New Roman" w:eastAsia="Times New Roman" w:hAnsi="Times New Roman"/>
          <w:sz w:val="20"/>
          <w:szCs w:val="20"/>
          <w:color w:val="auto"/>
        </w:rPr>
      </w:pPr>
    </w:p>
    <w:p>
      <w:pPr>
        <w:jc w:val="both"/>
        <w:ind w:firstLine="1286"/>
        <w:spacing w:after="0" w:line="236" w:lineRule="auto"/>
        <w:tabs>
          <w:tab w:leader="none" w:pos="169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must deliver to the Trustee an Officer’s Certificate stating that the deposit was not made by the Issuer with the intent of preferring the Holders of the Notes over the other creditors of the Issuer with the intent of defeating, hindering, delaying or defrauding any creditors of the Issuer or others; and</w:t>
      </w:r>
    </w:p>
    <w:p>
      <w:pPr>
        <w:spacing w:after="0" w:line="174" w:lineRule="exact"/>
        <w:rPr>
          <w:rFonts w:ascii="Times New Roman" w:cs="Times New Roman" w:eastAsia="Times New Roman" w:hAnsi="Times New Roman"/>
          <w:sz w:val="20"/>
          <w:szCs w:val="20"/>
          <w:color w:val="auto"/>
        </w:rPr>
      </w:pPr>
    </w:p>
    <w:p>
      <w:pPr>
        <w:ind w:firstLine="1286"/>
        <w:spacing w:after="0" w:line="261" w:lineRule="auto"/>
        <w:tabs>
          <w:tab w:leader="none" w:pos="173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must deliver to the Trustee an Officer’s Certificate and an Opinion of Counsel, each stating that all conditions precedent relating to the Legal Defeasance or the Covenant Defeasance, as the case may be, have been complied with.</w:t>
      </w:r>
    </w:p>
    <w:p>
      <w:pPr>
        <w:spacing w:after="0" w:line="15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8.05</w:t>
      </w:r>
      <w:r>
        <w:rPr>
          <w:sz w:val="20"/>
          <w:szCs w:val="20"/>
          <w:color w:val="auto"/>
        </w:rPr>
        <w:tab/>
      </w:r>
      <w:r>
        <w:rPr>
          <w:rFonts w:ascii="Times New Roman" w:cs="Times New Roman" w:eastAsia="Times New Roman" w:hAnsi="Times New Roman"/>
          <w:sz w:val="18"/>
          <w:szCs w:val="18"/>
          <w:i w:val="1"/>
          <w:iCs w:val="1"/>
          <w:color w:val="auto"/>
        </w:rPr>
        <w:t>Deposited Money and Government Securities to be Held in Trust; Other Miscellaneous Provisions.</w:t>
      </w:r>
    </w:p>
    <w:p>
      <w:pPr>
        <w:spacing w:after="0" w:line="198"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Subject to Section 8.06,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 pursuant to Section 8.04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interest and premium, if any, but such money need not be segregated from other funds except to the extent required by law.</w:t>
      </w:r>
    </w:p>
    <w:p>
      <w:pPr>
        <w:spacing w:after="0" w:line="189"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The Issuer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396" w:right="339" w:bottom="1440" w:gutter="0" w:footer="0" w:header="0"/>
        </w:sectPr>
      </w:pPr>
    </w:p>
    <w:bookmarkStart w:id="109" w:name="page110"/>
    <w:bookmarkEnd w:id="109"/>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Notwithstanding anything in this Article 8 to the contrary, the Trustee will deliver or pay to the Issuer from time to time upon the request of the Issuer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8.06</w:t>
      </w:r>
      <w:r>
        <w:rPr>
          <w:sz w:val="20"/>
          <w:szCs w:val="20"/>
          <w:color w:val="auto"/>
        </w:rPr>
        <w:tab/>
      </w:r>
      <w:r>
        <w:rPr>
          <w:rFonts w:ascii="Times New Roman" w:cs="Times New Roman" w:eastAsia="Times New Roman" w:hAnsi="Times New Roman"/>
          <w:sz w:val="18"/>
          <w:szCs w:val="18"/>
          <w:i w:val="1"/>
          <w:iCs w:val="1"/>
          <w:color w:val="auto"/>
        </w:rPr>
        <w:t>Repayment to Issuer.</w:t>
      </w:r>
    </w:p>
    <w:p>
      <w:pPr>
        <w:spacing w:after="0" w:line="198"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Subject to applicable law, any money deposited with the Trustee or any Paying Agent, or then held by the Issuer, in trust for the payment of the principal of, premium on, if any, or interest on, any Note and remaining unclaimed for two years after such principal, interest and premium, if any, has become due and payable shall be paid to the Issuer on its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56"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8.07</w:t>
      </w:r>
      <w:r>
        <w:rPr>
          <w:sz w:val="20"/>
          <w:szCs w:val="20"/>
          <w:color w:val="auto"/>
        </w:rPr>
        <w:tab/>
      </w:r>
      <w:r>
        <w:rPr>
          <w:rFonts w:ascii="Times New Roman" w:cs="Times New Roman" w:eastAsia="Times New Roman" w:hAnsi="Times New Roman"/>
          <w:sz w:val="18"/>
          <w:szCs w:val="18"/>
          <w:i w:val="1"/>
          <w:iCs w:val="1"/>
          <w:color w:val="auto"/>
        </w:rPr>
        <w:t>Reinstatement.</w:t>
      </w:r>
    </w:p>
    <w:p>
      <w:pPr>
        <w:spacing w:after="0" w:line="212" w:lineRule="exact"/>
        <w:rPr>
          <w:sz w:val="20"/>
          <w:szCs w:val="20"/>
          <w:color w:val="auto"/>
        </w:rPr>
      </w:pPr>
    </w:p>
    <w:p>
      <w:pPr>
        <w:jc w:val="both"/>
        <w:ind w:firstLine="640"/>
        <w:spacing w:after="0" w:line="227"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Section 8.02 or 8.03 until such time as the Trustee or Paying Agent is permitted to apply all such money or Government Securities in accordance with Section 8.02 or 8.03,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Issuer makes any payment of principal of, premium on, if any, or interest on, any Note following the reinstatement of its obligations, the Issuer will be subrogated to the rights of the Holders of such Notes to receive such payment from the money or Government Securities held by the Trustee or Paying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9</w:t>
      </w:r>
    </w:p>
    <w:p>
      <w:pPr>
        <w:spacing w:after="0" w:line="12" w:lineRule="exact"/>
        <w:rPr>
          <w:sz w:val="20"/>
          <w:szCs w:val="20"/>
          <w:color w:val="auto"/>
        </w:rPr>
      </w:pPr>
    </w:p>
    <w:p>
      <w:pPr>
        <w:ind w:left="640" w:right="3660" w:firstLine="3032"/>
        <w:spacing w:after="0" w:line="433" w:lineRule="auto"/>
        <w:rPr>
          <w:sz w:val="20"/>
          <w:szCs w:val="20"/>
          <w:color w:val="auto"/>
        </w:rPr>
      </w:pPr>
      <w:r>
        <w:rPr>
          <w:rFonts w:ascii="Times New Roman" w:cs="Times New Roman" w:eastAsia="Times New Roman" w:hAnsi="Times New Roman"/>
          <w:sz w:val="20"/>
          <w:szCs w:val="20"/>
          <w:color w:val="auto"/>
        </w:rPr>
        <w:t xml:space="preserve">AMENDMENT, SUPPLEMENT AND WAIVER Section 9.01 </w:t>
      </w:r>
      <w:r>
        <w:rPr>
          <w:rFonts w:ascii="Times New Roman" w:cs="Times New Roman" w:eastAsia="Times New Roman" w:hAnsi="Times New Roman"/>
          <w:sz w:val="20"/>
          <w:szCs w:val="20"/>
          <w:i w:val="1"/>
          <w:iCs w:val="1"/>
          <w:color w:val="auto"/>
        </w:rPr>
        <w:t>Without Consent of Holders of Notes.</w:t>
      </w:r>
    </w:p>
    <w:p>
      <w:pPr>
        <w:spacing w:after="0" w:line="1"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Notwithstanding Section 9.02 of this Indenture, without the consent of any Holder of Notes, the Issuer, the Guarantors and the Trustee may amend or supplement this Indenture, the Notes or the Guarantees:</w:t>
      </w:r>
    </w:p>
    <w:p>
      <w:pPr>
        <w:spacing w:after="0" w:line="180" w:lineRule="exact"/>
        <w:rPr>
          <w:sz w:val="20"/>
          <w:szCs w:val="20"/>
          <w:color w:val="auto"/>
        </w:rPr>
      </w:pPr>
    </w:p>
    <w:p>
      <w:pPr>
        <w:ind w:left="1700" w:hanging="414"/>
        <w:spacing w:after="0"/>
        <w:tabs>
          <w:tab w:leader="none" w:pos="1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certificated Notes;</w:t>
      </w:r>
    </w:p>
    <w:p>
      <w:pPr>
        <w:spacing w:after="0" w:line="196" w:lineRule="exact"/>
        <w:rPr>
          <w:rFonts w:ascii="Times New Roman" w:cs="Times New Roman" w:eastAsia="Times New Roman" w:hAnsi="Times New Roman"/>
          <w:sz w:val="20"/>
          <w:szCs w:val="20"/>
          <w:color w:val="auto"/>
        </w:rPr>
      </w:pPr>
    </w:p>
    <w:p>
      <w:pPr>
        <w:ind w:firstLine="1286"/>
        <w:spacing w:after="0" w:line="247" w:lineRule="auto"/>
        <w:tabs>
          <w:tab w:leader="none" w:pos="1729"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of the Issuer’s or a Guarantor’s obligations to Holders of the Notes and Guarantees in the case of a merger or consolidation or sale of all or substantially all of the Issuer’s or such Guarantor’s properties or assets, as applicable;</w:t>
      </w:r>
    </w:p>
    <w:p>
      <w:pPr>
        <w:spacing w:after="0" w:line="153" w:lineRule="exact"/>
        <w:rPr>
          <w:rFonts w:ascii="Times New Roman" w:cs="Times New Roman" w:eastAsia="Times New Roman" w:hAnsi="Times New Roman"/>
          <w:sz w:val="20"/>
          <w:szCs w:val="20"/>
          <w:color w:val="auto"/>
        </w:rPr>
      </w:pPr>
    </w:p>
    <w:p>
      <w:pPr>
        <w:ind w:firstLine="1286"/>
        <w:spacing w:after="0" w:line="236" w:lineRule="auto"/>
        <w:tabs>
          <w:tab w:leader="none" w:pos="1781"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Holders of the Notes or that does not adversely affect the legal rights under this Indenture of any Holder;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396" w:right="339" w:bottom="1440" w:gutter="0" w:footer="0" w:header="0"/>
        </w:sectPr>
      </w:pPr>
    </w:p>
    <w:bookmarkStart w:id="110" w:name="page111"/>
    <w:bookmarkEnd w:id="110"/>
    <w:p>
      <w:pPr>
        <w:ind w:left="1700" w:hanging="414"/>
        <w:spacing w:after="0"/>
        <w:tabs>
          <w:tab w:leader="none" w:pos="1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19" w:lineRule="exact"/>
        <w:rPr>
          <w:rFonts w:ascii="Times New Roman" w:cs="Times New Roman" w:eastAsia="Times New Roman" w:hAnsi="Times New Roman"/>
          <w:sz w:val="18"/>
          <w:szCs w:val="18"/>
          <w:color w:val="auto"/>
        </w:rPr>
      </w:pPr>
    </w:p>
    <w:p>
      <w:pPr>
        <w:ind w:firstLine="1286"/>
        <w:spacing w:after="0" w:line="247" w:lineRule="auto"/>
        <w:tabs>
          <w:tab w:leader="none" w:pos="170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conform the text of this Indenture, the Notes or the Guarantees to any provision of the “Description of Notes” section of the Offering Memorandum as specified by an Officer’s Certificate;</w:t>
      </w:r>
    </w:p>
    <w:p>
      <w:pPr>
        <w:spacing w:after="0" w:line="166" w:lineRule="exact"/>
        <w:rPr>
          <w:rFonts w:ascii="Times New Roman" w:cs="Times New Roman" w:eastAsia="Times New Roman" w:hAnsi="Times New Roman"/>
          <w:sz w:val="20"/>
          <w:szCs w:val="20"/>
          <w:color w:val="auto"/>
        </w:rPr>
      </w:pPr>
    </w:p>
    <w:p>
      <w:pPr>
        <w:ind w:left="1720" w:hanging="434"/>
        <w:spacing w:after="0"/>
        <w:tabs>
          <w:tab w:leader="none" w:pos="1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 as of the date</w:t>
      </w:r>
    </w:p>
    <w:p>
      <w:pPr>
        <w:spacing w:after="0" w:line="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hereof;</w:t>
      </w:r>
    </w:p>
    <w:p>
      <w:pPr>
        <w:spacing w:after="0" w:line="174" w:lineRule="exact"/>
        <w:rPr>
          <w:rFonts w:ascii="Times New Roman" w:cs="Times New Roman" w:eastAsia="Times New Roman" w:hAnsi="Times New Roman"/>
          <w:sz w:val="18"/>
          <w:szCs w:val="18"/>
          <w:color w:val="auto"/>
        </w:rPr>
      </w:pPr>
    </w:p>
    <w:p>
      <w:pPr>
        <w:ind w:left="1700" w:hanging="414"/>
        <w:spacing w:after="0"/>
        <w:tabs>
          <w:tab w:leader="none" w:pos="1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secure the Notes or the Guarantees pursuant to the requirements of Section 4.12 or otherwise;</w:t>
      </w:r>
    </w:p>
    <w:p>
      <w:pPr>
        <w:spacing w:after="0" w:line="196" w:lineRule="exact"/>
        <w:rPr>
          <w:rFonts w:ascii="Times New Roman" w:cs="Times New Roman" w:eastAsia="Times New Roman" w:hAnsi="Times New Roman"/>
          <w:sz w:val="20"/>
          <w:szCs w:val="20"/>
          <w:color w:val="auto"/>
        </w:rPr>
      </w:pPr>
    </w:p>
    <w:p>
      <w:pPr>
        <w:ind w:firstLine="1286"/>
        <w:spacing w:after="0" w:line="247" w:lineRule="auto"/>
        <w:tabs>
          <w:tab w:leader="none" w:pos="180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the release of any Guarantor from its Guarantee, as provided in this Indenture, or add any additional Guarantor or guarantee of the Notes;</w:t>
      </w:r>
    </w:p>
    <w:p>
      <w:pPr>
        <w:spacing w:after="0" w:line="166" w:lineRule="exact"/>
        <w:rPr>
          <w:rFonts w:ascii="Times New Roman" w:cs="Times New Roman" w:eastAsia="Times New Roman" w:hAnsi="Times New Roman"/>
          <w:sz w:val="20"/>
          <w:szCs w:val="20"/>
          <w:color w:val="auto"/>
        </w:rPr>
      </w:pPr>
    </w:p>
    <w:p>
      <w:pPr>
        <w:ind w:left="1660" w:hanging="374"/>
        <w:spacing w:after="0"/>
        <w:tabs>
          <w:tab w:leader="none" w:pos="16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or provide for the acceptance of appointment under this Indenture of a successor Trustee; or</w:t>
      </w:r>
    </w:p>
    <w:p>
      <w:pPr>
        <w:spacing w:after="0" w:line="19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reorganization of the Issuer as any other form of entity in accordance with Section 5.01(c).</w:t>
      </w:r>
    </w:p>
    <w:p>
      <w:pPr>
        <w:spacing w:after="0" w:line="196" w:lineRule="exact"/>
        <w:rPr>
          <w:sz w:val="20"/>
          <w:szCs w:val="20"/>
          <w:color w:val="auto"/>
        </w:rPr>
      </w:pPr>
    </w:p>
    <w:p>
      <w:pPr>
        <w:jc w:val="both"/>
        <w:ind w:firstLine="1279"/>
        <w:spacing w:after="0" w:line="242" w:lineRule="auto"/>
        <w:rPr>
          <w:sz w:val="20"/>
          <w:szCs w:val="20"/>
          <w:color w:val="auto"/>
        </w:rPr>
      </w:pPr>
      <w:r>
        <w:rPr>
          <w:rFonts w:ascii="Times New Roman" w:cs="Times New Roman" w:eastAsia="Times New Roman" w:hAnsi="Times New Roman"/>
          <w:sz w:val="20"/>
          <w:szCs w:val="20"/>
          <w:color w:val="auto"/>
        </w:rPr>
        <w:t>Any supplemental indenture authorized by the provisions of this Section 9.01 may be executed by the Issuer, the Guarantors and the Trustee without the consent of the Holders of any of the Notes at the time outstanding, notwithstanding any of the provisions of Section 9.02.</w:t>
      </w:r>
    </w:p>
    <w:p>
      <w:pPr>
        <w:spacing w:after="0" w:line="169"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9.02</w:t>
      </w:r>
      <w:r>
        <w:rPr>
          <w:sz w:val="20"/>
          <w:szCs w:val="20"/>
          <w:color w:val="auto"/>
        </w:rPr>
        <w:tab/>
      </w:r>
      <w:r>
        <w:rPr>
          <w:rFonts w:ascii="Times New Roman" w:cs="Times New Roman" w:eastAsia="Times New Roman" w:hAnsi="Times New Roman"/>
          <w:sz w:val="18"/>
          <w:szCs w:val="18"/>
          <w:i w:val="1"/>
          <w:iCs w:val="1"/>
          <w:color w:val="auto"/>
        </w:rPr>
        <w:t>With Consent of Holders of Notes.</w:t>
      </w:r>
    </w:p>
    <w:p>
      <w:pPr>
        <w:spacing w:after="0" w:line="198"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Except as provided below in this Section 9.01, the Issuer, the Guarantors and the Trustee may amend or supplement this Indenture (including, without limitation, Sections 3.10, 4.10 and 4.15) and the Notes and the Guarantees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 6.07, any existing Default or Event of Default or compliance with any provision of this Indenture or the Notes or the Guarantees may be waived, in each case,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shall determine which Notes are considered to be “outstanding” for purposes of this Section 9.02. However, without the consent of each Holder affected, an amendment, supplement or waiver may not (with respect to any Notes held by a non-consenting Holder):</w:t>
      </w:r>
    </w:p>
    <w:p>
      <w:pPr>
        <w:spacing w:after="0" w:line="174" w:lineRule="exact"/>
        <w:rPr>
          <w:sz w:val="20"/>
          <w:szCs w:val="20"/>
          <w:color w:val="auto"/>
        </w:rPr>
      </w:pPr>
    </w:p>
    <w:p>
      <w:pPr>
        <w:ind w:left="1700" w:hanging="414"/>
        <w:spacing w:after="0"/>
        <w:tabs>
          <w:tab w:leader="none" w:pos="1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whose Holders must consent to an amendment, supplement or waiver;</w:t>
      </w:r>
    </w:p>
    <w:p>
      <w:pPr>
        <w:spacing w:after="0" w:line="196"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3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change the fixed maturity of any Note or alter the redemption date of any Note or reduce any redemption price of any Note (other than provisions relating to minimum notice periods required with respect to redemptions of Notes and provisions under Section 3.03, 3.10, 4.10 or 4.15);</w:t>
      </w:r>
    </w:p>
    <w:p>
      <w:pPr>
        <w:spacing w:after="0" w:line="187"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on any Note;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396" w:right="339" w:bottom="1440" w:gutter="0" w:footer="0" w:header="0"/>
        </w:sectPr>
      </w:pPr>
    </w:p>
    <w:bookmarkStart w:id="111" w:name="page112"/>
    <w:bookmarkEnd w:id="111"/>
    <w:p>
      <w:pPr>
        <w:ind w:left="1740" w:hanging="454"/>
        <w:spacing w:after="0"/>
        <w:tabs>
          <w:tab w:leader="none" w:pos="17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(except</w:t>
      </w:r>
    </w:p>
    <w:p>
      <w:pPr>
        <w:spacing w:after="0" w:line="28" w:lineRule="exact"/>
        <w:rPr>
          <w:rFonts w:ascii="Times New Roman" w:cs="Times New Roman" w:eastAsia="Times New Roman" w:hAnsi="Times New Roman"/>
          <w:sz w:val="18"/>
          <w:szCs w:val="18"/>
          <w:color w:val="auto"/>
        </w:rPr>
      </w:pPr>
    </w:p>
    <w:p>
      <w:pPr>
        <w:ind w:firstLine="7"/>
        <w:spacing w:after="0" w:line="232" w:lineRule="auto"/>
        <w:tabs>
          <w:tab w:leader="none" w:pos="24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required by Section 3.10, 4.10 or 4.15 or (ii) a rescission of acceleration of the Notes by the Holders of a majority in aggregate principal amount of the then outstanding Notes and a waiver of the payment default that resulted from such acceleration);</w:t>
      </w:r>
    </w:p>
    <w:p>
      <w:pPr>
        <w:spacing w:after="0" w:line="173"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other than that stated in the Notes;</w:t>
      </w:r>
    </w:p>
    <w:p>
      <w:pPr>
        <w:spacing w:after="0" w:line="209"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27"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provisions of this Indenture relating to waivers of past Defaults or the rights of Holders of the Notes to receive payments of principal of, premium on, if any, or interest on, the Notes (other than a payment required by Section 3.10, 4.10 or 4.15);</w:t>
      </w:r>
    </w:p>
    <w:p>
      <w:pPr>
        <w:spacing w:after="0" w:line="174" w:lineRule="exact"/>
        <w:rPr>
          <w:rFonts w:ascii="Times New Roman" w:cs="Times New Roman" w:eastAsia="Times New Roman" w:hAnsi="Times New Roman"/>
          <w:sz w:val="20"/>
          <w:szCs w:val="20"/>
          <w:color w:val="auto"/>
        </w:rPr>
      </w:pPr>
    </w:p>
    <w:p>
      <w:pPr>
        <w:ind w:firstLine="1286"/>
        <w:spacing w:after="0" w:line="247" w:lineRule="auto"/>
        <w:tabs>
          <w:tab w:leader="none" w:pos="1751"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redemption or repurchase payment with respect to any Note (for the avoidance of doubt, other than a payment required by Section 3.10, 4.10 or 4.15);</w:t>
      </w:r>
    </w:p>
    <w:p>
      <w:pPr>
        <w:spacing w:after="0" w:line="166" w:lineRule="exact"/>
        <w:rPr>
          <w:rFonts w:ascii="Times New Roman" w:cs="Times New Roman" w:eastAsia="Times New Roman" w:hAnsi="Times New Roman"/>
          <w:sz w:val="20"/>
          <w:szCs w:val="20"/>
          <w:color w:val="auto"/>
        </w:rPr>
      </w:pPr>
    </w:p>
    <w:p>
      <w:pPr>
        <w:ind w:firstLine="1286"/>
        <w:spacing w:after="0" w:line="247" w:lineRule="auto"/>
        <w:tabs>
          <w:tab w:leader="none" w:pos="1769"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Guarantor from any of its material obligations under its Guarantee or this Indenture, except in accordance with the terms of this Indenture; or</w:t>
      </w:r>
    </w:p>
    <w:p>
      <w:pPr>
        <w:spacing w:after="0" w:line="166" w:lineRule="exact"/>
        <w:rPr>
          <w:rFonts w:ascii="Times New Roman" w:cs="Times New Roman" w:eastAsia="Times New Roman" w:hAnsi="Times New Roman"/>
          <w:sz w:val="20"/>
          <w:szCs w:val="20"/>
          <w:color w:val="auto"/>
        </w:rPr>
      </w:pPr>
    </w:p>
    <w:p>
      <w:pPr>
        <w:ind w:left="1660" w:hanging="374"/>
        <w:spacing w:after="0"/>
        <w:tabs>
          <w:tab w:leader="none" w:pos="166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preceding amendment, supplement and waiver provisions.</w:t>
      </w:r>
    </w:p>
    <w:p>
      <w:pPr>
        <w:spacing w:after="0" w:line="210"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The consent of the Holders is not necessary under this Section 9.02 to approve the particular form of any proposed amendment, supplement or waiver. It is sufficient if such consent approves the substance of the proposed amendment, supplement or waiver. After an amendment, supplement or waiver under this Indenture requiring the approval of the Holders becomes effective, the Issuer will send to the Holders a notice briefly describing the amendment, supplement or waiver. However, the failure to give such notice, or any defect in the notice, will not impair or affect the validity of the amendment, supplement or waiver.</w:t>
      </w:r>
    </w:p>
    <w:p>
      <w:pPr>
        <w:spacing w:after="0" w:line="171"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9.03</w:t>
      </w:r>
      <w:r>
        <w:rPr>
          <w:sz w:val="20"/>
          <w:szCs w:val="20"/>
          <w:color w:val="auto"/>
        </w:rPr>
        <w:tab/>
      </w:r>
      <w:r>
        <w:rPr>
          <w:rFonts w:ascii="Times New Roman" w:cs="Times New Roman" w:eastAsia="Times New Roman" w:hAnsi="Times New Roman"/>
          <w:sz w:val="18"/>
          <w:szCs w:val="18"/>
          <w:i w:val="1"/>
          <w:iCs w:val="1"/>
          <w:color w:val="auto"/>
        </w:rPr>
        <w:t>Revocation and Effect of Consents.</w:t>
      </w:r>
    </w:p>
    <w:p>
      <w:pPr>
        <w:spacing w:after="0" w:line="198"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0"/>
          <w:szCs w:val="20"/>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unless it makes a change described in any of clauses (a) through (i) of the first paragraph of Section 9.02, in which case, the amendment, supplement or waiver shall bind only each Holder of a Note who has consented to such amendment, supplement or waiver and every subsequent Holder of a Note or portion of a Note that evidences the same indebtedness as the consenting Holder’s Note.</w:t>
      </w:r>
    </w:p>
    <w:p>
      <w:pPr>
        <w:spacing w:after="0" w:line="175"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9.04</w:t>
      </w:r>
      <w:r>
        <w:rPr>
          <w:sz w:val="20"/>
          <w:szCs w:val="20"/>
          <w:color w:val="auto"/>
        </w:rPr>
        <w:tab/>
      </w:r>
      <w:r>
        <w:rPr>
          <w:rFonts w:ascii="Times New Roman" w:cs="Times New Roman" w:eastAsia="Times New Roman" w:hAnsi="Times New Roman"/>
          <w:sz w:val="18"/>
          <w:szCs w:val="18"/>
          <w:i w:val="1"/>
          <w:iCs w:val="1"/>
          <w:color w:val="auto"/>
        </w:rPr>
        <w:t>Notation on or Exchange of Notes.</w:t>
      </w:r>
    </w:p>
    <w:p>
      <w:pPr>
        <w:spacing w:after="0" w:line="198"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The Trustee, at the written direction of the Issuer,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waiver.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396" w:right="339" w:bottom="1440" w:gutter="0" w:footer="0" w:header="0"/>
        </w:sectPr>
      </w:pPr>
    </w:p>
    <w:bookmarkStart w:id="112" w:name="page113"/>
    <w:bookmarkEnd w:id="112"/>
    <w:p>
      <w:pPr>
        <w:spacing w:after="0" w:line="16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9.05</w:t>
      </w:r>
      <w:r>
        <w:rPr>
          <w:sz w:val="20"/>
          <w:szCs w:val="20"/>
          <w:color w:val="auto"/>
        </w:rPr>
        <w:tab/>
      </w:r>
      <w:r>
        <w:rPr>
          <w:rFonts w:ascii="Times New Roman" w:cs="Times New Roman" w:eastAsia="Times New Roman" w:hAnsi="Times New Roman"/>
          <w:sz w:val="18"/>
          <w:szCs w:val="18"/>
          <w:i w:val="1"/>
          <w:iCs w:val="1"/>
          <w:color w:val="auto"/>
        </w:rPr>
        <w:t>Trustee to Sign Amendments, etc.</w:t>
      </w:r>
    </w:p>
    <w:p>
      <w:pPr>
        <w:spacing w:after="0" w:line="198"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The Trustee will sign any amended or supplemental indenture authorized pursuant to this Article 9 if the amendment or supplement does not adversely affect the rights, duties, protections, indemnities, liabilities or immunities of the Trustee. In executing any amended or supplemental indenture, the Trustee will be entitled to receive and (subject to Section 7.01) will be fully protected in relying upon, in addition to the documents required by Section 12.04, an Officer’s Certificate and an Opinion of Counsel stating that the execution of such amended or supplemental indenture is authorized or permitted by this Indenture and, with respect to the Opinion of Counsel, that such amendment, supplement or waiver is the legal, valid and binding obligation of the Issuer, enforceable against it in accordance with its terms, subject to customary qualifications.</w:t>
      </w:r>
    </w:p>
    <w:p>
      <w:pPr>
        <w:spacing w:after="0" w:line="17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9.06</w:t>
      </w:r>
      <w:r>
        <w:rPr>
          <w:sz w:val="20"/>
          <w:szCs w:val="20"/>
          <w:color w:val="auto"/>
        </w:rPr>
        <w:tab/>
      </w:r>
      <w:r>
        <w:rPr>
          <w:rFonts w:ascii="Times New Roman" w:cs="Times New Roman" w:eastAsia="Times New Roman" w:hAnsi="Times New Roman"/>
          <w:sz w:val="18"/>
          <w:szCs w:val="18"/>
          <w:i w:val="1"/>
          <w:iCs w:val="1"/>
          <w:color w:val="auto"/>
        </w:rPr>
        <w:t>Effect of Supplemental Indentures.</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Upon the execution of any amended or supplemental indenture under this Article 9, this Indenture shall be modified in accordance therewith, and such amended or supplemental indenture shall form a part of this Indenture for all purposes; and every Holder of Notes theretofore or thereafter authenticated and delivered hereunder shall be bound thereby.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10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GUARANTEES</w:t>
      </w:r>
    </w:p>
    <w:p>
      <w:pPr>
        <w:spacing w:after="0" w:line="17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10.01</w:t>
      </w:r>
      <w:r>
        <w:rPr>
          <w:sz w:val="20"/>
          <w:szCs w:val="20"/>
          <w:color w:val="auto"/>
        </w:rPr>
        <w:tab/>
      </w:r>
      <w:r>
        <w:rPr>
          <w:rFonts w:ascii="Times New Roman" w:cs="Times New Roman" w:eastAsia="Times New Roman" w:hAnsi="Times New Roman"/>
          <w:sz w:val="18"/>
          <w:szCs w:val="18"/>
          <w:i w:val="1"/>
          <w:iCs w:val="1"/>
          <w:color w:val="auto"/>
        </w:rPr>
        <w:t>Guarantee.</w:t>
      </w:r>
    </w:p>
    <w:p>
      <w:pPr>
        <w:spacing w:after="0" w:line="198" w:lineRule="exact"/>
        <w:rPr>
          <w:sz w:val="20"/>
          <w:szCs w:val="20"/>
          <w:color w:val="auto"/>
        </w:rPr>
      </w:pPr>
    </w:p>
    <w:p>
      <w:pPr>
        <w:jc w:val="both"/>
        <w:ind w:firstLine="1286"/>
        <w:spacing w:after="0" w:line="242" w:lineRule="auto"/>
        <w:tabs>
          <w:tab w:leader="none" w:pos="169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170" w:lineRule="exact"/>
        <w:rPr>
          <w:rFonts w:ascii="Times New Roman" w:cs="Times New Roman" w:eastAsia="Times New Roman" w:hAnsi="Times New Roman"/>
          <w:sz w:val="20"/>
          <w:szCs w:val="20"/>
          <w:color w:val="auto"/>
        </w:rPr>
      </w:pPr>
    </w:p>
    <w:p>
      <w:pPr>
        <w:jc w:val="both"/>
        <w:ind w:left="640" w:firstLine="1286"/>
        <w:spacing w:after="0" w:line="233" w:lineRule="auto"/>
        <w:tabs>
          <w:tab w:leader="none" w:pos="2349"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of, premium on, if any, and interest on, the Notes will be promptly paid in full when due, whether at Stated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173" w:lineRule="exact"/>
        <w:rPr>
          <w:rFonts w:ascii="Times New Roman" w:cs="Times New Roman" w:eastAsia="Times New Roman" w:hAnsi="Times New Roman"/>
          <w:sz w:val="20"/>
          <w:szCs w:val="20"/>
          <w:color w:val="auto"/>
        </w:rPr>
      </w:pPr>
    </w:p>
    <w:p>
      <w:pPr>
        <w:jc w:val="both"/>
        <w:ind w:left="640" w:firstLine="1286"/>
        <w:spacing w:after="0" w:line="236" w:lineRule="auto"/>
        <w:tabs>
          <w:tab w:leader="none" w:pos="237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8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75" w:lineRule="exact"/>
        <w:rPr>
          <w:sz w:val="20"/>
          <w:szCs w:val="20"/>
          <w:color w:val="auto"/>
        </w:rPr>
      </w:pPr>
    </w:p>
    <w:p>
      <w:pPr>
        <w:jc w:val="both"/>
        <w:ind w:firstLine="1286"/>
        <w:spacing w:after="0" w:line="231" w:lineRule="auto"/>
        <w:tabs>
          <w:tab w:leader="none" w:pos="173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36" w:lineRule="auto"/>
        <w:rPr>
          <w:sz w:val="20"/>
          <w:szCs w:val="20"/>
          <w:color w:val="auto"/>
        </w:rPr>
      </w:pPr>
      <w:r>
        <w:rPr>
          <w:rFonts w:ascii="Times New Roman" w:cs="Times New Roman" w:eastAsia="Times New Roman" w:hAnsi="Times New Roman"/>
          <w:sz w:val="20"/>
          <w:szCs w:val="20"/>
          <w:color w:val="auto"/>
        </w:rPr>
        <w:t>a court in the event of insolvency or bankruptcy of the Issuer, any right to require a proceeding first against the Issuer, protest, notice and all demands whatsoever and covenant that this Guarantee will not be discharged except by complete performance of the obligations contained in the Notes and this Indenture.</w:t>
      </w:r>
    </w:p>
    <w:p>
      <w:pPr>
        <w:spacing w:after="0" w:line="175" w:lineRule="exact"/>
        <w:rPr>
          <w:sz w:val="20"/>
          <w:szCs w:val="20"/>
          <w:color w:val="auto"/>
        </w:rPr>
      </w:pPr>
    </w:p>
    <w:p>
      <w:pPr>
        <w:jc w:val="both"/>
        <w:ind w:firstLine="1286"/>
        <w:spacing w:after="0" w:line="242" w:lineRule="auto"/>
        <w:tabs>
          <w:tab w:leader="none" w:pos="17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Holder or the Trustee is required by any court or otherwise to return to the Issuer, the Guarantors or any custodian, trustee, liquidator or other similar official acting in relation to either the Issuer or the Guarantors, any amount paid by any of them to the Trustee or such Holder, this Guarantee, to the extent theretofore discharged, will be reinstated in full force and effect.</w:t>
      </w:r>
    </w:p>
    <w:p>
      <w:pPr>
        <w:spacing w:after="0" w:line="170" w:lineRule="exact"/>
        <w:rPr>
          <w:rFonts w:ascii="Times New Roman" w:cs="Times New Roman" w:eastAsia="Times New Roman" w:hAnsi="Times New Roman"/>
          <w:sz w:val="20"/>
          <w:szCs w:val="20"/>
          <w:color w:val="auto"/>
        </w:rPr>
      </w:pPr>
    </w:p>
    <w:p>
      <w:pPr>
        <w:jc w:val="both"/>
        <w:ind w:firstLine="1286"/>
        <w:spacing w:after="0" w:line="229" w:lineRule="auto"/>
        <w:tabs>
          <w:tab w:leader="none" w:pos="174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7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10.02</w:t>
      </w:r>
      <w:r>
        <w:rPr>
          <w:sz w:val="20"/>
          <w:szCs w:val="20"/>
          <w:color w:val="auto"/>
        </w:rPr>
        <w:tab/>
      </w:r>
      <w:r>
        <w:rPr>
          <w:rFonts w:ascii="Times New Roman" w:cs="Times New Roman" w:eastAsia="Times New Roman" w:hAnsi="Times New Roman"/>
          <w:sz w:val="18"/>
          <w:szCs w:val="18"/>
          <w:i w:val="1"/>
          <w:iCs w:val="1"/>
          <w:color w:val="auto"/>
        </w:rPr>
        <w:t>Limitation on Guarantor Liability.</w:t>
      </w:r>
    </w:p>
    <w:p>
      <w:pPr>
        <w:spacing w:after="0" w:line="198"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 Until such time as the Notes are paid in full, each Guarantor hereby waives all rights of subrogation or contribution, whether arising by contract or operation of law (including any such right arising under federal Bankruptcy Law) or otherwise by reason of any payment by it pursuant to the provisions of this Article 10.</w:t>
      </w:r>
    </w:p>
    <w:p>
      <w:pPr>
        <w:spacing w:after="0" w:line="15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10.03</w:t>
      </w:r>
      <w:r>
        <w:rPr>
          <w:sz w:val="20"/>
          <w:szCs w:val="20"/>
          <w:color w:val="auto"/>
        </w:rPr>
        <w:tab/>
      </w:r>
      <w:r>
        <w:rPr>
          <w:rFonts w:ascii="Times New Roman" w:cs="Times New Roman" w:eastAsia="Times New Roman" w:hAnsi="Times New Roman"/>
          <w:sz w:val="18"/>
          <w:szCs w:val="18"/>
          <w:i w:val="1"/>
          <w:iCs w:val="1"/>
          <w:color w:val="auto"/>
        </w:rPr>
        <w:t>Guarantee Evidenced by Indenture.</w:t>
      </w:r>
    </w:p>
    <w:p>
      <w:pPr>
        <w:spacing w:after="0" w:line="198"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The Guarantee of any Guarantor shall be evidenced solely by its execution and delivery of this Indenture (or, in the case of any Guarantor that is not party to this Indenture on the Issue Date, a supplemental indenture hereto) and not by an endorsement on, or attachment to, any Note or any Guarantee or notation thereof.</w:t>
      </w:r>
    </w:p>
    <w:p>
      <w:pPr>
        <w:spacing w:after="0" w:line="171"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Each Guarantor hereby agrees that its Guarantee set forth in Section 10.01 will remain in full force and effect notwithstanding any failure to endorse on each Note a notation of such Guarantee.</w:t>
      </w:r>
    </w:p>
    <w:p>
      <w:pPr>
        <w:spacing w:after="0" w:line="166" w:lineRule="exact"/>
        <w:rPr>
          <w:sz w:val="20"/>
          <w:szCs w:val="20"/>
          <w:color w:val="auto"/>
        </w:rPr>
      </w:pPr>
    </w:p>
    <w:p>
      <w:pPr>
        <w:jc w:val="both"/>
        <w:ind w:right="20" w:firstLine="640"/>
        <w:spacing w:after="0" w:line="247" w:lineRule="auto"/>
        <w:rPr>
          <w:sz w:val="20"/>
          <w:szCs w:val="20"/>
          <w:color w:val="auto"/>
        </w:rPr>
      </w:pPr>
      <w:r>
        <w:rPr>
          <w:rFonts w:ascii="Times New Roman" w:cs="Times New Roman" w:eastAsia="Times New Roman" w:hAnsi="Times New Roman"/>
          <w:sz w:val="20"/>
          <w:szCs w:val="20"/>
          <w:color w:val="auto"/>
        </w:rPr>
        <w:t>The delivery of any Note by the Trustee, after the authentication thereof hereunder, will constitute due delivery of the Guarantee set forth in this Indenture on behalf of the Guarantors.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396" w:right="339" w:bottom="1440" w:gutter="0" w:footer="0" w:header="0"/>
        </w:sectPr>
      </w:pPr>
    </w:p>
    <w:bookmarkStart w:id="114" w:name="page115"/>
    <w:bookmarkEnd w:id="114"/>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10.04</w:t>
      </w:r>
      <w:r>
        <w:rPr>
          <w:sz w:val="20"/>
          <w:szCs w:val="20"/>
          <w:color w:val="auto"/>
        </w:rPr>
        <w:tab/>
      </w:r>
      <w:r>
        <w:rPr>
          <w:rFonts w:ascii="Times New Roman" w:cs="Times New Roman" w:eastAsia="Times New Roman" w:hAnsi="Times New Roman"/>
          <w:sz w:val="18"/>
          <w:szCs w:val="18"/>
          <w:i w:val="1"/>
          <w:iCs w:val="1"/>
          <w:color w:val="auto"/>
        </w:rPr>
        <w:t>Releases.</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Notwithstanding anything to the contrary in this Indenture, the Guarantee of a Guarantor shall be released, and such Guarantor deemed automatically and unconditionally released and discharged from all of its obligations under this Indenture, in each case, without any further action on the part of the Trustee or any Holder of the Notes:</w:t>
      </w:r>
    </w:p>
    <w:p>
      <w:pPr>
        <w:spacing w:after="0" w:line="188" w:lineRule="exact"/>
        <w:rPr>
          <w:sz w:val="20"/>
          <w:szCs w:val="20"/>
          <w:color w:val="auto"/>
        </w:rPr>
      </w:pPr>
    </w:p>
    <w:p>
      <w:pPr>
        <w:jc w:val="both"/>
        <w:ind w:firstLine="1286"/>
        <w:spacing w:after="0" w:line="236" w:lineRule="auto"/>
        <w:tabs>
          <w:tab w:leader="none" w:pos="1717"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sale or other disposition of all or substantially all of the properties or assets of that Guarantor, by way of merger, consolidation or otherwise, to a Person that is not (either before or after giving effect to such transaction) the Issuer or a Restricted Subsidiary of the Issuer, if the sale or other disposition does not violate Section 4.10;</w:t>
      </w:r>
    </w:p>
    <w:p>
      <w:pPr>
        <w:spacing w:after="0" w:line="174"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1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sale or other disposition of Capital Stock of that Guarantor to a Person that is not (either before or after giving effect to such transaction) the Issuer or a Restricted Subsidiary of the Issuer, if the sale or other disposition does not violate Section 4.10 and such Guarantor ceases to be a Restricted Subsidiary of the Issuer as a result of the sale or other disposition;</w:t>
      </w:r>
    </w:p>
    <w:p>
      <w:pPr>
        <w:spacing w:after="0" w:line="174"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Issuer designates such Guarantor to be an Unrestricted Subsidiary in accordance with the terms of this Indenture;</w:t>
      </w:r>
    </w:p>
    <w:p>
      <w:pPr>
        <w:spacing w:after="0" w:line="196" w:lineRule="exact"/>
        <w:rPr>
          <w:rFonts w:ascii="Times New Roman" w:cs="Times New Roman" w:eastAsia="Times New Roman" w:hAnsi="Times New Roman"/>
          <w:sz w:val="20"/>
          <w:szCs w:val="20"/>
          <w:color w:val="auto"/>
        </w:rPr>
      </w:pPr>
    </w:p>
    <w:p>
      <w:pPr>
        <w:ind w:firstLine="1286"/>
        <w:spacing w:after="0" w:line="261" w:lineRule="auto"/>
        <w:tabs>
          <w:tab w:leader="none" w:pos="183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Legal Defeasance or Covenant Defeasance in accordance with Article 8 or satisfaction and discharge of this Indenture in accordance with Article 11;</w:t>
      </w:r>
    </w:p>
    <w:p>
      <w:pPr>
        <w:spacing w:after="0" w:line="150" w:lineRule="exact"/>
        <w:rPr>
          <w:rFonts w:ascii="Times New Roman" w:cs="Times New Roman" w:eastAsia="Times New Roman" w:hAnsi="Times New Roman"/>
          <w:sz w:val="20"/>
          <w:szCs w:val="20"/>
          <w:color w:val="auto"/>
        </w:rPr>
      </w:pPr>
    </w:p>
    <w:p>
      <w:pPr>
        <w:ind w:left="1800" w:hanging="514"/>
        <w:spacing w:after="0"/>
        <w:tabs>
          <w:tab w:leader="none" w:pos="18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liquidation or dissolution of such Guarantor,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no Default or Event of Default has occurred that is</w:t>
      </w:r>
    </w:p>
    <w:p>
      <w:pPr>
        <w:spacing w:after="0" w:line="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74" w:lineRule="exact"/>
        <w:rPr>
          <w:rFonts w:ascii="Times New Roman" w:cs="Times New Roman" w:eastAsia="Times New Roman" w:hAnsi="Times New Roman"/>
          <w:sz w:val="20"/>
          <w:szCs w:val="20"/>
          <w:color w:val="auto"/>
        </w:rPr>
      </w:pPr>
    </w:p>
    <w:p>
      <w:pPr>
        <w:ind w:firstLine="1286"/>
        <w:spacing w:after="0" w:line="247" w:lineRule="auto"/>
        <w:tabs>
          <w:tab w:leader="none" w:pos="168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Guarantor consolidating with, merging into or transferring all of its properties or assets to the Issuer or another Guarantor, and as a result of, or in connection with, such transaction such Guarantor dissolving or otherwise ceasing to exist; or</w:t>
      </w:r>
    </w:p>
    <w:p>
      <w:pPr>
        <w:spacing w:after="0" w:line="166"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3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such time as such Guarantor ceases to guarantee or otherwise be an obligor with respect to any other Indebtedness of the Issuer or any other Guarantor in excess of the De Minimis Guaranteed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no Event of Default has occurred that is continuing.</w:t>
      </w:r>
    </w:p>
    <w:p>
      <w:pPr>
        <w:spacing w:after="0" w:line="18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Any Guarantor not released from its obligations under its Guarantee as provided in this Section 10.04 will remain liable for the full amount of principal of, premium on, if any, and interest on the Notes and for the other obligations of such Guarantor under this Indenture as provided in this Article 10.</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11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SATISFACTION AND DISCHARGE</w:t>
      </w:r>
    </w:p>
    <w:p>
      <w:pPr>
        <w:spacing w:after="0" w:line="18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11.01</w:t>
      </w:r>
      <w:r>
        <w:rPr>
          <w:sz w:val="20"/>
          <w:szCs w:val="20"/>
          <w:color w:val="auto"/>
        </w:rPr>
        <w:tab/>
      </w:r>
      <w:r>
        <w:rPr>
          <w:rFonts w:ascii="Times New Roman" w:cs="Times New Roman" w:eastAsia="Times New Roman" w:hAnsi="Times New Roman"/>
          <w:sz w:val="18"/>
          <w:szCs w:val="18"/>
          <w:i w:val="1"/>
          <w:iCs w:val="1"/>
          <w:color w:val="auto"/>
        </w:rPr>
        <w:t>Satisfaction and Discharge.</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issued hereunder (except as to surviving rights of registration of transfer or exchange of the Notes and as otherwise specified in this Article 11), and the Trustee, at the expense of the Issuer, shall execute proper instruments acknowledging such satisfaction and discharge of this Indenture, when:</w:t>
      </w:r>
    </w:p>
    <w:p>
      <w:pPr>
        <w:spacing w:after="0" w:line="161" w:lineRule="exact"/>
        <w:rPr>
          <w:sz w:val="20"/>
          <w:szCs w:val="20"/>
          <w:color w:val="auto"/>
        </w:rPr>
      </w:pPr>
    </w:p>
    <w:p>
      <w:pPr>
        <w:ind w:left="1700" w:hanging="414"/>
        <w:spacing w:after="0"/>
        <w:tabs>
          <w:tab w:leader="none" w:pos="17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394" w:right="339" w:bottom="1440" w:gutter="0" w:footer="0" w:header="0"/>
        </w:sectPr>
      </w:pPr>
    </w:p>
    <w:bookmarkStart w:id="115" w:name="page116"/>
    <w:bookmarkEnd w:id="115"/>
    <w:p>
      <w:pPr>
        <w:spacing w:after="0" w:line="170" w:lineRule="exact"/>
        <w:rPr>
          <w:sz w:val="20"/>
          <w:szCs w:val="20"/>
          <w:color w:val="auto"/>
        </w:rPr>
      </w:pPr>
    </w:p>
    <w:p>
      <w:pPr>
        <w:jc w:val="both"/>
        <w:ind w:left="640" w:firstLine="1286"/>
        <w:spacing w:after="0" w:line="236" w:lineRule="auto"/>
        <w:tabs>
          <w:tab w:leader="none" w:pos="2357"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174" w:lineRule="exact"/>
        <w:rPr>
          <w:rFonts w:ascii="Times New Roman" w:cs="Times New Roman" w:eastAsia="Times New Roman" w:hAnsi="Times New Roman"/>
          <w:sz w:val="20"/>
          <w:szCs w:val="20"/>
          <w:color w:val="auto"/>
        </w:rPr>
      </w:pPr>
    </w:p>
    <w:p>
      <w:pPr>
        <w:jc w:val="both"/>
        <w:ind w:left="640" w:firstLine="1286"/>
        <w:spacing w:after="0" w:line="253" w:lineRule="auto"/>
        <w:tabs>
          <w:tab w:leader="none" w:pos="245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or will become due and payable within one year by reason of the mailing of a notice of redemption or otherwise and either the Issuer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interest and premium, if any, on the Notes to the date of Stated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382" w:lineRule="exact"/>
        <w:rPr>
          <w:rFonts w:ascii="Times New Roman" w:cs="Times New Roman" w:eastAsia="Times New Roman" w:hAnsi="Times New Roman"/>
          <w:sz w:val="18"/>
          <w:szCs w:val="18"/>
          <w:color w:val="auto"/>
        </w:rPr>
      </w:pPr>
    </w:p>
    <w:p>
      <w:pPr>
        <w:ind w:left="1700" w:hanging="414"/>
        <w:spacing w:after="0"/>
        <w:tabs>
          <w:tab w:leader="none" w:pos="17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has paid or caused to be paid all other sums payable by the Issuer under this Indenture; and</w:t>
      </w:r>
    </w:p>
    <w:p>
      <w:pPr>
        <w:spacing w:after="0" w:line="196" w:lineRule="exact"/>
        <w:rPr>
          <w:rFonts w:ascii="Times New Roman" w:cs="Times New Roman" w:eastAsia="Times New Roman" w:hAnsi="Times New Roman"/>
          <w:sz w:val="20"/>
          <w:szCs w:val="20"/>
          <w:color w:val="auto"/>
        </w:rPr>
      </w:pPr>
    </w:p>
    <w:p>
      <w:pPr>
        <w:ind w:firstLine="1286"/>
        <w:spacing w:after="0" w:line="247" w:lineRule="auto"/>
        <w:tabs>
          <w:tab w:leader="none" w:pos="176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Issuer has delivered irrevocable instructions to the Trustee to apply the deposited money toward the payment of the Notes at Stated Maturity or on the redemption date, as the case may be.</w:t>
      </w:r>
    </w:p>
    <w:p>
      <w:pPr>
        <w:spacing w:after="0" w:line="166" w:lineRule="exact"/>
        <w:rPr>
          <w:sz w:val="20"/>
          <w:szCs w:val="20"/>
          <w:color w:val="auto"/>
        </w:rPr>
      </w:pPr>
    </w:p>
    <w:p>
      <w:pPr>
        <w:jc w:val="both"/>
        <w:ind w:right="20" w:firstLine="640"/>
        <w:spacing w:after="0" w:line="247" w:lineRule="auto"/>
        <w:rPr>
          <w:sz w:val="20"/>
          <w:szCs w:val="20"/>
          <w:color w:val="auto"/>
        </w:rPr>
      </w:pPr>
      <w:r>
        <w:rPr>
          <w:rFonts w:ascii="Times New Roman" w:cs="Times New Roman" w:eastAsia="Times New Roman" w:hAnsi="Times New Roman"/>
          <w:sz w:val="20"/>
          <w:szCs w:val="20"/>
          <w:color w:val="auto"/>
        </w:rPr>
        <w:t>In addition, the Issuer must deliver an Officer’s Certificate and an Opinion of Counsel to the Trustee stating that all conditions precedent to satisfaction and discharge have been satisfied.</w:t>
      </w:r>
    </w:p>
    <w:p>
      <w:pPr>
        <w:spacing w:after="0" w:line="166"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Notwithstanding the satisfaction and discharge of this Indenture, if money or Government Securities have been deposited with the Trustee pursuant to subclause (2) of clause (a) of this Section 11.01, the provisions of Sections 11.02 and 8.06 will survive. In addition, nothing in this Section 11.01 will be deemed to discharge those provisions of Section 7.07, that, by their terms, survive the satisfaction and discharge of this Indenture.</w:t>
      </w:r>
    </w:p>
    <w:p>
      <w:pPr>
        <w:spacing w:after="0" w:line="17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11.02</w:t>
      </w:r>
      <w:r>
        <w:rPr>
          <w:sz w:val="20"/>
          <w:szCs w:val="20"/>
          <w:color w:val="auto"/>
        </w:rPr>
        <w:tab/>
      </w:r>
      <w:r>
        <w:rPr>
          <w:rFonts w:ascii="Times New Roman" w:cs="Times New Roman" w:eastAsia="Times New Roman" w:hAnsi="Times New Roman"/>
          <w:sz w:val="18"/>
          <w:szCs w:val="18"/>
          <w:i w:val="1"/>
          <w:iCs w:val="1"/>
          <w:color w:val="auto"/>
        </w:rPr>
        <w:t>Application of Trust Money.</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Subject to the provisions of Section 8.06, all money or Government Securities deposited with the Trustee pursuant to Section 11.01 shall be held in trust and applied by it, in accordance with the provisions of the Notes and this Indenture, to the payment, either directly or through any Paying Agent (including the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jc w:val="both"/>
        <w:spacing w:after="0" w:line="236" w:lineRule="auto"/>
        <w:rPr>
          <w:sz w:val="20"/>
          <w:szCs w:val="20"/>
          <w:color w:val="auto"/>
        </w:rPr>
      </w:pPr>
      <w:r>
        <w:rPr>
          <w:rFonts w:ascii="Times New Roman" w:cs="Times New Roman" w:eastAsia="Times New Roman" w:hAnsi="Times New Roman"/>
          <w:sz w:val="20"/>
          <w:szCs w:val="20"/>
          <w:color w:val="auto"/>
        </w:rPr>
        <w:t>Issuer acting as its own Paying Agent) as the Trustee may determine, to the Persons entitled thereto, of the principal, interest and premium, if any, for whose payment such money or Government Securities have been deposited with the Trustee; but such money or Government Securities need not be segregated from other funds except to the extent required by law.</w:t>
      </w:r>
    </w:p>
    <w:p>
      <w:pPr>
        <w:spacing w:after="0" w:line="175"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Issuer has made any payment of principal of, premium on, if any, or interest on, any Notes because of the reinstatement of their obligations, the Issuer shall be subrogated to the rights of the Holders of such Notes to receive such payment from the money or Government Securities held by the Trustee or Paying Agent.</w:t>
      </w:r>
    </w:p>
    <w:p>
      <w:pPr>
        <w:spacing w:after="0" w:line="17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Notwithstanding the above, the Trustee shall pay to the Issuer from time to time upon its request any money or Government Securities held by it as provided in this Section 11.02 which, in the opinion of a nationally recognized firm of independent public accountants expressed in a written certification delivered to the Trustee, are in excess of the amount thereof that would then be required to be deposited to effect satisfaction and discharge under this Article 11.</w:t>
      </w:r>
    </w:p>
    <w:p>
      <w:pPr>
        <w:spacing w:after="0" w:line="175"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Subject to applicable law, any money or Government Securities deposited with the Trustee or any Paying Agent, or then held by the Issuer, in trust for the payment of the principal of, premium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172"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12.01</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19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12.02</w:t>
      </w:r>
      <w:r>
        <w:rPr>
          <w:sz w:val="20"/>
          <w:szCs w:val="20"/>
          <w:color w:val="auto"/>
        </w:rPr>
        <w:tab/>
      </w:r>
      <w:r>
        <w:rPr>
          <w:rFonts w:ascii="Times New Roman" w:cs="Times New Roman" w:eastAsia="Times New Roman" w:hAnsi="Times New Roman"/>
          <w:sz w:val="18"/>
          <w:szCs w:val="18"/>
          <w:i w:val="1"/>
          <w:iCs w:val="1"/>
          <w:color w:val="auto"/>
        </w:rPr>
        <w:t>Notices.</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Any notice or communication by the Issuer, any Guarantor or the Trustee to the others is duly given if in writing in the English language and delivered in Person or by first class mail (registered or certified, return receipt requested), electronic image scan, facsimile transmission or overnight air courier guaranteeing next day delivery, to the others’ address: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any of the Issuer and the Guarantors: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California Resources Corporation</w:t>
      </w:r>
    </w:p>
    <w:p>
      <w:pPr>
        <w:ind w:left="640"/>
        <w:spacing w:after="0" w:line="228" w:lineRule="auto"/>
        <w:rPr>
          <w:sz w:val="20"/>
          <w:szCs w:val="20"/>
          <w:color w:val="auto"/>
        </w:rPr>
      </w:pPr>
      <w:r>
        <w:rPr>
          <w:rFonts w:ascii="Times New Roman" w:cs="Times New Roman" w:eastAsia="Times New Roman" w:hAnsi="Times New Roman"/>
          <w:sz w:val="20"/>
          <w:szCs w:val="20"/>
          <w:color w:val="auto"/>
        </w:rPr>
        <w:t>1 World Trade Center, Suite 1500</w:t>
      </w:r>
    </w:p>
    <w:p>
      <w:pPr>
        <w:ind w:left="640"/>
        <w:spacing w:after="0" w:line="222" w:lineRule="auto"/>
        <w:rPr>
          <w:sz w:val="20"/>
          <w:szCs w:val="20"/>
          <w:color w:val="auto"/>
        </w:rPr>
      </w:pPr>
      <w:r>
        <w:rPr>
          <w:rFonts w:ascii="Times New Roman" w:cs="Times New Roman" w:eastAsia="Times New Roman" w:hAnsi="Times New Roman"/>
          <w:sz w:val="20"/>
          <w:szCs w:val="20"/>
          <w:color w:val="auto"/>
        </w:rPr>
        <w:t>Long Beach, California 90831</w:t>
      </w:r>
    </w:p>
    <w:p>
      <w:pPr>
        <w:ind w:left="640"/>
        <w:spacing w:after="0" w:line="223" w:lineRule="auto"/>
        <w:rPr>
          <w:sz w:val="20"/>
          <w:szCs w:val="20"/>
          <w:color w:val="auto"/>
        </w:rPr>
      </w:pPr>
      <w:r>
        <w:rPr>
          <w:rFonts w:ascii="Times New Roman" w:cs="Times New Roman" w:eastAsia="Times New Roman" w:hAnsi="Times New Roman"/>
          <w:sz w:val="20"/>
          <w:szCs w:val="20"/>
          <w:color w:val="auto"/>
        </w:rPr>
        <w:t>Facsimile No.: (818) 661-3750</w:t>
      </w:r>
    </w:p>
    <w:p>
      <w:pPr>
        <w:ind w:left="640"/>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396" w:right="339" w:bottom="1440" w:gutter="0" w:footer="0" w:header="0"/>
        </w:sectPr>
      </w:pPr>
    </w:p>
    <w:bookmarkStart w:id="117" w:name="page118"/>
    <w:bookmarkEnd w:id="117"/>
    <w:p>
      <w:pPr>
        <w:ind w:left="64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ind w:left="640"/>
        <w:spacing w:after="0" w:line="228" w:lineRule="auto"/>
        <w:rPr>
          <w:sz w:val="20"/>
          <w:szCs w:val="20"/>
          <w:color w:val="auto"/>
        </w:rPr>
      </w:pPr>
      <w:r>
        <w:rPr>
          <w:rFonts w:ascii="Times New Roman" w:cs="Times New Roman" w:eastAsia="Times New Roman" w:hAnsi="Times New Roman"/>
          <w:sz w:val="20"/>
          <w:szCs w:val="20"/>
          <w:color w:val="auto"/>
        </w:rPr>
        <w:t>50 South Sixth Street, Suite 1290</w:t>
      </w:r>
    </w:p>
    <w:p>
      <w:pPr>
        <w:ind w:left="640"/>
        <w:spacing w:after="0" w:line="236" w:lineRule="auto"/>
        <w:rPr>
          <w:sz w:val="20"/>
          <w:szCs w:val="20"/>
          <w:color w:val="auto"/>
        </w:rPr>
      </w:pPr>
      <w:r>
        <w:rPr>
          <w:rFonts w:ascii="Times New Roman" w:cs="Times New Roman" w:eastAsia="Times New Roman" w:hAnsi="Times New Roman"/>
          <w:sz w:val="20"/>
          <w:szCs w:val="20"/>
          <w:color w:val="auto"/>
        </w:rPr>
        <w:t>Minneapolis, Minnesota 55402</w:t>
      </w:r>
    </w:p>
    <w:p>
      <w:pPr>
        <w:ind w:left="640"/>
        <w:spacing w:after="0" w:line="222" w:lineRule="auto"/>
        <w:rPr>
          <w:sz w:val="20"/>
          <w:szCs w:val="20"/>
          <w:color w:val="auto"/>
        </w:rPr>
      </w:pPr>
      <w:r>
        <w:rPr>
          <w:rFonts w:ascii="Times New Roman" w:cs="Times New Roman" w:eastAsia="Times New Roman" w:hAnsi="Times New Roman"/>
          <w:sz w:val="20"/>
          <w:szCs w:val="20"/>
          <w:color w:val="auto"/>
        </w:rPr>
        <w:t>Facsimile No.: (612) 217-5651</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Attention: California Resources Corporation, Administrator</w:t>
      </w:r>
    </w:p>
    <w:p>
      <w:pPr>
        <w:spacing w:after="0" w:line="17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Issuer, any Guarantor or the Trustee, by notice to the others, may designate additional or different addresses for subsequent notices or communications. Notices given by publication will be deemed given on the first date on which publication is made.</w:t>
      </w:r>
    </w:p>
    <w:p>
      <w:pPr>
        <w:spacing w:after="0" w:line="166"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electronic image scan or facsimile; and the next Business Day after timely delivery to the courier, if sent by overnight air courier guaranteeing next day delivery.</w:t>
      </w:r>
    </w:p>
    <w:p>
      <w:pPr>
        <w:spacing w:after="0" w:line="186"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75" w:lineRule="exact"/>
        <w:rPr>
          <w:sz w:val="20"/>
          <w:szCs w:val="20"/>
          <w:color w:val="auto"/>
        </w:rPr>
      </w:pPr>
    </w:p>
    <w:p>
      <w:pPr>
        <w:jc w:val="both"/>
        <w:ind w:right="20" w:firstLine="640"/>
        <w:spacing w:after="0" w:line="247" w:lineRule="auto"/>
        <w:rPr>
          <w:sz w:val="20"/>
          <w:szCs w:val="20"/>
          <w:color w:val="auto"/>
        </w:rPr>
      </w:pPr>
      <w:r>
        <w:rPr>
          <w:rFonts w:ascii="Times New Roman" w:cs="Times New Roman" w:eastAsia="Times New Roman" w:hAnsi="Times New Roman"/>
          <w:sz w:val="20"/>
          <w:szCs w:val="20"/>
          <w:color w:val="auto"/>
        </w:rPr>
        <w:t>If a notice or communication is mailed in the manner provided above within the time prescribed, it is duly given, whether or not the addressee receives it.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the Issuer mails a notice or communication to Holders, the Issuer will mail a copy to the Trustee and each Agent at the same time.</w:t>
      </w:r>
    </w:p>
    <w:p>
      <w:pPr>
        <w:spacing w:after="0" w:line="196"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71"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Where this Indenture provides for notice in any manner, such notice may be waived in writing by the Person entitled to receive such notice, either before or after the event, and such waiver shall be the equivalent of such notice. Waivers of notice by the Holders shall be filed with the Trustee, but such filing shall not be a condition precedent to the validity of any action taken in reliance upon such waiver.</w:t>
      </w:r>
    </w:p>
    <w:p>
      <w:pPr>
        <w:spacing w:after="0" w:line="175"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Where this Indenture provides for notice of any event to a Holder of a Global Note, such notice shall be sufficiently given if given to the Depositary for such Note (or its designee), pursuant to its Applicable Procedures, not later than the latest date (if any), and not earlier than the earliest date (if any), prescribed for the giving of such notice.</w:t>
      </w:r>
    </w:p>
    <w:p>
      <w:pPr>
        <w:spacing w:after="0" w:line="17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12.03</w:t>
      </w:r>
      <w:r>
        <w:rPr>
          <w:sz w:val="20"/>
          <w:szCs w:val="20"/>
          <w:color w:val="auto"/>
        </w:rPr>
        <w:tab/>
      </w:r>
      <w:r>
        <w:rPr>
          <w:rFonts w:ascii="Times New Roman" w:cs="Times New Roman" w:eastAsia="Times New Roman" w:hAnsi="Times New Roman"/>
          <w:sz w:val="18"/>
          <w:szCs w:val="18"/>
          <w:i w:val="1"/>
          <w:iCs w:val="1"/>
          <w:color w:val="auto"/>
        </w:rPr>
        <w:t>Benefit of Indenture.</w:t>
      </w:r>
    </w:p>
    <w:p>
      <w:pPr>
        <w:spacing w:after="0" w:line="212" w:lineRule="exact"/>
        <w:rPr>
          <w:sz w:val="20"/>
          <w:szCs w:val="20"/>
          <w:color w:val="auto"/>
        </w:rPr>
      </w:pPr>
    </w:p>
    <w:p>
      <w:pPr>
        <w:jc w:val="both"/>
        <w:ind w:right="20" w:firstLine="640"/>
        <w:spacing w:after="0" w:line="301" w:lineRule="auto"/>
        <w:rPr>
          <w:sz w:val="20"/>
          <w:szCs w:val="20"/>
          <w:color w:val="auto"/>
        </w:rPr>
      </w:pPr>
      <w:r>
        <w:rPr>
          <w:rFonts w:ascii="Times New Roman" w:cs="Times New Roman" w:eastAsia="Times New Roman" w:hAnsi="Times New Roman"/>
          <w:sz w:val="18"/>
          <w:szCs w:val="18"/>
          <w:color w:val="auto"/>
        </w:rPr>
        <w:t>Nothing in this Indenture or in the Notes, express or implied, shall give to any Person, other than the parties hereto, any Paying Agent, any Registrar and their successors hereunder, and the Holders, any benefit or any legal or equitable right, remedy or claim under this Indenture.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396" w:right="339" w:bottom="1440" w:gutter="0" w:footer="0" w:header="0"/>
        </w:sectPr>
      </w:pPr>
    </w:p>
    <w:bookmarkStart w:id="118" w:name="page119"/>
    <w:bookmarkEnd w:id="118"/>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12.04</w:t>
      </w:r>
      <w:r>
        <w:rPr>
          <w:sz w:val="20"/>
          <w:szCs w:val="20"/>
          <w:color w:val="auto"/>
        </w:rPr>
        <w:tab/>
      </w:r>
      <w:r>
        <w:rPr>
          <w:rFonts w:ascii="Times New Roman" w:cs="Times New Roman" w:eastAsia="Times New Roman" w:hAnsi="Times New Roman"/>
          <w:sz w:val="18"/>
          <w:szCs w:val="18"/>
          <w:i w:val="1"/>
          <w:iCs w:val="1"/>
          <w:color w:val="auto"/>
        </w:rPr>
        <w:t>Certificate and Opinion as to Conditions Precedent.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Upon any request or application by the Issuer to the Trustee to take any action under this Indenture, the Issuer shall furnish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w:t>
      </w:r>
    </w:p>
    <w:p>
      <w:pPr>
        <w:spacing w:after="0" w:line="174" w:lineRule="exact"/>
        <w:rPr>
          <w:sz w:val="20"/>
          <w:szCs w:val="20"/>
          <w:color w:val="auto"/>
        </w:rPr>
      </w:pPr>
    </w:p>
    <w:p>
      <w:pPr>
        <w:jc w:val="both"/>
        <w:ind w:firstLine="1286"/>
        <w:spacing w:after="0" w:line="242" w:lineRule="auto"/>
        <w:tabs>
          <w:tab w:leader="none" w:pos="173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Officer’s Certificate in form and substance reasonably satisfactory to the Trustee (which must include the statements set forth in Section 12.05) stating that, in the opinion of the signers, all conditions precedent and covenants, if any, provided for in this Indenture relating to the proposed action have been satisfied; and</w:t>
      </w:r>
    </w:p>
    <w:p>
      <w:pPr>
        <w:spacing w:after="0" w:line="170" w:lineRule="exact"/>
        <w:rPr>
          <w:rFonts w:ascii="Times New Roman" w:cs="Times New Roman" w:eastAsia="Times New Roman" w:hAnsi="Times New Roman"/>
          <w:sz w:val="20"/>
          <w:szCs w:val="20"/>
          <w:color w:val="auto"/>
        </w:rPr>
      </w:pPr>
    </w:p>
    <w:p>
      <w:pPr>
        <w:ind w:right="20" w:firstLine="1286"/>
        <w:spacing w:after="0" w:line="301" w:lineRule="auto"/>
        <w:tabs>
          <w:tab w:leader="none" w:pos="17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stating that, in the opinion of such counsel, all such conditions precedent and covenants have been satisfied.</w:t>
      </w:r>
    </w:p>
    <w:p>
      <w:pPr>
        <w:spacing w:after="0" w:line="11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12.05</w:t>
      </w:r>
      <w:r>
        <w:rPr>
          <w:sz w:val="20"/>
          <w:szCs w:val="20"/>
          <w:color w:val="auto"/>
        </w:rPr>
        <w:tab/>
      </w:r>
      <w:r>
        <w:rPr>
          <w:rFonts w:ascii="Times New Roman" w:cs="Times New Roman" w:eastAsia="Times New Roman" w:hAnsi="Times New Roman"/>
          <w:sz w:val="18"/>
          <w:szCs w:val="18"/>
          <w:i w:val="1"/>
          <w:iCs w:val="1"/>
          <w:color w:val="auto"/>
        </w:rPr>
        <w:t>Statements Required in Certificate or Opinion.</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must include:</w:t>
      </w:r>
    </w:p>
    <w:p>
      <w:pPr>
        <w:spacing w:after="0" w:line="196" w:lineRule="exact"/>
        <w:rPr>
          <w:sz w:val="20"/>
          <w:szCs w:val="20"/>
          <w:color w:val="auto"/>
        </w:rPr>
      </w:pPr>
    </w:p>
    <w:p>
      <w:pPr>
        <w:ind w:left="1700" w:hanging="414"/>
        <w:spacing w:after="0"/>
        <w:tabs>
          <w:tab w:leader="none" w:pos="17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196" w:lineRule="exact"/>
        <w:rPr>
          <w:rFonts w:ascii="Times New Roman" w:cs="Times New Roman" w:eastAsia="Times New Roman" w:hAnsi="Times New Roman"/>
          <w:sz w:val="20"/>
          <w:szCs w:val="20"/>
          <w:color w:val="auto"/>
        </w:rPr>
      </w:pPr>
    </w:p>
    <w:p>
      <w:pPr>
        <w:ind w:firstLine="1286"/>
        <w:spacing w:after="0" w:line="261" w:lineRule="auto"/>
        <w:tabs>
          <w:tab w:leader="none" w:pos="175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52" w:lineRule="exact"/>
        <w:rPr>
          <w:rFonts w:ascii="Times New Roman" w:cs="Times New Roman" w:eastAsia="Times New Roman" w:hAnsi="Times New Roman"/>
          <w:sz w:val="20"/>
          <w:szCs w:val="20"/>
          <w:color w:val="auto"/>
        </w:rPr>
      </w:pPr>
    </w:p>
    <w:p>
      <w:pPr>
        <w:ind w:firstLine="1286"/>
        <w:spacing w:after="0" w:line="247" w:lineRule="auto"/>
        <w:tabs>
          <w:tab w:leader="none" w:pos="173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6" w:lineRule="exact"/>
        <w:rPr>
          <w:rFonts w:ascii="Times New Roman" w:cs="Times New Roman" w:eastAsia="Times New Roman" w:hAnsi="Times New Roman"/>
          <w:sz w:val="20"/>
          <w:szCs w:val="20"/>
          <w:color w:val="auto"/>
        </w:rPr>
      </w:pPr>
    </w:p>
    <w:p>
      <w:pPr>
        <w:ind w:left="1700" w:hanging="414"/>
        <w:spacing w:after="0"/>
        <w:tabs>
          <w:tab w:leader="none" w:pos="17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satisfied.</w:t>
      </w:r>
    </w:p>
    <w:p>
      <w:pPr>
        <w:spacing w:after="0" w:line="196"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6" w:lineRule="exact"/>
        <w:rPr>
          <w:sz w:val="20"/>
          <w:szCs w:val="20"/>
          <w:color w:val="auto"/>
        </w:rPr>
      </w:pPr>
    </w:p>
    <w:p>
      <w:pPr>
        <w:jc w:val="both"/>
        <w:ind w:firstLine="640"/>
        <w:spacing w:after="0" w:line="227" w:lineRule="auto"/>
        <w:rPr>
          <w:sz w:val="20"/>
          <w:szCs w:val="20"/>
          <w:color w:val="auto"/>
        </w:rPr>
      </w:pPr>
      <w:r>
        <w:rPr>
          <w:rFonts w:ascii="Times New Roman" w:cs="Times New Roman" w:eastAsia="Times New Roman" w:hAnsi="Times New Roman"/>
          <w:sz w:val="20"/>
          <w:szCs w:val="20"/>
          <w:color w:val="auto"/>
        </w:rPr>
        <w:t>Any certificate or opinion of an Officer with respect to any Person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or representation by, counsel may be based, insofar as it relates to factual matters, upon certificates of public officials or upon a certificate or opinion of, or representations by, an Officer or Officers with respect to any Person stating that the information with respect to such factual matters is in the possession of such Person (or, if such Person is a limited partnership, such Person’s general partner) unless such counsel knows, or in the exercise of reasonable care should know, that the certificate or opinion or representations with respect to such matters are erroneous.</w:t>
      </w:r>
    </w:p>
    <w:p>
      <w:pPr>
        <w:spacing w:after="0" w:line="192"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Where any Person is required to make, give or execute two or more applications, requests, consents, certificates, statements, opinions or other instruments under this Indenture, they may, but need not,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39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auto"/>
        </w:rPr>
        <w:t>consolidated and form one instrument.</w:t>
      </w:r>
    </w:p>
    <w:p>
      <w:pPr>
        <w:spacing w:after="0" w:line="19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12.06</w:t>
      </w:r>
      <w:r>
        <w:rPr>
          <w:sz w:val="20"/>
          <w:szCs w:val="20"/>
          <w:color w:val="auto"/>
        </w:rPr>
        <w:tab/>
      </w:r>
      <w:r>
        <w:rPr>
          <w:rFonts w:ascii="Times New Roman" w:cs="Times New Roman" w:eastAsia="Times New Roman" w:hAnsi="Times New Roman"/>
          <w:sz w:val="18"/>
          <w:szCs w:val="18"/>
          <w:i w:val="1"/>
          <w:iCs w:val="1"/>
          <w:color w:val="auto"/>
        </w:rPr>
        <w:t>Rules by Trustee and Agents.</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Trustee may make reasonable rules for action by or at a meeting of Holders. The Registrar or Paying Agent may make reasonable rules and set reasonable requirements for its functions.</w:t>
      </w:r>
    </w:p>
    <w:p>
      <w:pPr>
        <w:spacing w:after="0" w:line="17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12.07</w:t>
      </w:r>
      <w:r>
        <w:rPr>
          <w:sz w:val="20"/>
          <w:szCs w:val="20"/>
          <w:color w:val="auto"/>
        </w:rPr>
        <w:tab/>
      </w:r>
      <w:r>
        <w:rPr>
          <w:rFonts w:ascii="Times New Roman" w:cs="Times New Roman" w:eastAsia="Times New Roman" w:hAnsi="Times New Roman"/>
          <w:sz w:val="18"/>
          <w:szCs w:val="18"/>
          <w:i w:val="1"/>
          <w:iCs w:val="1"/>
          <w:color w:val="auto"/>
        </w:rPr>
        <w:t>No Personal Liability of Directors, Officers, Employees and Members.</w:t>
      </w:r>
    </w:p>
    <w:p>
      <w:pPr>
        <w:spacing w:after="0" w:line="198"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No past, present or future director, officer, partner, employee, incorporator, member, manager, stockholder, unitholder or other owner of the Capital Stock of the Issuer or any Guarantor, as such, will have any liability for any obligations of the Issuer or the Guarantors under the Notes, this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12.08</w:t>
      </w:r>
      <w:r>
        <w:rPr>
          <w:sz w:val="20"/>
          <w:szCs w:val="20"/>
          <w:color w:val="auto"/>
        </w:rPr>
        <w:tab/>
      </w:r>
      <w:r>
        <w:rPr>
          <w:rFonts w:ascii="Times New Roman" w:cs="Times New Roman" w:eastAsia="Times New Roman" w:hAnsi="Times New Roman"/>
          <w:sz w:val="18"/>
          <w:szCs w:val="18"/>
          <w:i w:val="1"/>
          <w:iCs w:val="1"/>
          <w:color w:val="auto"/>
        </w:rPr>
        <w:t>Governing Law; Jurisdiction.</w:t>
      </w:r>
    </w:p>
    <w:p>
      <w:pPr>
        <w:spacing w:after="0" w:line="198"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color w:val="auto"/>
        </w:rPr>
        <w:t>THIS INDENTURE, THE NOTES AND THE GUARANTEES, AND ANY CLAIM, CONTROVERSY OR DISPUTE ARISING UNDER OR RELATED TO THIS INDENTURE, THE NOTES AND THE GUARANTEES, WILL BE GOVERNED BY, AND CONSTRUED IN ACCORDANCE WITH, THE LAWS OF THE STATE OF NEW YORK.</w:t>
      </w:r>
    </w:p>
    <w:p>
      <w:pPr>
        <w:spacing w:after="0" w:line="171"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The parties hereby (a) irrevocably submit to the non-exclusive jurisdiction of any federal or state court sitting in the Borough of Manhattan, the City of New York, (b) waive any objection to laying of venue in any such action or proceeding in such courts, and (c) waive any objection that such courts are an inconvenient forum or do not have jurisdiction over any party.</w:t>
      </w:r>
    </w:p>
    <w:p>
      <w:pPr>
        <w:spacing w:after="0" w:line="17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12.09</w:t>
      </w:r>
      <w:r>
        <w:rPr>
          <w:sz w:val="20"/>
          <w:szCs w:val="20"/>
          <w:color w:val="auto"/>
        </w:rPr>
        <w:tab/>
      </w:r>
      <w:r>
        <w:rPr>
          <w:rFonts w:ascii="Times New Roman" w:cs="Times New Roman" w:eastAsia="Times New Roman" w:hAnsi="Times New Roman"/>
          <w:sz w:val="18"/>
          <w:szCs w:val="18"/>
          <w:i w:val="1"/>
          <w:iCs w:val="1"/>
          <w:color w:val="auto"/>
        </w:rPr>
        <w:t>No Adverse Interpretation of Other Agreements.</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7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12.10</w:t>
      </w:r>
      <w:r>
        <w:rPr>
          <w:sz w:val="20"/>
          <w:szCs w:val="20"/>
          <w:color w:val="auto"/>
        </w:rPr>
        <w:tab/>
      </w:r>
      <w:r>
        <w:rPr>
          <w:rFonts w:ascii="Times New Roman" w:cs="Times New Roman" w:eastAsia="Times New Roman" w:hAnsi="Times New Roman"/>
          <w:sz w:val="18"/>
          <w:szCs w:val="18"/>
          <w:i w:val="1"/>
          <w:iCs w:val="1"/>
          <w:color w:val="auto"/>
        </w:rPr>
        <w:t>Successors.</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10.04.</w:t>
      </w:r>
    </w:p>
    <w:p>
      <w:pPr>
        <w:spacing w:after="0" w:line="17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12.11</w:t>
      </w:r>
      <w:r>
        <w:rPr>
          <w:sz w:val="20"/>
          <w:szCs w:val="20"/>
          <w:color w:val="auto"/>
        </w:rPr>
        <w:tab/>
      </w:r>
      <w:r>
        <w:rPr>
          <w:rFonts w:ascii="Times New Roman" w:cs="Times New Roman" w:eastAsia="Times New Roman" w:hAnsi="Times New Roman"/>
          <w:sz w:val="18"/>
          <w:szCs w:val="18"/>
          <w:i w:val="1"/>
          <w:iCs w:val="1"/>
          <w:color w:val="auto"/>
        </w:rPr>
        <w:t>Severability; Entire Agreement.</w:t>
      </w:r>
    </w:p>
    <w:p>
      <w:pPr>
        <w:spacing w:after="0" w:line="198"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8"/>
          <w:szCs w:val="18"/>
          <w:color w:val="auto"/>
        </w:rPr>
        <w:t>In case any provision in this Indenture or in the Notes is invalid, illegal or unenforceable, the validity, legality and enforceability of the remaining provisions will not in any way be affected or impaired thereby. This Indenture and the Exhibits hereto set forth the entire agreement and understanding of the parties related to this transaction and supersedes all prior agreements and understandings, oral and written.</w:t>
      </w:r>
    </w:p>
    <w:p>
      <w:pPr>
        <w:spacing w:after="0" w:line="15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12.12</w:t>
      </w:r>
      <w:r>
        <w:rPr>
          <w:sz w:val="20"/>
          <w:szCs w:val="20"/>
          <w:color w:val="auto"/>
        </w:rPr>
        <w:tab/>
      </w:r>
      <w:r>
        <w:rPr>
          <w:rFonts w:ascii="Times New Roman" w:cs="Times New Roman" w:eastAsia="Times New Roman" w:hAnsi="Times New Roman"/>
          <w:sz w:val="18"/>
          <w:szCs w:val="18"/>
          <w:i w:val="1"/>
          <w:iCs w:val="1"/>
          <w:color w:val="auto"/>
        </w:rPr>
        <w:t>Counterpart Originals.</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parties may sign any number of copies of this Indenture, and each party hereto may sign any number of separate copies of this Indenture. Each signed copy shall be an original, but all of them together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396" w:right="339" w:bottom="1440" w:gutter="0" w:footer="0" w:header="0"/>
        </w:sectPr>
      </w:pPr>
    </w:p>
    <w:bookmarkStart w:id="120" w:name="page121"/>
    <w:bookmarkEnd w:id="12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other than authentication of the Notes by the Trustee. The words “execution,” “signed,” “signature,” “delivery,” and words of like import in or relating to this Indenture, other than the certificate of authentication of the Notes by the Trustee,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5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12.13</w:t>
      </w:r>
      <w:r>
        <w:rPr>
          <w:sz w:val="20"/>
          <w:szCs w:val="20"/>
          <w:color w:val="auto"/>
        </w:rPr>
        <w:tab/>
      </w:r>
      <w:r>
        <w:rPr>
          <w:rFonts w:ascii="Times New Roman" w:cs="Times New Roman" w:eastAsia="Times New Roman" w:hAnsi="Times New Roman"/>
          <w:sz w:val="18"/>
          <w:szCs w:val="18"/>
          <w:i w:val="1"/>
          <w:iCs w:val="1"/>
          <w:color w:val="auto"/>
        </w:rPr>
        <w:t>Table of Contents, Headings, etc.</w:t>
      </w:r>
    </w:p>
    <w:p>
      <w:pPr>
        <w:spacing w:after="0" w:line="19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20"/>
          <w:szCs w:val="20"/>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5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12.14</w:t>
      </w:r>
      <w:r>
        <w:rPr>
          <w:sz w:val="20"/>
          <w:szCs w:val="20"/>
          <w:color w:val="auto"/>
        </w:rPr>
        <w:tab/>
      </w:r>
      <w:r>
        <w:rPr>
          <w:rFonts w:ascii="Times New Roman" w:cs="Times New Roman" w:eastAsia="Times New Roman" w:hAnsi="Times New Roman"/>
          <w:sz w:val="18"/>
          <w:szCs w:val="18"/>
          <w:i w:val="1"/>
          <w:iCs w:val="1"/>
          <w:color w:val="auto"/>
        </w:rPr>
        <w:t>Payment Date Other Than a Business Day.</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If any payment with respect to any principal of, premium on, if any, or interest on, any Note is due on a day which is not a Business Day, then the payment need not be made on such date, but may be made on the next Business Day with the same force and effect as if made on such date, and no interest will accrue for the intervening period.</w:t>
      </w:r>
    </w:p>
    <w:p>
      <w:pPr>
        <w:spacing w:after="0" w:line="17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12.15</w:t>
      </w:r>
      <w:r>
        <w:rPr>
          <w:sz w:val="20"/>
          <w:szCs w:val="20"/>
          <w:color w:val="auto"/>
        </w:rPr>
        <w:tab/>
      </w:r>
      <w:r>
        <w:rPr>
          <w:rFonts w:ascii="Times New Roman" w:cs="Times New Roman" w:eastAsia="Times New Roman" w:hAnsi="Times New Roman"/>
          <w:sz w:val="18"/>
          <w:szCs w:val="18"/>
          <w:i w:val="1"/>
          <w:iCs w:val="1"/>
          <w:color w:val="auto"/>
        </w:rPr>
        <w:t>Action by Holders.</w:t>
      </w:r>
    </w:p>
    <w:p>
      <w:pPr>
        <w:spacing w:after="0" w:line="198" w:lineRule="exact"/>
        <w:rPr>
          <w:sz w:val="20"/>
          <w:szCs w:val="20"/>
          <w:color w:val="auto"/>
        </w:rPr>
      </w:pPr>
    </w:p>
    <w:p>
      <w:pPr>
        <w:jc w:val="both"/>
        <w:ind w:firstLine="1286"/>
        <w:spacing w:after="0" w:line="229" w:lineRule="auto"/>
        <w:tabs>
          <w:tab w:leader="none" w:pos="174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demand, authorization, direction, notice, consent, waiver or other action provided by this Indenture to be given, made or taken by the Holders may be embodied in and evidenced by one or more instruments of substantially similar tenor signed by such Holders in person or by agents duly appointed in writing, and may be given, made or taken in connection with a purchase of, or tender offer or exchange offer for, outstanding Notes;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of the Holders signing such instrument or instruments. Proof of execution of any such instrument or of a writing appointing any such agent shall be sufficient for any purpose of this Indenture and conclusive in favor of the Trustee and the Issuer if made in the manner provided in this Section 12.15.</w:t>
      </w:r>
    </w:p>
    <w:p>
      <w:pPr>
        <w:spacing w:after="0" w:line="177"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Without limiting the generality of this Section 12.15, unless otherwise provided in or pursuant to this Indenture, (i) a Holder, including a Depositary or its nominee that is a Holder of a Global Note, may give, make or take, by an agent or agents duly appointed in writing, any request, demand, authorization, direction, notice, consent, waiver or other Act provided in or pursuant to this Indenture to be given, made or taken by the Holders, and a Depositary or its nominee that is a Holder of a Global Note may duly appoint in writing as its agent or agents members of, or participants in, such Depositary holding interests in such Global Note in the records of such Depositary; and (ii) with respect to any Global Note the Depositary for which is DTC, any consent or other action given, made or taken by an “agent member” of DTC by electronic means in accordance with the Automated Tender Offer Procedures system or other customary procedures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396" w:right="339" w:bottom="1440" w:gutter="0" w:footer="0" w:header="0"/>
        </w:sectPr>
      </w:pPr>
    </w:p>
    <w:bookmarkStart w:id="121" w:name="page122"/>
    <w:bookmarkEnd w:id="121"/>
    <w:p>
      <w:pPr>
        <w:jc w:val="both"/>
        <w:spacing w:after="0" w:line="237" w:lineRule="auto"/>
        <w:rPr>
          <w:sz w:val="20"/>
          <w:szCs w:val="20"/>
          <w:color w:val="auto"/>
        </w:rPr>
      </w:pPr>
      <w:r>
        <w:rPr>
          <w:rFonts w:ascii="Times New Roman" w:cs="Times New Roman" w:eastAsia="Times New Roman" w:hAnsi="Times New Roman"/>
          <w:sz w:val="20"/>
          <w:szCs w:val="20"/>
          <w:color w:val="auto"/>
        </w:rPr>
        <w:t>of, and pursuant to authorization by, DTC shall be deemed to constitute the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of the Holder of such Global Note, and such Act shall be deemed to have been delivered to the Issuer and the Trustee upon the delivery by DTC of an “agent’s message” or other notice of such consent or other action having been so given, made or taken in accordance with the customary procedures of DTC.</w:t>
      </w:r>
    </w:p>
    <w:p>
      <w:pPr>
        <w:spacing w:after="0" w:line="174" w:lineRule="exact"/>
        <w:rPr>
          <w:sz w:val="20"/>
          <w:szCs w:val="20"/>
          <w:color w:val="auto"/>
        </w:rPr>
      </w:pPr>
    </w:p>
    <w:p>
      <w:pPr>
        <w:jc w:val="both"/>
        <w:ind w:firstLine="1286"/>
        <w:spacing w:after="0" w:line="231" w:lineRule="auto"/>
        <w:tabs>
          <w:tab w:leader="none" w:pos="173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77"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7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Section 12.15 or elsewhere in this Indenture, the principal amount and serial numbers of Notes held by any Holder, and the date of holding the same, shall be proved by the register of the Notes maintained by the Registrar as provided in Section 2.03.</w:t>
      </w:r>
    </w:p>
    <w:p>
      <w:pPr>
        <w:spacing w:after="0" w:line="187" w:lineRule="exact"/>
        <w:rPr>
          <w:rFonts w:ascii="Times New Roman" w:cs="Times New Roman" w:eastAsia="Times New Roman" w:hAnsi="Times New Roman"/>
          <w:sz w:val="20"/>
          <w:szCs w:val="20"/>
          <w:color w:val="auto"/>
        </w:rPr>
      </w:pPr>
    </w:p>
    <w:p>
      <w:pPr>
        <w:jc w:val="both"/>
        <w:ind w:firstLine="1286"/>
        <w:spacing w:after="0" w:line="226" w:lineRule="auto"/>
        <w:tabs>
          <w:tab w:leader="none" w:pos="177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Issuer shall solicit from the Holders of the Notes any request, demand, authorization, direction, notice, consent, waiver or other Act, the Issuer may, at its option, by or pursuant to a resolution of its Board of Directors, fix in advance a record date for the determination of the Holders entitled to give, make or take such request, demand, authorization, direction, notice, consent, waiver or other Act, but the Issuer shall have no obligation to do so. Such record date shall be the record date specified in or pursuant to such resolution, which shall be a date not earlier than the date 30 days prior to the first solicitation of the Holders generally in connection therewith or the date of the most recent list of the Holders forwarded to the Trustee prior to such solicitation pursuant to Section 2.05 and not later than the date such solicitation is completed. If such a record date is fixed, then notwithstanding the second sentence of Section 9.04, any instrument embodying and evidencing such request, demand, authorization, direction, notice, consent, waiver or other Act may be executed before or after such record date, but only the Holders of record at the close of business on such record date (whether or not such Persons were Holders before, or continue to be Holders after, such record date) shall be deemed to be Holders for the purposes of determining whether Holders of the requisite proportion of the then outstanding Notes have given, made or taken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Act by the Holders of record on any record date shall be deemed effective unless it shall become effective pursuant to the provisions of this Indenture not later than eleven months after such record date.</w:t>
      </w:r>
    </w:p>
    <w:p>
      <w:pPr>
        <w:spacing w:after="0" w:line="179"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1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9.04, 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Issuer in reliance thereon, whether or not notation of such action is made upon such Note.</w:t>
      </w:r>
    </w:p>
    <w:p>
      <w:pPr>
        <w:spacing w:after="0" w:line="174" w:lineRule="exact"/>
        <w:rPr>
          <w:rFonts w:ascii="Times New Roman" w:cs="Times New Roman" w:eastAsia="Times New Roman" w:hAnsi="Times New Roman"/>
          <w:sz w:val="20"/>
          <w:szCs w:val="20"/>
          <w:color w:val="auto"/>
        </w:rPr>
      </w:pPr>
    </w:p>
    <w:p>
      <w:pPr>
        <w:jc w:val="both"/>
        <w:ind w:firstLine="1286"/>
        <w:spacing w:after="0" w:line="236" w:lineRule="auto"/>
        <w:tabs>
          <w:tab w:leader="none" w:pos="167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a Holder entitled hereunder to give, make or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74" w:lineRule="exact"/>
        <w:rPr>
          <w:rFonts w:ascii="Times New Roman" w:cs="Times New Roman" w:eastAsia="Times New Roman" w:hAnsi="Times New Roman"/>
          <w:sz w:val="20"/>
          <w:szCs w:val="20"/>
          <w:color w:val="auto"/>
        </w:rPr>
      </w:pPr>
    </w:p>
    <w:p>
      <w:pPr>
        <w:ind w:firstLine="1286"/>
        <w:spacing w:after="0" w:line="247" w:lineRule="auto"/>
        <w:tabs>
          <w:tab w:leader="none" w:pos="178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Indenture, any action by the Holders which may be taken in writing may be taken by electronic means or as otherwise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394" w:right="339" w:bottom="1440" w:gutter="0" w:footer="0" w:header="0"/>
        </w:sectPr>
      </w:pPr>
    </w:p>
    <w:bookmarkStart w:id="122" w:name="page123"/>
    <w:bookmarkEnd w:id="122"/>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12.16</w:t>
      </w:r>
      <w:r>
        <w:rPr>
          <w:sz w:val="20"/>
          <w:szCs w:val="20"/>
          <w:color w:val="auto"/>
        </w:rPr>
        <w:tab/>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EACH OF THE ISSUER, THE GUARANTORS, THE HOLDERS AND THE TRUSTEE HEREBY IRREVOCABLY WAIVES, TO THE FULLEST EXTENT PERMITTED BY APPLICABLE LAW, ANY AND ALL RIGHT TO TRIAL BY JURY IN ANY LEGAL PROCEEDING ARISING OUT OF OR RELATING TO THIS INDENTURE, THE NOTES, THE GUARANTEES OR THE TRANSACTION CONTEMPLATED HEREBY</w:t>
      </w:r>
    </w:p>
    <w:p>
      <w:pPr>
        <w:spacing w:after="0" w:line="17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12.17</w:t>
      </w:r>
      <w:r>
        <w:rPr>
          <w:sz w:val="20"/>
          <w:szCs w:val="20"/>
          <w:color w:val="auto"/>
        </w:rPr>
        <w:tab/>
      </w:r>
      <w:r>
        <w:rPr>
          <w:rFonts w:ascii="Times New Roman" w:cs="Times New Roman" w:eastAsia="Times New Roman" w:hAnsi="Times New Roman"/>
          <w:sz w:val="18"/>
          <w:szCs w:val="18"/>
          <w:i w:val="1"/>
          <w:iCs w:val="1"/>
          <w:color w:val="auto"/>
        </w:rPr>
        <w:t>Electronic Delivery</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 xml:space="preserve">”) given pursuant to this Indenture and delivered using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and/or any Guarantor shall provide to the an incumbency certificate listing officers with the authority to provide such Instructions (“</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Issuer and/or any Guarantor whenever a Person is to be added or deleted from the listing. If the Issuer and/or any Guarantor elects to give the Trustee Instructions using Electronic Means and the Trustee in its discretion elects to act upon such Instructions, the Trustee’s understanding of such Instructions shall be deemed controlling. The Issuer and the Guarantors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Issuer and the Guarantors shall be responsible for ensuring that only Authorized Officers transmit such Instructions to the Trustee and that the Issuer, the Guarantors and all Authorized Officers are solely responsible to safeguard the use and confidentiality of applicable user and authorization codes, passwords and/or authentication keys upon receipt by the Issuer and the Guarantors. The Trustee shall not be liable for any losses, costs or expenses arising directly or indirectly from the Trustee’s reliance upon and compliance with such Instructions notwithstanding such directions conflict or are inconsistent with a subsequent written instruction. The Issuer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or the Guarantors;</w:t>
      </w:r>
    </w:p>
    <w:p>
      <w:pPr>
        <w:spacing w:after="0" w:line="212" w:lineRule="exact"/>
        <w:rPr>
          <w:sz w:val="20"/>
          <w:szCs w:val="20"/>
          <w:color w:val="auto"/>
        </w:rPr>
      </w:pPr>
    </w:p>
    <w:p>
      <w:pPr>
        <w:jc w:val="both"/>
        <w:ind w:firstLine="7"/>
        <w:spacing w:after="0" w:line="229" w:lineRule="auto"/>
        <w:tabs>
          <w:tab w:leader="none" w:pos="37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73"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7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12.18</w:t>
      </w:r>
      <w:r>
        <w:rPr>
          <w:sz w:val="20"/>
          <w:szCs w:val="20"/>
          <w:color w:val="auto"/>
        </w:rPr>
        <w:tab/>
      </w:r>
      <w:r>
        <w:rPr>
          <w:rFonts w:ascii="Times New Roman" w:cs="Times New Roman" w:eastAsia="Times New Roman" w:hAnsi="Times New Roman"/>
          <w:sz w:val="18"/>
          <w:szCs w:val="18"/>
          <w:i w:val="1"/>
          <w:iCs w:val="1"/>
          <w:color w:val="auto"/>
        </w:rPr>
        <w:t>Language of Notices, Etc.</w:t>
      </w:r>
    </w:p>
    <w:p>
      <w:pPr>
        <w:spacing w:after="0" w:line="19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394" w:right="339" w:bottom="1440" w:gutter="0" w:footer="0" w:header="0"/>
        </w:sectPr>
      </w:pPr>
    </w:p>
    <w:bookmarkStart w:id="123" w:name="page124"/>
    <w:bookmarkEnd w:id="123"/>
    <w:p>
      <w:pPr>
        <w:ind w:left="5020"/>
        <w:spacing w:after="0"/>
        <w:rPr>
          <w:sz w:val="20"/>
          <w:szCs w:val="20"/>
          <w:color w:val="auto"/>
        </w:rPr>
      </w:pPr>
      <w:r>
        <w:rPr>
          <w:rFonts w:ascii="Times New Roman" w:cs="Times New Roman" w:eastAsia="Times New Roman" w:hAnsi="Times New Roman"/>
          <w:sz w:val="20"/>
          <w:szCs w:val="20"/>
          <w:color w:val="auto"/>
        </w:rPr>
        <w:t>SIGNATURES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as of June 26, 2026</w:t>
      </w:r>
    </w:p>
    <w:p>
      <w:pPr>
        <w:spacing w:after="0" w:line="200" w:lineRule="exact"/>
        <w:rPr>
          <w:sz w:val="20"/>
          <w:szCs w:val="20"/>
          <w:color w:val="auto"/>
        </w:rPr>
      </w:pPr>
    </w:p>
    <w:p>
      <w:pPr>
        <w:spacing w:after="0" w:line="21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7"/>
          <w:szCs w:val="17"/>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7"/>
          <w:szCs w:val="17"/>
          <w:b w:val="1"/>
          <w:bCs w:val="1"/>
          <w:color w:val="auto"/>
        </w:rPr>
        <w:t>ESOURCES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7"/>
          <w:szCs w:val="17"/>
          <w:b w:val="1"/>
          <w:bCs w:val="1"/>
          <w:color w:val="auto"/>
        </w:rPr>
        <w:t>ORPORATION</w:t>
      </w:r>
      <w:r>
        <w:rPr>
          <w:rFonts w:ascii="Times New Roman" w:cs="Times New Roman" w:eastAsia="Times New Roman" w:hAnsi="Times New Roman"/>
          <w:sz w:val="20"/>
          <w:szCs w:val="20"/>
          <w:b w:val="1"/>
          <w:bCs w:val="1"/>
          <w:color w:val="auto"/>
        </w:rPr>
        <w:t>,</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as the Issuer</w:t>
      </w:r>
    </w:p>
    <w:p>
      <w:pPr>
        <w:spacing w:after="0" w:line="200" w:lineRule="exact"/>
        <w:rPr>
          <w:sz w:val="20"/>
          <w:szCs w:val="20"/>
          <w:color w:val="auto"/>
        </w:rPr>
      </w:pPr>
    </w:p>
    <w:p>
      <w:pPr>
        <w:spacing w:after="0" w:line="209" w:lineRule="exact"/>
        <w:rPr>
          <w:sz w:val="20"/>
          <w:szCs w:val="20"/>
          <w:color w:val="auto"/>
        </w:rPr>
      </w:pPr>
    </w:p>
    <w:p>
      <w:pPr>
        <w:ind w:left="3460"/>
        <w:spacing w:after="0"/>
        <w:tabs>
          <w:tab w:leader="none" w:pos="39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-12700</wp:posOffset>
            </wp:positionV>
            <wp:extent cx="1012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4" w:lineRule="exact"/>
        <w:rPr>
          <w:sz w:val="20"/>
          <w:szCs w:val="20"/>
          <w:color w:val="auto"/>
        </w:rPr>
      </w:pPr>
    </w:p>
    <w:p>
      <w:pPr>
        <w:ind w:left="3840"/>
        <w:spacing w:after="0"/>
        <w:tabs>
          <w:tab w:leader="none" w:pos="45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10" w:lineRule="exact"/>
        <w:rPr>
          <w:sz w:val="20"/>
          <w:szCs w:val="20"/>
          <w:color w:val="auto"/>
        </w:rPr>
      </w:pPr>
    </w:p>
    <w:p>
      <w:pPr>
        <w:ind w:left="3840"/>
        <w:spacing w:after="0"/>
        <w:tabs>
          <w:tab w:leader="none" w:pos="44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w:t>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GUARANTORS:</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5"/>
          <w:szCs w:val="15"/>
          <w:b w:val="1"/>
          <w:bCs w:val="1"/>
          <w:color w:val="auto"/>
        </w:rPr>
        <w:t>ERA</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5"/>
          <w:szCs w:val="15"/>
          <w:b w:val="1"/>
          <w:bCs w:val="1"/>
          <w:color w:val="auto"/>
        </w:rPr>
        <w:t>NERGY</w:t>
      </w:r>
      <w:r>
        <w:rPr>
          <w:rFonts w:ascii="Times New Roman" w:cs="Times New Roman" w:eastAsia="Times New Roman" w:hAnsi="Times New Roman"/>
          <w:sz w:val="20"/>
          <w:szCs w:val="20"/>
          <w:b w:val="1"/>
          <w:bCs w:val="1"/>
          <w:color w:val="auto"/>
        </w:rPr>
        <w:t xml:space="preserve"> LLC</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5"/>
          <w:szCs w:val="15"/>
          <w:b w:val="1"/>
          <w:bCs w:val="1"/>
          <w:color w:val="auto"/>
        </w:rPr>
        <w:t>ERA</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5"/>
          <w:szCs w:val="15"/>
          <w:b w:val="1"/>
          <w:bCs w:val="1"/>
          <w:color w:val="auto"/>
        </w:rPr>
        <w:t>NERGY</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5"/>
          <w:szCs w:val="15"/>
          <w:b w:val="1"/>
          <w:bCs w:val="1"/>
          <w:color w:val="auto"/>
        </w:rPr>
        <w:t>ERA</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20"/>
          <w:szCs w:val="20"/>
          <w:b w:val="1"/>
          <w:bCs w:val="1"/>
          <w:color w:val="auto"/>
        </w:rPr>
        <w:t xml:space="preserve">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5"/>
          <w:szCs w:val="15"/>
          <w:b w:val="1"/>
          <w:bCs w:val="1"/>
          <w:color w:val="auto"/>
        </w:rPr>
        <w:t>ELRIDGE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5"/>
          <w:szCs w:val="15"/>
          <w:b w:val="1"/>
          <w:bCs w:val="1"/>
          <w:color w:val="auto"/>
        </w:rPr>
        <w:t>ARMS</w:t>
      </w:r>
      <w:r>
        <w:rPr>
          <w:rFonts w:ascii="Times New Roman" w:cs="Times New Roman" w:eastAsia="Times New Roman" w:hAnsi="Times New Roman"/>
          <w:sz w:val="20"/>
          <w:szCs w:val="20"/>
          <w:b w:val="1"/>
          <w:bCs w:val="1"/>
          <w:color w:val="auto"/>
        </w:rPr>
        <w:t xml:space="preserve"> &amp; P</w:t>
      </w:r>
      <w:r>
        <w:rPr>
          <w:rFonts w:ascii="Times New Roman" w:cs="Times New Roman" w:eastAsia="Times New Roman" w:hAnsi="Times New Roman"/>
          <w:sz w:val="15"/>
          <w:szCs w:val="15"/>
          <w:b w:val="1"/>
          <w:bCs w:val="1"/>
          <w:color w:val="auto"/>
        </w:rPr>
        <w:t>ACKING</w:t>
      </w:r>
      <w:r>
        <w:rPr>
          <w:rFonts w:ascii="Times New Roman" w:cs="Times New Roman" w:eastAsia="Times New Roman" w:hAnsi="Times New Roman"/>
          <w:sz w:val="20"/>
          <w:szCs w:val="20"/>
          <w:b w:val="1"/>
          <w:bCs w:val="1"/>
          <w:color w:val="auto"/>
        </w:rPr>
        <w:t xml:space="preserve">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5"/>
          <w:szCs w:val="15"/>
          <w:b w:val="1"/>
          <w:bCs w:val="1"/>
          <w:color w:val="auto"/>
        </w:rPr>
        <w:t>ERRY</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5"/>
          <w:szCs w:val="15"/>
          <w:b w:val="1"/>
          <w:bCs w:val="1"/>
          <w:color w:val="auto"/>
        </w:rPr>
        <w:t>BRY</w:t>
      </w:r>
      <w:r>
        <w:rPr>
          <w:rFonts w:ascii="Times New Roman" w:cs="Times New Roman" w:eastAsia="Times New Roman" w:hAnsi="Times New Roman"/>
          <w:sz w:val="20"/>
          <w:szCs w:val="20"/>
          <w:b w:val="1"/>
          <w:bCs w:val="1"/>
          <w:color w:val="auto"/>
        </w:rPr>
        <w: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5"/>
          <w:szCs w:val="15"/>
          <w:b w:val="1"/>
          <w:bCs w:val="1"/>
          <w:color w:val="auto"/>
        </w:rPr>
        <w:t>ERRY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ETROLEUM</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C&amp;J W</w:t>
      </w:r>
      <w:r>
        <w:rPr>
          <w:rFonts w:ascii="Times New Roman" w:cs="Times New Roman" w:eastAsia="Times New Roman" w:hAnsi="Times New Roman"/>
          <w:sz w:val="15"/>
          <w:szCs w:val="15"/>
          <w:b w:val="1"/>
          <w:bCs w:val="1"/>
          <w:color w:val="auto"/>
        </w:rPr>
        <w:t>ELL</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20"/>
          <w:szCs w:val="20"/>
          <w:b w:val="1"/>
          <w:bCs w:val="1"/>
          <w:color w:val="auto"/>
        </w:rPr>
        <w:t>, LLC</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EAVY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5"/>
          <w:szCs w:val="15"/>
          <w:b w:val="1"/>
          <w:bCs w:val="1"/>
          <w:color w:val="auto"/>
        </w:rPr>
        <w:t>IL</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0"/>
          <w:szCs w:val="20"/>
          <w:b w:val="1"/>
          <w:bCs w:val="1"/>
          <w:color w:val="auto"/>
        </w:rPr>
        <w: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5"/>
          <w:szCs w:val="15"/>
          <w:b w:val="1"/>
          <w:bCs w:val="1"/>
          <w:color w:val="auto"/>
        </w:rPr>
        <w:t>LK</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ILLS</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ETROLEUM</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ORPORATION</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RODUCTION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ORPORATION</w:t>
      </w:r>
    </w:p>
    <w:p>
      <w:pPr>
        <w:spacing w:after="0" w:line="2"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EAL</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5"/>
          <w:szCs w:val="15"/>
          <w:b w:val="1"/>
          <w:bCs w:val="1"/>
          <w:color w:val="auto"/>
        </w:rPr>
        <w:t>STATE</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5"/>
          <w:szCs w:val="15"/>
          <w:b w:val="1"/>
          <w:bCs w:val="1"/>
          <w:color w:val="auto"/>
        </w:rPr>
        <w:t>ENTURES</w:t>
      </w:r>
      <w:r>
        <w:rPr>
          <w:rFonts w:ascii="Times New Roman" w:cs="Times New Roman" w:eastAsia="Times New Roman" w:hAnsi="Times New Roman"/>
          <w:sz w:val="20"/>
          <w:szCs w:val="20"/>
          <w:b w:val="1"/>
          <w:bCs w:val="1"/>
          <w:color w:val="auto"/>
        </w:rPr>
        <w:t>,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OYALTY</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OLDINGS</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5"/>
          <w:szCs w:val="15"/>
          <w:b w:val="1"/>
          <w:bCs w:val="1"/>
          <w:color w:val="auto"/>
        </w:rPr>
        <w:t>IDELANDS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0"/>
          <w:szCs w:val="20"/>
          <w:b w:val="1"/>
          <w:bCs w:val="1"/>
          <w:color w:val="auto"/>
        </w:rPr>
        <w:t>.</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ALIFORNIA</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5"/>
          <w:szCs w:val="15"/>
          <w:b w:val="1"/>
          <w:bCs w:val="1"/>
          <w:color w:val="auto"/>
        </w:rPr>
        <w:t>ILMINGTON</w:t>
      </w:r>
      <w:r>
        <w:rPr>
          <w:rFonts w:ascii="Times New Roman" w:cs="Times New Roman" w:eastAsia="Times New Roman" w:hAnsi="Times New Roman"/>
          <w:sz w:val="20"/>
          <w:szCs w:val="20"/>
          <w:b w:val="1"/>
          <w:bCs w:val="1"/>
          <w:color w:val="auto"/>
        </w:rPr>
        <w:t>,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CJ B</w:t>
      </w:r>
      <w:r>
        <w:rPr>
          <w:rFonts w:ascii="Times New Roman" w:cs="Times New Roman" w:eastAsia="Times New Roman" w:hAnsi="Times New Roman"/>
          <w:sz w:val="15"/>
          <w:szCs w:val="15"/>
          <w:b w:val="1"/>
          <w:bCs w:val="1"/>
          <w:color w:val="auto"/>
        </w:rPr>
        <w:t>ERRY</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5"/>
          <w:szCs w:val="15"/>
          <w:b w:val="1"/>
          <w:bCs w:val="1"/>
          <w:color w:val="auto"/>
        </w:rPr>
        <w:t>ELL</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5"/>
          <w:szCs w:val="15"/>
          <w:b w:val="1"/>
          <w:bCs w:val="1"/>
          <w:color w:val="auto"/>
        </w:rPr>
        <w:t>ANAGEMENT</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CRC C</w:t>
      </w:r>
      <w:r>
        <w:rPr>
          <w:rFonts w:ascii="Times New Roman" w:cs="Times New Roman" w:eastAsia="Times New Roman" w:hAnsi="Times New Roman"/>
          <w:sz w:val="15"/>
          <w:szCs w:val="15"/>
          <w:b w:val="1"/>
          <w:bCs w:val="1"/>
          <w:color w:val="auto"/>
        </w:rPr>
        <w:t>ONSTRUCTION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20"/>
          <w:szCs w:val="20"/>
          <w:b w:val="1"/>
          <w:bCs w:val="1"/>
          <w:color w:val="auto"/>
        </w:rPr>
        <w:t>,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CRC M</w:t>
      </w:r>
      <w:r>
        <w:rPr>
          <w:rFonts w:ascii="Times New Roman" w:cs="Times New Roman" w:eastAsia="Times New Roman" w:hAnsi="Times New Roman"/>
          <w:sz w:val="15"/>
          <w:szCs w:val="15"/>
          <w:b w:val="1"/>
          <w:bCs w:val="1"/>
          <w:color w:val="auto"/>
        </w:rPr>
        <w:t>ARKETING</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0"/>
          <w:szCs w:val="20"/>
          <w:b w:val="1"/>
          <w:bCs w:val="1"/>
          <w:color w:val="auto"/>
        </w:rPr>
        <w:t>.</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CRC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20"/>
          <w:szCs w:val="20"/>
          <w:b w:val="1"/>
          <w:bCs w:val="1"/>
          <w:color w:val="auto"/>
        </w:rPr>
        <w:t>, LLC</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5"/>
          <w:szCs w:val="15"/>
          <w:b w:val="1"/>
          <w:bCs w:val="1"/>
          <w:color w:val="auto"/>
        </w:rPr>
        <w:t>REEN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5"/>
          <w:szCs w:val="15"/>
          <w:b w:val="1"/>
          <w:bCs w:val="1"/>
          <w:color w:val="auto"/>
        </w:rPr>
        <w:t>NTERMEDIATE</w:t>
      </w:r>
      <w:r>
        <w:rPr>
          <w:rFonts w:ascii="Times New Roman" w:cs="Times New Roman" w:eastAsia="Times New Roman" w:hAnsi="Times New Roman"/>
          <w:sz w:val="20"/>
          <w:szCs w:val="20"/>
          <w:b w:val="1"/>
          <w:bCs w:val="1"/>
          <w:color w:val="auto"/>
        </w:rPr>
        <w:t xml:space="preserve">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5"/>
          <w:szCs w:val="15"/>
          <w:b w:val="1"/>
          <w:bCs w:val="1"/>
          <w:color w:val="auto"/>
        </w:rPr>
        <w:t>REEN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E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5"/>
          <w:szCs w:val="15"/>
          <w:b w:val="1"/>
          <w:bCs w:val="1"/>
          <w:color w:val="auto"/>
        </w:rPr>
        <w:t>REEN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OLDINGS</w:t>
      </w:r>
      <w:r>
        <w:rPr>
          <w:rFonts w:ascii="Times New Roman" w:cs="Times New Roman" w:eastAsia="Times New Roman" w:hAnsi="Times New Roman"/>
          <w:sz w:val="20"/>
          <w:szCs w:val="20"/>
          <w:b w:val="1"/>
          <w:bCs w:val="1"/>
          <w:color w:val="auto"/>
        </w:rPr>
        <w:t xml:space="preserve">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5"/>
          <w:szCs w:val="15"/>
          <w:b w:val="1"/>
          <w:bCs w:val="1"/>
          <w:color w:val="auto"/>
        </w:rPr>
        <w:t>REEN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ARENT</w:t>
      </w:r>
      <w:r>
        <w:rPr>
          <w:rFonts w:ascii="Times New Roman" w:cs="Times New Roman" w:eastAsia="Times New Roman" w:hAnsi="Times New Roman"/>
          <w:sz w:val="20"/>
          <w:szCs w:val="20"/>
          <w:b w:val="1"/>
          <w:bCs w:val="1"/>
          <w:color w:val="auto"/>
        </w:rPr>
        <w:t xml:space="preserve">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5"/>
          <w:szCs w:val="15"/>
          <w:b w:val="1"/>
          <w:bCs w:val="1"/>
          <w:color w:val="auto"/>
        </w:rPr>
        <w:t>REEN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ESOURCES</w:t>
      </w:r>
      <w:r>
        <w:rPr>
          <w:rFonts w:ascii="Times New Roman" w:cs="Times New Roman" w:eastAsia="Times New Roman" w:hAnsi="Times New Roman"/>
          <w:sz w:val="20"/>
          <w:szCs w:val="20"/>
          <w:b w:val="1"/>
          <w:bCs w:val="1"/>
          <w:color w:val="auto"/>
        </w:rPr>
        <w:t xml:space="preserve"> S LLC</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5"/>
          <w:szCs w:val="15"/>
          <w:b w:val="1"/>
          <w:bCs w:val="1"/>
          <w:color w:val="auto"/>
        </w:rPr>
        <w:t>REEN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5"/>
          <w:szCs w:val="15"/>
          <w:b w:val="1"/>
          <w:bCs w:val="1"/>
          <w:color w:val="auto"/>
        </w:rPr>
        <w:t>RDO</w:t>
      </w:r>
      <w:r>
        <w:rPr>
          <w:rFonts w:ascii="Times New Roman" w:cs="Times New Roman" w:eastAsia="Times New Roman" w:hAnsi="Times New Roman"/>
          <w:sz w:val="20"/>
          <w:szCs w:val="20"/>
          <w:b w:val="1"/>
          <w:bCs w:val="1"/>
          <w:color w:val="auto"/>
        </w:rPr>
        <w:t xml:space="preserve">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5"/>
          <w:szCs w:val="15"/>
          <w:b w:val="1"/>
          <w:bCs w:val="1"/>
          <w:color w:val="auto"/>
        </w:rPr>
        <w:t>NERGY</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5"/>
          <w:szCs w:val="15"/>
          <w:b w:val="1"/>
          <w:bCs w:val="1"/>
          <w:color w:val="auto"/>
        </w:rPr>
        <w:t>REEN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OWER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LLC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5"/>
          <w:szCs w:val="15"/>
          <w:b w:val="1"/>
          <w:bCs w:val="1"/>
          <w:color w:val="auto"/>
        </w:rPr>
        <w:t>IL</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xml:space="preserve"> LLC</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5"/>
          <w:szCs w:val="15"/>
          <w:b w:val="1"/>
          <w:bCs w:val="1"/>
          <w:color w:val="auto"/>
        </w:rPr>
        <w:t>PERATING</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LLC</w:t>
      </w:r>
    </w:p>
    <w:p>
      <w:pPr>
        <w:sectPr>
          <w:pgSz w:w="11900" w:h="16838" w:orient="portrait"/>
          <w:cols w:equalWidth="0" w:num="1">
            <w:col w:w="10139"/>
          </w:cols>
          <w:pgMar w:left="320" w:top="13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10139"/>
          </w:cols>
          <w:pgMar w:left="320" w:top="1396" w:right="1440" w:bottom="1440" w:gutter="0" w:footer="0" w:header="0"/>
          <w:type w:val="continuous"/>
        </w:sectPr>
      </w:pPr>
    </w:p>
    <w:bookmarkStart w:id="124" w:name="page125"/>
    <w:bookmarkEnd w:id="124"/>
    <w:p>
      <w:pPr>
        <w:ind w:left="23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OWER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OMMERCIAL</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20"/>
          <w:szCs w:val="20"/>
          <w:b w:val="1"/>
          <w:bCs w:val="1"/>
          <w:color w:val="auto"/>
        </w:rPr>
        <w:t>, LLC</w:t>
      </w:r>
    </w:p>
    <w:p>
      <w:pPr>
        <w:spacing w:after="0" w:line="2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OWER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LLC</w:t>
      </w:r>
    </w:p>
    <w:p>
      <w:pPr>
        <w:spacing w:after="0" w:line="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OUND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5"/>
          <w:szCs w:val="15"/>
          <w:b w:val="1"/>
          <w:bCs w:val="1"/>
          <w:color w:val="auto"/>
        </w:rPr>
        <w:t>OUNTAIN</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OLDINGS</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5"/>
          <w:szCs w:val="15"/>
          <w:b w:val="1"/>
          <w:bCs w:val="1"/>
          <w:color w:val="auto"/>
        </w:rPr>
        <w:t>ETRA</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5"/>
          <w:szCs w:val="15"/>
          <w:b w:val="1"/>
          <w:bCs w:val="1"/>
          <w:color w:val="auto"/>
        </w:rPr>
        <w:t>ERGER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UB</w:t>
      </w:r>
      <w:r>
        <w:rPr>
          <w:rFonts w:ascii="Times New Roman" w:cs="Times New Roman" w:eastAsia="Times New Roman" w:hAnsi="Times New Roman"/>
          <w:sz w:val="20"/>
          <w:szCs w:val="20"/>
          <w:b w:val="1"/>
          <w:bCs w:val="1"/>
          <w:color w:val="auto"/>
        </w:rPr>
        <w:t xml:space="preserve"> S, LLC</w:t>
      </w:r>
    </w:p>
    <w:p>
      <w:pPr>
        <w:spacing w:after="0" w:line="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5"/>
          <w:szCs w:val="15"/>
          <w:b w:val="1"/>
          <w:bCs w:val="1"/>
          <w:color w:val="auto"/>
        </w:rPr>
        <w:t>OCAL</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OLDING</w:t>
      </w:r>
      <w:r>
        <w:rPr>
          <w:rFonts w:ascii="Times New Roman" w:cs="Times New Roman" w:eastAsia="Times New Roman" w:hAnsi="Times New Roman"/>
          <w:sz w:val="20"/>
          <w:szCs w:val="20"/>
          <w:b w:val="1"/>
          <w:bCs w:val="1"/>
          <w:color w:val="auto"/>
        </w:rPr>
        <w:t>, LLC</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5"/>
          <w:szCs w:val="15"/>
          <w:b w:val="1"/>
          <w:bCs w:val="1"/>
          <w:color w:val="auto"/>
        </w:rPr>
        <w:t>OUTHERN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AN</w:t>
      </w:r>
      <w:r>
        <w:rPr>
          <w:rFonts w:ascii="Times New Roman" w:cs="Times New Roman" w:eastAsia="Times New Roman" w:hAnsi="Times New Roman"/>
          <w:sz w:val="20"/>
          <w:szCs w:val="20"/>
          <w:b w:val="1"/>
          <w:bCs w:val="1"/>
          <w:color w:val="auto"/>
        </w:rPr>
        <w:t xml:space="preserve"> J</w:t>
      </w:r>
      <w:r>
        <w:rPr>
          <w:rFonts w:ascii="Times New Roman" w:cs="Times New Roman" w:eastAsia="Times New Roman" w:hAnsi="Times New Roman"/>
          <w:sz w:val="15"/>
          <w:szCs w:val="15"/>
          <w:b w:val="1"/>
          <w:bCs w:val="1"/>
          <w:color w:val="auto"/>
        </w:rPr>
        <w:t>OAQUIN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RODUCTION</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0"/>
          <w:szCs w:val="20"/>
          <w:b w:val="1"/>
          <w:bCs w:val="1"/>
          <w:color w:val="auto"/>
        </w:rPr>
        <w:t>.</w:t>
      </w:r>
    </w:p>
    <w:p>
      <w:pPr>
        <w:spacing w:after="0" w:line="1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5"/>
          <w:szCs w:val="15"/>
          <w:b w:val="1"/>
          <w:bCs w:val="1"/>
          <w:color w:val="auto"/>
        </w:rPr>
        <w:t>ERRAIN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5"/>
          <w:szCs w:val="15"/>
          <w:b w:val="1"/>
          <w:bCs w:val="1"/>
          <w:color w:val="auto"/>
        </w:rPr>
        <w:t>ECHNOLOGY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0"/>
          <w:szCs w:val="20"/>
          <w:b w:val="1"/>
          <w:bCs w:val="1"/>
          <w:color w:val="auto"/>
        </w:rPr>
        <w:t>.</w:t>
      </w:r>
    </w:p>
    <w:p>
      <w:pPr>
        <w:spacing w:after="0" w:line="196"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-12700</wp:posOffset>
            </wp:positionV>
            <wp:extent cx="1012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4"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4"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L.P.</w:t>
      </w:r>
    </w:p>
    <w:p>
      <w:pPr>
        <w:spacing w:after="0" w:line="21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M</w:t>
      </w:r>
      <w:r>
        <w:rPr>
          <w:rFonts w:ascii="Times New Roman" w:cs="Times New Roman" w:eastAsia="Times New Roman" w:hAnsi="Times New Roman"/>
          <w:sz w:val="15"/>
          <w:szCs w:val="15"/>
          <w:color w:val="auto"/>
        </w:rPr>
        <w:t>ACPHERSON</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5"/>
          <w:szCs w:val="15"/>
          <w:color w:val="auto"/>
        </w:rPr>
        <w:t>AND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5"/>
          <w:szCs w:val="15"/>
          <w:color w:val="auto"/>
        </w:rPr>
        <w:t>OMPANY</w:t>
      </w:r>
      <w:r>
        <w:rPr>
          <w:rFonts w:ascii="Times New Roman" w:cs="Times New Roman" w:eastAsia="Times New Roman" w:hAnsi="Times New Roman"/>
          <w:sz w:val="20"/>
          <w:szCs w:val="20"/>
          <w:color w:val="auto"/>
        </w:rPr>
        <w:t>, LLC, as general partner</w:t>
      </w:r>
    </w:p>
    <w:p>
      <w:pPr>
        <w:spacing w:after="0" w:line="223"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-12700</wp:posOffset>
            </wp:positionV>
            <wp:extent cx="1012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w:t>
      </w:r>
    </w:p>
    <w:p>
      <w:pPr>
        <w:spacing w:after="0" w:line="1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5"/>
          <w:szCs w:val="15"/>
          <w:b w:val="1"/>
          <w:bCs w:val="1"/>
          <w:color w:val="auto"/>
        </w:rPr>
        <w:t>PERATING</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L.P.</w:t>
      </w:r>
    </w:p>
    <w:p>
      <w:pPr>
        <w:spacing w:after="0" w:line="2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M</w:t>
      </w:r>
      <w:r>
        <w:rPr>
          <w:rFonts w:ascii="Times New Roman" w:cs="Times New Roman" w:eastAsia="Times New Roman" w:hAnsi="Times New Roman"/>
          <w:sz w:val="15"/>
          <w:szCs w:val="15"/>
          <w:color w:val="auto"/>
        </w:rPr>
        <w:t>ACPHERSON</w:t>
      </w:r>
      <w:r>
        <w:rPr>
          <w:rFonts w:ascii="Times New Roman" w:cs="Times New Roman" w:eastAsia="Times New Roman" w:hAnsi="Times New Roman"/>
          <w:sz w:val="20"/>
          <w:szCs w:val="20"/>
          <w:color w:val="auto"/>
        </w:rPr>
        <w:t xml:space="preserve"> O</w:t>
      </w:r>
      <w:r>
        <w:rPr>
          <w:rFonts w:ascii="Times New Roman" w:cs="Times New Roman" w:eastAsia="Times New Roman" w:hAnsi="Times New Roman"/>
          <w:sz w:val="15"/>
          <w:szCs w:val="15"/>
          <w:color w:val="auto"/>
        </w:rPr>
        <w:t>PERATING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5"/>
          <w:szCs w:val="15"/>
          <w:color w:val="auto"/>
        </w:rPr>
        <w:t>OMPANY</w:t>
      </w:r>
      <w:r>
        <w:rPr>
          <w:rFonts w:ascii="Times New Roman" w:cs="Times New Roman" w:eastAsia="Times New Roman" w:hAnsi="Times New Roman"/>
          <w:sz w:val="20"/>
          <w:szCs w:val="20"/>
          <w:color w:val="auto"/>
        </w:rPr>
        <w:t>, LLC, as general partner</w:t>
      </w:r>
    </w:p>
    <w:p>
      <w:pPr>
        <w:spacing w:after="0" w:line="210"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-12700</wp:posOffset>
            </wp:positionV>
            <wp:extent cx="10128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4"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4"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OWER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OMMERCIAL</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20"/>
          <w:szCs w:val="20"/>
          <w:b w:val="1"/>
          <w:bCs w:val="1"/>
          <w:color w:val="auto"/>
        </w:rPr>
        <w:t>, L.P.</w:t>
      </w:r>
    </w:p>
    <w:p>
      <w:pPr>
        <w:spacing w:after="0" w:line="21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M</w:t>
      </w:r>
      <w:r>
        <w:rPr>
          <w:rFonts w:ascii="Times New Roman" w:cs="Times New Roman" w:eastAsia="Times New Roman" w:hAnsi="Times New Roman"/>
          <w:sz w:val="15"/>
          <w:szCs w:val="15"/>
          <w:color w:val="auto"/>
        </w:rPr>
        <w:t>ACPHERSON</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5"/>
          <w:szCs w:val="15"/>
          <w:color w:val="auto"/>
        </w:rPr>
        <w:t>OWER</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5"/>
          <w:szCs w:val="15"/>
          <w:color w:val="auto"/>
        </w:rPr>
        <w:t>OMMERCIAL</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5"/>
          <w:szCs w:val="15"/>
          <w:color w:val="auto"/>
        </w:rPr>
        <w:t>ERVICES</w:t>
      </w:r>
      <w:r>
        <w:rPr>
          <w:rFonts w:ascii="Times New Roman" w:cs="Times New Roman" w:eastAsia="Times New Roman" w:hAnsi="Times New Roman"/>
          <w:sz w:val="20"/>
          <w:szCs w:val="20"/>
          <w:color w:val="auto"/>
        </w:rPr>
        <w:t>, LLC, as general partner</w:t>
      </w:r>
    </w:p>
    <w:p>
      <w:pPr>
        <w:spacing w:after="0" w:line="223"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-12700</wp:posOffset>
            </wp:positionV>
            <wp:extent cx="1012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w:t>
      </w:r>
    </w:p>
    <w:p>
      <w:pPr>
        <w:spacing w:after="0" w:line="1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Indenture]</w:t>
      </w:r>
    </w:p>
    <w:p>
      <w:pPr>
        <w:sectPr>
          <w:pgSz w:w="11900" w:h="16838" w:orient="portrait"/>
          <w:cols w:equalWidth="0" w:num="1">
            <w:col w:w="9019"/>
          </w:cols>
          <w:pgMar w:left="1440" w:top="1392" w:right="1440" w:bottom="1440" w:gutter="0" w:footer="0" w:header="0"/>
        </w:sectPr>
      </w:pPr>
    </w:p>
    <w:bookmarkStart w:id="125" w:name="page126"/>
    <w:bookmarkEnd w:id="125"/>
    <w:p>
      <w:pPr>
        <w:ind w:left="234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5"/>
          <w:szCs w:val="15"/>
          <w:b w:val="1"/>
          <w:bCs w:val="1"/>
          <w:color w:val="auto"/>
        </w:rPr>
        <w:t>ACPHERSON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OWER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20"/>
          <w:szCs w:val="20"/>
          <w:b w:val="1"/>
          <w:bCs w:val="1"/>
          <w:color w:val="auto"/>
        </w:rPr>
        <w:t>, L.P.</w:t>
      </w:r>
    </w:p>
    <w:p>
      <w:pPr>
        <w:spacing w:after="0" w:line="227"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tab/>
        <w:t>M</w:t>
      </w:r>
      <w:r>
        <w:rPr>
          <w:rFonts w:ascii="Times New Roman" w:cs="Times New Roman" w:eastAsia="Times New Roman" w:hAnsi="Times New Roman"/>
          <w:sz w:val="15"/>
          <w:szCs w:val="15"/>
          <w:color w:val="auto"/>
        </w:rPr>
        <w:t>ACPHERSON</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5"/>
          <w:szCs w:val="15"/>
          <w:color w:val="auto"/>
        </w:rPr>
        <w:t>OWER</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5"/>
          <w:szCs w:val="15"/>
          <w:color w:val="auto"/>
        </w:rPr>
        <w:t>OMPANY</w:t>
      </w:r>
      <w:r>
        <w:rPr>
          <w:rFonts w:ascii="Times New Roman" w:cs="Times New Roman" w:eastAsia="Times New Roman" w:hAnsi="Times New Roman"/>
          <w:sz w:val="20"/>
          <w:szCs w:val="20"/>
          <w:color w:val="auto"/>
        </w:rPr>
        <w:t>, LLC, as general partner</w:t>
      </w:r>
    </w:p>
    <w:p>
      <w:pPr>
        <w:spacing w:after="0" w:line="210"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-12700</wp:posOffset>
            </wp:positionV>
            <wp:extent cx="1012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4"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4"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Indenture]</w:t>
      </w:r>
    </w:p>
    <w:p>
      <w:pPr>
        <w:sectPr>
          <w:pgSz w:w="11900" w:h="16838" w:orient="portrait"/>
          <w:cols w:equalWidth="0" w:num="1">
            <w:col w:w="9019"/>
          </w:cols>
          <w:pgMar w:left="1440" w:top="1392" w:right="1440" w:bottom="1440" w:gutter="0" w:footer="0" w:header="0"/>
        </w:sectPr>
      </w:pPr>
    </w:p>
    <w:bookmarkStart w:id="126" w:name="page127"/>
    <w:bookmarkEnd w:id="126"/>
    <w:p>
      <w:pPr>
        <w:spacing w:after="0" w:line="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WILMINGTON TRUST, NATIONAL</w:t>
      </w:r>
    </w:p>
    <w:p>
      <w:pPr>
        <w:spacing w:after="0" w:line="2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ASSOCIATION</w:t>
      </w:r>
      <w:r>
        <w:rPr>
          <w:rFonts w:ascii="Times New Roman" w:cs="Times New Roman" w:eastAsia="Times New Roman" w:hAnsi="Times New Roman"/>
          <w:sz w:val="20"/>
          <w:szCs w:val="20"/>
          <w:color w:val="auto"/>
        </w:rPr>
        <w:t>,</w:t>
      </w:r>
    </w:p>
    <w:p>
      <w:pPr>
        <w:spacing w:after="0" w:line="3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920" w:type="dxa"/>
        <w:tblCellMar>
          <w:top w:w="0" w:type="dxa"/>
          <w:left w:w="0" w:type="dxa"/>
          <w:bottom w:w="0" w:type="dxa"/>
          <w:right w:w="0" w:type="dxa"/>
        </w:tblCellMar>
      </w:tblPr>
      <w:tr>
        <w:trPr>
          <w:trHeight w:val="25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Barry D. Somrock</w:t>
            </w:r>
          </w:p>
        </w:tc>
        <w:tc>
          <w:tcPr>
            <w:tcW w:w="0" w:type="dxa"/>
            <w:vAlign w:val="bottom"/>
          </w:tcPr>
          <w:p>
            <w:pPr>
              <w:spacing w:after="0"/>
              <w:rPr>
                <w:sz w:val="1"/>
                <w:szCs w:val="1"/>
                <w:color w:val="auto"/>
              </w:rPr>
            </w:pPr>
          </w:p>
        </w:tc>
      </w:tr>
      <w:tr>
        <w:trPr>
          <w:trHeight w:val="222"/>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800" w:type="dxa"/>
            <w:vAlign w:val="bottom"/>
            <w:vMerge w:val="continue"/>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Barry D. Somrock</w:t>
            </w:r>
          </w:p>
        </w:tc>
        <w:tc>
          <w:tcPr>
            <w:tcW w:w="0" w:type="dxa"/>
            <w:vAlign w:val="bottom"/>
          </w:tcPr>
          <w:p>
            <w:pPr>
              <w:spacing w:after="0"/>
              <w:rPr>
                <w:sz w:val="1"/>
                <w:szCs w:val="1"/>
                <w:color w:val="auto"/>
              </w:rPr>
            </w:pPr>
          </w:p>
        </w:tc>
      </w:tr>
      <w:tr>
        <w:trPr>
          <w:trHeight w:val="49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Indenture]</w:t>
      </w:r>
    </w:p>
    <w:p>
      <w:pPr>
        <w:sectPr>
          <w:pgSz w:w="11900" w:h="16838" w:orient="portrait"/>
          <w:cols w:equalWidth="0" w:num="1">
            <w:col w:w="9019"/>
          </w:cols>
          <w:pgMar w:left="1440" w:top="1440"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42480" cy="177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177800"/>
                    </a:xfrm>
                    <a:prstGeom prst="rect">
                      <a:avLst/>
                    </a:prstGeom>
                    <a:noFill/>
                  </pic:spPr>
                </pic:pic>
              </a:graphicData>
            </a:graphic>
          </wp:anchor>
        </w:drawing>
      </w:r>
    </w:p>
    <w:p>
      <w:pPr>
        <w:spacing w:after="0" w:line="374" w:lineRule="exact"/>
        <w:rPr>
          <w:sz w:val="20"/>
          <w:szCs w:val="20"/>
          <w:color w:val="auto"/>
        </w:rPr>
      </w:pPr>
    </w:p>
    <w:p>
      <w:pPr>
        <w:ind w:right="3760"/>
        <w:spacing w:after="0" w:line="546" w:lineRule="auto"/>
        <w:rPr>
          <w:sz w:val="20"/>
          <w:szCs w:val="20"/>
          <w:color w:val="auto"/>
        </w:rPr>
      </w:pPr>
      <w:r>
        <w:rPr>
          <w:rFonts w:ascii="Times New Roman" w:cs="Times New Roman" w:eastAsia="Times New Roman" w:hAnsi="Times New Roman"/>
          <w:sz w:val="18"/>
          <w:szCs w:val="18"/>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25" w:right="339" w:bottom="1440" w:gutter="0" w:footer="0" w:header="0"/>
        </w:sectPr>
      </w:pPr>
    </w:p>
    <w:bookmarkStart w:id="128" w:name="page129"/>
    <w:bookmarkEnd w:id="128"/>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560" w:type="dxa"/>
            <w:vAlign w:val="bottom"/>
          </w:tcPr>
          <w:p>
            <w:pPr>
              <w:spacing w:after="0"/>
              <w:rPr>
                <w:sz w:val="22"/>
                <w:szCs w:val="22"/>
                <w:color w:val="auto"/>
              </w:rPr>
            </w:pPr>
          </w:p>
        </w:tc>
        <w:tc>
          <w:tcPr>
            <w:tcW w:w="8680" w:type="dxa"/>
            <w:vAlign w:val="bottom"/>
          </w:tcPr>
          <w:p>
            <w:pPr>
              <w:jc w:val="right"/>
              <w:ind w:right="4942"/>
              <w:spacing w:after="0"/>
              <w:rPr>
                <w:sz w:val="20"/>
                <w:szCs w:val="20"/>
                <w:color w:val="auto"/>
              </w:rPr>
            </w:pPr>
            <w:r>
              <w:rPr>
                <w:rFonts w:ascii="Times New Roman" w:cs="Times New Roman" w:eastAsia="Times New Roman" w:hAnsi="Times New Roman"/>
                <w:sz w:val="20"/>
                <w:szCs w:val="20"/>
                <w:color w:val="auto"/>
              </w:rPr>
              <w:t>[Face of Note]</w:t>
            </w:r>
          </w:p>
        </w:tc>
      </w:tr>
      <w:tr>
        <w:trPr>
          <w:trHeight w:val="229"/>
        </w:trPr>
        <w:tc>
          <w:tcPr>
            <w:tcW w:w="256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r>
      <w:tr>
        <w:trPr>
          <w:trHeight w:val="297"/>
        </w:trPr>
        <w:tc>
          <w:tcPr>
            <w:tcW w:w="2560" w:type="dxa"/>
            <w:vAlign w:val="bottom"/>
          </w:tcPr>
          <w:p>
            <w:pPr>
              <w:spacing w:after="0"/>
              <w:rPr>
                <w:sz w:val="24"/>
                <w:szCs w:val="24"/>
                <w:color w:val="auto"/>
              </w:rPr>
            </w:pPr>
          </w:p>
        </w:tc>
        <w:tc>
          <w:tcPr>
            <w:tcW w:w="8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CUSIP [ ]</w:t>
            </w:r>
          </w:p>
        </w:tc>
      </w:tr>
      <w:tr>
        <w:trPr>
          <w:trHeight w:val="240"/>
        </w:trPr>
        <w:tc>
          <w:tcPr>
            <w:tcW w:w="2560" w:type="dxa"/>
            <w:vAlign w:val="bottom"/>
          </w:tcPr>
          <w:p>
            <w:pPr>
              <w:spacing w:after="0"/>
              <w:rPr>
                <w:sz w:val="20"/>
                <w:szCs w:val="20"/>
                <w:color w:val="auto"/>
              </w:rPr>
            </w:pPr>
          </w:p>
        </w:tc>
        <w:tc>
          <w:tcPr>
            <w:tcW w:w="8680" w:type="dxa"/>
            <w:vAlign w:val="bottom"/>
          </w:tcPr>
          <w:p>
            <w:pPr>
              <w:jc w:val="right"/>
              <w:spacing w:after="0" w:line="240" w:lineRule="exact"/>
              <w:rPr>
                <w:sz w:val="20"/>
                <w:szCs w:val="20"/>
                <w:color w:val="auto"/>
              </w:rPr>
            </w:pPr>
            <w:r>
              <w:rPr>
                <w:rFonts w:ascii="Times New Roman" w:cs="Times New Roman" w:eastAsia="Times New Roman" w:hAnsi="Times New Roman"/>
                <w:sz w:val="20"/>
                <w:szCs w:val="20"/>
                <w:color w:val="auto"/>
              </w:rPr>
              <w:t>ISIN [ ]</w:t>
            </w:r>
            <w:r>
              <w:rPr>
                <w:rFonts w:ascii="Times New Roman" w:cs="Times New Roman" w:eastAsia="Times New Roman" w:hAnsi="Times New Roman"/>
                <w:sz w:val="25"/>
                <w:szCs w:val="25"/>
                <w:color w:val="auto"/>
                <w:vertAlign w:val="superscript"/>
              </w:rPr>
              <w:t>1</w:t>
            </w:r>
          </w:p>
        </w:tc>
      </w:tr>
      <w:tr>
        <w:trPr>
          <w:trHeight w:val="254"/>
        </w:trPr>
        <w:tc>
          <w:tcPr>
            <w:tcW w:w="2560" w:type="dxa"/>
            <w:vAlign w:val="bottom"/>
          </w:tcPr>
          <w:p>
            <w:pPr>
              <w:spacing w:after="0"/>
              <w:rPr>
                <w:sz w:val="22"/>
                <w:szCs w:val="22"/>
                <w:color w:val="auto"/>
              </w:rPr>
            </w:pPr>
          </w:p>
        </w:tc>
        <w:tc>
          <w:tcPr>
            <w:tcW w:w="8680" w:type="dxa"/>
            <w:vAlign w:val="bottom"/>
          </w:tcPr>
          <w:p>
            <w:pPr>
              <w:jc w:val="right"/>
              <w:ind w:right="4302"/>
              <w:spacing w:after="0"/>
              <w:rPr>
                <w:sz w:val="20"/>
                <w:szCs w:val="20"/>
                <w:color w:val="auto"/>
              </w:rPr>
            </w:pPr>
            <w:r>
              <w:rPr>
                <w:rFonts w:ascii="Times New Roman" w:cs="Times New Roman" w:eastAsia="Times New Roman" w:hAnsi="Times New Roman"/>
                <w:sz w:val="20"/>
                <w:szCs w:val="20"/>
                <w:color w:val="auto"/>
              </w:rPr>
              <w:t>7.250% Senior Notes due 2035</w:t>
            </w:r>
          </w:p>
        </w:tc>
      </w:tr>
      <w:tr>
        <w:trPr>
          <w:trHeight w:val="720"/>
        </w:trPr>
        <w:tc>
          <w:tcPr>
            <w:tcW w:w="2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 ___</w:t>
            </w:r>
          </w:p>
        </w:tc>
        <w:tc>
          <w:tcPr>
            <w:tcW w:w="8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promises to pay, to or registered assigns, the principal sum of _______________________ DOLLARS [(or such greater or lesser amount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be indicated on the attached Schedule of Increases or Decreases of Interests in the Global Note)] on January 15, 2035.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January 15 and July 15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January 1 and July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ind w:left="740" w:hanging="94"/>
        <w:spacing w:after="0" w:line="217" w:lineRule="auto"/>
        <w:tabs>
          <w:tab w:leader="none" w:pos="740" w:val="left"/>
        </w:tabs>
        <w:numPr>
          <w:ilvl w:val="0"/>
          <w:numId w:val="1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144A CUSIP: 13057Q AM9 / 144A ISIN: US13057QAM96; REG S CUSIP: U1303A AK2 / REG S ISIN: USU1303AAK26</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09"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Dated:</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-12700</wp:posOffset>
            </wp:positionV>
            <wp:extent cx="123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0139"/>
          </w:cols>
          <w:pgMar w:left="320" w:top="1383"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auto"/>
        </w:rPr>
        <w:t>Certificate of Authentication: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-12700</wp:posOffset>
            </wp:positionV>
            <wp:extent cx="2482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0139"/>
          </w:cols>
          <w:pgMar w:left="320" w:top="1383" w:right="1440" w:bottom="1440" w:gutter="0" w:footer="0" w:header="0"/>
        </w:sectPr>
      </w:pPr>
    </w:p>
    <w:bookmarkStart w:id="131" w:name="page132"/>
    <w:bookmarkEnd w:id="131"/>
    <w:p>
      <w:pPr>
        <w:jc w:val="center"/>
        <w:ind w:right="640"/>
        <w:spacing w:after="0"/>
        <w:rPr>
          <w:sz w:val="20"/>
          <w:szCs w:val="20"/>
          <w:color w:val="auto"/>
        </w:rPr>
      </w:pPr>
      <w:r>
        <w:rPr>
          <w:rFonts w:ascii="Times New Roman" w:cs="Times New Roman" w:eastAsia="Times New Roman" w:hAnsi="Times New Roman"/>
          <w:sz w:val="20"/>
          <w:szCs w:val="20"/>
          <w:color w:val="auto"/>
        </w:rPr>
        <w:t>[Reverse of Note]</w:t>
      </w:r>
    </w:p>
    <w:p>
      <w:pPr>
        <w:spacing w:after="0" w:line="21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7.250% Senior Notes due 2035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94" w:lineRule="exact"/>
        <w:rPr>
          <w:sz w:val="20"/>
          <w:szCs w:val="20"/>
          <w:color w:val="auto"/>
        </w:rPr>
      </w:pPr>
    </w:p>
    <w:p>
      <w:pPr>
        <w:jc w:val="both"/>
        <w:ind w:firstLine="646"/>
        <w:spacing w:after="0" w:line="254" w:lineRule="auto"/>
        <w:tabs>
          <w:tab w:leader="none" w:pos="108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NTEREST</w:t>
      </w:r>
      <w:r>
        <w:rPr>
          <w:rFonts w:ascii="Times New Roman" w:cs="Times New Roman" w:eastAsia="Times New Roman" w:hAnsi="Times New Roman"/>
          <w:sz w:val="18"/>
          <w:szCs w:val="18"/>
          <w:color w:val="auto"/>
        </w:rPr>
        <w:t>.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promises to pay or cause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the principal amount of this Note at a rate of 7.250% per annum. The Issuer will pay interest semi-annually in arrears on January 15 and July 15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the first Interest Payment Date shall be January 15, 2027. Interest on the Notes will accrue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The Issuer will pay interest (including post-petition interest in any proceeding under any Bankruptcy Law) on overdue principal and premium, if any, from time to time on demand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from time to time on demand at the same rate to the extent lawful.</w:t>
      </w:r>
    </w:p>
    <w:p>
      <w:pPr>
        <w:spacing w:after="0" w:line="3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Interest will be computed on the basis of a 360-day year comprised of twelve 30-day months.</w:t>
      </w:r>
    </w:p>
    <w:p>
      <w:pPr>
        <w:spacing w:after="0" w:line="194" w:lineRule="exact"/>
        <w:rPr>
          <w:sz w:val="20"/>
          <w:szCs w:val="20"/>
          <w:color w:val="auto"/>
        </w:rPr>
      </w:pPr>
    </w:p>
    <w:p>
      <w:pPr>
        <w:jc w:val="both"/>
        <w:ind w:firstLine="646"/>
        <w:spacing w:after="0" w:line="228" w:lineRule="auto"/>
        <w:tabs>
          <w:tab w:leader="none" w:pos="1169"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w:t>
      </w:r>
      <w:r>
        <w:rPr>
          <w:rFonts w:ascii="Times New Roman" w:cs="Times New Roman" w:eastAsia="Times New Roman" w:hAnsi="Times New Roman"/>
          <w:sz w:val="15"/>
          <w:szCs w:val="15"/>
          <w:i w:val="1"/>
          <w:iCs w:val="1"/>
          <w:color w:val="auto"/>
        </w:rPr>
        <w:t>ETHOD OF</w:t>
      </w:r>
      <w:r>
        <w:rPr>
          <w:rFonts w:ascii="Times New Roman" w:cs="Times New Roman" w:eastAsia="Times New Roman" w:hAnsi="Times New Roman"/>
          <w:sz w:val="20"/>
          <w:szCs w:val="20"/>
          <w:i w:val="1"/>
          <w:iCs w:val="1"/>
          <w:color w:val="auto"/>
        </w:rPr>
        <w:t xml:space="preserve"> P</w:t>
      </w:r>
      <w:r>
        <w:rPr>
          <w:rFonts w:ascii="Times New Roman" w:cs="Times New Roman" w:eastAsia="Times New Roman" w:hAnsi="Times New Roman"/>
          <w:sz w:val="15"/>
          <w:szCs w:val="15"/>
          <w:i w:val="1"/>
          <w:iCs w:val="1"/>
          <w:color w:val="auto"/>
        </w:rPr>
        <w:t>AYMENT</w:t>
      </w:r>
      <w:r>
        <w:rPr>
          <w:rFonts w:ascii="Times New Roman" w:cs="Times New Roman" w:eastAsia="Times New Roman" w:hAnsi="Times New Roman"/>
          <w:sz w:val="20"/>
          <w:szCs w:val="20"/>
          <w:color w:val="auto"/>
        </w:rPr>
        <w:t>. The Issuer will pay interest on the Notes (except defaulted interest) to the Persons who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registered Holders of Notes at the close of business on the January 1 and July 1 next preceding the Interest Payment Date, even if such Notes are canceled after such record date and on or before such Interest Payment Date, except as provided in Section 2.12 of the Indenture with respect to defaulted interest. The Notes will be payable as to principal, interest and premium, if any, at the office or agency of the Issuer maintained for such purpose within the continental United States, or, at the option of the Issuer, payment of interest, may be made by check mailed to the Holders at their addresses set forth in the register of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coin or currency of the United States of America as at the time of payment is legal tender for payment of public and private debts.</w:t>
      </w:r>
    </w:p>
    <w:p>
      <w:pPr>
        <w:spacing w:after="0" w:line="187" w:lineRule="exact"/>
        <w:rPr>
          <w:rFonts w:ascii="Times New Roman" w:cs="Times New Roman" w:eastAsia="Times New Roman" w:hAnsi="Times New Roman"/>
          <w:sz w:val="20"/>
          <w:szCs w:val="20"/>
          <w:color w:val="auto"/>
        </w:rPr>
      </w:pPr>
    </w:p>
    <w:p>
      <w:pPr>
        <w:jc w:val="both"/>
        <w:ind w:firstLine="646"/>
        <w:spacing w:after="0" w:line="237" w:lineRule="auto"/>
        <w:tabs>
          <w:tab w:leader="none" w:pos="111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w:t>
      </w:r>
      <w:r>
        <w:rPr>
          <w:rFonts w:ascii="Times New Roman" w:cs="Times New Roman" w:eastAsia="Times New Roman" w:hAnsi="Times New Roman"/>
          <w:sz w:val="15"/>
          <w:szCs w:val="15"/>
          <w:i w:val="1"/>
          <w:iCs w:val="1"/>
          <w:color w:val="auto"/>
        </w:rPr>
        <w:t>AYING</w:t>
      </w:r>
      <w:r>
        <w:rPr>
          <w:rFonts w:ascii="Times New Roman" w:cs="Times New Roman" w:eastAsia="Times New Roman" w:hAnsi="Times New Roman"/>
          <w:sz w:val="20"/>
          <w:szCs w:val="20"/>
          <w:i w:val="1"/>
          <w:iCs w:val="1"/>
          <w:color w:val="auto"/>
        </w:rPr>
        <w:t xml:space="preserve"> A</w:t>
      </w:r>
      <w:r>
        <w:rPr>
          <w:rFonts w:ascii="Times New Roman" w:cs="Times New Roman" w:eastAsia="Times New Roman" w:hAnsi="Times New Roman"/>
          <w:sz w:val="15"/>
          <w:szCs w:val="15"/>
          <w:i w:val="1"/>
          <w:iCs w:val="1"/>
          <w:color w:val="auto"/>
        </w:rPr>
        <w:t>GENT AND</w:t>
      </w:r>
      <w:r>
        <w:rPr>
          <w:rFonts w:ascii="Times New Roman" w:cs="Times New Roman" w:eastAsia="Times New Roman" w:hAnsi="Times New Roman"/>
          <w:sz w:val="20"/>
          <w:szCs w:val="20"/>
          <w:i w:val="1"/>
          <w:iCs w:val="1"/>
          <w:color w:val="auto"/>
        </w:rPr>
        <w:t xml:space="preserve"> R</w:t>
      </w:r>
      <w:r>
        <w:rPr>
          <w:rFonts w:ascii="Times New Roman" w:cs="Times New Roman" w:eastAsia="Times New Roman" w:hAnsi="Times New Roman"/>
          <w:sz w:val="15"/>
          <w:szCs w:val="15"/>
          <w:i w:val="1"/>
          <w:iCs w:val="1"/>
          <w:color w:val="auto"/>
        </w:rPr>
        <w:t>EGISTRAR</w:t>
      </w:r>
      <w:r>
        <w:rPr>
          <w:rFonts w:ascii="Times New Roman" w:cs="Times New Roman" w:eastAsia="Times New Roman" w:hAnsi="Times New Roman"/>
          <w:sz w:val="20"/>
          <w:szCs w:val="20"/>
          <w:color w:val="auto"/>
        </w:rPr>
        <w:t>. Initially, Wilmington Trust, National Association, the Trustee under the Indenture,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 as Paying Agent and Registrar. The Issuer may change the Paying Agent or Registrar without notice to any Holder. The Issuer or any of its Subsidiaries may act as Paying Agent or Registrar.</w:t>
      </w:r>
    </w:p>
    <w:p>
      <w:pPr>
        <w:spacing w:after="0" w:line="171" w:lineRule="exact"/>
        <w:rPr>
          <w:rFonts w:ascii="Times New Roman" w:cs="Times New Roman" w:eastAsia="Times New Roman" w:hAnsi="Times New Roman"/>
          <w:sz w:val="20"/>
          <w:szCs w:val="20"/>
          <w:color w:val="auto"/>
        </w:rPr>
      </w:pPr>
    </w:p>
    <w:p>
      <w:pPr>
        <w:jc w:val="both"/>
        <w:ind w:firstLine="646"/>
        <w:spacing w:after="0" w:line="234" w:lineRule="auto"/>
        <w:tabs>
          <w:tab w:leader="none" w:pos="106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15"/>
          <w:szCs w:val="15"/>
          <w:i w:val="1"/>
          <w:iCs w:val="1"/>
          <w:color w:val="auto"/>
        </w:rPr>
        <w:t>NDENTURE</w:t>
      </w:r>
      <w:r>
        <w:rPr>
          <w:rFonts w:ascii="Times New Roman" w:cs="Times New Roman" w:eastAsia="Times New Roman" w:hAnsi="Times New Roman"/>
          <w:sz w:val="20"/>
          <w:szCs w:val="20"/>
          <w:color w:val="auto"/>
        </w:rPr>
        <w:t>. The Issuer issued the Notes under an Indenture dated as of June 26, 2026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among the Issuer,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0600"/>
          </w:cols>
          <w:pgMar w:left="960" w:top="138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the aggregate principal amount of Notes that may be issued thereunder.</w:t>
      </w:r>
    </w:p>
    <w:p>
      <w:pPr>
        <w:spacing w:after="0" w:line="194" w:lineRule="exact"/>
        <w:rPr>
          <w:sz w:val="20"/>
          <w:szCs w:val="20"/>
          <w:color w:val="auto"/>
        </w:rPr>
      </w:pPr>
    </w:p>
    <w:p>
      <w:pPr>
        <w:ind w:left="1060" w:hanging="414"/>
        <w:spacing w:after="0"/>
        <w:tabs>
          <w:tab w:leader="none" w:pos="10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w:t>
      </w:r>
      <w:r>
        <w:rPr>
          <w:rFonts w:ascii="Times New Roman" w:cs="Times New Roman" w:eastAsia="Times New Roman" w:hAnsi="Times New Roman"/>
          <w:sz w:val="15"/>
          <w:szCs w:val="15"/>
          <w:i w:val="1"/>
          <w:iCs w:val="1"/>
          <w:color w:val="auto"/>
        </w:rPr>
        <w:t>PTIONAL</w:t>
      </w:r>
      <w:r>
        <w:rPr>
          <w:rFonts w:ascii="Times New Roman" w:cs="Times New Roman" w:eastAsia="Times New Roman" w:hAnsi="Times New Roman"/>
          <w:sz w:val="20"/>
          <w:szCs w:val="20"/>
          <w:i w:val="1"/>
          <w:iCs w:val="1"/>
          <w:color w:val="auto"/>
        </w:rPr>
        <w:t xml:space="preserve"> R</w:t>
      </w:r>
      <w:r>
        <w:rPr>
          <w:rFonts w:ascii="Times New Roman" w:cs="Times New Roman" w:eastAsia="Times New Roman" w:hAnsi="Times New Roman"/>
          <w:sz w:val="15"/>
          <w:szCs w:val="15"/>
          <w:i w:val="1"/>
          <w:iCs w:val="1"/>
          <w:color w:val="auto"/>
        </w:rPr>
        <w:t>EDEMPTION</w:t>
      </w: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0"/>
          <w:szCs w:val="20"/>
          <w:color w:val="auto"/>
        </w:rPr>
      </w:pPr>
    </w:p>
    <w:p>
      <w:pPr>
        <w:jc w:val="both"/>
        <w:ind w:firstLine="1286"/>
        <w:spacing w:after="0" w:line="257" w:lineRule="auto"/>
        <w:tabs>
          <w:tab w:leader="none" w:pos="178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July 15, 2029, the Issuer may on any one or more occasions redeem up to 40% of the aggregate principal amount of the Notes (including, without limitation, any Additional Notes) issued under the Indenture in an amount not greater than the net cash proceeds of one or more Equity Offerings by the Issuer, upon notice as provided in the Indenture, at a redemption price equal to 107.250%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redemption (subject to the rights of Holders of Notes on the relevant record date to receive interest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at least 60%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59" w:lineRule="exact"/>
        <w:rPr>
          <w:rFonts w:ascii="Times New Roman" w:cs="Times New Roman" w:eastAsia="Times New Roman" w:hAnsi="Times New Roman"/>
          <w:sz w:val="18"/>
          <w:szCs w:val="18"/>
          <w:color w:val="auto"/>
        </w:rPr>
      </w:pPr>
    </w:p>
    <w:p>
      <w:pPr>
        <w:jc w:val="both"/>
        <w:ind w:firstLine="1286"/>
        <w:spacing w:after="0" w:line="233" w:lineRule="auto"/>
        <w:tabs>
          <w:tab w:leader="none" w:pos="1692"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prior to July 15, 2029, the Issuer may on any one or more occasions redeem all or a part of the Notes, upon notice as provided in the Indenture, at a redemption price equal to 100% of the principal amount of the Notes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186" w:lineRule="exact"/>
        <w:rPr>
          <w:rFonts w:ascii="Times New Roman" w:cs="Times New Roman" w:eastAsia="Times New Roman" w:hAnsi="Times New Roman"/>
          <w:sz w:val="20"/>
          <w:szCs w:val="20"/>
          <w:color w:val="auto"/>
        </w:rPr>
      </w:pPr>
    </w:p>
    <w:p>
      <w:pPr>
        <w:ind w:firstLine="1286"/>
        <w:spacing w:after="0" w:line="247" w:lineRule="auto"/>
        <w:tabs>
          <w:tab w:leader="none" w:pos="1712"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may redeem all (but not a portion of) the Notes when permitted by, and pursuant to the conditions in, Section 4.15(f) of the Indenture.</w:t>
      </w:r>
    </w:p>
    <w:p>
      <w:pPr>
        <w:spacing w:after="0" w:line="166" w:lineRule="exact"/>
        <w:rPr>
          <w:rFonts w:ascii="Times New Roman" w:cs="Times New Roman" w:eastAsia="Times New Roman" w:hAnsi="Times New Roman"/>
          <w:sz w:val="20"/>
          <w:szCs w:val="20"/>
          <w:color w:val="auto"/>
        </w:rPr>
      </w:pPr>
    </w:p>
    <w:p>
      <w:pPr>
        <w:ind w:left="1720" w:hanging="434"/>
        <w:spacing w:after="0"/>
        <w:tabs>
          <w:tab w:leader="none" w:pos="17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Issuer’s option prior to July</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15, 2029.</w:t>
      </w:r>
    </w:p>
    <w:p>
      <w:pPr>
        <w:spacing w:after="0" w:line="174" w:lineRule="exact"/>
        <w:rPr>
          <w:rFonts w:ascii="Times New Roman" w:cs="Times New Roman" w:eastAsia="Times New Roman" w:hAnsi="Times New Roman"/>
          <w:sz w:val="18"/>
          <w:szCs w:val="18"/>
          <w:color w:val="auto"/>
        </w:rPr>
      </w:pPr>
    </w:p>
    <w:p>
      <w:pPr>
        <w:jc w:val="both"/>
        <w:ind w:firstLine="1286"/>
        <w:spacing w:after="0" w:line="233" w:lineRule="auto"/>
        <w:tabs>
          <w:tab w:leader="none" w:pos="1731"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after July 15, 2029, the Issuer may on any one or more occasions redeem all or a part of the Notes, upon notice as provided in the Indenture, at the redemption prices (expressed as percentages of principal amount) set forth below,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on the Notes redeemed, to, but excluding, the applicable redemption date, subject to the rights of Holders of Notes on the relevant record date to receive interest on the relevant Interest Payment Date, if redeemed during the twelve-month period beginning on July 15 of the years indicated below:</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Year</w:t>
            </w:r>
          </w:p>
        </w:tc>
        <w:tc>
          <w:tcPr>
            <w:tcW w:w="35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Percentage</w:t>
            </w:r>
          </w:p>
        </w:tc>
      </w:tr>
      <w:tr>
        <w:trPr>
          <w:trHeight w:val="27"/>
        </w:trPr>
        <w:tc>
          <w:tcPr>
            <w:tcW w:w="360" w:type="dxa"/>
            <w:vAlign w:val="bottom"/>
            <w:shd w:val="clear" w:color="auto" w:fill="000000"/>
          </w:tcPr>
          <w:p>
            <w:pPr>
              <w:spacing w:after="0"/>
              <w:rPr>
                <w:sz w:val="2"/>
                <w:szCs w:val="2"/>
                <w:color w:val="auto"/>
              </w:rPr>
            </w:pPr>
          </w:p>
        </w:tc>
        <w:tc>
          <w:tcPr>
            <w:tcW w:w="4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498"/>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2029</w:t>
            </w:r>
          </w:p>
        </w:tc>
        <w:tc>
          <w:tcPr>
            <w:tcW w:w="4380" w:type="dxa"/>
            <w:vAlign w:val="bottom"/>
            <w:gridSpan w:val="2"/>
          </w:tcPr>
          <w:p>
            <w:pPr>
              <w:jc w:val="right"/>
              <w:ind w:right="242"/>
              <w:spacing w:after="0"/>
              <w:rPr>
                <w:sz w:val="20"/>
                <w:szCs w:val="20"/>
                <w:color w:val="auto"/>
              </w:rPr>
            </w:pPr>
            <w:r>
              <w:rPr>
                <w:rFonts w:ascii="Times New Roman" w:cs="Times New Roman" w:eastAsia="Times New Roman" w:hAnsi="Times New Roman"/>
                <w:sz w:val="20"/>
                <w:szCs w:val="20"/>
                <w:color w:val="auto"/>
              </w:rPr>
              <w:t>103.625%</w:t>
            </w:r>
          </w:p>
        </w:tc>
      </w:tr>
      <w:tr>
        <w:trPr>
          <w:trHeight w:val="293"/>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2030</w:t>
            </w:r>
          </w:p>
        </w:tc>
        <w:tc>
          <w:tcPr>
            <w:tcW w:w="4380" w:type="dxa"/>
            <w:vAlign w:val="bottom"/>
            <w:gridSpan w:val="2"/>
          </w:tcPr>
          <w:p>
            <w:pPr>
              <w:jc w:val="center"/>
              <w:ind w:left="3442"/>
              <w:spacing w:after="0"/>
              <w:rPr>
                <w:sz w:val="20"/>
                <w:szCs w:val="20"/>
                <w:color w:val="auto"/>
              </w:rPr>
            </w:pPr>
            <w:r>
              <w:rPr>
                <w:rFonts w:ascii="Times New Roman" w:cs="Times New Roman" w:eastAsia="Times New Roman" w:hAnsi="Times New Roman"/>
                <w:sz w:val="20"/>
                <w:szCs w:val="20"/>
                <w:color w:val="auto"/>
                <w:w w:val="97"/>
              </w:rPr>
              <w:t>101.813%</w:t>
            </w:r>
          </w:p>
        </w:tc>
      </w:tr>
      <w:tr>
        <w:trPr>
          <w:trHeight w:val="466"/>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4380" w:type="dxa"/>
            <w:vAlign w:val="bottom"/>
            <w:gridSpan w:val="2"/>
          </w:tcPr>
          <w:p>
            <w:pPr>
              <w:jc w:val="center"/>
              <w:ind w:left="3442"/>
              <w:spacing w:after="0"/>
              <w:rPr>
                <w:sz w:val="20"/>
                <w:szCs w:val="20"/>
                <w:color w:val="auto"/>
              </w:rPr>
            </w:pPr>
            <w:r>
              <w:rPr>
                <w:rFonts w:ascii="Times New Roman" w:cs="Times New Roman" w:eastAsia="Times New Roman" w:hAnsi="Times New Roman"/>
                <w:sz w:val="20"/>
                <w:szCs w:val="20"/>
                <w:color w:val="auto"/>
                <w:w w:val="97"/>
              </w:rPr>
              <w:t>100.000%</w:t>
            </w:r>
          </w:p>
        </w:tc>
      </w:tr>
    </w:tbl>
    <w:p>
      <w:pPr>
        <w:spacing w:after="0" w:line="200" w:lineRule="exact"/>
        <w:rPr>
          <w:sz w:val="20"/>
          <w:szCs w:val="20"/>
          <w:color w:val="auto"/>
        </w:rPr>
      </w:pPr>
    </w:p>
    <w:p>
      <w:pPr>
        <w:spacing w:after="0" w:line="277" w:lineRule="exact"/>
        <w:rPr>
          <w:sz w:val="20"/>
          <w:szCs w:val="20"/>
          <w:color w:val="auto"/>
        </w:rPr>
      </w:pPr>
    </w:p>
    <w:p>
      <w:pPr>
        <w:ind w:firstLine="646"/>
        <w:spacing w:after="0" w:line="263" w:lineRule="auto"/>
        <w:tabs>
          <w:tab w:leader="none" w:pos="115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w:t>
      </w:r>
      <w:r>
        <w:rPr>
          <w:rFonts w:ascii="Times New Roman" w:cs="Times New Roman" w:eastAsia="Times New Roman" w:hAnsi="Times New Roman"/>
          <w:sz w:val="15"/>
          <w:szCs w:val="15"/>
          <w:i w:val="1"/>
          <w:iCs w:val="1"/>
          <w:color w:val="auto"/>
        </w:rPr>
        <w:t>ANDATORY</w:t>
      </w:r>
      <w:r>
        <w:rPr>
          <w:rFonts w:ascii="Times New Roman" w:cs="Times New Roman" w:eastAsia="Times New Roman" w:hAnsi="Times New Roman"/>
          <w:sz w:val="20"/>
          <w:szCs w:val="20"/>
          <w:i w:val="1"/>
          <w:iCs w:val="1"/>
          <w:color w:val="auto"/>
        </w:rPr>
        <w:t xml:space="preserve"> R</w:t>
      </w:r>
      <w:r>
        <w:rPr>
          <w:rFonts w:ascii="Times New Roman" w:cs="Times New Roman" w:eastAsia="Times New Roman" w:hAnsi="Times New Roman"/>
          <w:sz w:val="15"/>
          <w:szCs w:val="15"/>
          <w:i w:val="1"/>
          <w:iCs w:val="1"/>
          <w:color w:val="auto"/>
        </w:rPr>
        <w:t>EDEMPTION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Issuer is not required to make mandatory redemption or sinking fund payments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 to the Notes.</w:t>
      </w:r>
    </w:p>
    <w:p>
      <w:pPr>
        <w:spacing w:after="0" w:line="148"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w:t>
      </w:r>
      <w:r>
        <w:rPr>
          <w:rFonts w:ascii="Times New Roman" w:cs="Times New Roman" w:eastAsia="Times New Roman" w:hAnsi="Times New Roman"/>
          <w:sz w:val="15"/>
          <w:szCs w:val="15"/>
          <w:i w:val="1"/>
          <w:iCs w:val="1"/>
          <w:color w:val="auto"/>
        </w:rPr>
        <w:t>EPURCHASE AT THE</w:t>
      </w:r>
      <w:r>
        <w:rPr>
          <w:rFonts w:ascii="Times New Roman" w:cs="Times New Roman" w:eastAsia="Times New Roman" w:hAnsi="Times New Roman"/>
          <w:sz w:val="20"/>
          <w:szCs w:val="20"/>
          <w:i w:val="1"/>
          <w:iCs w:val="1"/>
          <w:color w:val="auto"/>
        </w:rPr>
        <w:t xml:space="preserve"> O</w:t>
      </w:r>
      <w:r>
        <w:rPr>
          <w:rFonts w:ascii="Times New Roman" w:cs="Times New Roman" w:eastAsia="Times New Roman" w:hAnsi="Times New Roman"/>
          <w:sz w:val="15"/>
          <w:szCs w:val="15"/>
          <w:i w:val="1"/>
          <w:iCs w:val="1"/>
          <w:color w:val="auto"/>
        </w:rPr>
        <w:t>PTION OF</w:t>
      </w:r>
      <w:r>
        <w:rPr>
          <w:rFonts w:ascii="Times New Roman" w:cs="Times New Roman" w:eastAsia="Times New Roman" w:hAnsi="Times New Roman"/>
          <w:sz w:val="20"/>
          <w:szCs w:val="20"/>
          <w:i w:val="1"/>
          <w:iCs w:val="1"/>
          <w:color w:val="auto"/>
        </w:rPr>
        <w:t xml:space="preserve"> H</w:t>
      </w:r>
      <w:r>
        <w:rPr>
          <w:rFonts w:ascii="Times New Roman" w:cs="Times New Roman" w:eastAsia="Times New Roman" w:hAnsi="Times New Roman"/>
          <w:sz w:val="15"/>
          <w:szCs w:val="15"/>
          <w:i w:val="1"/>
          <w:iCs w:val="1"/>
          <w:color w:val="auto"/>
        </w:rPr>
        <w:t>OLDER</w:t>
      </w:r>
      <w:r>
        <w:rPr>
          <w:rFonts w:ascii="Times New Roman" w:cs="Times New Roman" w:eastAsia="Times New Roman" w:hAnsi="Times New Roman"/>
          <w:sz w:val="20"/>
          <w:szCs w:val="20"/>
          <w:i w:val="1"/>
          <w:iCs w:val="1"/>
          <w:color w:val="auto"/>
        </w:rPr>
        <w:t>.</w:t>
      </w:r>
    </w:p>
    <w:p>
      <w:pPr>
        <w:spacing w:after="0" w:line="198" w:lineRule="exact"/>
        <w:rPr>
          <w:rFonts w:ascii="Times New Roman" w:cs="Times New Roman" w:eastAsia="Times New Roman" w:hAnsi="Times New Roman"/>
          <w:sz w:val="20"/>
          <w:szCs w:val="20"/>
          <w:color w:val="auto"/>
        </w:rPr>
      </w:pPr>
    </w:p>
    <w:p>
      <w:pPr>
        <w:jc w:val="both"/>
        <w:ind w:firstLine="1286"/>
        <w:spacing w:after="0" w:line="236" w:lineRule="auto"/>
        <w:tabs>
          <w:tab w:leader="none" w:pos="1796"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Change of Control Triggering Event, the Issuer will be required to make a cash tender offer (a “</w:t>
      </w:r>
      <w:r>
        <w:rPr>
          <w:rFonts w:ascii="Times New Roman" w:cs="Times New Roman" w:eastAsia="Times New Roman" w:hAnsi="Times New Roman"/>
          <w:sz w:val="20"/>
          <w:szCs w:val="20"/>
          <w:i w:val="1"/>
          <w:iCs w:val="1"/>
          <w:color w:val="auto"/>
        </w:rPr>
        <w:t>Change of Control Offer</w:t>
      </w:r>
      <w:r>
        <w:rPr>
          <w:rFonts w:ascii="Times New Roman" w:cs="Times New Roman" w:eastAsia="Times New Roman" w:hAnsi="Times New Roman"/>
          <w:sz w:val="20"/>
          <w:szCs w:val="20"/>
          <w:color w:val="auto"/>
        </w:rPr>
        <w:t xml:space="preserve">”) to each Holder to repurchase all or any part (equal to $2,000 or an integral multiple of $1,000 in excess thereof) of each Holder’s Notes at a purchase price in cash equal to 101% of the aggregate principal amount thereof </w:t>
      </w:r>
      <w:r>
        <w:rPr>
          <w:rFonts w:ascii="Times New Roman" w:cs="Times New Roman" w:eastAsia="Times New Roman" w:hAnsi="Times New Roman"/>
          <w:sz w:val="20"/>
          <w:szCs w:val="20"/>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0600"/>
          </w:cols>
          <w:pgMar w:left="960" w:top="1383" w:right="339" w:bottom="1440" w:gutter="0" w:footer="0" w:header="0"/>
        </w:sectPr>
      </w:pPr>
    </w:p>
    <w:bookmarkStart w:id="133" w:name="page134"/>
    <w:bookmarkEnd w:id="133"/>
    <w:p>
      <w:pPr>
        <w:ind w:right="140"/>
        <w:spacing w:after="0" w:line="233" w:lineRule="auto"/>
        <w:rPr>
          <w:sz w:val="20"/>
          <w:szCs w:val="20"/>
          <w:color w:val="auto"/>
        </w:rPr>
      </w:pPr>
      <w:r>
        <w:rPr>
          <w:rFonts w:ascii="Times New Roman" w:cs="Times New Roman" w:eastAsia="Times New Roman" w:hAnsi="Times New Roman"/>
          <w:sz w:val="20"/>
          <w:szCs w:val="20"/>
          <w:color w:val="auto"/>
        </w:rPr>
        <w:t>accrued and unpaid interest thereon to, but excluding, the date of purchase, subject to the rights of Holders on the relevant record date to receive interest due on the relevant Interest Payment Date (the “</w:t>
      </w:r>
      <w:r>
        <w:rPr>
          <w:rFonts w:ascii="Times New Roman" w:cs="Times New Roman" w:eastAsia="Times New Roman" w:hAnsi="Times New Roman"/>
          <w:sz w:val="20"/>
          <w:szCs w:val="20"/>
          <w:i w:val="1"/>
          <w:iCs w:val="1"/>
          <w:color w:val="auto"/>
        </w:rPr>
        <w:t>Change of Control Payment</w:t>
      </w:r>
      <w:r>
        <w:rPr>
          <w:rFonts w:ascii="Times New Roman" w:cs="Times New Roman" w:eastAsia="Times New Roman" w:hAnsi="Times New Roman"/>
          <w:sz w:val="20"/>
          <w:szCs w:val="20"/>
          <w:color w:val="auto"/>
        </w:rPr>
        <w:t>”). Within 30 days following any Change of Control Triggering Event, the Issuer will mail a notice to each Holder (with a copy to the Trustee) setting forth the procedures governing the Change of Control Offer as required by the Indenture.</w:t>
      </w:r>
    </w:p>
    <w:p>
      <w:pPr>
        <w:spacing w:after="0" w:line="173" w:lineRule="exact"/>
        <w:rPr>
          <w:sz w:val="20"/>
          <w:szCs w:val="20"/>
          <w:color w:val="auto"/>
        </w:rPr>
      </w:pPr>
    </w:p>
    <w:p>
      <w:pPr>
        <w:jc w:val="both"/>
        <w:ind w:firstLine="1286"/>
        <w:spacing w:after="0" w:line="229" w:lineRule="auto"/>
        <w:tabs>
          <w:tab w:leader="none" w:pos="178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Issuer or a Restricted Subsidiary of the Issuer consummates any Asset Sales, the Issuer may, in certain circumstances described in the Indenture, be required to make an Asset Sale Offer to all Holders of Notes and all holders of other Indebtedness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Notes containing provisions similar to those set forth in the Indenture with respect to offers to purchase with the proceeds of sales of assets to purchase,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the maximum principal amount of Notes and such other </w:t>
      </w:r>
      <w:r>
        <w:rPr>
          <w:rFonts w:ascii="Times New Roman" w:cs="Times New Roman" w:eastAsia="Times New Roman" w:hAnsi="Times New Roman"/>
          <w:sz w:val="20"/>
          <w:szCs w:val="20"/>
          <w:i w:val="1"/>
          <w:iCs w:val="1"/>
          <w:color w:val="auto"/>
        </w:rPr>
        <w:t xml:space="preserve">pari passu </w:t>
      </w:r>
      <w:r>
        <w:rPr>
          <w:rFonts w:ascii="Times New Roman" w:cs="Times New Roman" w:eastAsia="Times New Roman" w:hAnsi="Times New Roman"/>
          <w:sz w:val="20"/>
          <w:szCs w:val="20"/>
          <w:color w:val="auto"/>
        </w:rPr>
        <w:t>Indebtedness that may be purchased, prepaid or redeemed out of the Excess Proceeds, as defined in the Indenture. Holders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Definitive Notes that are the subject of an offer to purchase will receive an Asset Sale Offer from the Issuer prior to any related purchase date and may elect to have such Notes purchased by completing the form entitled “Option of Holder to Elect Purchase” attached to the Notes.</w:t>
      </w:r>
    </w:p>
    <w:p>
      <w:pPr>
        <w:spacing w:after="0" w:line="174" w:lineRule="exact"/>
        <w:rPr>
          <w:rFonts w:ascii="Times New Roman" w:cs="Times New Roman" w:eastAsia="Times New Roman" w:hAnsi="Times New Roman"/>
          <w:sz w:val="20"/>
          <w:szCs w:val="20"/>
          <w:color w:val="auto"/>
        </w:rPr>
      </w:pPr>
    </w:p>
    <w:p>
      <w:pPr>
        <w:jc w:val="both"/>
        <w:ind w:firstLine="646"/>
        <w:spacing w:after="0" w:line="230" w:lineRule="auto"/>
        <w:tabs>
          <w:tab w:leader="none" w:pos="1116" w:val="left"/>
        </w:tabs>
        <w:numPr>
          <w:ilvl w:val="0"/>
          <w:numId w:val="16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N</w:t>
      </w:r>
      <w:r>
        <w:rPr>
          <w:rFonts w:ascii="Times New Roman" w:cs="Times New Roman" w:eastAsia="Times New Roman" w:hAnsi="Times New Roman"/>
          <w:sz w:val="15"/>
          <w:szCs w:val="15"/>
          <w:i w:val="1"/>
          <w:iCs w:val="1"/>
          <w:color w:val="auto"/>
        </w:rPr>
        <w:t>OTICE OF</w:t>
      </w:r>
      <w:r>
        <w:rPr>
          <w:rFonts w:ascii="Times New Roman" w:cs="Times New Roman" w:eastAsia="Times New Roman" w:hAnsi="Times New Roman"/>
          <w:sz w:val="20"/>
          <w:szCs w:val="20"/>
          <w:i w:val="1"/>
          <w:iCs w:val="1"/>
          <w:color w:val="auto"/>
        </w:rPr>
        <w:t xml:space="preserve"> R</w:t>
      </w:r>
      <w:r>
        <w:rPr>
          <w:rFonts w:ascii="Times New Roman" w:cs="Times New Roman" w:eastAsia="Times New Roman" w:hAnsi="Times New Roman"/>
          <w:sz w:val="15"/>
          <w:szCs w:val="15"/>
          <w:i w:val="1"/>
          <w:iCs w:val="1"/>
          <w:color w:val="auto"/>
        </w:rPr>
        <w:t>EDEMPTION</w:t>
      </w:r>
      <w:r>
        <w:rPr>
          <w:rFonts w:ascii="Times New Roman" w:cs="Times New Roman" w:eastAsia="Times New Roman" w:hAnsi="Times New Roman"/>
          <w:sz w:val="20"/>
          <w:szCs w:val="20"/>
          <w:color w:val="auto"/>
        </w:rPr>
        <w:t>. At least 10 days but not more than 60 days before a redemption date, the Issuer will send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cause to be sent, by first class mail (or sent electronically if DTC is the recipient), a notice of redemption to each Holder whose Notes are to be redeemed at its registered address, except that redemption notices may be given more than 60 days prior to a redemption date if the notice is issued in connection with a defeasance of the Notes or a satisfaction and discharge of the Indenture pursuant to Article 8 or 11 thereof. Notes and portions of Notes selected will be in minimum amounts of $2,000 or integral multiples of $1,000 in excess thereof. Notice of redemption may be subject to satisfaction or waiver of conditions precedent, as more fully described in the Indenture.</w:t>
      </w:r>
    </w:p>
    <w:p>
      <w:pPr>
        <w:spacing w:after="0" w:line="176" w:lineRule="exact"/>
        <w:rPr>
          <w:rFonts w:ascii="Times New Roman" w:cs="Times New Roman" w:eastAsia="Times New Roman" w:hAnsi="Times New Roman"/>
          <w:sz w:val="20"/>
          <w:szCs w:val="20"/>
          <w:i w:val="1"/>
          <w:iCs w:val="1"/>
          <w:color w:val="auto"/>
        </w:rPr>
      </w:pPr>
    </w:p>
    <w:p>
      <w:pPr>
        <w:jc w:val="both"/>
        <w:ind w:firstLine="646"/>
        <w:spacing w:after="0" w:line="229" w:lineRule="auto"/>
        <w:tabs>
          <w:tab w:leader="none" w:pos="115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15"/>
          <w:szCs w:val="15"/>
          <w:i w:val="1"/>
          <w:iCs w:val="1"/>
          <w:color w:val="auto"/>
        </w:rPr>
        <w:t>ENOMINATIONS</w:t>
      </w:r>
      <w:r>
        <w:rPr>
          <w:rFonts w:ascii="Times New Roman" w:cs="Times New Roman" w:eastAsia="Times New Roman" w:hAnsi="Times New Roman"/>
          <w:sz w:val="20"/>
          <w:szCs w:val="20"/>
          <w:i w:val="1"/>
          <w:iCs w:val="1"/>
          <w:color w:val="auto"/>
        </w:rPr>
        <w:t>, T</w:t>
      </w:r>
      <w:r>
        <w:rPr>
          <w:rFonts w:ascii="Times New Roman" w:cs="Times New Roman" w:eastAsia="Times New Roman" w:hAnsi="Times New Roman"/>
          <w:sz w:val="15"/>
          <w:szCs w:val="15"/>
          <w:i w:val="1"/>
          <w:iCs w:val="1"/>
          <w:color w:val="auto"/>
        </w:rPr>
        <w:t>RANSFER</w:t>
      </w:r>
      <w:r>
        <w:rPr>
          <w:rFonts w:ascii="Times New Roman" w:cs="Times New Roman" w:eastAsia="Times New Roman" w:hAnsi="Times New Roman"/>
          <w:sz w:val="20"/>
          <w:szCs w:val="20"/>
          <w:i w:val="1"/>
          <w:iCs w:val="1"/>
          <w:color w:val="auto"/>
        </w:rPr>
        <w:t>, E</w:t>
      </w:r>
      <w:r>
        <w:rPr>
          <w:rFonts w:ascii="Times New Roman" w:cs="Times New Roman" w:eastAsia="Times New Roman" w:hAnsi="Times New Roman"/>
          <w:sz w:val="15"/>
          <w:szCs w:val="15"/>
          <w:i w:val="1"/>
          <w:iCs w:val="1"/>
          <w:color w:val="auto"/>
        </w:rPr>
        <w:t>XCHANGE</w:t>
      </w:r>
      <w:r>
        <w:rPr>
          <w:rFonts w:ascii="Times New Roman" w:cs="Times New Roman" w:eastAsia="Times New Roman" w:hAnsi="Times New Roman"/>
          <w:sz w:val="20"/>
          <w:szCs w:val="20"/>
          <w:color w:val="auto"/>
        </w:rPr>
        <w:t>. The Notes are in registered form in minimum denominations of $2,000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similar governmental charges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next succeeding Interest Payment Date.</w:t>
      </w:r>
    </w:p>
    <w:p>
      <w:pPr>
        <w:spacing w:after="0" w:line="176" w:lineRule="exact"/>
        <w:rPr>
          <w:rFonts w:ascii="Times New Roman" w:cs="Times New Roman" w:eastAsia="Times New Roman" w:hAnsi="Times New Roman"/>
          <w:sz w:val="20"/>
          <w:szCs w:val="20"/>
          <w:color w:val="auto"/>
        </w:rPr>
      </w:pPr>
    </w:p>
    <w:p>
      <w:pPr>
        <w:ind w:firstLine="646"/>
        <w:spacing w:after="0" w:line="249" w:lineRule="auto"/>
        <w:tabs>
          <w:tab w:leader="none" w:pos="121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w:t>
      </w:r>
      <w:r>
        <w:rPr>
          <w:rFonts w:ascii="Times New Roman" w:cs="Times New Roman" w:eastAsia="Times New Roman" w:hAnsi="Times New Roman"/>
          <w:sz w:val="15"/>
          <w:szCs w:val="15"/>
          <w:i w:val="1"/>
          <w:iCs w:val="1"/>
          <w:color w:val="auto"/>
        </w:rPr>
        <w:t>ERSONS</w:t>
      </w:r>
      <w:r>
        <w:rPr>
          <w:rFonts w:ascii="Times New Roman" w:cs="Times New Roman" w:eastAsia="Times New Roman" w:hAnsi="Times New Roman"/>
          <w:sz w:val="20"/>
          <w:szCs w:val="20"/>
          <w:i w:val="1"/>
          <w:iCs w:val="1"/>
          <w:color w:val="auto"/>
        </w:rPr>
        <w:t xml:space="preserve"> D</w:t>
      </w:r>
      <w:r>
        <w:rPr>
          <w:rFonts w:ascii="Times New Roman" w:cs="Times New Roman" w:eastAsia="Times New Roman" w:hAnsi="Times New Roman"/>
          <w:sz w:val="15"/>
          <w:szCs w:val="15"/>
          <w:i w:val="1"/>
          <w:iCs w:val="1"/>
          <w:color w:val="auto"/>
        </w:rPr>
        <w:t>EEMED</w:t>
      </w:r>
      <w:r>
        <w:rPr>
          <w:rFonts w:ascii="Times New Roman" w:cs="Times New Roman" w:eastAsia="Times New Roman" w:hAnsi="Times New Roman"/>
          <w:sz w:val="20"/>
          <w:szCs w:val="20"/>
          <w:i w:val="1"/>
          <w:iCs w:val="1"/>
          <w:color w:val="auto"/>
        </w:rPr>
        <w:t xml:space="preserve"> O</w:t>
      </w:r>
      <w:r>
        <w:rPr>
          <w:rFonts w:ascii="Times New Roman" w:cs="Times New Roman" w:eastAsia="Times New Roman" w:hAnsi="Times New Roman"/>
          <w:sz w:val="15"/>
          <w:szCs w:val="15"/>
          <w:i w:val="1"/>
          <w:iCs w:val="1"/>
          <w:color w:val="auto"/>
        </w:rPr>
        <w:t>WNERS</w:t>
      </w:r>
      <w:r>
        <w:rPr>
          <w:rFonts w:ascii="Times New Roman" w:cs="Times New Roman" w:eastAsia="Times New Roman" w:hAnsi="Times New Roman"/>
          <w:sz w:val="20"/>
          <w:szCs w:val="20"/>
          <w:color w:val="auto"/>
        </w:rPr>
        <w:t>. The registered Holder of a Note may be treated as the owner of it for all purposes. Only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Holders have rights under the Indenture.</w:t>
      </w:r>
    </w:p>
    <w:p>
      <w:pPr>
        <w:spacing w:after="0" w:line="175" w:lineRule="exact"/>
        <w:rPr>
          <w:rFonts w:ascii="Times New Roman" w:cs="Times New Roman" w:eastAsia="Times New Roman" w:hAnsi="Times New Roman"/>
          <w:sz w:val="20"/>
          <w:szCs w:val="20"/>
          <w:color w:val="auto"/>
        </w:rPr>
      </w:pPr>
    </w:p>
    <w:p>
      <w:pPr>
        <w:jc w:val="both"/>
        <w:ind w:firstLine="646"/>
        <w:spacing w:after="0" w:line="229" w:lineRule="auto"/>
        <w:tabs>
          <w:tab w:leader="none" w:pos="11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15"/>
          <w:szCs w:val="15"/>
          <w:i w:val="1"/>
          <w:iCs w:val="1"/>
          <w:color w:val="auto"/>
        </w:rPr>
        <w:t>MENDMENT</w:t>
      </w:r>
      <w:r>
        <w:rPr>
          <w:rFonts w:ascii="Times New Roman" w:cs="Times New Roman" w:eastAsia="Times New Roman" w:hAnsi="Times New Roman"/>
          <w:sz w:val="20"/>
          <w:szCs w:val="20"/>
          <w:i w:val="1"/>
          <w:iCs w:val="1"/>
          <w:color w:val="auto"/>
        </w:rPr>
        <w:t>, S</w:t>
      </w:r>
      <w:r>
        <w:rPr>
          <w:rFonts w:ascii="Times New Roman" w:cs="Times New Roman" w:eastAsia="Times New Roman" w:hAnsi="Times New Roman"/>
          <w:sz w:val="15"/>
          <w:szCs w:val="15"/>
          <w:i w:val="1"/>
          <w:iCs w:val="1"/>
          <w:color w:val="auto"/>
        </w:rPr>
        <w:t>UPPLEMENT AND</w:t>
      </w:r>
      <w:r>
        <w:rPr>
          <w:rFonts w:ascii="Times New Roman" w:cs="Times New Roman" w:eastAsia="Times New Roman" w:hAnsi="Times New Roman"/>
          <w:sz w:val="20"/>
          <w:szCs w:val="20"/>
          <w:i w:val="1"/>
          <w:iCs w:val="1"/>
          <w:color w:val="auto"/>
        </w:rPr>
        <w:t xml:space="preserve"> W</w:t>
      </w:r>
      <w:r>
        <w:rPr>
          <w:rFonts w:ascii="Times New Roman" w:cs="Times New Roman" w:eastAsia="Times New Roman" w:hAnsi="Times New Roman"/>
          <w:sz w:val="15"/>
          <w:szCs w:val="15"/>
          <w:i w:val="1"/>
          <w:iCs w:val="1"/>
          <w:color w:val="auto"/>
        </w:rPr>
        <w:t>AIVER</w:t>
      </w:r>
      <w:r>
        <w:rPr>
          <w:rFonts w:ascii="Times New Roman" w:cs="Times New Roman" w:eastAsia="Times New Roman" w:hAnsi="Times New Roman"/>
          <w:sz w:val="20"/>
          <w:szCs w:val="20"/>
          <w:color w:val="auto"/>
        </w:rPr>
        <w:t>. Subject to certain exceptions, the Indenture, the Notes or the Guarantees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amended or supplemented with the consent of the Holders of a majority in aggregate principal amount of the then outstanding Notes including Additional Notes, if any, voting as a single class, and any existing Default or Event of Default or compliance with any provision of the Indenture or the Notes or the Guarantees may be waived with the consent of the Holders of a majority in aggregate principal amount of the then outstanding Notes voting as a single class. Without the consent of any Holder of Notes, the Indenture, the Notes or the Guarantees may be amended or supplemented as provided in the Indenture.</w:t>
      </w:r>
    </w:p>
    <w:p>
      <w:pPr>
        <w:spacing w:after="0" w:line="176" w:lineRule="exact"/>
        <w:rPr>
          <w:rFonts w:ascii="Times New Roman" w:cs="Times New Roman" w:eastAsia="Times New Roman" w:hAnsi="Times New Roman"/>
          <w:sz w:val="20"/>
          <w:szCs w:val="20"/>
          <w:color w:val="auto"/>
        </w:rPr>
      </w:pPr>
    </w:p>
    <w:p>
      <w:pPr>
        <w:ind w:left="1160" w:hanging="514"/>
        <w:spacing w:after="0"/>
        <w:tabs>
          <w:tab w:leader="none" w:pos="1160" w:val="left"/>
        </w:tabs>
        <w:numPr>
          <w:ilvl w:val="0"/>
          <w:numId w:val="16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15"/>
          <w:szCs w:val="15"/>
          <w:i w:val="1"/>
          <w:iCs w:val="1"/>
          <w:color w:val="auto"/>
        </w:rPr>
        <w:t>EFAULTS AND</w:t>
      </w:r>
      <w:r>
        <w:rPr>
          <w:rFonts w:ascii="Times New Roman" w:cs="Times New Roman" w:eastAsia="Times New Roman" w:hAnsi="Times New Roman"/>
          <w:sz w:val="20"/>
          <w:szCs w:val="20"/>
          <w:i w:val="1"/>
          <w:iCs w:val="1"/>
          <w:color w:val="auto"/>
        </w:rPr>
        <w:t xml:space="preserve"> R</w:t>
      </w:r>
      <w:r>
        <w:rPr>
          <w:rFonts w:ascii="Times New Roman" w:cs="Times New Roman" w:eastAsia="Times New Roman" w:hAnsi="Times New Roman"/>
          <w:sz w:val="15"/>
          <w:szCs w:val="15"/>
          <w:i w:val="1"/>
          <w:iCs w:val="1"/>
          <w:color w:val="auto"/>
        </w:rPr>
        <w:t>EMEDIES</w:t>
      </w:r>
      <w:r>
        <w:rPr>
          <w:rFonts w:ascii="Times New Roman" w:cs="Times New Roman" w:eastAsia="Times New Roman" w:hAnsi="Times New Roman"/>
          <w:sz w:val="20"/>
          <w:szCs w:val="20"/>
          <w:color w:val="auto"/>
        </w:rPr>
        <w:t>. In the case of an Event of Default arising from certain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0600"/>
          </w:cols>
          <w:pgMar w:left="960" w:top="1383" w:right="339" w:bottom="1440" w:gutter="0" w:footer="0" w:header="0"/>
        </w:sectPr>
      </w:pPr>
    </w:p>
    <w:bookmarkStart w:id="134" w:name="page135"/>
    <w:bookmarkEnd w:id="134"/>
    <w:p>
      <w:pPr>
        <w:ind w:right="40"/>
        <w:spacing w:after="0" w:line="226" w:lineRule="auto"/>
        <w:rPr>
          <w:sz w:val="20"/>
          <w:szCs w:val="20"/>
          <w:color w:val="auto"/>
        </w:rPr>
      </w:pPr>
      <w:r>
        <w:rPr>
          <w:rFonts w:ascii="Times New Roman" w:cs="Times New Roman" w:eastAsia="Times New Roman" w:hAnsi="Times New Roman"/>
          <w:sz w:val="20"/>
          <w:szCs w:val="20"/>
          <w:color w:val="auto"/>
        </w:rPr>
        <w:t>events of bankruptcy or insolvency with respect to the Issuer as specified in the Indenture,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Holders of a majority in aggregate principal amount of the then outstanding Notes by notice to the Trustee may, on behalf of all the Holders, rescind an acceleration or waive an existing Default or Event of Default and its consequences under the Indenture, if the rescission would not conflict with a judgment or decree, except a continuing Default or Event of Default in the payment of principal of, premium on, if any, or interest on, the Notes or as otherwise specified in the Indenture.</w:t>
      </w:r>
    </w:p>
    <w:p>
      <w:pPr>
        <w:spacing w:after="0" w:line="181" w:lineRule="exact"/>
        <w:rPr>
          <w:sz w:val="20"/>
          <w:szCs w:val="20"/>
          <w:color w:val="auto"/>
        </w:rPr>
      </w:pPr>
    </w:p>
    <w:p>
      <w:pPr>
        <w:jc w:val="both"/>
        <w:ind w:firstLine="646"/>
        <w:spacing w:after="0" w:line="243" w:lineRule="auto"/>
        <w:tabs>
          <w:tab w:leader="none" w:pos="11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w:t>
      </w:r>
      <w:r>
        <w:rPr>
          <w:rFonts w:ascii="Times New Roman" w:cs="Times New Roman" w:eastAsia="Times New Roman" w:hAnsi="Times New Roman"/>
          <w:sz w:val="15"/>
          <w:szCs w:val="15"/>
          <w:i w:val="1"/>
          <w:iCs w:val="1"/>
          <w:color w:val="auto"/>
        </w:rPr>
        <w:t>RUSTEE</w:t>
      </w:r>
      <w:r>
        <w:rPr>
          <w:rFonts w:ascii="Times New Roman" w:cs="Times New Roman" w:eastAsia="Times New Roman" w:hAnsi="Times New Roman"/>
          <w:sz w:val="20"/>
          <w:szCs w:val="20"/>
          <w:i w:val="1"/>
          <w:iCs w:val="1"/>
          <w:color w:val="auto"/>
        </w:rPr>
        <w:t xml:space="preserve"> D</w:t>
      </w:r>
      <w:r>
        <w:rPr>
          <w:rFonts w:ascii="Times New Roman" w:cs="Times New Roman" w:eastAsia="Times New Roman" w:hAnsi="Times New Roman"/>
          <w:sz w:val="15"/>
          <w:szCs w:val="15"/>
          <w:i w:val="1"/>
          <w:iCs w:val="1"/>
          <w:color w:val="auto"/>
        </w:rPr>
        <w:t>EALINGS WITH</w:t>
      </w:r>
      <w:r>
        <w:rPr>
          <w:rFonts w:ascii="Times New Roman" w:cs="Times New Roman" w:eastAsia="Times New Roman" w:hAnsi="Times New Roman"/>
          <w:sz w:val="20"/>
          <w:szCs w:val="20"/>
          <w:i w:val="1"/>
          <w:iCs w:val="1"/>
          <w:color w:val="auto"/>
        </w:rPr>
        <w:t xml:space="preserve"> I</w:t>
      </w:r>
      <w:r>
        <w:rPr>
          <w:rFonts w:ascii="Times New Roman" w:cs="Times New Roman" w:eastAsia="Times New Roman" w:hAnsi="Times New Roman"/>
          <w:sz w:val="15"/>
          <w:szCs w:val="15"/>
          <w:i w:val="1"/>
          <w:iCs w:val="1"/>
          <w:color w:val="auto"/>
        </w:rPr>
        <w:t>SSUER</w:t>
      </w:r>
      <w:r>
        <w:rPr>
          <w:rFonts w:ascii="Times New Roman" w:cs="Times New Roman" w:eastAsia="Times New Roman" w:hAnsi="Times New Roman"/>
          <w:sz w:val="20"/>
          <w:szCs w:val="20"/>
          <w:color w:val="auto"/>
        </w:rPr>
        <w:t>. The Trustee, in its individual or any other capacity, may make loans to, accept deposits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and perform services for the Issuer or its Affiliates, and may otherwise deal with the Issuer or its Affiliates, as if it were not the Trustee.</w:t>
      </w:r>
    </w:p>
    <w:p>
      <w:pPr>
        <w:spacing w:after="0" w:line="167" w:lineRule="exact"/>
        <w:rPr>
          <w:rFonts w:ascii="Times New Roman" w:cs="Times New Roman" w:eastAsia="Times New Roman" w:hAnsi="Times New Roman"/>
          <w:sz w:val="20"/>
          <w:szCs w:val="20"/>
          <w:color w:val="auto"/>
        </w:rPr>
      </w:pPr>
    </w:p>
    <w:p>
      <w:pPr>
        <w:jc w:val="both"/>
        <w:ind w:firstLine="646"/>
        <w:spacing w:after="0" w:line="231" w:lineRule="auto"/>
        <w:tabs>
          <w:tab w:leader="none" w:pos="121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w:t>
      </w:r>
      <w:r>
        <w:rPr>
          <w:rFonts w:ascii="Times New Roman" w:cs="Times New Roman" w:eastAsia="Times New Roman" w:hAnsi="Times New Roman"/>
          <w:sz w:val="15"/>
          <w:szCs w:val="15"/>
          <w:i w:val="1"/>
          <w:iCs w:val="1"/>
          <w:color w:val="auto"/>
        </w:rPr>
        <w:t>O</w:t>
      </w:r>
      <w:r>
        <w:rPr>
          <w:rFonts w:ascii="Times New Roman" w:cs="Times New Roman" w:eastAsia="Times New Roman" w:hAnsi="Times New Roman"/>
          <w:sz w:val="20"/>
          <w:szCs w:val="20"/>
          <w:i w:val="1"/>
          <w:iCs w:val="1"/>
          <w:color w:val="auto"/>
        </w:rPr>
        <w:t xml:space="preserve"> R</w:t>
      </w:r>
      <w:r>
        <w:rPr>
          <w:rFonts w:ascii="Times New Roman" w:cs="Times New Roman" w:eastAsia="Times New Roman" w:hAnsi="Times New Roman"/>
          <w:sz w:val="15"/>
          <w:szCs w:val="15"/>
          <w:i w:val="1"/>
          <w:iCs w:val="1"/>
          <w:color w:val="auto"/>
        </w:rPr>
        <w:t>ECOURSE</w:t>
      </w:r>
      <w:r>
        <w:rPr>
          <w:rFonts w:ascii="Times New Roman" w:cs="Times New Roman" w:eastAsia="Times New Roman" w:hAnsi="Times New Roman"/>
          <w:sz w:val="20"/>
          <w:szCs w:val="20"/>
          <w:i w:val="1"/>
          <w:iCs w:val="1"/>
          <w:color w:val="auto"/>
        </w:rPr>
        <w:t xml:space="preserve"> A</w:t>
      </w:r>
      <w:r>
        <w:rPr>
          <w:rFonts w:ascii="Times New Roman" w:cs="Times New Roman" w:eastAsia="Times New Roman" w:hAnsi="Times New Roman"/>
          <w:sz w:val="15"/>
          <w:szCs w:val="15"/>
          <w:i w:val="1"/>
          <w:iCs w:val="1"/>
          <w:color w:val="auto"/>
        </w:rPr>
        <w:t>GAINST</w:t>
      </w:r>
      <w:r>
        <w:rPr>
          <w:rFonts w:ascii="Times New Roman" w:cs="Times New Roman" w:eastAsia="Times New Roman" w:hAnsi="Times New Roman"/>
          <w:sz w:val="20"/>
          <w:szCs w:val="20"/>
          <w:i w:val="1"/>
          <w:iCs w:val="1"/>
          <w:color w:val="auto"/>
        </w:rPr>
        <w:t xml:space="preserve"> O</w:t>
      </w:r>
      <w:r>
        <w:rPr>
          <w:rFonts w:ascii="Times New Roman" w:cs="Times New Roman" w:eastAsia="Times New Roman" w:hAnsi="Times New Roman"/>
          <w:sz w:val="15"/>
          <w:szCs w:val="15"/>
          <w:i w:val="1"/>
          <w:iCs w:val="1"/>
          <w:color w:val="auto"/>
        </w:rPr>
        <w:t>THERS</w:t>
      </w:r>
      <w:r>
        <w:rPr>
          <w:rFonts w:ascii="Times New Roman" w:cs="Times New Roman" w:eastAsia="Times New Roman" w:hAnsi="Times New Roman"/>
          <w:sz w:val="20"/>
          <w:szCs w:val="20"/>
          <w:color w:val="auto"/>
        </w:rPr>
        <w:t>. No past, present or future director, officer, partner, employee, incorporator, manager,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 or unitholder or other owner of Capital Stock of the Issuer or any Guarantor, as such, will have any liability for any obligations of the Issuer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85" w:lineRule="exact"/>
        <w:rPr>
          <w:rFonts w:ascii="Times New Roman" w:cs="Times New Roman" w:eastAsia="Times New Roman" w:hAnsi="Times New Roman"/>
          <w:sz w:val="20"/>
          <w:szCs w:val="20"/>
          <w:color w:val="auto"/>
        </w:rPr>
      </w:pPr>
    </w:p>
    <w:p>
      <w:pPr>
        <w:ind w:firstLine="646"/>
        <w:spacing w:after="0" w:line="249" w:lineRule="auto"/>
        <w:tabs>
          <w:tab w:leader="none" w:pos="132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15"/>
          <w:szCs w:val="15"/>
          <w:i w:val="1"/>
          <w:iCs w:val="1"/>
          <w:color w:val="auto"/>
        </w:rPr>
        <w:t>UTHENTICATION</w:t>
      </w:r>
      <w:r>
        <w:rPr>
          <w:rFonts w:ascii="Times New Roman" w:cs="Times New Roman" w:eastAsia="Times New Roman" w:hAnsi="Times New Roman"/>
          <w:sz w:val="20"/>
          <w:szCs w:val="20"/>
          <w:color w:val="auto"/>
        </w:rPr>
        <w:t>. This Note will not be valid until authenticated by the manual signature of the Trustee 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authenticating agent.</w:t>
      </w:r>
    </w:p>
    <w:p>
      <w:pPr>
        <w:spacing w:after="0" w:line="162" w:lineRule="exact"/>
        <w:rPr>
          <w:rFonts w:ascii="Times New Roman" w:cs="Times New Roman" w:eastAsia="Times New Roman" w:hAnsi="Times New Roman"/>
          <w:sz w:val="20"/>
          <w:szCs w:val="20"/>
          <w:color w:val="auto"/>
        </w:rPr>
      </w:pPr>
    </w:p>
    <w:p>
      <w:pPr>
        <w:jc w:val="both"/>
        <w:ind w:firstLine="646"/>
        <w:spacing w:after="0" w:line="237" w:lineRule="auto"/>
        <w:tabs>
          <w:tab w:leader="none" w:pos="12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15"/>
          <w:szCs w:val="15"/>
          <w:i w:val="1"/>
          <w:iCs w:val="1"/>
          <w:color w:val="auto"/>
        </w:rPr>
        <w:t>BBREVIATIONS</w:t>
      </w:r>
      <w:r>
        <w:rPr>
          <w:rFonts w:ascii="Times New Roman" w:cs="Times New Roman" w:eastAsia="Times New Roman" w:hAnsi="Times New Roman"/>
          <w:sz w:val="20"/>
          <w:szCs w:val="20"/>
          <w:color w:val="auto"/>
        </w:rPr>
        <w:t>. Customary abbreviations may be used in the name of a Holder or an assignee, such as: TEN COM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tenants in common), TEN ENT (= tenants by the entireties), JT TEN (= joint tenants with right of survivorship and not as tenants in common), CUST (= Custodian), and U/G/M/A (= Uniform Gifts to Minors Act).</w:t>
      </w:r>
    </w:p>
    <w:p>
      <w:pPr>
        <w:spacing w:after="0" w:line="171" w:lineRule="exact"/>
        <w:rPr>
          <w:rFonts w:ascii="Times New Roman" w:cs="Times New Roman" w:eastAsia="Times New Roman" w:hAnsi="Times New Roman"/>
          <w:sz w:val="20"/>
          <w:szCs w:val="20"/>
          <w:color w:val="auto"/>
        </w:rPr>
      </w:pPr>
    </w:p>
    <w:p>
      <w:pPr>
        <w:jc w:val="both"/>
        <w:ind w:firstLine="646"/>
        <w:spacing w:after="0" w:line="271" w:lineRule="auto"/>
        <w:tabs>
          <w:tab w:leader="none" w:pos="12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4"/>
          <w:szCs w:val="14"/>
          <w:i w:val="1"/>
          <w:iCs w:val="1"/>
          <w:color w:val="auto"/>
        </w:rPr>
        <w:t>UMBERS</w:t>
      </w:r>
      <w:r>
        <w:rPr>
          <w:rFonts w:ascii="Times New Roman" w:cs="Times New Roman" w:eastAsia="Times New Roman" w:hAnsi="Times New Roman"/>
          <w:sz w:val="18"/>
          <w:szCs w:val="18"/>
          <w:color w:val="auto"/>
        </w:rPr>
        <w:t>. Pursuant to a recommendation promulgated by the Committee on Uniform Security Identification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44" w:lineRule="exact"/>
        <w:rPr>
          <w:rFonts w:ascii="Times New Roman" w:cs="Times New Roman" w:eastAsia="Times New Roman" w:hAnsi="Times New Roman"/>
          <w:sz w:val="18"/>
          <w:szCs w:val="18"/>
          <w:color w:val="auto"/>
        </w:rPr>
      </w:pPr>
    </w:p>
    <w:p>
      <w:pPr>
        <w:jc w:val="both"/>
        <w:ind w:firstLine="646"/>
        <w:spacing w:after="0" w:line="233" w:lineRule="auto"/>
        <w:tabs>
          <w:tab w:leader="none" w:pos="145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GOVERNING LAW. </w:t>
      </w:r>
      <w:r>
        <w:rPr>
          <w:rFonts w:ascii="Times New Roman" w:cs="Times New Roman" w:eastAsia="Times New Roman" w:hAnsi="Times New Roman"/>
          <w:sz w:val="20"/>
          <w:szCs w:val="20"/>
          <w:color w:val="auto"/>
        </w:rPr>
        <w:t>THE INDENTURE, THE NOTES AND THE GUARANTEES, AND ANY CLAIM,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CONTROVERSY OR DISPUTE ARISING UNDER OR RELATED TO THE INDENTURE, THE NOTES AND THE GUARANTEES,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0600"/>
          </w:cols>
          <w:pgMar w:left="960" w:top="138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World Trade Center, Suite 1500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 Beach, California 90831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Facsimile No.: (818) 661-3750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A-9</w:t>
      </w:r>
    </w:p>
    <w:p>
      <w:pPr>
        <w:sectPr>
          <w:pgSz w:w="11900" w:h="16838" w:orient="portrait"/>
          <w:cols w:equalWidth="0" w:num="1">
            <w:col w:w="10100"/>
          </w:cols>
          <w:pgMar w:left="960" w:top="1383" w:right="8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5"/>
          <w:szCs w:val="15"/>
          <w:color w:val="auto"/>
        </w:rPr>
        <w:t>SSIGNMENT</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5"/>
          <w:szCs w:val="15"/>
          <w:color w:val="auto"/>
        </w:rPr>
        <w:t>ORM</w:t>
      </w: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To assign this Note, fill in the form below:</w:t>
      </w:r>
    </w:p>
    <w:p>
      <w:pPr>
        <w:spacing w:after="0" w:line="223" w:lineRule="exact"/>
        <w:rPr>
          <w:sz w:val="20"/>
          <w:szCs w:val="20"/>
          <w:color w:val="auto"/>
        </w:rPr>
      </w:pPr>
    </w:p>
    <w:p>
      <w:pPr>
        <w:ind w:left="200" w:right="7900" w:hanging="193"/>
        <w:spacing w:after="0" w:line="275" w:lineRule="auto"/>
        <w:tabs>
          <w:tab w:leader="none" w:pos="24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(we) assign and transfer this Note to: (Insert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-201295</wp:posOffset>
            </wp:positionV>
            <wp:extent cx="1238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229870</wp:posOffset>
            </wp:positionV>
            <wp:extent cx="1238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123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486410</wp:posOffset>
            </wp:positionV>
            <wp:extent cx="123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706120</wp:posOffset>
            </wp:positionV>
            <wp:extent cx="1238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917575</wp:posOffset>
            </wp:positionV>
            <wp:extent cx="1238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(Print or type assignee’s name, address and zip code)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-12700</wp:posOffset>
            </wp:positionV>
            <wp:extent cx="1238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transfer this Note on the books of the Issuer. The agent may substitute another to act for him.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w:t>
      </w:r>
    </w:p>
    <w:p>
      <w:pPr>
        <w:spacing w:after="0" w:line="21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-12700</wp:posOffset>
            </wp:positionV>
            <wp:extent cx="123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_________________________</w:t>
      </w:r>
    </w:p>
    <w:p>
      <w:pPr>
        <w:spacing w:after="0" w:line="223" w:lineRule="exact"/>
        <w:rPr>
          <w:sz w:val="20"/>
          <w:szCs w:val="20"/>
          <w:color w:val="auto"/>
        </w:rPr>
      </w:pPr>
    </w:p>
    <w:p>
      <w:pPr>
        <w:ind w:left="300" w:hanging="293"/>
        <w:spacing w:after="0"/>
        <w:tabs>
          <w:tab w:leader="none" w:pos="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82" w:lineRule="exact"/>
        <w:rPr>
          <w:rFonts w:ascii="Times New Roman" w:cs="Times New Roman" w:eastAsia="Times New Roman" w:hAnsi="Times New Roman"/>
          <w:sz w:val="20"/>
          <w:szCs w:val="20"/>
          <w:color w:val="auto"/>
        </w:rPr>
      </w:pPr>
    </w:p>
    <w:p>
      <w:pPr>
        <w:ind w:left="5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A-10</w:t>
      </w:r>
    </w:p>
    <w:p>
      <w:pPr>
        <w:sectPr>
          <w:pgSz w:w="11900" w:h="16838" w:orient="portrait"/>
          <w:cols w:equalWidth="0" w:num="1">
            <w:col w:w="11240"/>
          </w:cols>
          <w:pgMar w:left="320" w:top="138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5"/>
          <w:szCs w:val="15"/>
          <w:color w:val="auto"/>
        </w:rPr>
        <w:t>PTION OF</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5"/>
          <w:szCs w:val="15"/>
          <w:color w:val="auto"/>
        </w:rPr>
        <w:t>OLDER TO</w:t>
      </w:r>
      <w:r>
        <w:rPr>
          <w:rFonts w:ascii="Times New Roman" w:cs="Times New Roman" w:eastAsia="Times New Roman" w:hAnsi="Times New Roman"/>
          <w:sz w:val="20"/>
          <w:szCs w:val="20"/>
          <w:color w:val="auto"/>
        </w:rPr>
        <w:t xml:space="preserve"> E</w:t>
      </w:r>
      <w:r>
        <w:rPr>
          <w:rFonts w:ascii="Times New Roman" w:cs="Times New Roman" w:eastAsia="Times New Roman" w:hAnsi="Times New Roman"/>
          <w:sz w:val="15"/>
          <w:szCs w:val="15"/>
          <w:color w:val="auto"/>
        </w:rPr>
        <w:t>LECT</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5"/>
          <w:szCs w:val="15"/>
          <w:color w:val="auto"/>
        </w:rPr>
        <w:t>URCHASE</w:t>
      </w:r>
    </w:p>
    <w:p>
      <w:pPr>
        <w:spacing w:after="0" w:line="210" w:lineRule="exact"/>
        <w:rPr>
          <w:sz w:val="20"/>
          <w:szCs w:val="20"/>
          <w:color w:val="auto"/>
        </w:rPr>
      </w:pPr>
    </w:p>
    <w:p>
      <w:pPr>
        <w:ind w:right="20" w:firstLine="640"/>
        <w:spacing w:after="0" w:line="275" w:lineRule="auto"/>
        <w:rPr>
          <w:sz w:val="20"/>
          <w:szCs w:val="20"/>
          <w:color w:val="auto"/>
        </w:rPr>
      </w:pPr>
      <w:r>
        <w:rPr>
          <w:rFonts w:ascii="Times New Roman" w:cs="Times New Roman" w:eastAsia="Times New Roman" w:hAnsi="Times New Roman"/>
          <w:sz w:val="20"/>
          <w:szCs w:val="20"/>
          <w:color w:val="auto"/>
        </w:rPr>
        <w:t>If you want to elect to have this Note purchased by the Issuer pursuant to Section 4.10 or 4.15 of the Indenture, check the appropriate box below:</w:t>
      </w:r>
    </w:p>
    <w:p>
      <w:pPr>
        <w:spacing w:after="0" w:line="166"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18"/>
          <w:szCs w:val="18"/>
          <w:color w:val="auto"/>
        </w:rPr>
        <w:t>Section 4.15</w:t>
      </w:r>
    </w:p>
    <w:p>
      <w:pPr>
        <w:spacing w:after="0" w:line="210" w:lineRule="exact"/>
        <w:rPr>
          <w:sz w:val="20"/>
          <w:szCs w:val="20"/>
          <w:color w:val="auto"/>
        </w:rPr>
      </w:pPr>
    </w:p>
    <w:p>
      <w:pPr>
        <w:ind w:firstLine="640"/>
        <w:spacing w:after="0" w:line="275" w:lineRule="auto"/>
        <w:rPr>
          <w:sz w:val="20"/>
          <w:szCs w:val="20"/>
          <w:color w:val="auto"/>
        </w:rPr>
      </w:pPr>
      <w:r>
        <w:rPr>
          <w:rFonts w:ascii="Times New Roman" w:cs="Times New Roman" w:eastAsia="Times New Roman" w:hAnsi="Times New Roman"/>
          <w:sz w:val="20"/>
          <w:szCs w:val="20"/>
          <w:color w:val="auto"/>
        </w:rPr>
        <w:t>If you want to elect to have only part of the Note purchased by the Issuer pursuant to Section 4.10 or Section 4.15 of the Indenture, state the amount you elect to have purchased:</w:t>
      </w:r>
    </w:p>
    <w:p>
      <w:pPr>
        <w:spacing w:after="0" w:line="1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w:t>
      </w:r>
    </w:p>
    <w:p>
      <w:pPr>
        <w:spacing w:after="0" w:line="2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-12700</wp:posOffset>
            </wp:positionV>
            <wp:extent cx="1238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0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-12700</wp:posOffset>
            </wp:positionV>
            <wp:extent cx="1238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_________________________</w:t>
      </w:r>
    </w:p>
    <w:p>
      <w:pPr>
        <w:spacing w:after="0" w:line="223" w:lineRule="exact"/>
        <w:rPr>
          <w:sz w:val="20"/>
          <w:szCs w:val="20"/>
          <w:color w:val="auto"/>
        </w:rPr>
      </w:pPr>
    </w:p>
    <w:p>
      <w:pPr>
        <w:ind w:left="300" w:hanging="293"/>
        <w:spacing w:after="0"/>
        <w:tabs>
          <w:tab w:leader="none" w:pos="3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69" w:lineRule="exact"/>
        <w:rPr>
          <w:rFonts w:ascii="Times New Roman" w:cs="Times New Roman" w:eastAsia="Times New Roman" w:hAnsi="Times New Roman"/>
          <w:sz w:val="20"/>
          <w:szCs w:val="20"/>
          <w:color w:val="auto"/>
        </w:rPr>
      </w:pPr>
    </w:p>
    <w:p>
      <w:pPr>
        <w:ind w:left="5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A-11</w:t>
      </w:r>
    </w:p>
    <w:p>
      <w:pPr>
        <w:sectPr>
          <w:pgSz w:w="11900" w:h="16838" w:orient="portrait"/>
          <w:cols w:equalWidth="0" w:num="1">
            <w:col w:w="11240"/>
          </w:cols>
          <w:pgMar w:left="320" w:top="1383" w:right="339" w:bottom="1440" w:gutter="0" w:footer="0" w:header="0"/>
        </w:sectPr>
      </w:pPr>
    </w:p>
    <w:bookmarkStart w:id="138" w:name="page139"/>
    <w:bookmarkEnd w:id="138"/>
    <w:p>
      <w:pPr>
        <w:ind w:left="2473"/>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5"/>
          <w:szCs w:val="15"/>
          <w:color w:val="auto"/>
        </w:rPr>
        <w:t>CHEDULE OF</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5"/>
          <w:szCs w:val="15"/>
          <w:color w:val="auto"/>
        </w:rPr>
        <w:t>NCREASES OR</w:t>
      </w:r>
      <w:r>
        <w:rPr>
          <w:rFonts w:ascii="Times New Roman" w:cs="Times New Roman" w:eastAsia="Times New Roman" w:hAnsi="Times New Roman"/>
          <w:sz w:val="20"/>
          <w:szCs w:val="20"/>
          <w:color w:val="auto"/>
        </w:rPr>
        <w:t xml:space="preserve"> D</w:t>
      </w:r>
      <w:r>
        <w:rPr>
          <w:rFonts w:ascii="Times New Roman" w:cs="Times New Roman" w:eastAsia="Times New Roman" w:hAnsi="Times New Roman"/>
          <w:sz w:val="15"/>
          <w:szCs w:val="15"/>
          <w:color w:val="auto"/>
        </w:rPr>
        <w:t>ECREASES OF</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5"/>
          <w:szCs w:val="15"/>
          <w:color w:val="auto"/>
        </w:rPr>
        <w:t>NTERESTS IN THE</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5"/>
          <w:szCs w:val="15"/>
          <w:color w:val="auto"/>
        </w:rPr>
        <w:t>LOBAL</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5"/>
          <w:szCs w:val="15"/>
          <w:color w:val="auto"/>
        </w:rPr>
        <w:t>OTE</w:t>
      </w:r>
      <w:r>
        <w:rPr>
          <w:rFonts w:ascii="Times New Roman" w:cs="Times New Roman" w:eastAsia="Times New Roman" w:hAnsi="Times New Roman"/>
          <w:sz w:val="20"/>
          <w:szCs w:val="20"/>
          <w:color w:val="auto"/>
        </w:rPr>
        <w:t xml:space="preserve"> *</w:t>
      </w:r>
    </w:p>
    <w:p>
      <w:pPr>
        <w:spacing w:after="0" w:line="210" w:lineRule="exact"/>
        <w:rPr>
          <w:sz w:val="20"/>
          <w:szCs w:val="20"/>
          <w:color w:val="auto"/>
        </w:rPr>
      </w:pPr>
    </w:p>
    <w:p>
      <w:pPr>
        <w:ind w:left="633"/>
        <w:spacing w:after="0"/>
        <w:rPr>
          <w:sz w:val="20"/>
          <w:szCs w:val="20"/>
          <w:color w:val="auto"/>
        </w:rPr>
      </w:pPr>
      <w:r>
        <w:rPr>
          <w:rFonts w:ascii="Times New Roman" w:cs="Times New Roman" w:eastAsia="Times New Roman" w:hAnsi="Times New Roman"/>
          <w:sz w:val="20"/>
          <w:szCs w:val="20"/>
          <w:color w:val="auto"/>
        </w:rPr>
        <w:t>The following increases or decreases in principal amount of this Global Note have been made:</w:t>
      </w:r>
    </w:p>
    <w:p>
      <w:pPr>
        <w:spacing w:after="0" w:line="200" w:lineRule="exact"/>
        <w:rPr>
          <w:sz w:val="20"/>
          <w:szCs w:val="20"/>
          <w:color w:val="auto"/>
        </w:rPr>
      </w:pPr>
    </w:p>
    <w:p>
      <w:pPr>
        <w:spacing w:after="0" w:line="290" w:lineRule="exact"/>
        <w:rPr>
          <w:sz w:val="20"/>
          <w:szCs w:val="20"/>
          <w:color w:val="auto"/>
        </w:rPr>
      </w:pPr>
    </w:p>
    <w:tbl>
      <w:tblPr>
        <w:tblLayout w:type="fixed"/>
        <w:tblInd w:w="473" w:type="dxa"/>
        <w:tblCellMar>
          <w:top w:w="0" w:type="dxa"/>
          <w:left w:w="0" w:type="dxa"/>
          <w:bottom w:w="0" w:type="dxa"/>
          <w:right w:w="0" w:type="dxa"/>
        </w:tblCellMar>
      </w:tblPr>
      <w:tr>
        <w:trPr>
          <w:trHeight w:val="240"/>
        </w:trPr>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gridSpan w:val="3"/>
            <w:vMerge w:val="restart"/>
          </w:tcPr>
          <w:p>
            <w:pPr>
              <w:jc w:val="center"/>
              <w:ind w:left="2"/>
              <w:spacing w:after="0"/>
              <w:rPr>
                <w:sz w:val="20"/>
                <w:szCs w:val="20"/>
                <w:color w:val="auto"/>
              </w:rPr>
            </w:pPr>
            <w:r>
              <w:rPr>
                <w:rFonts w:ascii="Times New Roman" w:cs="Times New Roman" w:eastAsia="Times New Roman" w:hAnsi="Times New Roman"/>
                <w:sz w:val="20"/>
                <w:szCs w:val="20"/>
                <w:color w:val="auto"/>
                <w:w w:val="96"/>
              </w:rPr>
              <w:t>Amount of decrease in</w:t>
            </w:r>
          </w:p>
        </w:tc>
        <w:tc>
          <w:tcPr>
            <w:tcW w:w="2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Amount of increase in</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Principal Amount of this</w:t>
            </w:r>
          </w:p>
        </w:tc>
        <w:tc>
          <w:tcPr>
            <w:tcW w:w="2020" w:type="dxa"/>
            <w:vAlign w:val="bottom"/>
            <w:gridSpan w:val="3"/>
            <w:vMerge w:val="restart"/>
          </w:tcPr>
          <w:p>
            <w:pPr>
              <w:jc w:val="center"/>
              <w:ind w:left="82"/>
              <w:spacing w:after="0"/>
              <w:rPr>
                <w:sz w:val="20"/>
                <w:szCs w:val="20"/>
                <w:color w:val="auto"/>
              </w:rPr>
            </w:pPr>
            <w:r>
              <w:rPr>
                <w:rFonts w:ascii="Times New Roman" w:cs="Times New Roman" w:eastAsia="Times New Roman" w:hAnsi="Times New Roman"/>
                <w:sz w:val="20"/>
                <w:szCs w:val="20"/>
                <w:color w:val="auto"/>
                <w:w w:val="97"/>
              </w:rPr>
              <w:t>Signature of authorized</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gridSpan w:val="3"/>
            <w:vMerge w:val="continue"/>
          </w:tcPr>
          <w:p>
            <w:pPr>
              <w:spacing w:after="0"/>
              <w:rPr>
                <w:sz w:val="19"/>
                <w:szCs w:val="19"/>
                <w:color w:val="auto"/>
              </w:rPr>
            </w:pPr>
          </w:p>
        </w:tc>
        <w:tc>
          <w:tcPr>
            <w:tcW w:w="2180" w:type="dxa"/>
            <w:vAlign w:val="bottom"/>
            <w:gridSpan w:val="3"/>
            <w:vMerge w:val="continue"/>
          </w:tcPr>
          <w:p>
            <w:pPr>
              <w:spacing w:after="0"/>
              <w:rPr>
                <w:sz w:val="19"/>
                <w:szCs w:val="19"/>
                <w:color w:val="auto"/>
              </w:rPr>
            </w:pPr>
          </w:p>
        </w:tc>
        <w:tc>
          <w:tcPr>
            <w:tcW w:w="234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0"/>
                <w:szCs w:val="20"/>
                <w:color w:val="auto"/>
                <w:w w:val="97"/>
              </w:rPr>
              <w:t>Global Note following</w:t>
            </w:r>
          </w:p>
        </w:tc>
        <w:tc>
          <w:tcPr>
            <w:tcW w:w="20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40" w:type="dxa"/>
            <w:vAlign w:val="bottom"/>
            <w:gridSpan w:val="3"/>
          </w:tcPr>
          <w:p>
            <w:pPr>
              <w:jc w:val="center"/>
              <w:ind w:right="360"/>
              <w:spacing w:after="0" w:line="227" w:lineRule="exact"/>
              <w:rPr>
                <w:sz w:val="20"/>
                <w:szCs w:val="20"/>
                <w:color w:val="auto"/>
              </w:rPr>
            </w:pPr>
            <w:r>
              <w:rPr>
                <w:rFonts w:ascii="Times New Roman" w:cs="Times New Roman" w:eastAsia="Times New Roman" w:hAnsi="Times New Roman"/>
                <w:sz w:val="20"/>
                <w:szCs w:val="20"/>
                <w:color w:val="auto"/>
                <w:w w:val="97"/>
              </w:rPr>
              <w:t>Date of Increase</w:t>
            </w:r>
          </w:p>
        </w:tc>
        <w:tc>
          <w:tcPr>
            <w:tcW w:w="2380" w:type="dxa"/>
            <w:vAlign w:val="bottom"/>
            <w:gridSpan w:val="3"/>
          </w:tcPr>
          <w:p>
            <w:pPr>
              <w:jc w:val="center"/>
              <w:ind w:left="2"/>
              <w:spacing w:after="0" w:line="227" w:lineRule="exact"/>
              <w:rPr>
                <w:sz w:val="20"/>
                <w:szCs w:val="20"/>
                <w:color w:val="auto"/>
              </w:rPr>
            </w:pPr>
            <w:r>
              <w:rPr>
                <w:rFonts w:ascii="Times New Roman" w:cs="Times New Roman" w:eastAsia="Times New Roman" w:hAnsi="Times New Roman"/>
                <w:sz w:val="20"/>
                <w:szCs w:val="20"/>
                <w:color w:val="auto"/>
                <w:w w:val="97"/>
              </w:rPr>
              <w:t>Principal Amount of</w:t>
            </w:r>
          </w:p>
        </w:tc>
        <w:tc>
          <w:tcPr>
            <w:tcW w:w="218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0"/>
                <w:szCs w:val="20"/>
                <w:color w:val="auto"/>
                <w:w w:val="98"/>
              </w:rPr>
              <w:t>Principal Amount of</w:t>
            </w:r>
          </w:p>
        </w:tc>
        <w:tc>
          <w:tcPr>
            <w:tcW w:w="234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0"/>
                <w:szCs w:val="20"/>
                <w:color w:val="auto"/>
                <w:w w:val="97"/>
              </w:rPr>
              <w:t>such decrease</w:t>
            </w:r>
          </w:p>
        </w:tc>
        <w:tc>
          <w:tcPr>
            <w:tcW w:w="2020" w:type="dxa"/>
            <w:vAlign w:val="bottom"/>
            <w:gridSpan w:val="3"/>
          </w:tcPr>
          <w:p>
            <w:pPr>
              <w:jc w:val="center"/>
              <w:ind w:left="82"/>
              <w:spacing w:after="0" w:line="227" w:lineRule="exact"/>
              <w:rPr>
                <w:sz w:val="20"/>
                <w:szCs w:val="20"/>
                <w:color w:val="auto"/>
              </w:rPr>
            </w:pPr>
            <w:r>
              <w:rPr>
                <w:rFonts w:ascii="Times New Roman" w:cs="Times New Roman" w:eastAsia="Times New Roman" w:hAnsi="Times New Roman"/>
                <w:sz w:val="20"/>
                <w:szCs w:val="20"/>
                <w:color w:val="auto"/>
                <w:w w:val="96"/>
              </w:rPr>
              <w:t>officer of Trustee or</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460" w:type="dxa"/>
            <w:vAlign w:val="bottom"/>
            <w:gridSpan w:val="2"/>
          </w:tcPr>
          <w:p>
            <w:pPr>
              <w:jc w:val="center"/>
              <w:ind w:right="540"/>
              <w:spacing w:after="0" w:line="189" w:lineRule="exact"/>
              <w:rPr>
                <w:sz w:val="20"/>
                <w:szCs w:val="20"/>
                <w:color w:val="auto"/>
              </w:rPr>
            </w:pPr>
            <w:r>
              <w:rPr>
                <w:rFonts w:ascii="Times New Roman" w:cs="Times New Roman" w:eastAsia="Times New Roman" w:hAnsi="Times New Roman"/>
                <w:sz w:val="20"/>
                <w:szCs w:val="20"/>
                <w:color w:val="auto"/>
                <w:w w:val="96"/>
              </w:rPr>
              <w:t>or Decrease</w:t>
            </w:r>
          </w:p>
        </w:tc>
        <w:tc>
          <w:tcPr>
            <w:tcW w:w="2380" w:type="dxa"/>
            <w:vAlign w:val="bottom"/>
            <w:gridSpan w:val="3"/>
          </w:tcPr>
          <w:p>
            <w:pPr>
              <w:jc w:val="center"/>
              <w:ind w:left="2"/>
              <w:spacing w:after="0" w:line="189" w:lineRule="exact"/>
              <w:rPr>
                <w:sz w:val="20"/>
                <w:szCs w:val="20"/>
                <w:color w:val="auto"/>
              </w:rPr>
            </w:pPr>
            <w:r>
              <w:rPr>
                <w:rFonts w:ascii="Times New Roman" w:cs="Times New Roman" w:eastAsia="Times New Roman" w:hAnsi="Times New Roman"/>
                <w:sz w:val="20"/>
                <w:szCs w:val="20"/>
                <w:color w:val="auto"/>
                <w:w w:val="96"/>
              </w:rPr>
              <w:t>this Global Note</w:t>
            </w:r>
          </w:p>
        </w:tc>
        <w:tc>
          <w:tcPr>
            <w:tcW w:w="460" w:type="dxa"/>
            <w:vAlign w:val="bottom"/>
          </w:tcPr>
          <w:p>
            <w:pPr>
              <w:spacing w:after="0"/>
              <w:rPr>
                <w:sz w:val="18"/>
                <w:szCs w:val="18"/>
                <w:color w:val="auto"/>
              </w:rPr>
            </w:pPr>
          </w:p>
        </w:tc>
        <w:tc>
          <w:tcPr>
            <w:tcW w:w="172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20"/>
                <w:szCs w:val="20"/>
                <w:color w:val="auto"/>
                <w:w w:val="98"/>
              </w:rPr>
              <w:t>this Global Note</w:t>
            </w:r>
          </w:p>
        </w:tc>
        <w:tc>
          <w:tcPr>
            <w:tcW w:w="700" w:type="dxa"/>
            <w:vAlign w:val="bottom"/>
          </w:tcPr>
          <w:p>
            <w:pPr>
              <w:spacing w:after="0"/>
              <w:rPr>
                <w:sz w:val="18"/>
                <w:szCs w:val="18"/>
                <w:color w:val="auto"/>
              </w:rPr>
            </w:pPr>
          </w:p>
        </w:tc>
        <w:tc>
          <w:tcPr>
            <w:tcW w:w="1640" w:type="dxa"/>
            <w:vAlign w:val="bottom"/>
            <w:gridSpan w:val="2"/>
          </w:tcPr>
          <w:p>
            <w:pPr>
              <w:jc w:val="center"/>
              <w:ind w:right="660"/>
              <w:spacing w:after="0" w:line="189" w:lineRule="exact"/>
              <w:rPr>
                <w:sz w:val="20"/>
                <w:szCs w:val="20"/>
                <w:color w:val="auto"/>
              </w:rPr>
            </w:pPr>
            <w:r>
              <w:rPr>
                <w:rFonts w:ascii="Times New Roman" w:cs="Times New Roman" w:eastAsia="Times New Roman" w:hAnsi="Times New Roman"/>
                <w:sz w:val="20"/>
                <w:szCs w:val="20"/>
                <w:color w:val="auto"/>
                <w:w w:val="97"/>
              </w:rPr>
              <w:t>(or increase)</w:t>
            </w:r>
          </w:p>
        </w:tc>
        <w:tc>
          <w:tcPr>
            <w:tcW w:w="700" w:type="dxa"/>
            <w:vAlign w:val="bottom"/>
          </w:tcPr>
          <w:p>
            <w:pPr>
              <w:spacing w:after="0"/>
              <w:rPr>
                <w:sz w:val="18"/>
                <w:szCs w:val="18"/>
                <w:color w:val="auto"/>
              </w:rPr>
            </w:pPr>
          </w:p>
        </w:tc>
        <w:tc>
          <w:tcPr>
            <w:tcW w:w="132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20"/>
                <w:szCs w:val="20"/>
                <w:color w:val="auto"/>
                <w:w w:val="98"/>
              </w:rPr>
              <w:t>Custodian</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3" w:hanging="293"/>
        <w:spacing w:after="0"/>
        <w:tabs>
          <w:tab w:leader="none" w:pos="2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This schedule should be included only if the Note is issued in global form</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31" w:lineRule="exact"/>
        <w:rPr>
          <w:rFonts w:ascii="Times New Roman" w:cs="Times New Roman" w:eastAsia="Times New Roman" w:hAnsi="Times New Roman"/>
          <w:sz w:val="20"/>
          <w:szCs w:val="20"/>
          <w:color w:val="auto"/>
        </w:rPr>
      </w:pPr>
    </w:p>
    <w:p>
      <w:pPr>
        <w:ind w:left="541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A-12</w:t>
      </w:r>
    </w:p>
    <w:p>
      <w:pPr>
        <w:sectPr>
          <w:pgSz w:w="11900" w:h="16838" w:orient="portrait"/>
          <w:cols w:equalWidth="0" w:num="1">
            <w:col w:w="11033"/>
          </w:cols>
          <w:pgMar w:left="327" w:top="1383" w:right="5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1"/>
          <w:szCs w:val="2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OF TRANSFER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World Trade Center, Suite 1500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 Beach, California 90831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Facsimile No.: (818) 661-3750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 South Sixth Street, Suite 1290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 55402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Facsimile No.: (612) 217-5651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California Resources Corporation, Administrator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 California Resources Corporation 7.250% Senior Notes due 2035</w:t>
      </w:r>
    </w:p>
    <w:p>
      <w:pPr>
        <w:spacing w:after="0" w:line="208"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26, 2026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among California Resources Corporation, a Delaware corporation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Guarantors party thereto and Wilmington Trust, National Association, as trustee. Capitalized terms used but not defined herein shall have the meanings given to them in the Indenture.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in the principal amount of $___________ in such Note[s] or interests (the “</w:t>
      </w:r>
      <w:r>
        <w:rPr>
          <w:rFonts w:ascii="Times New Roman" w:cs="Times New Roman" w:eastAsia="Times New Roman" w:hAnsi="Times New Roman"/>
          <w:sz w:val="20"/>
          <w:szCs w:val="20"/>
          <w:i w:val="1"/>
          <w:iCs w:val="1"/>
          <w:color w:val="auto"/>
        </w:rPr>
        <w:t>Transfer</w:t>
      </w:r>
      <w:r>
        <w:rPr>
          <w:rFonts w:ascii="Times New Roman" w:cs="Times New Roman" w:eastAsia="Times New Roman" w:hAnsi="Times New Roman"/>
          <w:sz w:val="20"/>
          <w:szCs w:val="20"/>
          <w:color w:val="auto"/>
        </w:rPr>
        <w:t>”), to ___________________________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Transferee</w:t>
      </w:r>
      <w:r>
        <w:rPr>
          <w:rFonts w:ascii="Times New Roman" w:cs="Times New Roman" w:eastAsia="Times New Roman" w:hAnsi="Times New Roman"/>
          <w:sz w:val="20"/>
          <w:szCs w:val="20"/>
          <w:color w:val="auto"/>
        </w:rPr>
        <w:t>”), as further specified in Annex A hereto. In connection with the Transfer, the Transferor hereby certifies that: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206" w:lineRule="exact"/>
        <w:rPr>
          <w:sz w:val="20"/>
          <w:szCs w:val="20"/>
          <w:color w:val="auto"/>
        </w:rPr>
      </w:pPr>
    </w:p>
    <w:p>
      <w:pPr>
        <w:jc w:val="both"/>
        <w:ind w:firstLine="646"/>
        <w:spacing w:after="0" w:line="248" w:lineRule="auto"/>
        <w:tabs>
          <w:tab w:leader="none" w:pos="86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the 144A Global Note or a Restricted Definitive Note pursuant to Rule 144A</w:t>
      </w:r>
      <w:r>
        <w:rPr>
          <w:rFonts w:ascii="Times New Roman" w:cs="Times New Roman" w:eastAsia="Times New Roman" w:hAnsi="Times New Roman"/>
          <w:sz w:val="20"/>
          <w:szCs w:val="20"/>
          <w:color w:val="auto"/>
        </w:rPr>
        <w:t>. The Transfer is being effected pursuant to and in accordance with Rule 144A under the Securities Act of 1933,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(the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82" w:lineRule="exact"/>
        <w:rPr>
          <w:rFonts w:ascii="Times New Roman" w:cs="Times New Roman" w:eastAsia="Times New Roman" w:hAnsi="Times New Roman"/>
          <w:sz w:val="20"/>
          <w:szCs w:val="20"/>
          <w:color w:val="auto"/>
        </w:rPr>
      </w:pPr>
    </w:p>
    <w:p>
      <w:pPr>
        <w:jc w:val="both"/>
        <w:ind w:firstLine="646"/>
        <w:spacing w:after="0" w:line="255" w:lineRule="auto"/>
        <w:tabs>
          <w:tab w:leader="none" w:pos="835"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the Regulation S Global Note or a Restricted Definitive Note pursuant to Regulation S</w:t>
      </w:r>
      <w:r>
        <w:rPr>
          <w:rFonts w:ascii="Times New Roman" w:cs="Times New Roman" w:eastAsia="Times New Roman" w:hAnsi="Times New Roman"/>
          <w:sz w:val="20"/>
          <w:szCs w:val="20"/>
          <w:color w:val="auto"/>
        </w:rPr>
        <w:t>. The Transfer is being effected pursuant to and in accordance with Rule 903 or Rule 904 under the Securities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accordingly, the Transferor hereby further certifies that (i) the Transfer is not being made to a Person in the United States and (x) at the time the buy order was originated, the Transferee was outside the United States or such Transferor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240"/>
          </w:cols>
          <w:pgMar w:left="320" w:top="125" w:right="339" w:bottom="1440" w:gutter="0" w:footer="0" w:header="0"/>
        </w:sectPr>
      </w:pPr>
    </w:p>
    <w:bookmarkStart w:id="140" w:name="page141"/>
    <w:bookmarkEnd w:id="140"/>
    <w:p>
      <w:pPr>
        <w:jc w:val="both"/>
        <w:spacing w:after="0" w:line="247" w:lineRule="auto"/>
        <w:rPr>
          <w:sz w:val="20"/>
          <w:szCs w:val="20"/>
          <w:color w:val="auto"/>
        </w:rPr>
      </w:pPr>
      <w:r>
        <w:rPr>
          <w:rFonts w:ascii="Times New Roman" w:cs="Times New Roman" w:eastAsia="Times New Roman" w:hAnsi="Times New Roman"/>
          <w:sz w:val="20"/>
          <w:szCs w:val="20"/>
          <w:color w:val="auto"/>
        </w:rPr>
        <w:t>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95" w:lineRule="exact"/>
        <w:rPr>
          <w:sz w:val="20"/>
          <w:szCs w:val="20"/>
          <w:color w:val="auto"/>
        </w:rPr>
      </w:pPr>
    </w:p>
    <w:p>
      <w:pPr>
        <w:jc w:val="both"/>
        <w:ind w:firstLine="646"/>
        <w:spacing w:after="0" w:line="250" w:lineRule="auto"/>
        <w:tabs>
          <w:tab w:leader="none" w:pos="8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and complete if, among other things, Transferee will take delivery of a beneficial interest in a Restricted Definitive Note pursuant to any provision of the Securities Act other than Rule 144A or Regulation S</w:t>
      </w:r>
      <w:r>
        <w:rPr>
          <w:rFonts w:ascii="Times New Roman" w:cs="Times New Roman" w:eastAsia="Times New Roman" w:hAnsi="Times New Roman"/>
          <w:sz w:val="20"/>
          <w:szCs w:val="20"/>
          <w:color w:val="auto"/>
        </w:rPr>
        <w:t>. The Transfer is being effected in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92" w:lineRule="exact"/>
        <w:rPr>
          <w:sz w:val="20"/>
          <w:szCs w:val="20"/>
          <w:color w:val="auto"/>
        </w:rPr>
      </w:pPr>
    </w:p>
    <w:p>
      <w:pPr>
        <w:ind w:left="800" w:firstLine="492"/>
        <w:spacing w:after="0" w:line="261" w:lineRule="auto"/>
        <w:tabs>
          <w:tab w:leader="none" w:pos="1747"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pursuant an exemption from the registration requirements of the Securities Act other than as provided by Rule 144 under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223" w:lineRule="exact"/>
        <w:rPr>
          <w:sz w:val="20"/>
          <w:szCs w:val="20"/>
          <w:color w:val="auto"/>
        </w:rPr>
      </w:pPr>
    </w:p>
    <w:p>
      <w:pPr>
        <w:ind w:left="5540" w:right="4220" w:hanging="4248"/>
        <w:spacing w:after="0" w:line="465" w:lineRule="auto"/>
        <w:tabs>
          <w:tab w:leader="none" w:pos="176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to the Issuer or a subsidiary thereof; or</w:t>
      </w:r>
    </w:p>
    <w:p>
      <w:pPr>
        <w:spacing w:after="0" w:line="1" w:lineRule="exact"/>
        <w:rPr>
          <w:rFonts w:ascii="Times New Roman" w:cs="Times New Roman" w:eastAsia="Times New Roman" w:hAnsi="Times New Roman"/>
          <w:sz w:val="20"/>
          <w:szCs w:val="20"/>
          <w:color w:val="auto"/>
        </w:rPr>
      </w:pPr>
    </w:p>
    <w:p>
      <w:pPr>
        <w:ind w:left="800" w:firstLine="492"/>
        <w:spacing w:after="0" w:line="261" w:lineRule="auto"/>
        <w:tabs>
          <w:tab w:leader="none" w:pos="174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pursuant to an effective registration statement under the Securities Act and in compliance with the prospectus delivery requirements of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210" w:lineRule="exact"/>
        <w:rPr>
          <w:sz w:val="20"/>
          <w:szCs w:val="20"/>
          <w:color w:val="auto"/>
        </w:rPr>
      </w:pPr>
    </w:p>
    <w:p>
      <w:pPr>
        <w:jc w:val="both"/>
        <w:ind w:left="820" w:firstLine="478"/>
        <w:spacing w:after="0" w:line="248" w:lineRule="auto"/>
        <w:tabs>
          <w:tab w:leader="none" w:pos="181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Restricted Definitive Notes and in the Indenture and the Securities Act.</w:t>
      </w:r>
    </w:p>
    <w:p>
      <w:pPr>
        <w:spacing w:after="0" w:line="193" w:lineRule="exact"/>
        <w:rPr>
          <w:sz w:val="20"/>
          <w:szCs w:val="20"/>
          <w:color w:val="auto"/>
        </w:rPr>
      </w:pPr>
    </w:p>
    <w:p>
      <w:pPr>
        <w:ind w:left="800" w:right="60" w:firstLine="640"/>
        <w:spacing w:after="0" w:line="247" w:lineRule="auto"/>
        <w:rPr>
          <w:sz w:val="20"/>
          <w:szCs w:val="20"/>
          <w:color w:val="auto"/>
        </w:rPr>
      </w:pPr>
      <w:r>
        <w:rPr>
          <w:rFonts w:ascii="Times New Roman" w:cs="Times New Roman" w:eastAsia="Times New Roman" w:hAnsi="Times New Roman"/>
          <w:sz w:val="20"/>
          <w:szCs w:val="20"/>
          <w:color w:val="auto"/>
        </w:rPr>
        <w:t>Notwithstanding anything to the contrary, transfers pursuant to Rule 144 under the Securities Act will not be permitted, even if legally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1240"/>
          </w:cols>
          <w:pgMar w:left="320" w:top="1396" w:right="339" w:bottom="1440" w:gutter="0" w:footer="0" w:header="0"/>
        </w:sectPr>
      </w:pPr>
    </w:p>
    <w:bookmarkStart w:id="141" w:name="page142"/>
    <w:bookmarkEnd w:id="141"/>
    <w:p>
      <w:pPr>
        <w:spacing w:after="0" w:line="166" w:lineRule="exact"/>
        <w:rPr>
          <w:sz w:val="20"/>
          <w:szCs w:val="20"/>
          <w:color w:val="auto"/>
        </w:rPr>
      </w:pPr>
    </w:p>
    <w:p>
      <w:pPr>
        <w:ind w:left="860" w:hanging="214"/>
        <w:spacing w:after="0"/>
        <w:tabs>
          <w:tab w:leader="none" w:pos="8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an Unrestricted Global Note or an Unrestricted Definitive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6"/>
        <w:spacing w:after="0" w:line="283" w:lineRule="auto"/>
        <w:tabs>
          <w:tab w:leader="none" w:pos="9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if Transfer is Pursuant to Regulation S</w:t>
      </w:r>
      <w:r>
        <w:rPr>
          <w:rFonts w:ascii="Times New Roman" w:cs="Times New Roman" w:eastAsia="Times New Roman" w:hAnsi="Times New Roman"/>
          <w:sz w:val="18"/>
          <w:szCs w:val="18"/>
          <w:color w:val="auto"/>
        </w:rPr>
        <w:t>. (i) The Transfer is being effected pursuant to and in accordance with Rule 903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1" w:lineRule="exact"/>
        <w:rPr>
          <w:sz w:val="20"/>
          <w:szCs w:val="20"/>
          <w:color w:val="auto"/>
        </w:rPr>
      </w:pPr>
    </w:p>
    <w:p>
      <w:pPr>
        <w:jc w:val="both"/>
        <w:ind w:firstLine="646"/>
        <w:spacing w:after="0" w:line="248" w:lineRule="auto"/>
        <w:tabs>
          <w:tab w:leader="none" w:pos="91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Check if Transfer is Pursuant to Other Exemption</w:t>
      </w:r>
      <w:r>
        <w:rPr>
          <w:rFonts w:ascii="Times New Roman" w:cs="Times New Roman" w:eastAsia="Times New Roman" w:hAnsi="Times New Roman"/>
          <w:sz w:val="20"/>
          <w:szCs w:val="20"/>
          <w:color w:val="auto"/>
        </w:rPr>
        <w:t>. (i) The Transfer is being effected pursuant to and in compliance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274955</wp:posOffset>
            </wp:positionV>
            <wp:extent cx="1238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-12700</wp:posOffset>
            </wp:positionV>
            <wp:extent cx="248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_________________________</w:t>
      </w:r>
    </w:p>
    <w:p>
      <w:pPr>
        <w:spacing w:after="0" w:line="24" w:lineRule="exact"/>
        <w:rPr>
          <w:sz w:val="20"/>
          <w:szCs w:val="20"/>
          <w:color w:val="auto"/>
        </w:rPr>
      </w:pPr>
    </w:p>
    <w:p>
      <w:pPr>
        <w:ind w:left="160" w:hanging="153"/>
        <w:spacing w:after="0"/>
        <w:tabs>
          <w:tab w:leader="none" w:pos="1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5"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1240"/>
          </w:cols>
          <w:pgMar w:left="320" w:top="1440" w:right="339" w:bottom="1440" w:gutter="0" w:footer="0" w:header="0"/>
        </w:sectPr>
      </w:pPr>
    </w:p>
    <w:bookmarkStart w:id="142" w:name="page143"/>
    <w:bookmarkEnd w:id="142"/>
    <w:p>
      <w:pPr>
        <w:ind w:left="3080"/>
        <w:spacing w:after="0"/>
        <w:rPr>
          <w:sz w:val="20"/>
          <w:szCs w:val="20"/>
          <w:color w:val="auto"/>
        </w:rPr>
      </w:pPr>
      <w:r>
        <w:rPr>
          <w:rFonts w:ascii="Times New Roman" w:cs="Times New Roman" w:eastAsia="Times New Roman" w:hAnsi="Times New Roman"/>
          <w:sz w:val="18"/>
          <w:szCs w:val="18"/>
          <w:color w:val="auto"/>
        </w:rPr>
        <w:t>ANNEX A TO CERTIFICATE OF TRANSFER</w:t>
      </w:r>
    </w:p>
    <w:p>
      <w:pPr>
        <w:spacing w:after="0" w:line="24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8"/>
          <w:szCs w:val="18"/>
          <w:color w:val="auto"/>
        </w:rPr>
        <w:t>The Transferor owns and proposes to transfer the following:</w:t>
      </w:r>
    </w:p>
    <w:p>
      <w:pPr>
        <w:spacing w:after="0" w:line="21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[CHECK ONE OF (a) OR (b)]</w:t>
      </w:r>
    </w:p>
    <w:p>
      <w:pPr>
        <w:spacing w:after="0" w:line="223" w:lineRule="exact"/>
        <w:rPr>
          <w:sz w:val="20"/>
          <w:szCs w:val="20"/>
          <w:color w:val="auto"/>
        </w:rPr>
      </w:pPr>
    </w:p>
    <w:p>
      <w:pPr>
        <w:ind w:left="1080" w:hanging="274"/>
        <w:spacing w:after="0"/>
        <w:tabs>
          <w:tab w:leader="none" w:pos="108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beneficial interest in the:</w:t>
      </w:r>
    </w:p>
    <w:p>
      <w:pPr>
        <w:spacing w:after="0" w:line="209" w:lineRule="exact"/>
        <w:rPr>
          <w:rFonts w:ascii="Times New Roman" w:cs="Times New Roman" w:eastAsia="Times New Roman" w:hAnsi="Times New Roman"/>
          <w:sz w:val="20"/>
          <w:szCs w:val="20"/>
          <w:color w:val="auto"/>
        </w:rPr>
      </w:pPr>
    </w:p>
    <w:p>
      <w:pPr>
        <w:ind w:left="1560" w:hanging="434"/>
        <w:spacing w:after="0"/>
        <w:tabs>
          <w:tab w:leader="none" w:pos="1560"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144A Global Note (CUSIP __________), or</w:t>
      </w:r>
    </w:p>
    <w:p>
      <w:pPr>
        <w:spacing w:after="0" w:line="223" w:lineRule="exact"/>
        <w:rPr>
          <w:rFonts w:ascii="Times New Roman" w:cs="Times New Roman" w:eastAsia="Times New Roman" w:hAnsi="Times New Roman"/>
          <w:sz w:val="20"/>
          <w:szCs w:val="20"/>
          <w:color w:val="auto"/>
        </w:rPr>
      </w:pPr>
    </w:p>
    <w:p>
      <w:pPr>
        <w:ind w:left="1600" w:hanging="474"/>
        <w:spacing w:after="0"/>
        <w:tabs>
          <w:tab w:leader="none" w:pos="1600"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 S Global Note (CUSIP __________); or</w:t>
      </w:r>
    </w:p>
    <w:p>
      <w:pPr>
        <w:spacing w:after="0" w:line="223" w:lineRule="exact"/>
        <w:rPr>
          <w:rFonts w:ascii="Times New Roman" w:cs="Times New Roman" w:eastAsia="Times New Roman" w:hAnsi="Times New Roman"/>
          <w:sz w:val="20"/>
          <w:szCs w:val="20"/>
          <w:color w:val="auto"/>
        </w:rPr>
      </w:pPr>
    </w:p>
    <w:p>
      <w:pPr>
        <w:ind w:left="1080" w:hanging="274"/>
        <w:spacing w:after="0"/>
        <w:tabs>
          <w:tab w:leader="none" w:pos="108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Definitive Note.</w:t>
      </w:r>
    </w:p>
    <w:p>
      <w:pPr>
        <w:spacing w:after="0" w:line="209" w:lineRule="exact"/>
        <w:rPr>
          <w:rFonts w:ascii="Times New Roman" w:cs="Times New Roman" w:eastAsia="Times New Roman" w:hAnsi="Times New Roman"/>
          <w:sz w:val="20"/>
          <w:szCs w:val="20"/>
          <w:color w:val="auto"/>
        </w:rPr>
      </w:pPr>
    </w:p>
    <w:p>
      <w:pPr>
        <w:ind w:left="340" w:hanging="334"/>
        <w:spacing w:after="0"/>
        <w:tabs>
          <w:tab w:leader="none" w:pos="34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Transfer the Transferee will hold:</w:t>
      </w: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[CHECK ONE]</w:t>
      </w:r>
    </w:p>
    <w:p>
      <w:pPr>
        <w:spacing w:after="0" w:line="210" w:lineRule="exact"/>
        <w:rPr>
          <w:sz w:val="20"/>
          <w:szCs w:val="20"/>
          <w:color w:val="auto"/>
        </w:rPr>
      </w:pPr>
    </w:p>
    <w:p>
      <w:pPr>
        <w:ind w:left="1080" w:hanging="274"/>
        <w:spacing w:after="0"/>
        <w:tabs>
          <w:tab w:leader="none" w:pos="10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beneficial interest in the:</w:t>
      </w:r>
    </w:p>
    <w:p>
      <w:pPr>
        <w:spacing w:after="0" w:line="223" w:lineRule="exact"/>
        <w:rPr>
          <w:rFonts w:ascii="Times New Roman" w:cs="Times New Roman" w:eastAsia="Times New Roman" w:hAnsi="Times New Roman"/>
          <w:sz w:val="20"/>
          <w:szCs w:val="20"/>
          <w:color w:val="auto"/>
        </w:rPr>
      </w:pPr>
    </w:p>
    <w:p>
      <w:pPr>
        <w:ind w:left="1560" w:hanging="434"/>
        <w:spacing w:after="0"/>
        <w:tabs>
          <w:tab w:leader="none" w:pos="156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144A Global Note (CUSIP __________), or</w:t>
      </w:r>
    </w:p>
    <w:p>
      <w:pPr>
        <w:spacing w:after="0" w:line="223" w:lineRule="exact"/>
        <w:rPr>
          <w:rFonts w:ascii="Times New Roman" w:cs="Times New Roman" w:eastAsia="Times New Roman" w:hAnsi="Times New Roman"/>
          <w:sz w:val="20"/>
          <w:szCs w:val="20"/>
          <w:color w:val="auto"/>
        </w:rPr>
      </w:pPr>
    </w:p>
    <w:p>
      <w:pPr>
        <w:ind w:left="1600" w:hanging="474"/>
        <w:spacing w:after="0"/>
        <w:tabs>
          <w:tab w:leader="none" w:pos="160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 S Global Note (CUSIP _________), or</w:t>
      </w:r>
    </w:p>
    <w:p>
      <w:pPr>
        <w:spacing w:after="0" w:line="209" w:lineRule="exact"/>
        <w:rPr>
          <w:rFonts w:ascii="Times New Roman" w:cs="Times New Roman" w:eastAsia="Times New Roman" w:hAnsi="Times New Roman"/>
          <w:sz w:val="20"/>
          <w:szCs w:val="20"/>
          <w:color w:val="auto"/>
        </w:rPr>
      </w:pPr>
    </w:p>
    <w:p>
      <w:pPr>
        <w:ind w:left="1660" w:hanging="534"/>
        <w:spacing w:after="0"/>
        <w:tabs>
          <w:tab w:leader="none" w:pos="166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Unrestricted Global Note (CUSIP _________); or</w:t>
      </w:r>
    </w:p>
    <w:p>
      <w:pPr>
        <w:spacing w:after="0" w:line="223" w:lineRule="exact"/>
        <w:rPr>
          <w:rFonts w:ascii="Times New Roman" w:cs="Times New Roman" w:eastAsia="Times New Roman" w:hAnsi="Times New Roman"/>
          <w:sz w:val="20"/>
          <w:szCs w:val="20"/>
          <w:color w:val="auto"/>
        </w:rPr>
      </w:pPr>
    </w:p>
    <w:p>
      <w:pPr>
        <w:ind w:left="1080" w:hanging="274"/>
        <w:spacing w:after="0"/>
        <w:tabs>
          <w:tab w:leader="none" w:pos="10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Definitive Note; or</w:t>
      </w:r>
    </w:p>
    <w:p>
      <w:pPr>
        <w:spacing w:after="0" w:line="209" w:lineRule="exact"/>
        <w:rPr>
          <w:rFonts w:ascii="Times New Roman" w:cs="Times New Roman" w:eastAsia="Times New Roman" w:hAnsi="Times New Roman"/>
          <w:sz w:val="20"/>
          <w:szCs w:val="20"/>
          <w:color w:val="auto"/>
        </w:rPr>
      </w:pPr>
    </w:p>
    <w:p>
      <w:pPr>
        <w:ind w:left="1080" w:hanging="274"/>
        <w:spacing w:after="0"/>
        <w:tabs>
          <w:tab w:leader="none" w:pos="10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Unrestricted Definitive Note,</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B-4</w:t>
      </w:r>
    </w:p>
    <w:p>
      <w:pPr>
        <w:sectPr>
          <w:pgSz w:w="11900" w:h="16838" w:orient="portrait"/>
          <w:cols w:equalWidth="0" w:num="1">
            <w:col w:w="9499"/>
          </w:cols>
          <w:pgMar w:left="960" w:top="1396"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1"/>
          <w:szCs w:val="2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OF EXCHANGE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8" w:lineRule="auto"/>
        <w:rPr>
          <w:sz w:val="20"/>
          <w:szCs w:val="20"/>
          <w:color w:val="auto"/>
        </w:rPr>
      </w:pPr>
      <w:r>
        <w:rPr>
          <w:rFonts w:ascii="Times New Roman" w:cs="Times New Roman" w:eastAsia="Times New Roman" w:hAnsi="Times New Roman"/>
          <w:sz w:val="20"/>
          <w:szCs w:val="20"/>
          <w:color w:val="auto"/>
        </w:rPr>
        <w:t>1 World Trade Center, Suite 1500</w:t>
      </w:r>
    </w:p>
    <w:p>
      <w:pPr>
        <w:spacing w:after="0" w:line="236" w:lineRule="auto"/>
        <w:rPr>
          <w:sz w:val="20"/>
          <w:szCs w:val="20"/>
          <w:color w:val="auto"/>
        </w:rPr>
      </w:pPr>
      <w:r>
        <w:rPr>
          <w:rFonts w:ascii="Times New Roman" w:cs="Times New Roman" w:eastAsia="Times New Roman" w:hAnsi="Times New Roman"/>
          <w:sz w:val="20"/>
          <w:szCs w:val="20"/>
          <w:color w:val="auto"/>
        </w:rPr>
        <w:t>Long Beach, California 90831</w:t>
      </w:r>
    </w:p>
    <w:p>
      <w:pPr>
        <w:spacing w:after="0" w:line="222" w:lineRule="auto"/>
        <w:rPr>
          <w:sz w:val="20"/>
          <w:szCs w:val="20"/>
          <w:color w:val="auto"/>
        </w:rPr>
      </w:pPr>
      <w:r>
        <w:rPr>
          <w:rFonts w:ascii="Times New Roman" w:cs="Times New Roman" w:eastAsia="Times New Roman" w:hAnsi="Times New Roman"/>
          <w:sz w:val="20"/>
          <w:szCs w:val="20"/>
          <w:color w:val="auto"/>
        </w:rPr>
        <w:t>Facsimile No.: (818) 661-3750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8" w:lineRule="auto"/>
        <w:rPr>
          <w:sz w:val="20"/>
          <w:szCs w:val="20"/>
          <w:color w:val="auto"/>
        </w:rPr>
      </w:pPr>
      <w:r>
        <w:rPr>
          <w:rFonts w:ascii="Times New Roman" w:cs="Times New Roman" w:eastAsia="Times New Roman" w:hAnsi="Times New Roman"/>
          <w:sz w:val="20"/>
          <w:szCs w:val="20"/>
          <w:color w:val="auto"/>
        </w:rPr>
        <w:t>50 South Sixth Street, Suite 1290</w:t>
      </w:r>
    </w:p>
    <w:p>
      <w:pPr>
        <w:spacing w:after="0" w:line="222" w:lineRule="auto"/>
        <w:rPr>
          <w:sz w:val="20"/>
          <w:szCs w:val="20"/>
          <w:color w:val="auto"/>
        </w:rPr>
      </w:pPr>
      <w:r>
        <w:rPr>
          <w:rFonts w:ascii="Times New Roman" w:cs="Times New Roman" w:eastAsia="Times New Roman" w:hAnsi="Times New Roman"/>
          <w:sz w:val="20"/>
          <w:szCs w:val="20"/>
          <w:color w:val="auto"/>
        </w:rPr>
        <w:t>Minneapolis, Minnesota 55402</w:t>
      </w:r>
    </w:p>
    <w:p>
      <w:pPr>
        <w:spacing w:after="0" w:line="223" w:lineRule="auto"/>
        <w:rPr>
          <w:sz w:val="20"/>
          <w:szCs w:val="20"/>
          <w:color w:val="auto"/>
        </w:rPr>
      </w:pPr>
      <w:r>
        <w:rPr>
          <w:rFonts w:ascii="Times New Roman" w:cs="Times New Roman" w:eastAsia="Times New Roman" w:hAnsi="Times New Roman"/>
          <w:sz w:val="20"/>
          <w:szCs w:val="20"/>
          <w:color w:val="auto"/>
        </w:rPr>
        <w:t>Facsimile No.: 612-217-5651</w:t>
      </w:r>
    </w:p>
    <w:p>
      <w:pPr>
        <w:spacing w:after="0"/>
        <w:rPr>
          <w:sz w:val="20"/>
          <w:szCs w:val="20"/>
          <w:color w:val="auto"/>
        </w:rPr>
      </w:pPr>
      <w:r>
        <w:rPr>
          <w:rFonts w:ascii="Times New Roman" w:cs="Times New Roman" w:eastAsia="Times New Roman" w:hAnsi="Times New Roman"/>
          <w:sz w:val="20"/>
          <w:szCs w:val="20"/>
          <w:color w:val="auto"/>
        </w:rPr>
        <w:t>Attention: California Resources Corporation, Administrator</w:t>
      </w:r>
    </w:p>
    <w:p>
      <w:pPr>
        <w:spacing w:after="0" w:line="3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 California Resources Corporation 7.250% Senior Notes due 2035</w:t>
      </w:r>
    </w:p>
    <w:p>
      <w:pPr>
        <w:spacing w:after="0" w:line="208"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26, 2026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among California Resources Corporation, a Delaware corporation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Guarantors party thereto and Wilmington Trust, National Association, as trustee. Capitalized terms used but not defined herein shall have the meanings given to them in the Indenture.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principal amount of $____________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certifies that:</w:t>
      </w:r>
    </w:p>
    <w:p>
      <w:pPr>
        <w:spacing w:after="0" w:line="170" w:lineRule="exact"/>
        <w:rPr>
          <w:sz w:val="20"/>
          <w:szCs w:val="20"/>
          <w:color w:val="auto"/>
        </w:rPr>
      </w:pPr>
    </w:p>
    <w:p>
      <w:pPr>
        <w:ind w:firstLine="646"/>
        <w:spacing w:after="0" w:line="251" w:lineRule="auto"/>
        <w:tabs>
          <w:tab w:leader="none" w:pos="107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72" w:lineRule="exact"/>
        <w:rPr>
          <w:sz w:val="20"/>
          <w:szCs w:val="20"/>
          <w:color w:val="auto"/>
        </w:rPr>
      </w:pPr>
    </w:p>
    <w:p>
      <w:pPr>
        <w:jc w:val="both"/>
        <w:ind w:firstLine="646"/>
        <w:spacing w:after="0" w:line="228" w:lineRule="auto"/>
        <w:tabs>
          <w:tab w:leader="none" w:pos="91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Check if Exchange is from beneficial interest in a Restricted Global Note to beneficial interest in an Unrestricted Global Note</w:t>
      </w:r>
      <w:r>
        <w:rPr>
          <w:rFonts w:ascii="Times New Roman" w:cs="Times New Roman" w:eastAsia="Times New Roman" w:hAnsi="Times New Roman"/>
          <w:sz w:val="20"/>
          <w:szCs w:val="20"/>
          <w:color w:val="auto"/>
        </w:rPr>
        <w:t>. In connection with the Exchange of the Owner’s beneficial interest in a Restricted Global Note for a beneficial interest in an Unrestricted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other than Rule 144,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84" w:lineRule="exact"/>
        <w:rPr>
          <w:rFonts w:ascii="Times New Roman" w:cs="Times New Roman" w:eastAsia="Times New Roman" w:hAnsi="Times New Roman"/>
          <w:sz w:val="20"/>
          <w:szCs w:val="20"/>
          <w:color w:val="auto"/>
        </w:rPr>
      </w:pPr>
    </w:p>
    <w:p>
      <w:pPr>
        <w:ind w:right="60" w:firstLine="646"/>
        <w:spacing w:after="0" w:line="229" w:lineRule="auto"/>
        <w:tabs>
          <w:tab w:leader="none" w:pos="91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Check if Exchange is from beneficial interest in a Restricted Global Note to Unrestricted Definitive Note</w:t>
      </w:r>
      <w:r>
        <w:rPr>
          <w:rFonts w:ascii="Times New Roman" w:cs="Times New Roman" w:eastAsia="Times New Roman" w:hAnsi="Times New Roman"/>
          <w:sz w:val="20"/>
          <w:szCs w:val="20"/>
          <w:color w:val="auto"/>
        </w:rPr>
        <w:t>. In connection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other than Rule 144,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C-1</w:t>
      </w:r>
    </w:p>
    <w:p>
      <w:pPr>
        <w:sectPr>
          <w:pgSz w:w="11900" w:h="16838" w:orient="portrait"/>
          <w:cols w:equalWidth="0" w:num="1">
            <w:col w:w="11240"/>
          </w:cols>
          <w:pgMar w:left="320" w:top="125" w:right="339" w:bottom="1440" w:gutter="0" w:footer="0" w:header="0"/>
        </w:sectPr>
      </w:pPr>
    </w:p>
    <w:bookmarkStart w:id="144" w:name="page145"/>
    <w:bookmarkEnd w:id="144"/>
    <w:p>
      <w:pPr>
        <w:spacing w:after="0" w:line="166" w:lineRule="exact"/>
        <w:rPr>
          <w:sz w:val="20"/>
          <w:szCs w:val="20"/>
          <w:color w:val="auto"/>
        </w:rPr>
      </w:pPr>
    </w:p>
    <w:p>
      <w:pPr>
        <w:jc w:val="both"/>
        <w:ind w:firstLine="646"/>
        <w:spacing w:after="0" w:line="258" w:lineRule="auto"/>
        <w:tabs>
          <w:tab w:leader="none" w:pos="905"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other than Rule 144,</w:t>
      </w:r>
    </w:p>
    <w:p>
      <w:pPr>
        <w:spacing w:after="0" w:line="2" w:lineRule="exact"/>
        <w:rPr>
          <w:rFonts w:ascii="Times New Roman" w:cs="Times New Roman" w:eastAsia="Times New Roman" w:hAnsi="Times New Roman"/>
          <w:sz w:val="18"/>
          <w:szCs w:val="18"/>
          <w:color w:val="auto"/>
        </w:rPr>
      </w:pPr>
    </w:p>
    <w:p>
      <w:pPr>
        <w:jc w:val="both"/>
        <w:ind w:firstLine="7"/>
        <w:spacing w:after="0" w:line="229" w:lineRule="auto"/>
        <w:tabs>
          <w:tab w:leader="none" w:pos="35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8" w:lineRule="exact"/>
        <w:rPr>
          <w:rFonts w:ascii="Times New Roman" w:cs="Times New Roman" w:eastAsia="Times New Roman" w:hAnsi="Times New Roman"/>
          <w:sz w:val="20"/>
          <w:szCs w:val="20"/>
          <w:color w:val="auto"/>
        </w:rPr>
      </w:pPr>
    </w:p>
    <w:p>
      <w:pPr>
        <w:jc w:val="both"/>
        <w:ind w:firstLine="646"/>
        <w:spacing w:after="0" w:line="231" w:lineRule="auto"/>
        <w:tabs>
          <w:tab w:leader="none" w:pos="956"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Check if Exchange is from Restricted Definitive Note to Unrestricted Definitive Note</w:t>
      </w:r>
      <w:r>
        <w:rPr>
          <w:rFonts w:ascii="Times New Roman" w:cs="Times New Roman" w:eastAsia="Times New Roman" w:hAnsi="Times New Roman"/>
          <w:sz w:val="20"/>
          <w:szCs w:val="20"/>
          <w:color w:val="auto"/>
        </w:rPr>
        <w:t>. In connection with the Owner’s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0" w:lineRule="exact"/>
        <w:rPr>
          <w:sz w:val="20"/>
          <w:szCs w:val="20"/>
          <w:color w:val="auto"/>
        </w:rPr>
      </w:pPr>
    </w:p>
    <w:p>
      <w:pPr>
        <w:ind w:firstLine="646"/>
        <w:spacing w:after="0" w:line="251" w:lineRule="auto"/>
        <w:tabs>
          <w:tab w:leader="none" w:pos="98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59" w:lineRule="exact"/>
        <w:rPr>
          <w:sz w:val="20"/>
          <w:szCs w:val="20"/>
          <w:color w:val="auto"/>
        </w:rPr>
      </w:pPr>
    </w:p>
    <w:p>
      <w:pPr>
        <w:jc w:val="both"/>
        <w:ind w:firstLine="646"/>
        <w:spacing w:after="0" w:line="232" w:lineRule="auto"/>
        <w:tabs>
          <w:tab w:leader="none" w:pos="90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Check if Exchange is from beneficial interest in a Restricted Global Note to Restricted Definitive Note. </w:t>
      </w:r>
      <w:r>
        <w:rPr>
          <w:rFonts w:ascii="Times New Roman" w:cs="Times New Roman" w:eastAsia="Times New Roman" w:hAnsi="Times New Roman"/>
          <w:sz w:val="20"/>
          <w:szCs w:val="20"/>
          <w:color w:val="auto"/>
        </w:rPr>
        <w:t>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2" w:lineRule="exact"/>
        <w:rPr>
          <w:rFonts w:ascii="Times New Roman" w:cs="Times New Roman" w:eastAsia="Times New Roman" w:hAnsi="Times New Roman"/>
          <w:sz w:val="20"/>
          <w:szCs w:val="20"/>
          <w:color w:val="auto"/>
        </w:rPr>
      </w:pPr>
    </w:p>
    <w:p>
      <w:pPr>
        <w:jc w:val="both"/>
        <w:ind w:firstLine="646"/>
        <w:spacing w:after="0" w:line="230" w:lineRule="auto"/>
        <w:tabs>
          <w:tab w:leader="none" w:pos="91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Check if Exchange is from Restricted Definitive Note to beneficial interest in a Restricted Global Note</w:t>
      </w:r>
      <w:r>
        <w:rPr>
          <w:rFonts w:ascii="Times New Roman" w:cs="Times New Roman" w:eastAsia="Times New Roman" w:hAnsi="Times New Roman"/>
          <w:sz w:val="20"/>
          <w:szCs w:val="20"/>
          <w:color w:val="auto"/>
        </w:rPr>
        <w:t>.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of the Owner’s Restricted Definitive Note for a beneficial interest in the [CHECK ONE] 144A Global Note,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other than Rule 144,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257810</wp:posOffset>
            </wp:positionV>
            <wp:extent cx="2482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3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1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-12700</wp:posOffset>
            </wp:positionV>
            <wp:extent cx="248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w:t>
      </w:r>
    </w:p>
    <w:p>
      <w:pPr>
        <w:sectPr>
          <w:pgSz w:w="11900" w:h="16838" w:orient="portrait"/>
          <w:cols w:equalWidth="0" w:num="1">
            <w:col w:w="11240"/>
          </w:cols>
          <w:pgMar w:left="320" w:top="1440" w:right="339" w:bottom="1440" w:gutter="0" w:footer="0" w:header="0"/>
        </w:sectPr>
      </w:pPr>
    </w:p>
    <w:bookmarkStart w:id="145" w:name="page146"/>
    <w:bookmarkEnd w:id="145"/>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C-3</w:t>
      </w:r>
    </w:p>
    <w:p>
      <w:pPr>
        <w:sectPr>
          <w:pgSz w:w="11900" w:h="16838" w:orient="portrait"/>
          <w:cols w:equalWidth="0" w:num="1">
            <w:col w:w="10139"/>
          </w:cols>
          <w:pgMar w:left="320" w:top="1396"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1"/>
          <w:szCs w:val="21"/>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SUPPLEMENTAL INDENTURE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DELIVERED BY SUBSEQUENT GUARANTORS]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Supplemental Indenture (this “</w:t>
      </w:r>
      <w:r>
        <w:rPr>
          <w:rFonts w:ascii="Times New Roman" w:cs="Times New Roman" w:eastAsia="Times New Roman" w:hAnsi="Times New Roman"/>
          <w:sz w:val="20"/>
          <w:szCs w:val="20"/>
          <w:i w:val="1"/>
          <w:iCs w:val="1"/>
          <w:color w:val="auto"/>
        </w:rPr>
        <w:t>Supplemental Indenture</w:t>
      </w:r>
      <w:r>
        <w:rPr>
          <w:rFonts w:ascii="Times New Roman" w:cs="Times New Roman" w:eastAsia="Times New Roman" w:hAnsi="Times New Roman"/>
          <w:sz w:val="20"/>
          <w:szCs w:val="20"/>
          <w:color w:val="auto"/>
        </w:rPr>
        <w:t>”), dated as of ________________, among __________________ (the</w:t>
      </w:r>
    </w:p>
    <w:p>
      <w:pPr>
        <w:spacing w:after="0" w:line="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Guaranteeing Subsidiary</w:t>
      </w:r>
      <w:r>
        <w:rPr>
          <w:rFonts w:ascii="Times New Roman" w:cs="Times New Roman" w:eastAsia="Times New Roman" w:hAnsi="Times New Roman"/>
          <w:sz w:val="20"/>
          <w:szCs w:val="20"/>
          <w:color w:val="auto"/>
        </w:rPr>
        <w:t>”), a subsidiary of California Resources Corporation, a Delaware corporation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other Guarantors (as defined in the Indenture referred to herein) and Wilmington Trust, National Association, as trustee under the Indenture referred to below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19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WHEREAS, the Issuer has heretofore executed and delivered to the Trustee an indenture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dated as of June 26, 2026 providing for the issuance of 7.250% Senior Notes due 2035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and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pursuant to Section 9.01 of the Indenture, the Trustee is authorized to execute and deliver this Supplemental Indenture.</w:t>
      </w:r>
    </w:p>
    <w:p>
      <w:pPr>
        <w:spacing w:after="0" w:line="196"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Guaranteeing Subsidiary, the other Guarantors, the Issuer and the Trustee mutually covenant and agree for the equal and ratable benefit of the Holders of the Notes as follows:</w:t>
      </w:r>
    </w:p>
    <w:p>
      <w:pPr>
        <w:spacing w:after="0" w:line="175" w:lineRule="exact"/>
        <w:rPr>
          <w:sz w:val="20"/>
          <w:szCs w:val="20"/>
          <w:color w:val="auto"/>
        </w:rPr>
      </w:pPr>
    </w:p>
    <w:p>
      <w:pPr>
        <w:ind w:left="980" w:hanging="334"/>
        <w:spacing w:after="0"/>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19" w:lineRule="exact"/>
        <w:rPr>
          <w:rFonts w:ascii="Times New Roman" w:cs="Times New Roman" w:eastAsia="Times New Roman" w:hAnsi="Times New Roman"/>
          <w:sz w:val="18"/>
          <w:szCs w:val="18"/>
          <w:color w:val="auto"/>
        </w:rPr>
      </w:pPr>
    </w:p>
    <w:p>
      <w:pPr>
        <w:ind w:firstLine="646"/>
        <w:spacing w:after="0" w:line="247" w:lineRule="auto"/>
        <w:tabs>
          <w:tab w:leader="none" w:pos="99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5"/>
          <w:szCs w:val="15"/>
          <w:color w:val="auto"/>
        </w:rPr>
        <w:t>UARANTEE</w:t>
      </w:r>
      <w:r>
        <w:rPr>
          <w:rFonts w:ascii="Times New Roman" w:cs="Times New Roman" w:eastAsia="Times New Roman" w:hAnsi="Times New Roman"/>
          <w:sz w:val="20"/>
          <w:szCs w:val="20"/>
          <w:color w:val="auto"/>
        </w:rPr>
        <w:t>. The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79" w:lineRule="exact"/>
        <w:rPr>
          <w:rFonts w:ascii="Times New Roman" w:cs="Times New Roman" w:eastAsia="Times New Roman" w:hAnsi="Times New Roman"/>
          <w:sz w:val="20"/>
          <w:szCs w:val="20"/>
          <w:color w:val="auto"/>
        </w:rPr>
      </w:pPr>
    </w:p>
    <w:p>
      <w:pPr>
        <w:jc w:val="both"/>
        <w:ind w:firstLine="646"/>
        <w:spacing w:after="0" w:line="231" w:lineRule="auto"/>
        <w:tabs>
          <w:tab w:leader="none" w:pos="107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5"/>
          <w:szCs w:val="15"/>
          <w:color w:val="auto"/>
        </w:rPr>
        <w:t>O</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5"/>
          <w:szCs w:val="15"/>
          <w:color w:val="auto"/>
        </w:rPr>
        <w:t>ECOURSE</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5"/>
          <w:szCs w:val="15"/>
          <w:color w:val="auto"/>
        </w:rPr>
        <w:t>GAINST</w:t>
      </w:r>
      <w:r>
        <w:rPr>
          <w:rFonts w:ascii="Times New Roman" w:cs="Times New Roman" w:eastAsia="Times New Roman" w:hAnsi="Times New Roman"/>
          <w:sz w:val="20"/>
          <w:szCs w:val="20"/>
          <w:color w:val="auto"/>
        </w:rPr>
        <w:t xml:space="preserve"> O</w:t>
      </w:r>
      <w:r>
        <w:rPr>
          <w:rFonts w:ascii="Times New Roman" w:cs="Times New Roman" w:eastAsia="Times New Roman" w:hAnsi="Times New Roman"/>
          <w:sz w:val="15"/>
          <w:szCs w:val="15"/>
          <w:color w:val="auto"/>
        </w:rPr>
        <w:t>THERS</w:t>
      </w:r>
      <w:r>
        <w:rPr>
          <w:rFonts w:ascii="Times New Roman" w:cs="Times New Roman" w:eastAsia="Times New Roman" w:hAnsi="Times New Roman"/>
          <w:sz w:val="20"/>
          <w:szCs w:val="20"/>
          <w:color w:val="auto"/>
        </w:rPr>
        <w:t>.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2" w:lineRule="exact"/>
        <w:rPr>
          <w:rFonts w:ascii="Times New Roman" w:cs="Times New Roman" w:eastAsia="Times New Roman" w:hAnsi="Times New Roman"/>
          <w:sz w:val="20"/>
          <w:szCs w:val="20"/>
          <w:color w:val="auto"/>
        </w:rPr>
      </w:pPr>
    </w:p>
    <w:p>
      <w:pPr>
        <w:jc w:val="both"/>
        <w:ind w:firstLine="646"/>
        <w:spacing w:after="0" w:line="236" w:lineRule="auto"/>
        <w:tabs>
          <w:tab w:leader="none" w:pos="117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87" w:lineRule="exact"/>
        <w:rPr>
          <w:rFonts w:ascii="Times New Roman" w:cs="Times New Roman" w:eastAsia="Times New Roman" w:hAnsi="Times New Roman"/>
          <w:sz w:val="20"/>
          <w:szCs w:val="20"/>
          <w:color w:val="auto"/>
        </w:rPr>
      </w:pPr>
    </w:p>
    <w:p>
      <w:pPr>
        <w:jc w:val="both"/>
        <w:ind w:firstLine="646"/>
        <w:spacing w:after="0" w:line="274" w:lineRule="auto"/>
        <w:tabs>
          <w:tab w:leader="none" w:pos="98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D-1</w:t>
      </w:r>
    </w:p>
    <w:p>
      <w:pPr>
        <w:sectPr>
          <w:pgSz w:w="11900" w:h="16838" w:orient="portrait"/>
          <w:cols w:equalWidth="0" w:num="1">
            <w:col w:w="11240"/>
          </w:cols>
          <w:pgMar w:left="320" w:top="125" w:right="339" w:bottom="1440" w:gutter="0" w:footer="0" w:header="0"/>
        </w:sectPr>
      </w:pPr>
    </w:p>
    <w:bookmarkStart w:id="147" w:name="page148"/>
    <w:bookmarkEnd w:id="147"/>
    <w:p>
      <w:pPr>
        <w:jc w:val="both"/>
        <w:spacing w:after="0" w:line="228" w:lineRule="auto"/>
        <w:rPr>
          <w:sz w:val="20"/>
          <w:szCs w:val="20"/>
          <w:color w:val="auto"/>
        </w:rPr>
      </w:pPr>
      <w:r>
        <w:rPr>
          <w:rFonts w:ascii="Times New Roman" w:cs="Times New Roman" w:eastAsia="Times New Roman" w:hAnsi="Times New Roman"/>
          <w:sz w:val="20"/>
          <w:szCs w:val="20"/>
          <w:color w:val="auto"/>
        </w:rPr>
        <w:t>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9" w:lineRule="exact"/>
        <w:rPr>
          <w:sz w:val="20"/>
          <w:szCs w:val="20"/>
          <w:color w:val="auto"/>
        </w:rPr>
      </w:pPr>
    </w:p>
    <w:p>
      <w:pPr>
        <w:ind w:left="980" w:hanging="334"/>
        <w:spacing w:after="0"/>
        <w:tabs>
          <w:tab w:leader="none" w:pos="9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5"/>
          <w:szCs w:val="15"/>
          <w:color w:val="auto"/>
        </w:rPr>
        <w:t>FFECT OF</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5"/>
          <w:szCs w:val="15"/>
          <w:color w:val="auto"/>
        </w:rPr>
        <w:t>EADINGS</w:t>
      </w:r>
      <w:r>
        <w:rPr>
          <w:rFonts w:ascii="Times New Roman" w:cs="Times New Roman" w:eastAsia="Times New Roman" w:hAnsi="Times New Roman"/>
          <w:sz w:val="20"/>
          <w:szCs w:val="20"/>
          <w:color w:val="auto"/>
        </w:rPr>
        <w:t>. The Section headings herein are for convenience only and shall not affect the construction hereof.</w:t>
      </w:r>
    </w:p>
    <w:p>
      <w:pPr>
        <w:spacing w:after="0" w:line="196" w:lineRule="exact"/>
        <w:rPr>
          <w:rFonts w:ascii="Times New Roman" w:cs="Times New Roman" w:eastAsia="Times New Roman" w:hAnsi="Times New Roman"/>
          <w:sz w:val="20"/>
          <w:szCs w:val="20"/>
          <w:color w:val="auto"/>
        </w:rPr>
      </w:pPr>
    </w:p>
    <w:p>
      <w:pPr>
        <w:jc w:val="both"/>
        <w:ind w:firstLine="646"/>
        <w:spacing w:after="0" w:line="242" w:lineRule="auto"/>
        <w:tabs>
          <w:tab w:leader="none" w:pos="97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5"/>
          <w:szCs w:val="15"/>
          <w:color w:val="auto"/>
        </w:rPr>
        <w:t>HE</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5"/>
          <w:szCs w:val="15"/>
          <w:color w:val="auto"/>
        </w:rPr>
        <w:t>RUSTEE</w:t>
      </w:r>
      <w:r>
        <w:rPr>
          <w:rFonts w:ascii="Times New Roman" w:cs="Times New Roman" w:eastAsia="Times New Roman" w:hAnsi="Times New Roman"/>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the other Guarantors and the Issuer.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D-2</w:t>
      </w:r>
    </w:p>
    <w:p>
      <w:pPr>
        <w:sectPr>
          <w:pgSz w:w="11900" w:h="16838" w:orient="portrait"/>
          <w:cols w:equalWidth="0" w:num="1">
            <w:col w:w="11240"/>
          </w:cols>
          <w:pgMar w:left="320" w:top="1396" w:right="339" w:bottom="1440" w:gutter="0" w:footer="0" w:header="0"/>
        </w:sectPr>
      </w:pPr>
    </w:p>
    <w:bookmarkStart w:id="148" w:name="page149"/>
    <w:bookmarkEnd w:id="148"/>
    <w:p>
      <w:pPr>
        <w:ind w:firstLine="640"/>
        <w:spacing w:after="0" w:line="275"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and attested, all as of the date first above written.</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Dated: _______________</w:t>
      </w:r>
    </w:p>
    <w:p>
      <w:pPr>
        <w:spacing w:after="0" w:line="2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5"/>
          <w:szCs w:val="15"/>
          <w:color w:val="auto"/>
        </w:rPr>
        <w:t>UARANTEEING</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5"/>
          <w:szCs w:val="15"/>
          <w:color w:val="auto"/>
        </w:rPr>
        <w:t>UBSIDIARY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 _______________________________</w:t>
      </w:r>
    </w:p>
    <w:p>
      <w:pPr>
        <w:spacing w:after="0" w:line="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Name:</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Title:</w:t>
      </w:r>
    </w:p>
    <w:p>
      <w:pPr>
        <w:spacing w:after="0" w:line="1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-12700</wp:posOffset>
            </wp:positionV>
            <wp:extent cx="3721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211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0"/>
          <w:szCs w:val="20"/>
          <w:color w:val="auto"/>
        </w:rPr>
        <w:t>Name:</w:t>
      </w:r>
    </w:p>
    <w:p>
      <w:pPr>
        <w:spacing w:after="0" w:line="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Title:</w:t>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1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-12700</wp:posOffset>
            </wp:positionV>
            <wp:extent cx="372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211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D-3</w:t>
      </w:r>
    </w:p>
    <w:sectPr>
      <w:pgSz w:w="11900" w:h="16838" w:orient="portrait"/>
      <w:cols w:equalWidth="0" w:num="1">
        <w:col w:w="11240"/>
      </w:cols>
      <w:pgMar w:left="320" w:top="13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1)"/>
      <w:numFmt w:val="decimal"/>
      <w:start w:val="1"/>
    </w:lvl>
  </w:abstractNum>
  <w:abstractNum w:abstractNumId="2">
    <w:nsid w:val="5FB8370B"/>
    <w:multiLevelType w:val="hybridMultilevel"/>
    <w:lvl w:ilvl="0">
      <w:lvlJc w:val="left"/>
      <w:lvlText w:val="(%1)"/>
      <w:numFmt w:val="decimal"/>
      <w:start w:val="1"/>
    </w:lvl>
  </w:abstractNum>
  <w:abstractNum w:abstractNumId="3">
    <w:nsid w:val="50801EE1"/>
    <w:multiLevelType w:val="hybridMultilevel"/>
    <w:lvl w:ilvl="0">
      <w:lvlJc w:val="left"/>
      <w:lvlText w:val="(%1)"/>
      <w:numFmt w:val="lowerRoman"/>
      <w:start w:val="1"/>
    </w:lvl>
    <w:lvl w:ilvl="1">
      <w:lvlJc w:val="left"/>
      <w:lvlText w:val="(%2)"/>
      <w:numFmt w:val="upperLetter"/>
      <w:start w:val="1"/>
    </w:lvl>
  </w:abstractNum>
  <w:abstractNum w:abstractNumId="4">
    <w:nsid w:val="488AC1A"/>
    <w:multiLevelType w:val="hybridMultilevel"/>
    <w:lvl w:ilvl="0">
      <w:lvlJc w:val="left"/>
      <w:lvlText w:val="(%1)"/>
      <w:numFmt w:val="upperLetter"/>
      <w:start w:val="3"/>
    </w:lvl>
  </w:abstractNum>
  <w:abstractNum w:abstractNumId="5">
    <w:nsid w:val="5FB8011C"/>
    <w:multiLevelType w:val="hybridMultilevel"/>
    <w:lvl w:ilvl="0">
      <w:lvlJc w:val="left"/>
      <w:lvlText w:val="(%1)"/>
      <w:numFmt w:val="lowerRoman"/>
      <w:start w:val="2"/>
    </w:lvl>
  </w:abstractNum>
  <w:abstractNum w:abstractNumId="6">
    <w:nsid w:val="6AA78F7F"/>
    <w:multiLevelType w:val="hybridMultilevel"/>
    <w:lvl w:ilvl="0">
      <w:lvlJc w:val="left"/>
      <w:lvlText w:val="(%1)"/>
      <w:numFmt w:val="lowerRoman"/>
      <w:start w:val="3"/>
    </w:lvl>
    <w:lvl w:ilvl="1">
      <w:lvlJc w:val="left"/>
      <w:lvlText w:val="(%2)"/>
      <w:numFmt w:val="upperLetter"/>
      <w:start w:val="1"/>
    </w:lvl>
  </w:abstractNum>
  <w:abstractNum w:abstractNumId="7">
    <w:nsid w:val="7672BD23"/>
    <w:multiLevelType w:val="hybridMultilevel"/>
    <w:lvl w:ilvl="0">
      <w:lvlJc w:val="left"/>
      <w:lvlText w:val="(%1)"/>
      <w:numFmt w:val="lowerLetter"/>
      <w:start w:val="2"/>
    </w:lvl>
    <w:lvl w:ilvl="1">
      <w:lvlJc w:val="left"/>
      <w:lvlText w:val="(%2)"/>
      <w:numFmt w:val="lowerRoman"/>
      <w:start w:val="1"/>
    </w:lvl>
  </w:abstractNum>
  <w:abstractNum w:abstractNumId="8">
    <w:nsid w:val="6FC75AF8"/>
    <w:multiLevelType w:val="hybridMultilevel"/>
    <w:lvl w:ilvl="0">
      <w:lvlJc w:val="left"/>
      <w:lvlText w:val="(%1)"/>
      <w:numFmt w:val="decimal"/>
      <w:start w:val="1"/>
    </w:lvl>
    <w:lvl w:ilvl="1">
      <w:lvlJc w:val="left"/>
      <w:lvlText w:val="(%2)"/>
      <w:numFmt w:val="lowerLetter"/>
      <w:start w:val="1"/>
    </w:lvl>
  </w:abstractNum>
  <w:abstractNum w:abstractNumId="9">
    <w:nsid w:val="6A5F7029"/>
    <w:multiLevelType w:val="hybridMultilevel"/>
    <w:lvl w:ilvl="0">
      <w:lvlJc w:val="left"/>
      <w:lvlText w:val="(%1)"/>
      <w:numFmt w:val="decimal"/>
      <w:start w:val="1"/>
    </w:lvl>
  </w:abstractNum>
  <w:abstractNum w:abstractNumId="10">
    <w:nsid w:val="7D5E18F8"/>
    <w:multiLevelType w:val="hybridMultilevel"/>
    <w:lvl w:ilvl="0">
      <w:lvlJc w:val="left"/>
      <w:lvlText w:val="(%1)"/>
      <w:numFmt w:val="decimal"/>
      <w:start w:val="1"/>
    </w:lvl>
  </w:abstractNum>
  <w:abstractNum w:abstractNumId="11">
    <w:nsid w:val="5F3534A4"/>
    <w:multiLevelType w:val="hybridMultilevel"/>
    <w:lvl w:ilvl="0">
      <w:lvlJc w:val="left"/>
      <w:lvlText w:val="(%1)"/>
      <w:numFmt w:val="decimal"/>
      <w:start w:val="15"/>
    </w:lvl>
  </w:abstractNum>
  <w:abstractNum w:abstractNumId="12">
    <w:nsid w:val="73A1821B"/>
    <w:multiLevelType w:val="hybridMultilevel"/>
    <w:lvl w:ilvl="0">
      <w:lvlJc w:val="left"/>
      <w:lvlText w:val="(%1)"/>
      <w:numFmt w:val="decimal"/>
      <w:start w:val="1"/>
    </w:lvl>
  </w:abstractNum>
  <w:abstractNum w:abstractNumId="13">
    <w:nsid w:val="7DE67713"/>
    <w:multiLevelType w:val="hybridMultilevel"/>
    <w:lvl w:ilvl="0">
      <w:lvlJc w:val="left"/>
      <w:lvlText w:val="(%1)"/>
      <w:numFmt w:val="decimal"/>
      <w:start w:val="1"/>
    </w:lvl>
  </w:abstractNum>
  <w:abstractNum w:abstractNumId="14">
    <w:nsid w:val="555C55B5"/>
    <w:multiLevelType w:val="hybridMultilevel"/>
    <w:lvl w:ilvl="0">
      <w:lvlJc w:val="left"/>
      <w:lvlText w:val="(%1)"/>
      <w:numFmt w:val="decimal"/>
      <w:start w:val="1"/>
    </w:lvl>
  </w:abstractNum>
  <w:abstractNum w:abstractNumId="15">
    <w:nsid w:val="3FA62ACA"/>
    <w:multiLevelType w:val="hybridMultilevel"/>
    <w:lvl w:ilvl="0">
      <w:lvlJc w:val="left"/>
      <w:lvlText w:val="(%1)"/>
      <w:numFmt w:val="decimal"/>
      <w:start w:val="5"/>
    </w:lvl>
  </w:abstractNum>
  <w:abstractNum w:abstractNumId="16">
    <w:nsid w:val="14FCE74E"/>
    <w:multiLevelType w:val="hybridMultilevel"/>
    <w:lvl w:ilvl="0">
      <w:lvlJc w:val="left"/>
      <w:lvlText w:val="(%1)"/>
      <w:numFmt w:val="decimal"/>
      <w:start w:val="1"/>
    </w:lvl>
  </w:abstractNum>
  <w:abstractNum w:abstractNumId="17">
    <w:nsid w:val="6A3DD3E8"/>
    <w:multiLevelType w:val="hybridMultilevel"/>
    <w:lvl w:ilvl="0">
      <w:lvlJc w:val="left"/>
      <w:lvlText w:val="(%1)"/>
      <w:numFmt w:val="decimal"/>
      <w:start w:val="1"/>
    </w:lvl>
  </w:abstractNum>
  <w:abstractNum w:abstractNumId="18">
    <w:nsid w:val="71C91298"/>
    <w:multiLevelType w:val="hybridMultilevel"/>
    <w:lvl w:ilvl="0">
      <w:lvlJc w:val="left"/>
      <w:lvlText w:val="(%1)"/>
      <w:numFmt w:val="decimal"/>
      <w:start w:val="1"/>
    </w:lvl>
  </w:abstractNum>
  <w:abstractNum w:abstractNumId="19">
    <w:nsid w:val="9DAF632"/>
    <w:multiLevelType w:val="hybridMultilevel"/>
    <w:lvl w:ilvl="0">
      <w:lvlJc w:val="left"/>
      <w:lvlText w:val="(%1)"/>
      <w:numFmt w:val="decimal"/>
      <w:start w:val="1"/>
    </w:lvl>
  </w:abstractNum>
  <w:abstractNum w:abstractNumId="20">
    <w:nsid w:val="53299938"/>
    <w:multiLevelType w:val="hybridMultilevel"/>
    <w:lvl w:ilvl="0">
      <w:lvlJc w:val="left"/>
      <w:lvlText w:val="(%1)"/>
      <w:numFmt w:val="decimal"/>
      <w:start w:val="7"/>
    </w:lvl>
  </w:abstractNum>
  <w:abstractNum w:abstractNumId="21">
    <w:nsid w:val="1FBFE8E0"/>
    <w:multiLevelType w:val="hybridMultilevel"/>
    <w:lvl w:ilvl="0">
      <w:lvlJc w:val="left"/>
      <w:lvlText w:val="(%1)"/>
      <w:numFmt w:val="decimal"/>
      <w:start w:val="1"/>
    </w:lvl>
  </w:abstractNum>
  <w:abstractNum w:abstractNumId="22">
    <w:nsid w:val="5092CA79"/>
    <w:multiLevelType w:val="hybridMultilevel"/>
    <w:lvl w:ilvl="0">
      <w:lvlJc w:val="left"/>
      <w:lvlText w:val="(%1)"/>
      <w:numFmt w:val="decimal"/>
      <w:start w:val="4"/>
    </w:lvl>
  </w:abstractNum>
  <w:abstractNum w:abstractNumId="23">
    <w:nsid w:val="1D545C4D"/>
    <w:multiLevelType w:val="hybridMultilevel"/>
    <w:lvl w:ilvl="0">
      <w:lvlJc w:val="left"/>
      <w:lvlText w:val="(%1)"/>
      <w:numFmt w:val="decimal"/>
      <w:start w:val="1"/>
    </w:lvl>
  </w:abstractNum>
  <w:abstractNum w:abstractNumId="24">
    <w:nsid w:val="59ADEA3D"/>
    <w:multiLevelType w:val="hybridMultilevel"/>
    <w:lvl w:ilvl="0">
      <w:lvlJc w:val="left"/>
      <w:lvlText w:val="(%1)"/>
      <w:numFmt w:val="decimal"/>
      <w:start w:val="1"/>
    </w:lvl>
    <w:lvl w:ilvl="1">
      <w:lvlJc w:val="left"/>
      <w:lvlText w:val="(%2)"/>
      <w:numFmt w:val="lowerLetter"/>
      <w:start w:val="1"/>
    </w:lvl>
  </w:abstractNum>
  <w:abstractNum w:abstractNumId="25">
    <w:nsid w:val="288F1A34"/>
    <w:multiLevelType w:val="hybridMultilevel"/>
    <w:lvl w:ilvl="0">
      <w:lvlJc w:val="left"/>
      <w:lvlText w:val="(%1)"/>
      <w:numFmt w:val="decimal"/>
      <w:start w:val="1"/>
    </w:lvl>
  </w:abstractNum>
  <w:abstractNum w:abstractNumId="26">
    <w:nsid w:val="2A155DBC"/>
    <w:multiLevelType w:val="hybridMultilevel"/>
    <w:lvl w:ilvl="0">
      <w:lvlJc w:val="left"/>
      <w:lvlText w:val="(%1)"/>
      <w:numFmt w:val="decimal"/>
      <w:start w:val="3"/>
    </w:lvl>
  </w:abstractNum>
  <w:abstractNum w:abstractNumId="27">
    <w:nsid w:val="1D9F6E5F"/>
    <w:multiLevelType w:val="hybridMultilevel"/>
    <w:lvl w:ilvl="0">
      <w:lvlJc w:val="left"/>
      <w:lvlText w:val="(%1)"/>
      <w:numFmt w:val="decimal"/>
      <w:start w:val="1"/>
    </w:lvl>
  </w:abstractNum>
  <w:abstractNum w:abstractNumId="28">
    <w:nsid w:val="97E1B4E"/>
    <w:multiLevelType w:val="hybridMultilevel"/>
    <w:lvl w:ilvl="0">
      <w:lvlJc w:val="left"/>
      <w:lvlText w:val="(%1)"/>
      <w:numFmt w:val="decimal"/>
      <w:start w:val="2"/>
    </w:lvl>
  </w:abstractNum>
  <w:abstractNum w:abstractNumId="29">
    <w:nsid w:val="51088277"/>
    <w:multiLevelType w:val="hybridMultilevel"/>
    <w:lvl w:ilvl="0">
      <w:lvlJc w:val="left"/>
      <w:lvlText w:val="(%1)"/>
      <w:numFmt w:val="decimal"/>
      <w:start w:val="1"/>
    </w:lvl>
  </w:abstractNum>
  <w:abstractNum w:abstractNumId="30">
    <w:nsid w:val="1CA0C5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
    <w:nsid w:val="53584BCB"/>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abstractNum>
  <w:abstractNum w:abstractNumId="32">
    <w:nsid w:val="415E286C"/>
    <w:multiLevelType w:val="hybridMultilevel"/>
    <w:lvl w:ilvl="0">
      <w:lvlJc w:val="left"/>
      <w:lvlText w:val="(%1)"/>
      <w:numFmt w:val="decimal"/>
      <w:start w:val="10"/>
    </w:lvl>
  </w:abstractNum>
  <w:abstractNum w:abstractNumId="33">
    <w:nsid w:val="7C58FD05"/>
    <w:multiLevelType w:val="hybridMultilevel"/>
    <w:lvl w:ilvl="0">
      <w:lvlJc w:val="left"/>
      <w:lvlText w:val="(%1)"/>
      <w:numFmt w:val="decimal"/>
      <w:start w:val="21"/>
    </w:lvl>
  </w:abstractNum>
  <w:abstractNum w:abstractNumId="34">
    <w:nsid w:val="23D86AAC"/>
    <w:multiLevelType w:val="hybridMultilevel"/>
    <w:lvl w:ilvl="0">
      <w:lvlJc w:val="left"/>
      <w:lvlText w:val="(%1)"/>
      <w:numFmt w:val="decimal"/>
      <w:start w:val="1"/>
    </w:lvl>
  </w:abstractNum>
  <w:abstractNum w:abstractNumId="35">
    <w:nsid w:val="45E6D486"/>
    <w:multiLevelType w:val="hybridMultilevel"/>
    <w:lvl w:ilvl="0">
      <w:lvlJc w:val="left"/>
      <w:lvlText w:val="(%1)"/>
      <w:numFmt w:val="decimal"/>
      <w:start w:val="7"/>
    </w:lvl>
    <w:lvl w:ilvl="1">
      <w:lvlJc w:val="left"/>
      <w:lvlText w:val="(%2)"/>
      <w:numFmt w:val="lowerLetter"/>
      <w:start w:val="1"/>
    </w:lvl>
  </w:abstractNum>
  <w:abstractNum w:abstractNumId="36">
    <w:nsid w:val="5C10FE21"/>
    <w:multiLevelType w:val="hybridMultilevel"/>
    <w:lvl w:ilvl="0">
      <w:lvlJc w:val="left"/>
      <w:lvlText w:val="(%1)"/>
      <w:numFmt w:val="decimal"/>
      <w:start w:val="16"/>
    </w:lvl>
    <w:lvl w:ilvl="1">
      <w:lvlJc w:val="left"/>
      <w:lvlText w:val="(%2)"/>
      <w:numFmt w:val="lowerLetter"/>
      <w:start w:val="1"/>
    </w:lvl>
  </w:abstractNum>
  <w:abstractNum w:abstractNumId="37">
    <w:nsid w:val="E7FFA2B"/>
    <w:multiLevelType w:val="hybridMultilevel"/>
    <w:lvl w:ilvl="0">
      <w:lvlJc w:val="left"/>
      <w:lvlText w:val="%1"/>
      <w:numFmt w:val="decimal"/>
      <w:start w:val="1"/>
    </w:lvl>
    <w:lvl w:ilvl="1">
      <w:lvlJc w:val="left"/>
      <w:lvlText w:val="(%2)"/>
      <w:numFmt w:val="lowerLetter"/>
      <w:start w:val="2"/>
    </w:lvl>
  </w:abstractNum>
  <w:abstractNum w:abstractNumId="38">
    <w:nsid w:val="3C5991AA"/>
    <w:multiLevelType w:val="hybridMultilevel"/>
    <w:lvl w:ilvl="0">
      <w:lvlJc w:val="left"/>
      <w:lvlText w:val="(%1)"/>
      <w:numFmt w:val="decimal"/>
      <w:start w:val="25"/>
    </w:lvl>
    <w:lvl w:ilvl="1">
      <w:lvlJc w:val="left"/>
      <w:lvlText w:val="%2"/>
      <w:numFmt w:val="lowerLetter"/>
      <w:start w:val="1"/>
    </w:lvl>
  </w:abstractNum>
  <w:abstractNum w:abstractNumId="39">
    <w:nsid w:val="4BD8591A"/>
    <w:multiLevelType w:val="hybridMultilevel"/>
    <w:lvl w:ilvl="0">
      <w:lvlJc w:val="left"/>
      <w:lvlText w:val="(%1)"/>
      <w:numFmt w:val="decimal"/>
      <w:start w:val="1"/>
    </w:lvl>
  </w:abstractNum>
  <w:abstractNum w:abstractNumId="40">
    <w:nsid w:val="78DF6A55"/>
    <w:multiLevelType w:val="hybridMultilevel"/>
    <w:lvl w:ilvl="0">
      <w:lvlJc w:val="left"/>
      <w:lvlText w:val="(%1)"/>
      <w:numFmt w:val="decimal"/>
      <w:start w:val="1"/>
    </w:lvl>
  </w:abstractNum>
  <w:abstractNum w:abstractNumId="41">
    <w:nsid w:val="39B7AAA2"/>
    <w:multiLevelType w:val="hybridMultilevel"/>
    <w:lvl w:ilvl="0">
      <w:lvlJc w:val="left"/>
      <w:lvlText w:val="(%1)"/>
      <w:numFmt w:val="decimal"/>
      <w:start w:val="1"/>
    </w:lvl>
  </w:abstractNum>
  <w:abstractNum w:abstractNumId="42">
    <w:nsid w:val="2B0D8DBE"/>
    <w:multiLevelType w:val="hybridMultilevel"/>
    <w:lvl w:ilvl="0">
      <w:lvlJc w:val="left"/>
      <w:lvlText w:val="(%1)"/>
      <w:numFmt w:val="decimal"/>
      <w:start w:val="1"/>
    </w:lvl>
  </w:abstractNum>
  <w:abstractNum w:abstractNumId="43">
    <w:nsid w:val="6C80EC70"/>
    <w:multiLevelType w:val="hybridMultilevel"/>
    <w:lvl w:ilvl="0">
      <w:lvlJc w:val="left"/>
      <w:lvlText w:val="(%1)"/>
      <w:numFmt w:val="decimal"/>
      <w:start w:val="1"/>
    </w:lvl>
  </w:abstractNum>
  <w:abstractNum w:abstractNumId="44">
    <w:nsid w:val="379E21B5"/>
    <w:multiLevelType w:val="hybridMultilevel"/>
    <w:lvl w:ilvl="0">
      <w:lvlJc w:val="left"/>
      <w:lvlText w:val="(%1)"/>
      <w:numFmt w:val="decimal"/>
      <w:start w:val="1"/>
    </w:lvl>
  </w:abstractNum>
  <w:abstractNum w:abstractNumId="45">
    <w:nsid w:val="69E373"/>
    <w:multiLevelType w:val="hybridMultilevel"/>
    <w:lvl w:ilvl="0">
      <w:lvlJc w:val="left"/>
      <w:lvlText w:val="(%1)"/>
      <w:numFmt w:val="decimal"/>
      <w:start w:val="1"/>
    </w:lvl>
  </w:abstractNum>
  <w:abstractNum w:abstractNumId="46">
    <w:nsid w:val="2C27173B"/>
    <w:multiLevelType w:val="hybridMultilevel"/>
    <w:lvl w:ilvl="0">
      <w:lvlJc w:val="left"/>
      <w:lvlText w:val="(%1)"/>
      <w:numFmt w:val="decimal"/>
      <w:start w:val="1"/>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Letter"/>
      <w:start w:val="7"/>
    </w:lvl>
  </w:abstractNum>
  <w:abstractNum w:abstractNumId="49">
    <w:nsid w:val="1DF029D3"/>
    <w:multiLevelType w:val="hybridMultilevel"/>
    <w:lvl w:ilvl="0">
      <w:lvlJc w:val="left"/>
      <w:lvlText w:val="(%1)"/>
      <w:numFmt w:val="lowerLetter"/>
      <w:start w:val="1"/>
    </w:lvl>
  </w:abstractNum>
  <w:abstractNum w:abstractNumId="50">
    <w:nsid w:val="5675FF36"/>
    <w:multiLevelType w:val="hybridMultilevel"/>
    <w:lvl w:ilvl="0">
      <w:lvlJc w:val="left"/>
      <w:lvlText w:val="(%1)"/>
      <w:numFmt w:val="lowerLetter"/>
      <w:start w:val="2"/>
    </w:lvl>
  </w:abstractNum>
  <w:abstractNum w:abstractNumId="51">
    <w:nsid w:val="3DD15094"/>
    <w:multiLevelType w:val="hybridMultilevel"/>
    <w:lvl w:ilvl="0">
      <w:lvlJc w:val="left"/>
      <w:lvlText w:val="(%1)"/>
      <w:numFmt w:val="lowerLetter"/>
      <w:start w:val="1"/>
    </w:lvl>
    <w:lvl w:ilvl="1">
      <w:lvlJc w:val="left"/>
      <w:lvlText w:val="(%2)"/>
      <w:numFmt w:val="decimal"/>
      <w:start w:val="1"/>
    </w:lvl>
  </w:abstractNum>
  <w:abstractNum w:abstractNumId="52">
    <w:nsid w:val="3DB012B3"/>
    <w:multiLevelType w:val="hybridMultilevel"/>
    <w:lvl w:ilvl="0">
      <w:lvlJc w:val="left"/>
      <w:lvlText w:val="(%1)"/>
      <w:numFmt w:val="lowerLetter"/>
      <w:start w:val="2"/>
    </w:lvl>
  </w:abstractNum>
  <w:abstractNum w:abstractNumId="53">
    <w:nsid w:val="2708C9AF"/>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4">
    <w:nsid w:val="5B25ACE2"/>
    <w:multiLevelType w:val="hybridMultilevel"/>
    <w:lvl w:ilvl="0">
      <w:lvlJc w:val="left"/>
      <w:lvlText w:val="(%1)"/>
      <w:numFmt w:val="decimal"/>
      <w:start w:val="1"/>
    </w:lvl>
  </w:abstractNum>
  <w:abstractNum w:abstractNumId="55">
    <w:nsid w:val="175DFCF0"/>
    <w:multiLevelType w:val="hybridMultilevel"/>
    <w:lvl w:ilvl="0">
      <w:lvlJc w:val="left"/>
      <w:lvlText w:val="(%1)"/>
      <w:numFmt w:val="lowerRoman"/>
      <w:start w:val="2"/>
    </w:lvl>
  </w:abstractNum>
  <w:abstractNum w:abstractNumId="56">
    <w:nsid w:val="4F97E3E4"/>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57">
    <w:nsid w:val="53B0A9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8">
    <w:nsid w:val="34FD6B4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59">
    <w:nsid w:val="5915FF32"/>
    <w:multiLevelType w:val="hybridMultilevel"/>
    <w:lvl w:ilvl="0">
      <w:lvlJc w:val="left"/>
      <w:lvlText w:val="(%1)"/>
      <w:numFmt w:val="decimal"/>
      <w:start w:val="3"/>
    </w:lvl>
  </w:abstractNum>
  <w:abstractNum w:abstractNumId="60">
    <w:nsid w:val="56438D15"/>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61">
    <w:nsid w:val="519E3149"/>
    <w:multiLevelType w:val="hybridMultilevel"/>
    <w:lvl w:ilvl="0">
      <w:lvlJc w:val="left"/>
      <w:lvlText w:val="(%1)"/>
      <w:numFmt w:val="decimal"/>
      <w:start w:val="2"/>
    </w:lvl>
    <w:lvl w:ilvl="1">
      <w:lvlJc w:val="left"/>
      <w:lvlText w:val="(%2)"/>
      <w:numFmt w:val="upperLetter"/>
      <w:start w:val="1"/>
    </w:lvl>
  </w:abstractNum>
  <w:abstractNum w:abstractNumId="62">
    <w:nsid w:val="2C6E4AFD"/>
    <w:multiLevelType w:val="hybridMultilevel"/>
    <w:lvl w:ilvl="0">
      <w:lvlJc w:val="left"/>
      <w:lvlText w:val="(%1)"/>
      <w:numFmt w:val="upperLetter"/>
      <w:start w:val="2"/>
    </w:lvl>
    <w:lvl w:ilvl="1">
      <w:lvlJc w:val="left"/>
      <w:lvlText w:val="(%2)"/>
      <w:numFmt w:val="lowerRoman"/>
      <w:start w:val="1"/>
    </w:lvl>
  </w:abstractNum>
  <w:abstractNum w:abstractNumId="63">
    <w:nsid w:val="17A1B582"/>
    <w:multiLevelType w:val="hybridMultilevel"/>
    <w:lvl w:ilvl="0">
      <w:lvlJc w:val="left"/>
      <w:lvlText w:val="%1"/>
      <w:numFmt w:val="lowerLetter"/>
      <w:start w:val="1"/>
    </w:lvl>
    <w:lvl w:ilvl="1">
      <w:lvlJc w:val="left"/>
      <w:lvlText w:val="(%2)"/>
      <w:numFmt w:val="decimal"/>
      <w:start w:val="3"/>
    </w:lvl>
  </w:abstractNum>
  <w:abstractNum w:abstractNumId="64">
    <w:nsid w:val="4DF72E4E"/>
    <w:multiLevelType w:val="hybridMultilevel"/>
    <w:lvl w:ilvl="0">
      <w:lvlJc w:val="left"/>
      <w:lvlText w:val="(%1)"/>
      <w:numFmt w:val="lowerLetter"/>
      <w:start w:val="5"/>
    </w:lvl>
    <w:lvl w:ilvl="1">
      <w:lvlJc w:val="left"/>
      <w:lvlText w:val="%2"/>
      <w:numFmt w:val="decimal"/>
      <w:start w:val="1"/>
    </w:lvl>
  </w:abstractNum>
  <w:abstractNum w:abstractNumId="65">
    <w:nsid w:val="5046B5A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6">
    <w:nsid w:val="5D888A08"/>
    <w:multiLevelType w:val="hybridMultilevel"/>
    <w:lvl w:ilvl="0">
      <w:lvlJc w:val="left"/>
      <w:lvlText w:val="(%1)"/>
      <w:numFmt w:val="decimal"/>
      <w:start w:val="3"/>
    </w:lvl>
  </w:abstractNum>
  <w:abstractNum w:abstractNumId="67">
    <w:nsid w:val="2A082C70"/>
    <w:multiLevelType w:val="hybridMultilevel"/>
    <w:lvl w:ilvl="0">
      <w:lvlJc w:val="left"/>
      <w:lvlText w:val="(%1)"/>
      <w:numFmt w:val="lowerLetter"/>
      <w:start w:val="6"/>
    </w:lvl>
    <w:lvl w:ilvl="1">
      <w:lvlJc w:val="left"/>
      <w:lvlText w:val="(%2)"/>
      <w:numFmt w:val="decimal"/>
      <w:start w:val="1"/>
    </w:lvl>
  </w:abstractNum>
  <w:abstractNum w:abstractNumId="68">
    <w:nsid w:val="5EC6AFD4"/>
    <w:multiLevelType w:val="hybridMultilevel"/>
    <w:lvl w:ilvl="0">
      <w:lvlJc w:val="left"/>
      <w:lvlText w:val="(%1)"/>
      <w:numFmt w:val="upperLetter"/>
      <w:start w:val="1"/>
    </w:lvl>
  </w:abstractNum>
  <w:abstractNum w:abstractNumId="69">
    <w:nsid w:val="19E21BB2"/>
    <w:multiLevelType w:val="hybridMultilevel"/>
    <w:lvl w:ilvl="0">
      <w:lvlJc w:val="left"/>
      <w:lvlText w:val="(%1)"/>
      <w:numFmt w:val="upperLetter"/>
      <w:start w:val="2"/>
    </w:lvl>
  </w:abstractNum>
  <w:abstractNum w:abstractNumId="70">
    <w:nsid w:val="75E0858A"/>
    <w:multiLevelType w:val="hybridMultilevel"/>
    <w:lvl w:ilvl="0">
      <w:lvlJc w:val="left"/>
      <w:lvlText w:val="(%1)"/>
      <w:numFmt w:val="upperLetter"/>
      <w:start w:val="2"/>
    </w:lvl>
    <w:lvl w:ilvl="1">
      <w:lvlJc w:val="left"/>
      <w:lvlText w:val="(%2)"/>
      <w:numFmt w:val="decimal"/>
      <w:start w:val="2"/>
    </w:lvl>
  </w:abstractNum>
  <w:abstractNum w:abstractNumId="71">
    <w:nsid w:val="57A61A29"/>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72">
    <w:nsid w:val="5399C654"/>
    <w:multiLevelType w:val="hybridMultilevel"/>
    <w:lvl w:ilvl="0">
      <w:lvlJc w:val="left"/>
      <w:lvlText w:val="%1"/>
      <w:numFmt w:val="decimal"/>
      <w:start w:val="1"/>
    </w:lvl>
    <w:lvl w:ilvl="1">
      <w:lvlJc w:val="left"/>
      <w:lvlText w:val="(%2)"/>
      <w:numFmt w:val="upperLetter"/>
      <w:start w:val="2"/>
    </w:lvl>
  </w:abstractNum>
  <w:abstractNum w:abstractNumId="73">
    <w:nsid w:val="20EE1348"/>
    <w:multiLevelType w:val="hybridMultilevel"/>
    <w:lvl w:ilvl="0">
      <w:lvlJc w:val="left"/>
      <w:lvlText w:val="(%1)"/>
      <w:numFmt w:val="decimal"/>
      <w:start w:val="6"/>
    </w:lvl>
    <w:lvl w:ilvl="1">
      <w:lvlJc w:val="left"/>
      <w:lvlText w:val="%2"/>
      <w:numFmt w:val="upperLetter"/>
      <w:start w:val="1"/>
    </w:lvl>
  </w:abstractNum>
  <w:abstractNum w:abstractNumId="74">
    <w:nsid w:val="4427069A"/>
    <w:multiLevelType w:val="hybridMultilevel"/>
    <w:lvl w:ilvl="0">
      <w:lvlJc w:val="left"/>
      <w:lvlText w:val="(%1)"/>
      <w:numFmt w:val="lowerLetter"/>
      <w:start w:val="1"/>
    </w:lvl>
    <w:lvl w:ilvl="1">
      <w:lvlJc w:val="left"/>
      <w:lvlText w:val="(%2)"/>
      <w:numFmt w:val="decimal"/>
      <w:start w:val="1"/>
    </w:lvl>
  </w:abstractNum>
  <w:abstractNum w:abstractNumId="75">
    <w:nsid w:val="B37E80A"/>
    <w:multiLevelType w:val="hybridMultilevel"/>
    <w:lvl w:ilvl="0">
      <w:lvlJc w:val="left"/>
      <w:lvlText w:val="(%1)"/>
      <w:numFmt w:val="lowerLetter"/>
      <w:start w:val="1"/>
    </w:lvl>
  </w:abstractNum>
  <w:abstractNum w:abstractNumId="76">
    <w:nsid w:val="2157F6BC"/>
    <w:multiLevelType w:val="hybridMultilevel"/>
    <w:lvl w:ilvl="0">
      <w:lvlJc w:val="left"/>
      <w:lvlText w:val="(%1)"/>
      <w:numFmt w:val="lowerLetter"/>
      <w:start w:val="1"/>
    </w:lvl>
  </w:abstractNum>
  <w:abstractNum w:abstractNumId="77">
    <w:nsid w:val="704E1DD5"/>
    <w:multiLevelType w:val="hybridMultilevel"/>
    <w:lvl w:ilvl="0">
      <w:lvlJc w:val="left"/>
      <w:lvlText w:val="(%1)"/>
      <w:numFmt w:val="lowerLetter"/>
      <w:start w:val="1"/>
    </w:lvl>
  </w:abstractNum>
  <w:abstractNum w:abstractNumId="78">
    <w:nsid w:val="57D2F10E"/>
    <w:multiLevelType w:val="hybridMultilevel"/>
    <w:lvl w:ilvl="0">
      <w:lvlJc w:val="left"/>
      <w:lvlText w:val="(%1)"/>
      <w:numFmt w:val="lowerLetter"/>
      <w:start w:val="5"/>
    </w:lvl>
  </w:abstractNum>
  <w:abstractNum w:abstractNumId="79">
    <w:nsid w:val="BFFAE18"/>
    <w:multiLevelType w:val="hybridMultilevel"/>
    <w:lvl w:ilvl="0">
      <w:lvlJc w:val="left"/>
      <w:lvlText w:val="(%1)"/>
      <w:numFmt w:val="lowerLetter"/>
      <w:start w:val="6"/>
    </w:lvl>
  </w:abstractNum>
  <w:abstractNum w:abstractNumId="80">
    <w:nsid w:val="E3E47A8"/>
    <w:multiLevelType w:val="hybridMultilevel"/>
    <w:lvl w:ilvl="0">
      <w:lvlJc w:val="left"/>
      <w:lvlText w:val="(%1)"/>
      <w:numFmt w:val="lowerLetter"/>
      <w:start w:val="1"/>
    </w:lvl>
  </w:abstractNum>
  <w:abstractNum w:abstractNumId="81">
    <w:nsid w:val="2E48F044"/>
    <w:multiLevelType w:val="hybridMultilevel"/>
    <w:lvl w:ilvl="0">
      <w:lvlJc w:val="left"/>
      <w:lvlText w:val="(%1)"/>
      <w:numFmt w:val="lowerLetter"/>
      <w:start w:val="1"/>
    </w:lvl>
    <w:lvl w:ilvl="1">
      <w:lvlJc w:val="left"/>
      <w:lvlText w:val="(%2)"/>
      <w:numFmt w:val="decimal"/>
      <w:start w:val="1"/>
    </w:lvl>
  </w:abstractNum>
  <w:abstractNum w:abstractNumId="82">
    <w:nsid w:val="49D0FEAC"/>
    <w:multiLevelType w:val="hybridMultilevel"/>
    <w:lvl w:ilvl="0">
      <w:lvlJc w:val="left"/>
      <w:lvlText w:val="(%1)"/>
      <w:numFmt w:val="lowerLetter"/>
      <w:start w:val="2"/>
    </w:lvl>
  </w:abstractNum>
  <w:abstractNum w:abstractNumId="83">
    <w:nsid w:val="4BEE5A5B"/>
    <w:multiLevelType w:val="hybridMultilevel"/>
    <w:lvl w:ilvl="0">
      <w:lvlJc w:val="left"/>
      <w:lvlText w:val="(%1)"/>
      <w:numFmt w:val="lowerLetter"/>
      <w:start w:val="5"/>
    </w:lvl>
  </w:abstractNum>
  <w:abstractNum w:abstractNumId="84">
    <w:nsid w:val="5551B9F3"/>
    <w:multiLevelType w:val="hybridMultilevel"/>
    <w:lvl w:ilvl="0">
      <w:lvlJc w:val="left"/>
      <w:lvlText w:val="(%1)"/>
      <w:numFmt w:val="lowerLetter"/>
      <w:start w:val="8"/>
    </w:lvl>
  </w:abstractNum>
  <w:abstractNum w:abstractNumId="85">
    <w:nsid w:val="24F6AB8E"/>
    <w:multiLevelType w:val="hybridMultilevel"/>
    <w:lvl w:ilvl="0">
      <w:lvlJc w:val="left"/>
      <w:lvlText w:val="(%1)"/>
      <w:numFmt w:val="lowerLetter"/>
      <w:start w:val="1"/>
    </w:lvl>
    <w:lvl w:ilvl="1">
      <w:lvlJc w:val="left"/>
      <w:lvlText w:val="(%2)"/>
      <w:numFmt w:val="decimal"/>
      <w:start w:val="1"/>
    </w:lvl>
  </w:abstractNum>
  <w:abstractNum w:abstractNumId="86">
    <w:nsid w:val="634C574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7">
    <w:nsid w:val="24E99DD7"/>
    <w:multiLevelType w:val="hybridMultilevel"/>
    <w:lvl w:ilvl="0">
      <w:lvlJc w:val="left"/>
      <w:lvlText w:val="(%1)"/>
      <w:numFmt w:val="decimal"/>
      <w:start w:val="14"/>
    </w:lvl>
    <w:lvl w:ilvl="1">
      <w:lvlJc w:val="left"/>
      <w:lvlText w:val="%2"/>
      <w:numFmt w:val="upperLetter"/>
      <w:start w:val="1"/>
    </w:lvl>
    <w:lvl w:ilvl="2">
      <w:lvlJc w:val="left"/>
      <w:lvlText w:val="(%3)"/>
      <w:numFmt w:val="lowerRoman"/>
      <w:start w:val="1"/>
    </w:lvl>
  </w:abstractNum>
  <w:abstractNum w:abstractNumId="88">
    <w:nsid w:val="2A31B62D"/>
    <w:multiLevelType w:val="hybridMultilevel"/>
    <w:lvl w:ilvl="0">
      <w:lvlJc w:val="left"/>
      <w:lvlText w:val="%1"/>
      <w:numFmt w:val="lowerLetter"/>
      <w:start w:val="1"/>
    </w:lvl>
    <w:lvl w:ilvl="1">
      <w:lvlJc w:val="left"/>
      <w:lvlText w:val="(%2)"/>
      <w:numFmt w:val="lowerRoman"/>
      <w:start w:val="4"/>
    </w:lvl>
  </w:abstractNum>
  <w:abstractNum w:abstractNumId="89">
    <w:nsid w:val="1849C29B"/>
    <w:multiLevelType w:val="hybridMultilevel"/>
    <w:lvl w:ilvl="0">
      <w:lvlJc w:val="left"/>
      <w:lvlText w:val="(%1)"/>
      <w:numFmt w:val="lowerLetter"/>
      <w:start w:val="2"/>
    </w:lvl>
    <w:lvl w:ilvl="1">
      <w:lvlJc w:val="left"/>
      <w:lvlText w:val="%2"/>
      <w:numFmt w:val="lowerRoman"/>
      <w:start w:val="1"/>
    </w:lvl>
  </w:abstractNum>
  <w:abstractNum w:abstractNumId="90">
    <w:nsid w:val="7DFF9D09"/>
    <w:multiLevelType w:val="hybridMultilevel"/>
    <w:lvl w:ilvl="0">
      <w:lvlJc w:val="left"/>
      <w:lvlText w:val="(%1)"/>
      <w:numFmt w:val="decimal"/>
      <w:start w:val="1"/>
    </w:lvl>
  </w:abstractNum>
  <w:abstractNum w:abstractNumId="91">
    <w:nsid w:val="754342"/>
    <w:multiLevelType w:val="hybridMultilevel"/>
    <w:lvl w:ilvl="0">
      <w:lvlJc w:val="left"/>
      <w:lvlText w:val="(%1)"/>
      <w:numFmt w:val="decimal"/>
      <w:start w:val="2"/>
    </w:lvl>
  </w:abstractNum>
  <w:abstractNum w:abstractNumId="92">
    <w:nsid w:val="69E7F3E5"/>
    <w:multiLevelType w:val="hybridMultilevel"/>
    <w:lvl w:ilvl="0">
      <w:lvlJc w:val="left"/>
      <w:lvlText w:val="(%1)"/>
      <w:numFmt w:val="decimal"/>
      <w:start w:val="9"/>
    </w:lvl>
  </w:abstractNum>
  <w:abstractNum w:abstractNumId="93">
    <w:nsid w:val="2A6DE806"/>
    <w:multiLevelType w:val="hybridMultilevel"/>
    <w:lvl w:ilvl="0">
      <w:lvlJc w:val="left"/>
      <w:lvlText w:val="(%1)"/>
      <w:numFmt w:val="decimal"/>
      <w:start w:val="1"/>
    </w:lvl>
  </w:abstractNum>
  <w:abstractNum w:abstractNumId="94">
    <w:nsid w:val="1816F8C4"/>
    <w:multiLevelType w:val="hybridMultilevel"/>
    <w:lvl w:ilvl="0">
      <w:lvlJc w:val="left"/>
      <w:lvlText w:val="(%1)"/>
      <w:numFmt w:val="lowerLetter"/>
      <w:start w:val="1"/>
    </w:lvl>
    <w:lvl w:ilvl="1">
      <w:lvlJc w:val="left"/>
      <w:lvlText w:val="(%2)"/>
      <w:numFmt w:val="decimal"/>
      <w:start w:val="1"/>
    </w:lvl>
  </w:abstractNum>
  <w:abstractNum w:abstractNumId="95">
    <w:nsid w:val="37DF2233"/>
    <w:multiLevelType w:val="hybridMultilevel"/>
    <w:lvl w:ilvl="0">
      <w:lvlJc w:val="left"/>
      <w:lvlText w:val="(%1)"/>
      <w:numFmt w:val="decimal"/>
      <w:start w:val="2"/>
    </w:lvl>
  </w:abstractNum>
  <w:abstractNum w:abstractNumId="96">
    <w:nsid w:val="7AB49DAF"/>
    <w:multiLevelType w:val="hybridMultilevel"/>
    <w:lvl w:ilvl="0">
      <w:lvlJc w:val="left"/>
      <w:lvlText w:val="%1"/>
      <w:numFmt w:val="lowerLetter"/>
      <w:start w:val="1"/>
    </w:lvl>
    <w:lvl w:ilvl="1">
      <w:lvlJc w:val="left"/>
      <w:lvlText w:val="(%2)"/>
      <w:numFmt w:val="decimal"/>
      <w:start w:val="13"/>
    </w:lvl>
  </w:abstractNum>
  <w:abstractNum w:abstractNumId="97">
    <w:nsid w:val="759F82CD"/>
    <w:multiLevelType w:val="hybridMultilevel"/>
    <w:lvl w:ilvl="0">
      <w:lvlJc w:val="left"/>
      <w:lvlText w:val="(%1)"/>
      <w:numFmt w:val="lowerLetter"/>
      <w:start w:val="25"/>
    </w:lvl>
    <w:lvl w:ilvl="1">
      <w:lvlJc w:val="left"/>
      <w:lvlText w:val="%2"/>
      <w:numFmt w:val="decimal"/>
      <w:start w:val="1"/>
    </w:lvl>
  </w:abstractNum>
  <w:abstractNum w:abstractNumId="98">
    <w:nsid w:val="61E74EA3"/>
    <w:multiLevelType w:val="hybridMultilevel"/>
    <w:lvl w:ilvl="0">
      <w:lvlJc w:val="left"/>
      <w:lvlText w:val="(%1)"/>
      <w:numFmt w:val="decimal"/>
      <w:start w:val="16"/>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lowerLetter"/>
      <w:start w:val="2"/>
    </w:lvl>
    <w:lvl w:ilvl="1">
      <w:lvlJc w:val="left"/>
      <w:lvlText w:val="(%2)"/>
      <w:numFmt w:val="decimal"/>
      <w:start w:val="1"/>
    </w:lvl>
  </w:abstractNum>
  <w:abstractNum w:abstractNumId="101">
    <w:nsid w:val="57C7D42D"/>
    <w:multiLevelType w:val="hybridMultilevel"/>
    <w:lvl w:ilvl="0">
      <w:lvlJc w:val="left"/>
      <w:lvlText w:val="(%1)"/>
      <w:numFmt w:val="decimal"/>
      <w:start w:val="6"/>
    </w:lvl>
    <w:lvl w:ilvl="1">
      <w:lvlJc w:val="left"/>
      <w:lvlText w:val="(%2)"/>
      <w:numFmt w:val="upperLetter"/>
      <w:start w:val="1"/>
    </w:lvl>
  </w:abstractNum>
  <w:abstractNum w:abstractNumId="102">
    <w:nsid w:val="312167AD"/>
    <w:multiLevelType w:val="hybridMultilevel"/>
    <w:lvl w:ilvl="0">
      <w:lvlJc w:val="left"/>
      <w:lvlText w:val="(%1)"/>
      <w:numFmt w:val="decimal"/>
      <w:start w:val="7"/>
    </w:lvl>
    <w:lvl w:ilvl="1">
      <w:lvlJc w:val="left"/>
      <w:lvlText w:val="(%2)"/>
      <w:numFmt w:val="upperLetter"/>
      <w:start w:val="1"/>
    </w:lvl>
  </w:abstractNum>
  <w:abstractNum w:abstractNumId="103">
    <w:nsid w:val="631B64D4"/>
    <w:multiLevelType w:val="hybridMultilevel"/>
    <w:lvl w:ilvl="0">
      <w:lvlJc w:val="left"/>
      <w:lvlText w:val="(%1)"/>
      <w:numFmt w:val="decimal"/>
      <w:start w:val="8"/>
    </w:lvl>
  </w:abstractNum>
  <w:abstractNum w:abstractNumId="104">
    <w:nsid w:val="78B5E776"/>
    <w:multiLevelType w:val="hybridMultilevel"/>
    <w:lvl w:ilvl="0">
      <w:lvlJc w:val="left"/>
      <w:lvlText w:val="(%1)"/>
      <w:numFmt w:val="decimal"/>
      <w:start w:val="11"/>
    </w:lvl>
  </w:abstractNum>
  <w:abstractNum w:abstractNumId="105">
    <w:nsid w:val="75486E47"/>
    <w:multiLevelType w:val="hybridMultilevel"/>
    <w:lvl w:ilvl="0">
      <w:lvlJc w:val="left"/>
      <w:lvlText w:val="(%1)"/>
      <w:numFmt w:val="upperLetter"/>
      <w:start w:val="1"/>
    </w:lvl>
    <w:lvl w:ilvl="1">
      <w:lvlJc w:val="left"/>
      <w:lvlText w:val="(%2)"/>
      <w:numFmt w:val="lowerRoman"/>
      <w:start w:val="1"/>
    </w:lvl>
  </w:abstractNum>
  <w:abstractNum w:abstractNumId="106">
    <w:nsid w:val="6E534CDE"/>
    <w:multiLevelType w:val="hybridMultilevel"/>
    <w:lvl w:ilvl="0">
      <w:lvlJc w:val="left"/>
      <w:lvlText w:val="(%1)"/>
      <w:numFmt w:val="lowerLetter"/>
      <w:start w:val="1"/>
    </w:lvl>
  </w:abstractNum>
  <w:abstractNum w:abstractNumId="107">
    <w:nsid w:val="1A0DDE32"/>
    <w:multiLevelType w:val="hybridMultilevel"/>
    <w:lvl w:ilvl="0">
      <w:lvlJc w:val="left"/>
      <w:lvlText w:val="(%1)"/>
      <w:numFmt w:val="lowerLetter"/>
      <w:start w:val="2"/>
    </w:lvl>
  </w:abstractNum>
  <w:abstractNum w:abstractNumId="108">
    <w:nsid w:val="65968C1C"/>
    <w:multiLevelType w:val="hybridMultilevel"/>
    <w:lvl w:ilvl="0">
      <w:lvlJc w:val="left"/>
      <w:lvlText w:val="%1"/>
      <w:numFmt w:val="lowerLetter"/>
      <w:start w:val="1"/>
    </w:lvl>
    <w:lvl w:ilvl="1">
      <w:lvlJc w:val="left"/>
      <w:lvlText w:val="(%2)"/>
      <w:numFmt w:val="decimal"/>
      <w:start w:val="1"/>
    </w:lvl>
  </w:abstractNum>
  <w:abstractNum w:abstractNumId="109">
    <w:nsid w:val="46263DEC"/>
    <w:multiLevelType w:val="hybridMultilevel"/>
    <w:lvl w:ilvl="0">
      <w:lvlJc w:val="left"/>
      <w:lvlText w:val="(%1)"/>
      <w:numFmt w:val="lowerLetter"/>
      <w:start w:val="3"/>
    </w:lvl>
    <w:lvl w:ilvl="1">
      <w:lvlJc w:val="left"/>
      <w:lvlText w:val="(%2)"/>
      <w:numFmt w:val="decimal"/>
      <w:start w:val="1"/>
    </w:lvl>
  </w:abstractNum>
  <w:abstractNum w:abstractNumId="110">
    <w:nsid w:val="260D8C4A"/>
    <w:multiLevelType w:val="hybridMultilevel"/>
    <w:lvl w:ilvl="0">
      <w:lvlJc w:val="left"/>
      <w:lvlText w:val="(%1)"/>
      <w:numFmt w:val="lowerLetter"/>
      <w:start w:val="4"/>
    </w:lvl>
  </w:abstractNum>
  <w:abstractNum w:abstractNumId="111">
    <w:nsid w:val="73D4D3C4"/>
    <w:multiLevelType w:val="hybridMultilevel"/>
    <w:lvl w:ilvl="0">
      <w:lvlJc w:val="left"/>
      <w:lvlText w:val="(%1)"/>
      <w:numFmt w:val="lowerLetter"/>
      <w:start w:val="1"/>
    </w:lvl>
  </w:abstractNum>
  <w:abstractNum w:abstractNumId="112">
    <w:nsid w:val="746F2E30"/>
    <w:multiLevelType w:val="hybridMultilevel"/>
    <w:lvl w:ilvl="0">
      <w:lvlJc w:val="left"/>
      <w:lvlText w:val="%1"/>
      <w:numFmt w:val="lowerLetter"/>
      <w:start w:val="1"/>
    </w:lvl>
    <w:lvl w:ilvl="1">
      <w:lvlJc w:val="left"/>
      <w:lvlText w:val="(%2)"/>
      <w:numFmt w:val="decimal"/>
      <w:start w:val="1"/>
    </w:lvl>
  </w:abstractNum>
  <w:abstractNum w:abstractNumId="113">
    <w:nsid w:val="6FDE8AF6"/>
    <w:multiLevelType w:val="hybridMultilevel"/>
    <w:lvl w:ilvl="0">
      <w:lvlJc w:val="left"/>
      <w:lvlText w:val="(%1)"/>
      <w:numFmt w:val="lowerLetter"/>
      <w:start w:val="2"/>
    </w:lvl>
    <w:lvl w:ilvl="1">
      <w:lvlJc w:val="left"/>
      <w:lvlText w:val="(%2)"/>
      <w:numFmt w:val="decimal"/>
      <w:start w:val="1"/>
    </w:lvl>
  </w:abstractNum>
  <w:abstractNum w:abstractNumId="114">
    <w:nsid w:val="3FC32E20"/>
    <w:multiLevelType w:val="hybridMultilevel"/>
    <w:lvl w:ilvl="0">
      <w:lvlJc w:val="left"/>
      <w:lvlText w:val="%1"/>
      <w:numFmt w:val="lowerLetter"/>
      <w:start w:val="1"/>
    </w:lvl>
    <w:lvl w:ilvl="1">
      <w:lvlJc w:val="left"/>
      <w:lvlText w:val="(%2)"/>
      <w:numFmt w:val="decimal"/>
      <w:start w:val="8"/>
    </w:lvl>
  </w:abstractNum>
  <w:abstractNum w:abstractNumId="115">
    <w:nsid w:val="49C0E823"/>
    <w:multiLevelType w:val="hybridMultilevel"/>
    <w:lvl w:ilvl="0">
      <w:lvlJc w:val="left"/>
      <w:lvlText w:val="(%1)"/>
      <w:numFmt w:val="lowerLetter"/>
      <w:start w:val="2"/>
    </w:lvl>
    <w:lvl w:ilvl="1">
      <w:lvlJc w:val="left"/>
      <w:lvlText w:val="(%2)"/>
      <w:numFmt w:val="decimal"/>
      <w:start w:val="10"/>
    </w:lvl>
  </w:abstractNum>
  <w:abstractNum w:abstractNumId="116">
    <w:nsid w:val="14D53685"/>
    <w:multiLevelType w:val="hybridMultilevel"/>
    <w:lvl w:ilvl="0">
      <w:lvlJc w:val="left"/>
      <w:lvlText w:val="(%1)"/>
      <w:numFmt w:val="lowerLetter"/>
      <w:start w:val="1"/>
    </w:lvl>
  </w:abstractNum>
  <w:abstractNum w:abstractNumId="117">
    <w:nsid w:val="230F856C"/>
    <w:multiLevelType w:val="hybridMultilevel"/>
    <w:lvl w:ilvl="0">
      <w:lvlJc w:val="left"/>
      <w:lvlText w:val="(%1)"/>
      <w:numFmt w:val="lowerLetter"/>
      <w:start w:val="2"/>
    </w:lvl>
    <w:lvl w:ilvl="1">
      <w:lvlJc w:val="left"/>
      <w:lvlText w:val="(%2)"/>
      <w:numFmt w:val="decimal"/>
      <w:start w:val="1"/>
    </w:lvl>
  </w:abstractNum>
  <w:abstractNum w:abstractNumId="118">
    <w:nsid w:val="6EAA85FB"/>
    <w:multiLevelType w:val="hybridMultilevel"/>
    <w:lvl w:ilvl="0">
      <w:lvlJc w:val="left"/>
      <w:lvlText w:val="(%1)"/>
      <w:numFmt w:val="lowerLetter"/>
      <w:start w:val="3"/>
    </w:lvl>
  </w:abstractNum>
  <w:abstractNum w:abstractNumId="119">
    <w:nsid w:val="3F06ECB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0">
    <w:nsid w:val="3B59480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21">
    <w:nsid w:val="6CAA2304"/>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122">
    <w:nsid w:val="3F7C2FF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3">
    <w:nsid w:val="25413BEC"/>
    <w:multiLevelType w:val="hybridMultilevel"/>
    <w:lvl w:ilvl="0">
      <w:lvlJc w:val="left"/>
      <w:lvlText w:val="(%1)"/>
      <w:numFmt w:val="upperLetter"/>
      <w:start w:val="1"/>
    </w:lvl>
  </w:abstractNum>
  <w:abstractNum w:abstractNumId="124">
    <w:nsid w:val="17180B0B"/>
    <w:multiLevelType w:val="hybridMultilevel"/>
    <w:lvl w:ilvl="0">
      <w:lvlJc w:val="left"/>
      <w:lvlText w:val="(%1)"/>
      <w:numFmt w:val="lowerLetter"/>
      <w:start w:val="5"/>
    </w:lvl>
  </w:abstractNum>
  <w:abstractNum w:abstractNumId="125">
    <w:nsid w:val="579328B9"/>
    <w:multiLevelType w:val="hybridMultilevel"/>
    <w:lvl w:ilvl="0">
      <w:lvlJc w:val="left"/>
      <w:lvlText w:val="(%1)"/>
      <w:numFmt w:val="lowerLetter"/>
      <w:start w:val="1"/>
    </w:lvl>
    <w:lvl w:ilvl="1">
      <w:lvlJc w:val="left"/>
      <w:lvlText w:val="(%2)"/>
      <w:numFmt w:val="decimal"/>
      <w:start w:val="1"/>
    </w:lvl>
  </w:abstractNum>
  <w:abstractNum w:abstractNumId="126">
    <w:nsid w:val="5D205E20"/>
    <w:multiLevelType w:val="hybridMultilevel"/>
    <w:lvl w:ilvl="0">
      <w:lvlJc w:val="left"/>
      <w:lvlText w:val="(%1)"/>
      <w:numFmt w:val="lowerLetter"/>
      <w:start w:val="8"/>
    </w:lvl>
    <w:lvl w:ilvl="1">
      <w:lvlJc w:val="left"/>
      <w:lvlText w:val="(%2)"/>
      <w:numFmt w:val="decimal"/>
      <w:start w:val="1"/>
    </w:lvl>
  </w:abstractNum>
  <w:abstractNum w:abstractNumId="127">
    <w:nsid w:val="11CCA8BA"/>
    <w:multiLevelType w:val="hybridMultilevel"/>
    <w:lvl w:ilvl="0">
      <w:lvlJc w:val="left"/>
      <w:lvlText w:val="(%1)"/>
      <w:numFmt w:val="lowerLetter"/>
      <w:start w:val="11"/>
    </w:lvl>
  </w:abstractNum>
  <w:abstractNum w:abstractNumId="128">
    <w:nsid w:val="4D32AB86"/>
    <w:multiLevelType w:val="hybridMultilevel"/>
    <w:lvl w:ilvl="0">
      <w:lvlJc w:val="left"/>
      <w:lvlText w:val="(%1)"/>
      <w:numFmt w:val="lowerLetter"/>
      <w:start w:val="1"/>
    </w:lvl>
  </w:abstractNum>
  <w:abstractNum w:abstractNumId="129">
    <w:nsid w:val="3F07ACC3"/>
    <w:multiLevelType w:val="hybridMultilevel"/>
    <w:lvl w:ilvl="0">
      <w:lvlJc w:val="left"/>
      <w:lvlText w:val="(%1)"/>
      <w:numFmt w:val="lowerLetter"/>
      <w:start w:val="5"/>
    </w:lvl>
  </w:abstractNum>
  <w:abstractNum w:abstractNumId="130">
    <w:nsid w:val="6B47F63E"/>
    <w:multiLevelType w:val="hybridMultilevel"/>
    <w:lvl w:ilvl="0">
      <w:lvlJc w:val="left"/>
      <w:lvlText w:val="(%1)"/>
      <w:numFmt w:val="lowerLetter"/>
      <w:start w:val="1"/>
    </w:lvl>
    <w:lvl w:ilvl="1">
      <w:lvlJc w:val="left"/>
      <w:lvlText w:val="(%2)"/>
      <w:numFmt w:val="decimal"/>
      <w:start w:val="1"/>
    </w:lvl>
  </w:abstractNum>
  <w:abstractNum w:abstractNumId="131">
    <w:nsid w:val="5CB44A05"/>
    <w:multiLevelType w:val="hybridMultilevel"/>
    <w:lvl w:ilvl="0">
      <w:lvlJc w:val="left"/>
      <w:lvlText w:val="%1"/>
      <w:numFmt w:val="lowerLetter"/>
      <w:start w:val="1"/>
    </w:lvl>
    <w:lvl w:ilvl="1">
      <w:lvlJc w:val="left"/>
      <w:lvlText w:val="(%2)"/>
      <w:numFmt w:val="decimal"/>
      <w:start w:val="2"/>
    </w:lvl>
  </w:abstractNum>
  <w:abstractNum w:abstractNumId="132">
    <w:nsid w:val="16CF80F1"/>
    <w:multiLevelType w:val="hybridMultilevel"/>
    <w:lvl w:ilvl="0">
      <w:lvlJc w:val="left"/>
      <w:lvlText w:val="(%1)"/>
      <w:numFmt w:val="lowerLetter"/>
      <w:start w:val="4"/>
    </w:lvl>
    <w:lvl w:ilvl="1">
      <w:lvlJc w:val="left"/>
      <w:lvlText w:val="%2"/>
      <w:numFmt w:val="decimal"/>
      <w:start w:val="1"/>
    </w:lvl>
  </w:abstractNum>
  <w:abstractNum w:abstractNumId="133">
    <w:nsid w:val="1C695DEC"/>
    <w:multiLevelType w:val="hybridMultilevel"/>
    <w:lvl w:ilvl="0">
      <w:lvlJc w:val="left"/>
      <w:lvlText w:val="(%1)"/>
      <w:numFmt w:val="lowerLetter"/>
      <w:start w:val="1"/>
    </w:lvl>
  </w:abstractNum>
  <w:abstractNum w:abstractNumId="134">
    <w:nsid w:val="3FCFAED9"/>
    <w:multiLevelType w:val="hybridMultilevel"/>
    <w:lvl w:ilvl="0">
      <w:lvlJc w:val="left"/>
      <w:lvlText w:val="(%1)"/>
      <w:numFmt w:val="lowerLetter"/>
      <w:start w:val="7"/>
    </w:lvl>
  </w:abstractNum>
  <w:abstractNum w:abstractNumId="135">
    <w:nsid w:val="F856867"/>
    <w:multiLevelType w:val="hybridMultilevel"/>
    <w:lvl w:ilvl="0">
      <w:lvlJc w:val="left"/>
      <w:lvlText w:val="(%1)"/>
      <w:numFmt w:val="lowerLetter"/>
      <w:start w:val="1"/>
    </w:lvl>
  </w:abstractNum>
  <w:abstractNum w:abstractNumId="136">
    <w:nsid w:val="11B1CC33"/>
    <w:multiLevelType w:val="hybridMultilevel"/>
    <w:lvl w:ilvl="0">
      <w:lvlJc w:val="left"/>
      <w:lvlText w:val="(%1)"/>
      <w:numFmt w:val="lowerLetter"/>
      <w:start w:val="1"/>
    </w:lvl>
    <w:lvl w:ilvl="1">
      <w:lvlJc w:val="left"/>
      <w:lvlText w:val="(%2)"/>
      <w:numFmt w:val="decimal"/>
      <w:start w:val="1"/>
    </w:lvl>
  </w:abstractNum>
  <w:abstractNum w:abstractNumId="137">
    <w:nsid w:val="2E22FBB7"/>
    <w:multiLevelType w:val="hybridMultilevel"/>
    <w:lvl w:ilvl="0">
      <w:lvlJc w:val="left"/>
      <w:lvlText w:val="(%1)"/>
      <w:numFmt w:val="lowerLetter"/>
      <w:start w:val="1"/>
    </w:lvl>
  </w:abstractNum>
  <w:abstractNum w:abstractNumId="138">
    <w:nsid w:val="29934699"/>
    <w:multiLevelType w:val="hybridMultilevel"/>
    <w:lvl w:ilvl="0">
      <w:lvlJc w:val="left"/>
      <w:lvlText w:val="(%1)"/>
      <w:numFmt w:val="lowerLetter"/>
      <w:start w:val="1"/>
    </w:lvl>
    <w:lvl w:ilvl="1">
      <w:lvlJc w:val="left"/>
      <w:lvlText w:val="(%2)"/>
      <w:numFmt w:val="decimal"/>
      <w:start w:val="1"/>
    </w:lvl>
  </w:abstractNum>
  <w:abstractNum w:abstractNumId="139">
    <w:nsid w:val="77485850"/>
    <w:multiLevelType w:val="hybridMultilevel"/>
    <w:lvl w:ilvl="0">
      <w:lvlJc w:val="left"/>
      <w:lvlText w:val="%1"/>
      <w:numFmt w:val="lowerLetter"/>
      <w:start w:val="1"/>
    </w:lvl>
    <w:lvl w:ilvl="1">
      <w:lvlJc w:val="left"/>
      <w:lvlText w:val="(%2)"/>
      <w:numFmt w:val="decimal"/>
      <w:start w:val="2"/>
    </w:lvl>
  </w:abstractNum>
  <w:abstractNum w:abstractNumId="140">
    <w:nsid w:val="744939A3"/>
    <w:multiLevelType w:val="hybridMultilevel"/>
    <w:lvl w:ilvl="0">
      <w:lvlJc w:val="left"/>
      <w:lvlText w:val="(%1)"/>
      <w:numFmt w:val="lowerLetter"/>
      <w:start w:val="3"/>
    </w:lvl>
    <w:lvl w:ilvl="1">
      <w:lvlJc w:val="left"/>
      <w:lvlText w:val="%2"/>
      <w:numFmt w:val="decimal"/>
      <w:start w:val="1"/>
    </w:lvl>
  </w:abstractNum>
  <w:abstractNum w:abstractNumId="141">
    <w:nsid w:val="4FA0D2E3"/>
    <w:multiLevelType w:val="hybridMultilevel"/>
    <w:lvl w:ilvl="0">
      <w:lvlJc w:val="left"/>
      <w:lvlText w:val="(%1)"/>
      <w:numFmt w:val="lowerLetter"/>
      <w:start w:val="1"/>
    </w:lvl>
  </w:abstractNum>
  <w:abstractNum w:abstractNumId="142">
    <w:nsid w:val="6B1D2C14"/>
    <w:multiLevelType w:val="hybridMultilevel"/>
    <w:lvl w:ilvl="0">
      <w:lvlJc w:val="left"/>
      <w:lvlText w:val="(%1)"/>
      <w:numFmt w:val="lowerLetter"/>
      <w:start w:val="5"/>
    </w:lvl>
  </w:abstractNum>
  <w:abstractNum w:abstractNumId="143">
    <w:nsid w:val="68B867D3"/>
    <w:multiLevelType w:val="hybridMultilevel"/>
    <w:lvl w:ilvl="0">
      <w:lvlJc w:val="left"/>
      <w:lvlText w:val="(%1)"/>
      <w:numFmt w:val="lowerLetter"/>
      <w:start w:val="1"/>
    </w:lvl>
  </w:abstractNum>
  <w:abstractNum w:abstractNumId="144">
    <w:nsid w:val="3F7F5DD9"/>
    <w:multiLevelType w:val="hybridMultilevel"/>
    <w:lvl w:ilvl="0">
      <w:lvlJc w:val="left"/>
      <w:lvlText w:val="%1"/>
      <w:numFmt w:val="lowerLetter"/>
      <w:start w:val="1"/>
    </w:lvl>
    <w:lvl w:ilvl="1">
      <w:lvlJc w:val="left"/>
      <w:lvlText w:val="(%2)"/>
      <w:numFmt w:val="lowerLetter"/>
      <w:start w:val="4"/>
    </w:lvl>
  </w:abstractNum>
  <w:abstractNum w:abstractNumId="145">
    <w:nsid w:val="2AE05A34"/>
    <w:multiLevelType w:val="hybridMultilevel"/>
    <w:lvl w:ilvl="0">
      <w:lvlJc w:val="left"/>
      <w:lvlText w:val="(%1)"/>
      <w:numFmt w:val="lowerLetter"/>
      <w:start w:val="9"/>
    </w:lvl>
    <w:lvl w:ilvl="1">
      <w:lvlJc w:val="left"/>
      <w:lvlText w:val="(%2)"/>
      <w:numFmt w:val="lowerLetter"/>
      <w:start w:val="5"/>
    </w:lvl>
  </w:abstractNum>
  <w:abstractNum w:abstractNumId="146">
    <w:nsid w:val="32794FF7"/>
    <w:multiLevelType w:val="hybridMultilevel"/>
    <w:lvl w:ilvl="0">
      <w:lvlJc w:val="left"/>
      <w:lvlText w:val="(%1)"/>
      <w:numFmt w:val="lowerLetter"/>
      <w:start w:val="1"/>
    </w:lvl>
    <w:lvl w:ilvl="1">
      <w:lvlJc w:val="left"/>
      <w:lvlText w:val="(%2)"/>
      <w:numFmt w:val="decimal"/>
      <w:start w:val="1"/>
    </w:lvl>
  </w:abstractNum>
  <w:abstractNum w:abstractNumId="147">
    <w:nsid w:val="5454945E"/>
    <w:multiLevelType w:val="hybridMultilevel"/>
    <w:lvl w:ilvl="0">
      <w:lvlJc w:val="left"/>
      <w:lvlText w:val="(%1)"/>
      <w:numFmt w:val="lowerLetter"/>
      <w:start w:val="2"/>
    </w:lvl>
  </w:abstractNum>
  <w:abstractNum w:abstractNumId="148">
    <w:nsid w:val="4DEFDFA0"/>
    <w:multiLevelType w:val="hybridMultilevel"/>
    <w:lvl w:ilvl="0">
      <w:lvlJc w:val="left"/>
      <w:lvlText w:val="(%1)"/>
      <w:numFmt w:val="lowerLetter"/>
      <w:start w:val="3"/>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lowerLetter"/>
      <w:start w:val="1"/>
    </w:lvl>
  </w:abstractNum>
  <w:abstractNum w:abstractNumId="151">
    <w:nsid w:val="94927A8"/>
    <w:multiLevelType w:val="hybridMultilevel"/>
    <w:lvl w:ilvl="0">
      <w:lvlJc w:val="left"/>
      <w:lvlText w:val="%1"/>
      <w:numFmt w:val="lowerLetter"/>
      <w:start w:val="1"/>
    </w:lvl>
    <w:lvl w:ilvl="1">
      <w:lvlJc w:val="left"/>
      <w:lvlText w:val="(%2)"/>
      <w:numFmt w:val="decimal"/>
      <w:start w:val="1"/>
    </w:lvl>
  </w:abstractNum>
  <w:abstractNum w:abstractNumId="152">
    <w:nsid w:val="DCDF8F6"/>
    <w:multiLevelType w:val="hybridMultilevel"/>
    <w:lvl w:ilvl="0">
      <w:lvlJc w:val="left"/>
      <w:lvlText w:val="(%1)"/>
      <w:numFmt w:val="lowerLetter"/>
      <w:start w:val="2"/>
    </w:lvl>
    <w:lvl w:ilvl="1">
      <w:lvlJc w:val="left"/>
      <w:lvlText w:val="%2"/>
      <w:numFmt w:val="decimal"/>
      <w:start w:val="1"/>
    </w:lvl>
  </w:abstractNum>
  <w:abstractNum w:abstractNumId="153">
    <w:nsid w:val="52D7B105"/>
    <w:multiLevelType w:val="hybridMultilevel"/>
    <w:lvl w:ilvl="0">
      <w:lvlJc w:val="left"/>
      <w:lvlText w:val="(%1)"/>
      <w:numFmt w:val="lowerLetter"/>
      <w:start w:val="1"/>
    </w:lvl>
  </w:abstractNum>
  <w:abstractNum w:abstractNumId="154">
    <w:nsid w:val="2E8A6394"/>
    <w:multiLevelType w:val="hybridMultilevel"/>
    <w:lvl w:ilvl="0">
      <w:lvlJc w:val="left"/>
      <w:lvlText w:val="(%1)"/>
      <w:numFmt w:val="lowerLetter"/>
      <w:start w:val="1"/>
    </w:lvl>
  </w:abstractNum>
  <w:abstractNum w:abstractNumId="155">
    <w:nsid w:val="24E60401"/>
    <w:multiLevelType w:val="hybridMultilevel"/>
    <w:lvl w:ilvl="0">
      <w:lvlJc w:val="left"/>
      <w:lvlText w:val="(%1)"/>
      <w:numFmt w:val="lowerLetter"/>
      <w:start w:val="1"/>
    </w:lvl>
  </w:abstractNum>
  <w:abstractNum w:abstractNumId="156">
    <w:nsid w:val="2A6AD9BE"/>
    <w:multiLevelType w:val="hybridMultilevel"/>
    <w:lvl w:ilvl="0">
      <w:lvlJc w:val="left"/>
      <w:lvlText w:val="(%1)"/>
      <w:numFmt w:val="lowerLetter"/>
      <w:start w:val="2"/>
    </w:lvl>
  </w:abstractNum>
  <w:abstractNum w:abstractNumId="157">
    <w:nsid w:val="BAAC1B4"/>
    <w:multiLevelType w:val="hybridMultilevel"/>
    <w:lvl w:ilvl="0">
      <w:lvlJc w:val="left"/>
      <w:lvlText w:val="(%1)"/>
      <w:numFmt w:val="lowerRoman"/>
      <w:start w:val="3"/>
    </w:lvl>
  </w:abstractNum>
  <w:abstractNum w:abstractNumId="158">
    <w:nsid w:val="36B2ACBC"/>
    <w:multiLevelType w:val="hybridMultilevel"/>
    <w:lvl w:ilvl="0">
      <w:lvlJc w:val="left"/>
      <w:lvlText w:val="1"/>
      <w:numFmt w:val="bullet"/>
      <w:start w:val="1"/>
    </w:lvl>
  </w:abstractNum>
  <w:abstractNum w:abstractNumId="159">
    <w:nsid w:val="779D8544"/>
    <w:multiLevelType w:val="hybridMultilevel"/>
    <w:lvl w:ilvl="0">
      <w:lvlJc w:val="left"/>
      <w:lvlText w:val="(%1)"/>
      <w:numFmt w:val="decimal"/>
      <w:start w:val="1"/>
    </w:lvl>
  </w:abstractNum>
  <w:abstractNum w:abstractNumId="160">
    <w:nsid w:val="4AB26E78"/>
    <w:multiLevelType w:val="hybridMultilevel"/>
    <w:lvl w:ilvl="0">
      <w:lvlJc w:val="left"/>
      <w:lvlText w:val="(%1)"/>
      <w:numFmt w:val="decimal"/>
      <w:start w:val="2"/>
    </w:lvl>
  </w:abstractNum>
  <w:abstractNum w:abstractNumId="161">
    <w:nsid w:val="21FAA2FA"/>
    <w:multiLevelType w:val="hybridMultilevel"/>
    <w:lvl w:ilvl="0">
      <w:lvlJc w:val="left"/>
      <w:lvlText w:val="(%1)"/>
      <w:numFmt w:val="decimal"/>
      <w:start w:val="5"/>
    </w:lvl>
    <w:lvl w:ilvl="1">
      <w:lvlJc w:val="left"/>
      <w:lvlText w:val="(%2)"/>
      <w:numFmt w:val="lowerLetter"/>
      <w:start w:val="1"/>
    </w:lvl>
  </w:abstractNum>
  <w:abstractNum w:abstractNumId="162">
    <w:nsid w:val="5451CF49"/>
    <w:multiLevelType w:val="hybridMultilevel"/>
    <w:lvl w:ilvl="0">
      <w:lvlJc w:val="left"/>
      <w:lvlText w:val="(%1)"/>
      <w:numFmt w:val="decimal"/>
      <w:start w:val="6"/>
    </w:lvl>
    <w:lvl w:ilvl="1">
      <w:lvlJc w:val="left"/>
      <w:lvlText w:val="(%2)"/>
      <w:numFmt w:val="lowerLetter"/>
      <w:start w:val="1"/>
    </w:lvl>
  </w:abstractNum>
  <w:abstractNum w:abstractNumId="163">
    <w:nsid w:val="6181EF69"/>
    <w:multiLevelType w:val="hybridMultilevel"/>
    <w:lvl w:ilvl="0">
      <w:lvlJc w:val="left"/>
      <w:lvlText w:val="%1"/>
      <w:numFmt w:val="decimal"/>
      <w:start w:val="1"/>
    </w:lvl>
    <w:lvl w:ilvl="1">
      <w:lvlJc w:val="left"/>
      <w:lvlText w:val="(%2)"/>
      <w:numFmt w:val="lowerLetter"/>
      <w:start w:val="2"/>
    </w:lvl>
  </w:abstractNum>
  <w:abstractNum w:abstractNumId="164">
    <w:nsid w:val="3E6400E6"/>
    <w:multiLevelType w:val="hybridMultilevel"/>
    <w:lvl w:ilvl="0">
      <w:lvlJc w:val="left"/>
      <w:lvlText w:val="(%1)"/>
      <w:numFmt w:val="decimal"/>
      <w:start w:val="8"/>
    </w:lvl>
    <w:lvl w:ilvl="1">
      <w:lvlJc w:val="left"/>
      <w:lvlText w:val="%2"/>
      <w:numFmt w:val="lowerLetter"/>
      <w:start w:val="1"/>
    </w:lvl>
  </w:abstractNum>
  <w:abstractNum w:abstractNumId="165">
    <w:nsid w:val="14217E23"/>
    <w:multiLevelType w:val="hybridMultilevel"/>
    <w:lvl w:ilvl="0">
      <w:lvlJc w:val="left"/>
      <w:lvlText w:val="(%1)"/>
      <w:numFmt w:val="decimal"/>
      <w:start w:val="13"/>
    </w:lvl>
  </w:abstractNum>
  <w:abstractNum w:abstractNumId="166">
    <w:nsid w:val="710757D0"/>
    <w:multiLevelType w:val="hybridMultilevel"/>
    <w:lvl w:ilvl="0">
      <w:lvlJc w:val="left"/>
      <w:lvlText w:val="(%1)"/>
      <w:numFmt w:val="upperLetter"/>
      <w:start w:val="9"/>
    </w:lvl>
  </w:abstractNum>
  <w:abstractNum w:abstractNumId="167">
    <w:nsid w:val="5015CD1A"/>
    <w:multiLevelType w:val="hybridMultilevel"/>
    <w:lvl w:ilvl="0">
      <w:lvlJc w:val="left"/>
      <w:lvlText w:val="*"/>
      <w:numFmt w:val="bullet"/>
      <w:start w:val="1"/>
    </w:lvl>
  </w:abstractNum>
  <w:abstractNum w:abstractNumId="168">
    <w:nsid w:val="424479DA"/>
    <w:multiLevelType w:val="hybridMultilevel"/>
    <w:lvl w:ilvl="0">
      <w:lvlJc w:val="left"/>
      <w:lvlText w:val="*"/>
      <w:numFmt w:val="bullet"/>
      <w:start w:val="1"/>
    </w:lvl>
  </w:abstractNum>
  <w:abstractNum w:abstractNumId="169">
    <w:nsid w:val="1A9A9E69"/>
    <w:multiLevelType w:val="hybridMultilevel"/>
    <w:lvl w:ilvl="0">
      <w:lvlJc w:val="left"/>
      <w:lvlText w:val="*"/>
      <w:numFmt w:val="bullet"/>
      <w:start w:val="1"/>
    </w:lvl>
  </w:abstractNum>
  <w:abstractNum w:abstractNumId="170">
    <w:nsid w:val="475E256A"/>
    <w:multiLevelType w:val="hybridMultilevel"/>
    <w:lvl w:ilvl="0">
      <w:lvlJc w:val="left"/>
      <w:lvlText w:val="%1."/>
      <w:numFmt w:val="decimal"/>
      <w:start w:val="1"/>
    </w:lvl>
  </w:abstractNum>
  <w:abstractNum w:abstractNumId="171">
    <w:nsid w:val="368DB37E"/>
    <w:multiLevelType w:val="hybridMultilevel"/>
    <w:lvl w:ilvl="0">
      <w:lvlJc w:val="left"/>
      <w:lvlText w:val="%1."/>
      <w:numFmt w:val="decimal"/>
      <w:start w:val="3"/>
    </w:lvl>
  </w:abstractNum>
  <w:abstractNum w:abstractNumId="172">
    <w:nsid w:val="6A3B714C"/>
    <w:multiLevelType w:val="hybridMultilevel"/>
    <w:lvl w:ilvl="0">
      <w:lvlJc w:val="left"/>
      <w:lvlText w:val="(%1)"/>
      <w:numFmt w:val="lowerLetter"/>
      <w:start w:val="1"/>
    </w:lvl>
  </w:abstractNum>
  <w:abstractNum w:abstractNumId="173">
    <w:nsid w:val="327B517E"/>
    <w:multiLevelType w:val="hybridMultilevel"/>
    <w:lvl w:ilvl="0">
      <w:lvlJc w:val="left"/>
      <w:lvlText w:val="(%1)"/>
      <w:numFmt w:val="lowerLetter"/>
      <w:start w:val="2"/>
    </w:lvl>
  </w:abstractNum>
  <w:abstractNum w:abstractNumId="174">
    <w:nsid w:val="1F461B51"/>
    <w:multiLevelType w:val="hybridMultilevel"/>
    <w:lvl w:ilvl="0">
      <w:lvlJc w:val="left"/>
      <w:lvlText w:val="(%1)"/>
      <w:numFmt w:val="lowerLetter"/>
      <w:start w:val="4"/>
    </w:lvl>
  </w:abstractNum>
  <w:abstractNum w:abstractNumId="175">
    <w:nsid w:val="29BACF25"/>
    <w:multiLevelType w:val="hybridMultilevel"/>
    <w:lvl w:ilvl="0">
      <w:lvlJc w:val="left"/>
      <w:lvlText w:val="%1."/>
      <w:numFmt w:val="decimal"/>
      <w:start w:val="4"/>
    </w:lvl>
  </w:abstractNum>
  <w:abstractNum w:abstractNumId="176">
    <w:nsid w:val="5D5BABB3"/>
    <w:multiLevelType w:val="hybridMultilevel"/>
    <w:lvl w:ilvl="0">
      <w:lvlJc w:val="left"/>
      <w:lvlText w:val="(%1)"/>
      <w:numFmt w:val="lowerLetter"/>
      <w:start w:val="1"/>
    </w:lvl>
  </w:abstractNum>
  <w:abstractNum w:abstractNumId="177">
    <w:nsid w:val="51BF6B48"/>
    <w:multiLevelType w:val="hybridMultilevel"/>
    <w:lvl w:ilvl="0">
      <w:lvlJc w:val="left"/>
      <w:lvlText w:val="(%1)"/>
      <w:numFmt w:val="lowerLetter"/>
      <w:start w:val="3"/>
    </w:lvl>
  </w:abstractNum>
  <w:abstractNum w:abstractNumId="178">
    <w:nsid w:val="7E0F6384"/>
    <w:multiLevelType w:val="hybridMultilevel"/>
    <w:lvl w:ilvl="0">
      <w:lvlJc w:val="left"/>
      <w:lvlText w:val="*"/>
      <w:numFmt w:val="bullet"/>
      <w:start w:val="1"/>
    </w:lvl>
  </w:abstractNum>
  <w:abstractNum w:abstractNumId="179">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0">
    <w:nsid w:val="72E341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1">
    <w:nsid w:val="116AE494"/>
    <w:multiLevelType w:val="hybridMultilevel"/>
    <w:lvl w:ilvl="0">
      <w:lvlJc w:val="left"/>
      <w:lvlText w:val="(%1)"/>
      <w:numFmt w:val="lowerLetter"/>
      <w:start w:val="1"/>
    </w:lvl>
    <w:lvl w:ilvl="1">
      <w:lvlJc w:val="left"/>
      <w:lvlText w:val="(%2)"/>
      <w:numFmt w:val="lowerRoman"/>
      <w:start w:val="1"/>
    </w:lvl>
  </w:abstractNum>
  <w:abstractNum w:abstractNumId="182">
    <w:nsid w:val="3494B2FB"/>
    <w:multiLevelType w:val="hybridMultilevel"/>
    <w:lvl w:ilvl="0">
      <w:lvlJc w:val="left"/>
      <w:lvlText w:val="%1."/>
      <w:numFmt w:val="decimal"/>
      <w:start w:val="1"/>
    </w:lvl>
  </w:abstractNum>
  <w:abstractNum w:abstractNumId="183">
    <w:nsid w:val="B13A31"/>
    <w:multiLevelType w:val="hybridMultilevel"/>
    <w:lvl w:ilvl="0">
      <w:lvlJc w:val="left"/>
      <w:lvlText w:val="(%1)"/>
      <w:numFmt w:val="lowerLetter"/>
      <w:start w:val="1"/>
    </w:lvl>
  </w:abstractNum>
  <w:abstractNum w:abstractNumId="184">
    <w:nsid w:val="64429599"/>
    <w:multiLevelType w:val="hybridMultilevel"/>
    <w:lvl w:ilvl="0">
      <w:lvlJc w:val="left"/>
      <w:lvlText w:val="%1"/>
      <w:numFmt w:val="lowerLetter"/>
      <w:start w:val="1"/>
    </w:lvl>
    <w:lvl w:ilvl="1">
      <w:lvlJc w:val="left"/>
      <w:lvlText w:val="(%2)"/>
      <w:numFmt w:val="lowerLetter"/>
      <w:start w:val="3"/>
    </w:lvl>
  </w:abstractNum>
  <w:abstractNum w:abstractNumId="185">
    <w:nsid w:val="631F1690"/>
    <w:multiLevelType w:val="hybridMultilevel"/>
    <w:lvl w:ilvl="0">
      <w:lvlJc w:val="left"/>
      <w:lvlText w:val="(%1)"/>
      <w:numFmt w:val="lowerLetter"/>
      <w:start w:val="61"/>
    </w:lvl>
    <w:lvl w:ilvl="1">
      <w:lvlJc w:val="left"/>
      <w:lvlText w:val="(%2)"/>
      <w:numFmt w:val="lowerLetter"/>
      <w:start w:val="4"/>
    </w:lvl>
  </w:abstractNum>
  <w:abstractNum w:abstractNumId="186">
    <w:nsid w:val="25973E32"/>
    <w:multiLevelType w:val="hybridMultilevel"/>
    <w:lvl w:ilvl="0">
      <w:lvlJc w:val="left"/>
      <w:lvlText w:val="%1."/>
      <w:numFmt w:val="decimal"/>
      <w:start w:val="2"/>
    </w:lvl>
  </w:abstractNum>
  <w:abstractNum w:abstractNumId="187">
    <w:nsid w:val="EAD6F57"/>
    <w:multiLevelType w:val="hybridMultilevel"/>
    <w:lvl w:ilvl="0">
      <w:lvlJc w:val="left"/>
      <w:lvlText w:val="(%1)"/>
      <w:numFmt w:val="lowerLetter"/>
      <w:start w:val="1"/>
    </w:lvl>
  </w:abstractNum>
  <w:abstractNum w:abstractNumId="188">
    <w:nsid w:val="6EC9D844"/>
    <w:multiLevelType w:val="hybridMultilevel"/>
    <w:lvl w:ilvl="0">
      <w:lvlJc w:val="left"/>
      <w:lvlText w:val="%1."/>
      <w:numFmt w:val="decimal"/>
      <w:start w:val="1"/>
    </w:lvl>
  </w:abstractNum>
  <w:abstractNum w:abstractNumId="189">
    <w:nsid w:val="5C49EAEE"/>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2026-06-26T18:09:00Z</dcterms:created>
  <dcterms:modified xsi:type="dcterms:W3CDTF">2026-06-26T18:09:00Z</dcterms:modified>
</cp:coreProperties>
</file>