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March 16,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On March 16, 2020, California Resources Corporation (“CRC”) issued a press release announcing the termination of its private exchange and subscription offers and consent solicitation (the “Offers”) relating to its outstanding 8% Senior Secured Second Lien Notes due 2022 (the “8% Notes”), 5½% Senior Notes due 2021 (the “5½% Notes”) and 6% Senior Notes due 2024 (the “6% Notes” and, together with the 8% Notes and the 5½% Notes, the “Notes”). The Company has also terminated the private subscription agreements (the “Supporting Subscription Agreements”) it entered into with certain significant holders of the Notes (the “Supporting Holders”) because the obligations of the Supporting Holders under the Supporting Subscription Agreements were conditioned upon the consummation of the Offers. A copy of the press release is filed herewith as Exhibit 99.1.</w:t>
      </w:r>
    </w:p>
    <w:p>
      <w:pPr>
        <w:spacing w:after="0" w:line="110"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Statements contained in Item 8.01 of this report and Exhibit 99.1 hereto that state CRC’s or its management’s expectations or predictions of the future are forward-looking statements intended to be covered by the safe harbor provisions of the Securities Act and the Exchange Act. It is important to note that the actual results of CRC could differ materially from those projected in such forward-looking statements. Factors that could affect the results include those mentioned in the documents that the Company has filed with the Securities and Exchange Commission (the “SEC”).</w:t>
      </w:r>
    </w:p>
    <w:p>
      <w:pPr>
        <w:spacing w:after="0" w:line="11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CRC undertakes no duty or obligation to publicly update or revise the information contained in Item 8.01 of this report and Exhibit 99.1 hereto, although CRC may do so from time to time in management’s discretion. Any such updating may be made through the filing of other reports or documents with the SEC, through press releases 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through other public disclosure including disclosure in the Investor Relations portion of CRC’s website.</w:t>
      </w:r>
    </w:p>
    <w:p>
      <w:pPr>
        <w:spacing w:after="0" w:line="200" w:lineRule="exact"/>
        <w:rPr>
          <w:sz w:val="20"/>
          <w:szCs w:val="20"/>
          <w:color w:val="auto"/>
        </w:rPr>
      </w:pPr>
    </w:p>
    <w:p>
      <w:pPr>
        <w:spacing w:after="0" w:line="3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4"/>
          </w:tcPr>
          <w:p>
            <w:pPr>
              <w:ind w:left="5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460" w:type="dxa"/>
            <w:vAlign w:val="bottom"/>
          </w:tcPr>
          <w:p>
            <w:pPr>
              <w:ind w:left="14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196"/>
        </w:trPr>
        <w:tc>
          <w:tcPr>
            <w:tcW w:w="800" w:type="dxa"/>
            <w:vAlign w:val="bottom"/>
          </w:tcPr>
          <w:p>
            <w:pPr>
              <w:spacing w:after="0"/>
              <w:rPr>
                <w:sz w:val="17"/>
                <w:szCs w:val="17"/>
                <w:color w:val="auto"/>
              </w:rPr>
            </w:pPr>
          </w:p>
        </w:tc>
        <w:tc>
          <w:tcPr>
            <w:tcW w:w="1120" w:type="dxa"/>
            <w:vAlign w:val="bottom"/>
            <w:gridSpan w:val="2"/>
          </w:tcPr>
          <w:p>
            <w:pPr>
              <w:jc w:val="center"/>
              <w:ind w:right="780"/>
              <w:spacing w:after="0" w:line="196"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40" w:type="dxa"/>
            <w:vAlign w:val="bottom"/>
          </w:tcPr>
          <w:p>
            <w:pPr>
              <w:spacing w:after="0"/>
              <w:rPr>
                <w:sz w:val="17"/>
                <w:szCs w:val="17"/>
                <w:color w:val="auto"/>
              </w:rPr>
            </w:pPr>
          </w:p>
        </w:tc>
        <w:tc>
          <w:tcPr>
            <w:tcW w:w="9080" w:type="dxa"/>
            <w:vAlign w:val="bottom"/>
            <w:gridSpan w:val="3"/>
          </w:tcPr>
          <w:p>
            <w:pPr>
              <w:ind w:lef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March 16, 2020.</w:t>
              </w:r>
            </w:hyperlink>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588"/>
        </w:trPr>
        <w:tc>
          <w:tcPr>
            <w:tcW w:w="8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March 16, 2020</w:t>
      </w:r>
    </w:p>
    <w:p>
      <w:pPr>
        <w:sectPr>
          <w:pgSz w:w="11900" w:h="16838" w:orient="portrait"/>
          <w:cols w:equalWidth="0" w:num="1">
            <w:col w:w="10920"/>
          </w:cols>
          <w:pgMar w:left="320" w:top="553" w:right="659" w:bottom="1440" w:gutter="0" w:footer="0" w:header="0"/>
          <w:type w:val="continuous"/>
        </w:sectPr>
      </w:pPr>
    </w:p>
    <w:bookmarkStart w:id="3" w:name="page4"/>
    <w:bookmarkEnd w:id="3"/>
    <w:p>
      <w:pPr>
        <w:spacing w:after="0"/>
        <w:tabs>
          <w:tab w:leader="none" w:pos="3780" w:val="left"/>
        </w:tabs>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77190"/>
                    </a:xfrm>
                    <a:prstGeom prst="rect">
                      <a:avLst/>
                    </a:prstGeom>
                    <a:noFill/>
                  </pic:spPr>
                </pic:pic>
              </a:graphicData>
            </a:graphic>
          </wp:anchor>
        </w:drawing>
        <w:t>NEWS RELEASE</w:t>
      </w:r>
      <w:r>
        <w:rPr>
          <w:sz w:val="20"/>
          <w:szCs w:val="20"/>
          <w:color w:val="auto"/>
        </w:rPr>
        <w:tab/>
      </w:r>
      <w:r>
        <w:rPr>
          <w:rFonts w:ascii="Arial" w:cs="Arial" w:eastAsia="Arial" w:hAnsi="Arial"/>
          <w:sz w:val="21"/>
          <w:szCs w:val="21"/>
          <w:b w:val="1"/>
          <w:bCs w:val="1"/>
          <w:color w:val="auto"/>
        </w:rPr>
        <w:t>For immediate release</w:t>
      </w:r>
    </w:p>
    <w:p>
      <w:pPr>
        <w:spacing w:after="0" w:line="297" w:lineRule="exact"/>
        <w:rPr>
          <w:sz w:val="20"/>
          <w:szCs w:val="20"/>
          <w:color w:val="auto"/>
        </w:rPr>
      </w:pPr>
    </w:p>
    <w:p>
      <w:pPr>
        <w:jc w:val="center"/>
        <w:ind w:left="340" w:right="300"/>
        <w:spacing w:after="0" w:line="274" w:lineRule="auto"/>
        <w:rPr>
          <w:sz w:val="20"/>
          <w:szCs w:val="20"/>
          <w:color w:val="auto"/>
        </w:rPr>
      </w:pPr>
      <w:r>
        <w:rPr>
          <w:rFonts w:ascii="Arial" w:cs="Arial" w:eastAsia="Arial" w:hAnsi="Arial"/>
          <w:sz w:val="22"/>
          <w:szCs w:val="22"/>
          <w:b w:val="1"/>
          <w:bCs w:val="1"/>
          <w:u w:val="single" w:color="auto"/>
          <w:color w:val="auto"/>
        </w:rPr>
        <w:t>California Resources Corporation Announces Termination of its Exchange and Subscription Offers and Consent Solicitation</w:t>
      </w:r>
    </w:p>
    <w:p>
      <w:pPr>
        <w:spacing w:after="0" w:line="17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Santa Clarita, California March 16, 2020: California Resources Corporation (NYSE: CRC) (“CRC” or the “Company”), today announced the termination of its private exchange and subscription offers and consent solicitation (the “Offers”) relating to its outstanding 8% Senior Secured Second Lien Notes due 2022 (the “8% Notes”), 5½% Senior Notes due 2021 (the “5½% Notes”) and 6% Senior Notes due 2024 (the “6% Notes” and, together with the 8% Notes and the 5½% Notes, the “Notes”). The Company has also terminated the private subscription agreements (the “Supporting Subscription Agreements”) it entered into with certain significant holders of the Notes (the “Supporting Holders”) because the obligations of the Supporting Holders under the Supporting Subscription Agreements were conditioned upon the consummation of the Offers.</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is terminating the Offers as a result of recent developments in the commodity and financial markets that render the Offers inadvisable and impractical. The Offers were subject to conditions in the Offering Memorandum and Solicitation Statement, dated February 20, 2020, that will not be satisfied given current market conditions. The Company has determined not to extend or amend the Offers but rather to pursue other alternatives, which could include a similar but modified exchange, to delever its balance sheet and protect the value of its business during this market dislocation.</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Offers were due to expire at 11:59 p.m., New York City time, on March 18, 2020. As a result of this termination, no Notes will be exchanged in the Offers, all Notes previously tendered and not withdrawn will be promptly returned to tendering holders and no consideration will be paid to holders who have tendered their Notes.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Legal Disclaimers</w:t>
      </w:r>
    </w:p>
    <w:p>
      <w:pPr>
        <w:spacing w:after="0" w:line="23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press release does not constitute an offer to sell or a solicitation of any offer to buy any securities, nor shall there be any sale of any securities in any jurisdiction in which such offer, solicitation or sale would be unlawful prior to registration or qualification under the securities laws of any such jurisdiction. This press release is being issued pursuant to Rule 135c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California Resources Corporation</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California Resources Corporation is the largest oil and natural gas exploration and production company in California on a gross-operated basis. The Company operates its world class resource base exclusively within the State of California, applying integrated infrastructure to gather, process and market its production. Using advanced technology, California Resources Corporation focuses on safely and responsibly supplying affordable energy for California by Californians.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Scott Espenshade (Investor Relations)</w:t>
      </w:r>
    </w:p>
    <w:p>
      <w:pPr>
        <w:spacing w:after="0" w:line="9" w:lineRule="exact"/>
        <w:rPr>
          <w:sz w:val="20"/>
          <w:szCs w:val="20"/>
          <w:color w:val="auto"/>
        </w:rPr>
      </w:pPr>
    </w:p>
    <w:p>
      <w:pPr>
        <w:ind w:right="8940" w:firstLine="8"/>
        <w:spacing w:after="0" w:line="261" w:lineRule="auto"/>
        <w:tabs>
          <w:tab w:leader="none" w:pos="350" w:val="left"/>
        </w:tabs>
        <w:numPr>
          <w:ilvl w:val="0"/>
          <w:numId w:val="2"/>
        </w:numPr>
        <w:rPr>
          <w:rFonts w:ascii="Arial" w:cs="Arial" w:eastAsia="Arial" w:hAnsi="Arial"/>
          <w:sz w:val="18"/>
          <w:szCs w:val="18"/>
          <w:color w:val="auto"/>
        </w:rPr>
      </w:pPr>
      <w:r>
        <w:rPr>
          <w:rFonts w:ascii="Arial" w:cs="Arial" w:eastAsia="Arial" w:hAnsi="Arial"/>
          <w:sz w:val="18"/>
          <w:szCs w:val="18"/>
          <w:color w:val="auto"/>
        </w:rPr>
        <w:t>661-6010 Scott.Espenshade@crc.com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Margita Thompson (Media)</w:t>
      </w:r>
    </w:p>
    <w:p>
      <w:pPr>
        <w:spacing w:after="0" w:line="9" w:lineRule="exact"/>
        <w:rPr>
          <w:sz w:val="20"/>
          <w:szCs w:val="20"/>
          <w:color w:val="auto"/>
        </w:rPr>
      </w:pPr>
    </w:p>
    <w:p>
      <w:pPr>
        <w:ind w:right="8900" w:firstLine="8"/>
        <w:spacing w:after="0" w:line="261"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661-6005 Margita.Thompson@crc.com</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220"/>
      </w:cols>
      <w:pgMar w:left="320" w:top="9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1"/>
      <w:numFmt w:val="decimal"/>
      <w:start w:val="818"/>
    </w:lvl>
  </w:abstractNum>
  <w:abstractNum w:abstractNumId="2">
    <w:nsid w:val="19495CFF"/>
    <w:multiLevelType w:val="hybridMultilevel"/>
    <w:lvl w:ilvl="0">
      <w:lvlJc w:val="left"/>
      <w:lvlText w:val="%1"/>
      <w:numFmt w:val="decimal"/>
      <w:start w:val="81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2020-03-16T05:36:37Z</dcterms:created>
  <dcterms:modified xsi:type="dcterms:W3CDTF">2020-03-16T05:36:37Z</dcterms:modified>
</cp:coreProperties>
</file>