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542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4273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Leon Francisco</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WORLD TRADE CENTER, SUITE 1500</w:t>
      </w:r>
    </w:p>
    <w:p>
      <w:pPr>
        <w:spacing w:after="0" w:line="34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LONG BEACH</w:t>
        <w:tab/>
        <w:t>CA</w:t>
      </w:r>
      <w:r>
        <w:rPr>
          <w:sz w:val="20"/>
          <w:szCs w:val="20"/>
          <w:color w:val="auto"/>
        </w:rPr>
        <w:tab/>
      </w:r>
      <w:r>
        <w:rPr>
          <w:rFonts w:ascii="Times New Roman" w:cs="Times New Roman" w:eastAsia="Times New Roman" w:hAnsi="Times New Roman"/>
          <w:sz w:val="16"/>
          <w:szCs w:val="16"/>
          <w:color w:val="0000FF"/>
        </w:rPr>
        <w:t>90831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01/25/2024</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60"/>
              <w:spacing w:after="0" w:line="128"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83,124</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237,881</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44,788</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193,093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(4)</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42,018</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151,075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01/25/2024</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83,124</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54"/>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83,124</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4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vesting of performance stock units ("PSUs") granted on January 25, 2021. Pursuant to the terms of the PSU award, settlement will occur within 45 days following the end of the three-year performance period.</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141 shares acquired under the California Resources Corporation Employee Stock Purchase Plan on March 31, 2023.</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cancelled for payment of taxes on vested PSUs.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cancelled for payment of taxes on vested restricted stock units.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Ulrik Damborg, Attorney-in- </w:t>
      </w:r>
      <w:r>
        <w:rPr>
          <w:rFonts w:ascii="Times New Roman" w:cs="Times New Roman" w:eastAsia="Times New Roman" w:hAnsi="Times New Roman"/>
          <w:sz w:val="33"/>
          <w:szCs w:val="33"/>
          <w:color w:val="0000FF"/>
          <w:vertAlign w:val="subscript"/>
        </w:rPr>
        <w:t>01/29/2024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Francisco Leon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2190"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2024-01-29T18:55:14Z</dcterms:created>
  <dcterms:modified xsi:type="dcterms:W3CDTF">2024-01-29T18:55:14Z</dcterms:modified>
</cp:coreProperties>
</file>