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7"/>
          <w:szCs w:val="27"/>
          <w:color w:val="auto"/>
        </w:rPr>
        <w:t>UNITED STATES</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27"/>
          <w:szCs w:val="27"/>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23"/>
          <w:szCs w:val="23"/>
          <w:color w:val="auto"/>
        </w:rPr>
        <w:t>Washington, D.C. 20549</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41" w:lineRule="exact"/>
        <w:rPr>
          <w:sz w:val="24"/>
          <w:szCs w:val="24"/>
          <w:color w:val="auto"/>
        </w:rPr>
      </w:pPr>
    </w:p>
    <w:p>
      <w:pPr>
        <w:ind w:left="2440" w:hanging="317"/>
        <w:spacing w:after="0"/>
        <w:tabs>
          <w:tab w:leader="none" w:pos="2440" w:val="left"/>
        </w:tabs>
        <w:numPr>
          <w:ilvl w:val="0"/>
          <w:numId w:val="1"/>
        </w:numPr>
        <w:rPr>
          <w:rFonts w:ascii="MS PGothic" w:cs="MS PGothic" w:eastAsia="MS PGothic" w:hAnsi="MS PGothic"/>
          <w:sz w:val="27"/>
          <w:szCs w:val="27"/>
          <w:color w:val="auto"/>
        </w:rPr>
      </w:pPr>
      <w:r>
        <w:rPr>
          <w:rFonts w:ascii="Arial" w:cs="Arial" w:eastAsia="Arial" w:hAnsi="Arial"/>
          <w:sz w:val="23"/>
          <w:szCs w:val="23"/>
          <w:b w:val="1"/>
          <w:bCs w:val="1"/>
          <w:color w:val="auto"/>
        </w:rPr>
        <w:t>QUARTERLY REPORT PURSUANT TO SECTION 13 OR 15(d)</w:t>
      </w:r>
    </w:p>
    <w:p>
      <w:pPr>
        <w:spacing w:after="0" w:line="26" w:lineRule="exact"/>
        <w:rPr>
          <w:rFonts w:ascii="MS PGothic" w:cs="MS PGothic" w:eastAsia="MS PGothic" w:hAnsi="MS PGothic"/>
          <w:sz w:val="27"/>
          <w:szCs w:val="27"/>
          <w:color w:val="auto"/>
        </w:rPr>
      </w:pPr>
    </w:p>
    <w:p>
      <w:pPr>
        <w:ind w:left="3000"/>
        <w:spacing w:after="0"/>
        <w:rPr>
          <w:rFonts w:ascii="MS PGothic" w:cs="MS PGothic" w:eastAsia="MS PGothic" w:hAnsi="MS PGothic"/>
          <w:sz w:val="27"/>
          <w:szCs w:val="27"/>
          <w:color w:val="auto"/>
        </w:rPr>
      </w:pPr>
      <w:r>
        <w:rPr>
          <w:rFonts w:ascii="Arial" w:cs="Arial" w:eastAsia="Arial" w:hAnsi="Arial"/>
          <w:sz w:val="23"/>
          <w:szCs w:val="23"/>
          <w:b w:val="1"/>
          <w:bCs w:val="1"/>
          <w:color w:val="auto"/>
        </w:rPr>
        <w:t>OF THE SECURITIES EXCHANGE ACT OF 1934</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For the quarterly period ended September 30, 2024</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OR</w:t>
      </w:r>
    </w:p>
    <w:p>
      <w:pPr>
        <w:spacing w:after="0" w:line="37" w:lineRule="exact"/>
        <w:rPr>
          <w:sz w:val="24"/>
          <w:szCs w:val="24"/>
          <w:color w:val="auto"/>
        </w:rPr>
      </w:pPr>
    </w:p>
    <w:p>
      <w:pPr>
        <w:ind w:left="2440" w:hanging="315"/>
        <w:spacing w:after="0"/>
        <w:tabs>
          <w:tab w:leader="none" w:pos="2440" w:val="left"/>
        </w:tabs>
        <w:numPr>
          <w:ilvl w:val="0"/>
          <w:numId w:val="2"/>
        </w:numPr>
        <w:rPr>
          <w:rFonts w:ascii="MS PGothic" w:cs="MS PGothic" w:eastAsia="MS PGothic" w:hAnsi="MS PGothic"/>
          <w:sz w:val="27"/>
          <w:szCs w:val="27"/>
          <w:color w:val="auto"/>
        </w:rPr>
      </w:pPr>
      <w:r>
        <w:rPr>
          <w:rFonts w:ascii="Arial" w:cs="Arial" w:eastAsia="Arial" w:hAnsi="Arial"/>
          <w:sz w:val="23"/>
          <w:szCs w:val="23"/>
          <w:b w:val="1"/>
          <w:bCs w:val="1"/>
          <w:color w:val="auto"/>
        </w:rPr>
        <w:t>TRANSITION REPORT PURSUANT TO SECTION 13 OR 15(d)</w:t>
      </w:r>
    </w:p>
    <w:p>
      <w:pPr>
        <w:spacing w:after="0" w:line="26" w:lineRule="exact"/>
        <w:rPr>
          <w:rFonts w:ascii="MS PGothic" w:cs="MS PGothic" w:eastAsia="MS PGothic" w:hAnsi="MS PGothic"/>
          <w:sz w:val="27"/>
          <w:szCs w:val="27"/>
          <w:color w:val="auto"/>
        </w:rPr>
      </w:pPr>
    </w:p>
    <w:p>
      <w:pPr>
        <w:ind w:left="3000"/>
        <w:spacing w:after="0"/>
        <w:rPr>
          <w:rFonts w:ascii="MS PGothic" w:cs="MS PGothic" w:eastAsia="MS PGothic" w:hAnsi="MS PGothic"/>
          <w:sz w:val="27"/>
          <w:szCs w:val="27"/>
          <w:color w:val="auto"/>
        </w:rPr>
      </w:pPr>
      <w:r>
        <w:rPr>
          <w:rFonts w:ascii="Arial" w:cs="Arial" w:eastAsia="Arial" w:hAnsi="Arial"/>
          <w:sz w:val="23"/>
          <w:szCs w:val="23"/>
          <w:b w:val="1"/>
          <w:bCs w:val="1"/>
          <w:color w:val="auto"/>
        </w:rPr>
        <w:t>OF THE SECURITIES EXCHANGE ACT OF 1934</w:t>
      </w:r>
    </w:p>
    <w:p>
      <w:pPr>
        <w:spacing w:after="0" w:line="185"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For the transition period from ___________ to ___________</w:t>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001-36478</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California Resources Corporation</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08" w:lineRule="exact"/>
        <w:rPr>
          <w:sz w:val="24"/>
          <w:szCs w:val="24"/>
          <w:color w:val="auto"/>
        </w:rPr>
      </w:pPr>
    </w:p>
    <w:tbl>
      <w:tblPr>
        <w:tblLayout w:type="fixed"/>
        <w:tblInd w:w="1700" w:type="dxa"/>
        <w:tblCellMar>
          <w:top w:w="0" w:type="dxa"/>
          <w:left w:w="0" w:type="dxa"/>
          <w:bottom w:w="0" w:type="dxa"/>
          <w:right w:w="0" w:type="dxa"/>
        </w:tblCellMar>
      </w:tblPr>
      <w:tr>
        <w:trPr>
          <w:trHeight w:val="258"/>
        </w:trPr>
        <w:tc>
          <w:tcPr>
            <w:tcW w:w="4360" w:type="dxa"/>
            <w:vAlign w:val="bottom"/>
          </w:tcPr>
          <w:p>
            <w:pPr>
              <w:ind w:left="840"/>
              <w:spacing w:after="0"/>
              <w:rPr>
                <w:sz w:val="20"/>
                <w:szCs w:val="20"/>
                <w:color w:val="auto"/>
              </w:rPr>
            </w:pPr>
            <w:r>
              <w:rPr>
                <w:rFonts w:ascii="Arial" w:cs="Arial" w:eastAsia="Arial" w:hAnsi="Arial"/>
                <w:sz w:val="20"/>
                <w:szCs w:val="20"/>
                <w:b w:val="1"/>
                <w:bCs w:val="1"/>
                <w:color w:val="auto"/>
              </w:rPr>
              <w:t>Delaware</w:t>
            </w:r>
          </w:p>
        </w:tc>
        <w:tc>
          <w:tcPr>
            <w:tcW w:w="3340" w:type="dxa"/>
            <w:vAlign w:val="bottom"/>
          </w:tcPr>
          <w:p>
            <w:pPr>
              <w:jc w:val="right"/>
              <w:ind w:right="141"/>
              <w:spacing w:after="0"/>
              <w:rPr>
                <w:sz w:val="20"/>
                <w:szCs w:val="20"/>
                <w:color w:val="auto"/>
              </w:rPr>
            </w:pPr>
            <w:r>
              <w:rPr>
                <w:rFonts w:ascii="Arial" w:cs="Arial" w:eastAsia="Arial" w:hAnsi="Arial"/>
                <w:sz w:val="20"/>
                <w:szCs w:val="20"/>
                <w:b w:val="1"/>
                <w:bCs w:val="1"/>
                <w:color w:val="auto"/>
              </w:rPr>
              <w:t>46-5670947</w:t>
            </w:r>
          </w:p>
        </w:tc>
      </w:tr>
      <w:tr>
        <w:trPr>
          <w:trHeight w:val="203"/>
        </w:trPr>
        <w:tc>
          <w:tcPr>
            <w:tcW w:w="4360" w:type="dxa"/>
            <w:vAlign w:val="bottom"/>
          </w:tcPr>
          <w:p>
            <w:pPr>
              <w:ind w:left="20"/>
              <w:spacing w:after="0" w:line="203" w:lineRule="exact"/>
              <w:rPr>
                <w:sz w:val="20"/>
                <w:szCs w:val="20"/>
                <w:color w:val="auto"/>
              </w:rPr>
            </w:pPr>
            <w:r>
              <w:rPr>
                <w:rFonts w:ascii="Arial" w:cs="Arial" w:eastAsia="Arial" w:hAnsi="Arial"/>
                <w:sz w:val="20"/>
                <w:szCs w:val="20"/>
                <w:color w:val="auto"/>
              </w:rPr>
              <w:t>(State or other jurisdiction of</w:t>
            </w:r>
          </w:p>
        </w:tc>
        <w:tc>
          <w:tcPr>
            <w:tcW w:w="3340" w:type="dxa"/>
            <w:vAlign w:val="bottom"/>
          </w:tcPr>
          <w:p>
            <w:pPr>
              <w:ind w:left="1820"/>
              <w:spacing w:after="0" w:line="203" w:lineRule="exact"/>
              <w:rPr>
                <w:sz w:val="20"/>
                <w:szCs w:val="20"/>
                <w:color w:val="auto"/>
              </w:rPr>
            </w:pPr>
            <w:r>
              <w:rPr>
                <w:rFonts w:ascii="Arial" w:cs="Arial" w:eastAsia="Arial" w:hAnsi="Arial"/>
                <w:sz w:val="20"/>
                <w:szCs w:val="20"/>
                <w:color w:val="auto"/>
              </w:rPr>
              <w:t>(I.R.S. Employer</w:t>
            </w:r>
          </w:p>
        </w:tc>
      </w:tr>
      <w:tr>
        <w:trPr>
          <w:trHeight w:val="261"/>
        </w:trPr>
        <w:tc>
          <w:tcPr>
            <w:tcW w:w="4360" w:type="dxa"/>
            <w:vAlign w:val="bottom"/>
          </w:tcPr>
          <w:p>
            <w:pPr>
              <w:spacing w:after="0"/>
              <w:rPr>
                <w:sz w:val="20"/>
                <w:szCs w:val="20"/>
                <w:color w:val="auto"/>
              </w:rPr>
            </w:pPr>
            <w:r>
              <w:rPr>
                <w:rFonts w:ascii="Arial" w:cs="Arial" w:eastAsia="Arial" w:hAnsi="Arial"/>
                <w:sz w:val="20"/>
                <w:szCs w:val="20"/>
                <w:color w:val="auto"/>
              </w:rPr>
              <w:t>incorporation or organization)</w:t>
            </w:r>
          </w:p>
        </w:tc>
        <w:tc>
          <w:tcPr>
            <w:tcW w:w="3340" w:type="dxa"/>
            <w:vAlign w:val="bottom"/>
          </w:tcPr>
          <w:p>
            <w:pPr>
              <w:ind w:left="1800"/>
              <w:spacing w:after="0"/>
              <w:rPr>
                <w:sz w:val="20"/>
                <w:szCs w:val="20"/>
                <w:color w:val="auto"/>
              </w:rPr>
            </w:pPr>
            <w:r>
              <w:rPr>
                <w:rFonts w:ascii="Arial" w:cs="Arial" w:eastAsia="Arial" w:hAnsi="Arial"/>
                <w:sz w:val="20"/>
                <w:szCs w:val="20"/>
                <w:color w:val="auto"/>
                <w:w w:val="97"/>
              </w:rPr>
              <w:t>Identification No.)</w:t>
            </w:r>
          </w:p>
        </w:tc>
      </w:tr>
    </w:tbl>
    <w:p>
      <w:pPr>
        <w:spacing w:after="0" w:line="196" w:lineRule="exact"/>
        <w:rPr>
          <w:sz w:val="24"/>
          <w:szCs w:val="24"/>
          <w:color w:val="auto"/>
        </w:rPr>
      </w:pPr>
    </w:p>
    <w:p>
      <w:pPr>
        <w:ind w:left="4100"/>
        <w:spacing w:after="0"/>
        <w:rPr>
          <w:sz w:val="20"/>
          <w:szCs w:val="20"/>
          <w:color w:val="auto"/>
        </w:rPr>
      </w:pPr>
      <w:r>
        <w:rPr>
          <w:rFonts w:ascii="Arial" w:cs="Arial" w:eastAsia="Arial" w:hAnsi="Arial"/>
          <w:sz w:val="20"/>
          <w:szCs w:val="20"/>
          <w:b w:val="1"/>
          <w:bCs w:val="1"/>
          <w:color w:val="auto"/>
        </w:rPr>
        <w:t>1 World Trade Center, Suite 1500</w:t>
      </w:r>
    </w:p>
    <w:p>
      <w:pPr>
        <w:spacing w:after="0" w:line="20" w:lineRule="exact"/>
        <w:rPr>
          <w:sz w:val="24"/>
          <w:szCs w:val="24"/>
          <w:color w:val="auto"/>
        </w:rPr>
      </w:pPr>
    </w:p>
    <w:p>
      <w:pPr>
        <w:ind w:left="4240"/>
        <w:spacing w:after="0"/>
        <w:rPr>
          <w:sz w:val="20"/>
          <w:szCs w:val="20"/>
          <w:color w:val="auto"/>
        </w:rPr>
      </w:pPr>
      <w:r>
        <w:rPr>
          <w:rFonts w:ascii="Arial" w:cs="Arial" w:eastAsia="Arial" w:hAnsi="Arial"/>
          <w:sz w:val="20"/>
          <w:szCs w:val="20"/>
          <w:b w:val="1"/>
          <w:bCs w:val="1"/>
          <w:color w:val="auto"/>
        </w:rPr>
        <w:t>Long Beach, California 90831</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(Address of principal executive offices) (Zip Code)</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(888) 848-4754</w:t>
      </w:r>
    </w:p>
    <w:p>
      <w:pPr>
        <w:spacing w:after="0" w:line="36" w:lineRule="exact"/>
        <w:rPr>
          <w:sz w:val="24"/>
          <w:szCs w:val="24"/>
          <w:color w:val="auto"/>
        </w:rPr>
      </w:pPr>
    </w:p>
    <w:p>
      <w:pPr>
        <w:ind w:left="3520"/>
        <w:spacing w:after="0"/>
        <w:rPr>
          <w:sz w:val="20"/>
          <w:szCs w:val="20"/>
          <w:color w:val="auto"/>
        </w:rPr>
      </w:pPr>
      <w:r>
        <w:rPr>
          <w:rFonts w:ascii="Arial" w:cs="Arial" w:eastAsia="Arial" w:hAnsi="Arial"/>
          <w:sz w:val="18"/>
          <w:szCs w:val="18"/>
          <w:color w:val="auto"/>
        </w:rPr>
        <w:t>(Registrant’s telephone number, including area code)</w:t>
      </w:r>
    </w:p>
    <w:p>
      <w:pPr>
        <w:spacing w:after="0" w:line="231" w:lineRule="exact"/>
        <w:rPr>
          <w:sz w:val="24"/>
          <w:szCs w:val="24"/>
          <w:color w:val="auto"/>
        </w:rPr>
      </w:pPr>
    </w:p>
    <w:p>
      <w:pPr>
        <w:spacing w:after="0"/>
        <w:rPr>
          <w:sz w:val="20"/>
          <w:szCs w:val="20"/>
          <w:color w:val="auto"/>
        </w:rPr>
      </w:pPr>
      <w:r>
        <w:rPr>
          <w:rFonts w:ascii="Arial" w:cs="Arial" w:eastAsia="Arial" w:hAnsi="Arial"/>
          <w:sz w:val="17"/>
          <w:szCs w:val="17"/>
          <w:color w:val="auto"/>
        </w:rPr>
        <w:t>Securities registered pursuant to Section 12(b) of the Exchange Act:</w:t>
      </w:r>
    </w:p>
    <w:p>
      <w:pPr>
        <w:sectPr>
          <w:pgSz w:w="11900" w:h="16838" w:orient="portrait"/>
          <w:cols w:equalWidth="0" w:num="1">
            <w:col w:w="11240"/>
          </w:cols>
          <w:pgMar w:left="320" w:top="1003" w:right="339" w:bottom="1440" w:gutter="0" w:footer="0" w:header="0"/>
        </w:sectPr>
      </w:pPr>
    </w:p>
    <w:p>
      <w:pPr>
        <w:spacing w:after="0" w:line="142" w:lineRule="exact"/>
        <w:rPr>
          <w:sz w:val="24"/>
          <w:szCs w:val="24"/>
          <w:color w:val="auto"/>
        </w:rPr>
      </w:pPr>
    </w:p>
    <w:p>
      <w:pPr>
        <w:jc w:val="center"/>
        <w:ind w:left="1680"/>
        <w:spacing w:after="0"/>
        <w:rPr>
          <w:sz w:val="20"/>
          <w:szCs w:val="20"/>
          <w:color w:val="auto"/>
        </w:rPr>
      </w:pPr>
      <w:r>
        <w:rPr>
          <w:rFonts w:ascii="Arial" w:cs="Arial" w:eastAsia="Arial" w:hAnsi="Arial"/>
          <w:sz w:val="16"/>
          <w:szCs w:val="16"/>
          <w:b w:val="1"/>
          <w:bCs w:val="1"/>
          <w:color w:val="auto"/>
        </w:rPr>
        <w:t>Title of Each Class</w:t>
      </w:r>
    </w:p>
    <w:p>
      <w:pPr>
        <w:spacing w:after="0" w:line="51" w:lineRule="exact"/>
        <w:rPr>
          <w:sz w:val="24"/>
          <w:szCs w:val="24"/>
          <w:color w:val="auto"/>
        </w:rPr>
      </w:pPr>
    </w:p>
    <w:p>
      <w:pPr>
        <w:jc w:val="center"/>
        <w:ind w:left="1680"/>
        <w:spacing w:after="0"/>
        <w:rPr>
          <w:sz w:val="20"/>
          <w:szCs w:val="20"/>
          <w:color w:val="auto"/>
        </w:rPr>
      </w:pPr>
      <w:r>
        <w:rPr>
          <w:rFonts w:ascii="Arial" w:cs="Arial" w:eastAsia="Arial" w:hAnsi="Arial"/>
          <w:sz w:val="17"/>
          <w:szCs w:val="17"/>
          <w:color w:val="auto"/>
        </w:rPr>
        <w:t>Common Stock</w:t>
      </w:r>
    </w:p>
    <w:p>
      <w:pPr>
        <w:spacing w:after="0" w:line="20" w:lineRule="exact"/>
        <w:rPr>
          <w:sz w:val="24"/>
          <w:szCs w:val="24"/>
          <w:color w:val="auto"/>
        </w:rPr>
      </w:pPr>
      <w:r>
        <w:rPr>
          <w:sz w:val="24"/>
          <w:szCs w:val="24"/>
          <w:color w:val="auto"/>
        </w:rPr>
        <w:br w:type="column"/>
      </w:r>
    </w:p>
    <w:p>
      <w:pPr>
        <w:spacing w:after="0" w:line="122" w:lineRule="exact"/>
        <w:rPr>
          <w:sz w:val="24"/>
          <w:szCs w:val="24"/>
          <w:color w:val="auto"/>
        </w:rPr>
      </w:pPr>
    </w:p>
    <w:p>
      <w:pPr>
        <w:spacing w:after="0"/>
        <w:tabs>
          <w:tab w:leader="none" w:pos="1740" w:val="left"/>
        </w:tabs>
        <w:rPr>
          <w:sz w:val="20"/>
          <w:szCs w:val="20"/>
          <w:color w:val="auto"/>
        </w:rPr>
      </w:pPr>
      <w:r>
        <w:rPr>
          <w:rFonts w:ascii="Arial" w:cs="Arial" w:eastAsia="Arial" w:hAnsi="Arial"/>
          <w:sz w:val="17"/>
          <w:szCs w:val="17"/>
          <w:b w:val="1"/>
          <w:bCs w:val="1"/>
          <w:color w:val="auto"/>
        </w:rPr>
        <w:t>Trading Symbol(s)</w:t>
        <w:tab/>
        <w:t>Name of Each Exchange on Which Registered</w:t>
      </w:r>
    </w:p>
    <w:p>
      <w:pPr>
        <w:spacing w:after="0" w:line="39" w:lineRule="exact"/>
        <w:rPr>
          <w:sz w:val="24"/>
          <w:szCs w:val="24"/>
          <w:color w:val="auto"/>
        </w:rPr>
      </w:pPr>
    </w:p>
    <w:p>
      <w:pPr>
        <w:ind w:left="560"/>
        <w:spacing w:after="0"/>
        <w:tabs>
          <w:tab w:leader="none" w:pos="2600" w:val="left"/>
        </w:tabs>
        <w:rPr>
          <w:sz w:val="20"/>
          <w:szCs w:val="20"/>
          <w:color w:val="auto"/>
        </w:rPr>
      </w:pPr>
      <w:r>
        <w:rPr>
          <w:rFonts w:ascii="Arial" w:cs="Arial" w:eastAsia="Arial" w:hAnsi="Arial"/>
          <w:sz w:val="17"/>
          <w:szCs w:val="17"/>
          <w:color w:val="auto"/>
        </w:rPr>
        <w:t>CRC</w:t>
      </w:r>
      <w:r>
        <w:rPr>
          <w:sz w:val="20"/>
          <w:szCs w:val="20"/>
          <w:color w:val="auto"/>
        </w:rPr>
        <w:tab/>
      </w:r>
      <w:r>
        <w:rPr>
          <w:rFonts w:ascii="Arial" w:cs="Arial" w:eastAsia="Arial" w:hAnsi="Arial"/>
          <w:sz w:val="17"/>
          <w:szCs w:val="17"/>
          <w:color w:val="auto"/>
        </w:rPr>
        <w:t>New York Stock Exchange</w:t>
      </w:r>
    </w:p>
    <w:p>
      <w:pPr>
        <w:spacing w:after="0" w:line="200" w:lineRule="exact"/>
        <w:rPr>
          <w:sz w:val="24"/>
          <w:szCs w:val="24"/>
          <w:color w:val="auto"/>
        </w:rPr>
      </w:pPr>
    </w:p>
    <w:p>
      <w:pPr>
        <w:sectPr>
          <w:pgSz w:w="11900" w:h="16838" w:orient="portrait"/>
          <w:cols w:equalWidth="0" w:num="2">
            <w:col w:w="3820" w:space="720"/>
            <w:col w:w="6700"/>
          </w:cols>
          <w:pgMar w:left="320" w:top="1003" w:right="339" w:bottom="1440" w:gutter="0" w:footer="0" w:header="0"/>
          <w:type w:val="continuous"/>
        </w:sectPr>
      </w:pPr>
    </w:p>
    <w:p>
      <w:pPr>
        <w:spacing w:after="0" w:line="153" w:lineRule="exact"/>
        <w:rPr>
          <w:sz w:val="24"/>
          <w:szCs w:val="24"/>
          <w:color w:val="auto"/>
        </w:rPr>
      </w:pPr>
    </w:p>
    <w:p>
      <w:pPr>
        <w:jc w:val="both"/>
        <w:spacing w:after="0" w:line="218"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7"/>
          <w:szCs w:val="17"/>
          <w:color w:val="auto"/>
        </w:rPr>
        <w:t>☑</w:t>
      </w:r>
      <w:r>
        <w:rPr>
          <w:rFonts w:ascii="Arial" w:cs="Arial" w:eastAsia="Arial" w:hAnsi="Arial"/>
          <w:sz w:val="17"/>
          <w:szCs w:val="17"/>
          <w:color w:val="auto"/>
        </w:rPr>
        <w:t xml:space="preserve"> Yes </w:t>
      </w:r>
      <w:r>
        <w:rPr>
          <w:rFonts w:ascii="MS PGothic" w:cs="MS PGothic" w:eastAsia="MS PGothic" w:hAnsi="MS PGothic"/>
          <w:sz w:val="17"/>
          <w:szCs w:val="17"/>
          <w:color w:val="auto"/>
        </w:rPr>
        <w:t>☐</w:t>
      </w:r>
      <w:r>
        <w:rPr>
          <w:rFonts w:ascii="Arial" w:cs="Arial" w:eastAsia="Arial" w:hAnsi="Arial"/>
          <w:sz w:val="17"/>
          <w:szCs w:val="17"/>
          <w:color w:val="auto"/>
        </w:rPr>
        <w:t xml:space="preserve"> No</w:t>
      </w:r>
    </w:p>
    <w:p>
      <w:pPr>
        <w:spacing w:after="0" w:line="63" w:lineRule="exact"/>
        <w:rPr>
          <w:sz w:val="24"/>
          <w:szCs w:val="24"/>
          <w:color w:val="auto"/>
        </w:rPr>
      </w:pPr>
    </w:p>
    <w:p>
      <w:pPr>
        <w:jc w:val="both"/>
        <w:spacing w:after="0" w:line="223"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7"/>
          <w:szCs w:val="17"/>
          <w:color w:val="auto"/>
        </w:rPr>
        <w:t>☑</w:t>
      </w:r>
      <w:r>
        <w:rPr>
          <w:rFonts w:ascii="Arial" w:cs="Arial" w:eastAsia="Arial" w:hAnsi="Arial"/>
          <w:sz w:val="17"/>
          <w:szCs w:val="17"/>
          <w:color w:val="auto"/>
        </w:rPr>
        <w:t xml:space="preserve"> Yes </w:t>
      </w:r>
      <w:r>
        <w:rPr>
          <w:rFonts w:ascii="MS PGothic" w:cs="MS PGothic" w:eastAsia="MS PGothic" w:hAnsi="MS PGothic"/>
          <w:sz w:val="17"/>
          <w:szCs w:val="17"/>
          <w:color w:val="auto"/>
        </w:rPr>
        <w:t>☐</w:t>
      </w:r>
      <w:r>
        <w:rPr>
          <w:rFonts w:ascii="Arial" w:cs="Arial" w:eastAsia="Arial" w:hAnsi="Arial"/>
          <w:sz w:val="17"/>
          <w:szCs w:val="17"/>
          <w:color w:val="auto"/>
        </w:rPr>
        <w:t xml:space="preserve"> No</w:t>
      </w:r>
    </w:p>
    <w:p>
      <w:pPr>
        <w:spacing w:after="0" w:line="75" w:lineRule="exact"/>
        <w:rPr>
          <w:sz w:val="24"/>
          <w:szCs w:val="24"/>
          <w:color w:val="auto"/>
        </w:rPr>
      </w:pPr>
    </w:p>
    <w:p>
      <w:pPr>
        <w:jc w:val="both"/>
        <w:spacing w:after="0" w:line="266"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003" w:right="339" w:bottom="1440" w:gutter="0" w:footer="0" w:header="0"/>
          <w:type w:val="continuous"/>
        </w:sectPr>
      </w:pPr>
    </w:p>
    <w:p>
      <w:pPr>
        <w:spacing w:after="0" w:line="93" w:lineRule="exact"/>
        <w:rPr>
          <w:sz w:val="24"/>
          <w:szCs w:val="24"/>
          <w:color w:val="auto"/>
        </w:rPr>
      </w:pPr>
    </w:p>
    <w:p>
      <w:pPr>
        <w:ind w:left="1040"/>
        <w:spacing w:after="0" w:line="317" w:lineRule="auto"/>
        <w:rPr>
          <w:sz w:val="20"/>
          <w:szCs w:val="20"/>
          <w:color w:val="auto"/>
        </w:rPr>
      </w:pPr>
      <w:r>
        <w:rPr>
          <w:rFonts w:ascii="Arial" w:cs="Arial" w:eastAsia="Arial" w:hAnsi="Arial"/>
          <w:sz w:val="17"/>
          <w:szCs w:val="17"/>
          <w:color w:val="auto"/>
        </w:rPr>
        <w:t>Large Accelerated Filer Smaller Reporting Company</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34" w:lineRule="exact"/>
        <w:rPr>
          <w:sz w:val="24"/>
          <w:szCs w:val="24"/>
          <w:color w:val="auto"/>
        </w:rPr>
      </w:pPr>
    </w:p>
    <w:p>
      <w:pPr>
        <w:spacing w:after="0"/>
        <w:rPr>
          <w:sz w:val="20"/>
          <w:szCs w:val="20"/>
          <w:color w:val="auto"/>
        </w:rPr>
      </w:pPr>
      <w:r>
        <w:rPr>
          <w:rFonts w:ascii="Arial" w:cs="Arial" w:eastAsia="Arial" w:hAnsi="Arial"/>
          <w:sz w:val="17"/>
          <w:szCs w:val="17"/>
          <w:color w:val="auto"/>
        </w:rPr>
        <w:t>Emerging Growth Company</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546" w:lineRule="exact"/>
        <w:rPr>
          <w:sz w:val="24"/>
          <w:szCs w:val="24"/>
          <w:color w:val="auto"/>
        </w:rPr>
      </w:pPr>
    </w:p>
    <w:p>
      <w:pPr>
        <w:sectPr>
          <w:pgSz w:w="11900" w:h="16838" w:orient="portrait"/>
          <w:cols w:equalWidth="0" w:num="6">
            <w:col w:w="3180" w:space="100"/>
            <w:col w:w="160" w:space="640"/>
            <w:col w:w="2100" w:space="180"/>
            <w:col w:w="160" w:space="640"/>
            <w:col w:w="1640" w:space="640"/>
            <w:col w:w="1800"/>
          </w:cols>
          <w:pgMar w:left="320" w:top="1003" w:right="339" w:bottom="1440" w:gutter="0" w:footer="0" w:header="0"/>
          <w:type w:val="continuous"/>
        </w:sectPr>
      </w:pPr>
    </w:p>
    <w:p>
      <w:pPr>
        <w:spacing w:after="0" w:line="225"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 w:lineRule="exact"/>
        <w:rPr>
          <w:sz w:val="24"/>
          <w:szCs w:val="24"/>
          <w:color w:val="auto"/>
        </w:rPr>
      </w:pPr>
    </w:p>
    <w:p>
      <w:pPr>
        <w:spacing w:after="0" w:line="196" w:lineRule="exact"/>
        <w:tabs>
          <w:tab w:leader="none" w:pos="876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MS PGothic" w:cs="MS PGothic" w:eastAsia="MS PGothic" w:hAnsi="MS PGothic"/>
          <w:sz w:val="17"/>
          <w:szCs w:val="17"/>
          <w:color w:val="auto"/>
        </w:rPr>
        <w:t xml:space="preserve">☐ </w:t>
      </w:r>
      <w:r>
        <w:rPr>
          <w:rFonts w:ascii="Arial" w:cs="Arial" w:eastAsia="Arial" w:hAnsi="Arial"/>
          <w:sz w:val="17"/>
          <w:szCs w:val="17"/>
          <w:color w:val="auto"/>
        </w:rPr>
        <w:t>Yes</w:t>
      </w:r>
      <w:r>
        <w:rPr>
          <w:rFonts w:ascii="MS PGothic" w:cs="MS PGothic" w:eastAsia="MS PGothic" w:hAnsi="MS PGothic"/>
          <w:sz w:val="17"/>
          <w:szCs w:val="17"/>
          <w:color w:val="auto"/>
        </w:rPr>
        <w:t xml:space="preserve">  ☑  </w:t>
      </w: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568325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type w:val="continuous"/>
        </w:sectPr>
      </w:pPr>
    </w:p>
    <w:bookmarkStart w:id="1" w:name="page2"/>
    <w:bookmarkEnd w:id="1"/>
    <w:p>
      <w:pPr>
        <w:spacing w:after="0" w:line="225" w:lineRule="exact"/>
        <w:rPr>
          <w:sz w:val="20"/>
          <w:szCs w:val="20"/>
          <w:color w:val="auto"/>
        </w:rPr>
      </w:pPr>
      <w:r>
        <w:rPr>
          <w:rFonts w:ascii="Arial" w:cs="Arial" w:eastAsia="Arial" w:hAnsi="Arial"/>
          <w:sz w:val="17"/>
          <w:szCs w:val="17"/>
          <w:color w:val="auto"/>
        </w:rPr>
        <w:t xml:space="preserve">Indicate by check mark whether the registrant has filed all documents and reports required to be filed by Section 12, 13 or 15(d) of the Securities Exchange Act of 1934 subsequent to the distribution of securities under a plan confirmed by a court. </w:t>
      </w:r>
      <w:r>
        <w:rPr>
          <w:rFonts w:ascii="MS PGothic" w:cs="MS PGothic" w:eastAsia="MS PGothic" w:hAnsi="MS PGothic"/>
          <w:sz w:val="17"/>
          <w:szCs w:val="17"/>
          <w:color w:val="auto"/>
        </w:rPr>
        <w:t>☑</w:t>
      </w:r>
      <w:r>
        <w:rPr>
          <w:rFonts w:ascii="Arial" w:cs="Arial" w:eastAsia="Arial" w:hAnsi="Arial"/>
          <w:sz w:val="17"/>
          <w:szCs w:val="17"/>
          <w:color w:val="auto"/>
        </w:rPr>
        <w:t xml:space="preserve"> Yes </w:t>
      </w:r>
      <w:r>
        <w:rPr>
          <w:rFonts w:ascii="MS PGothic" w:cs="MS PGothic" w:eastAsia="MS PGothic" w:hAnsi="MS PGothic"/>
          <w:sz w:val="17"/>
          <w:szCs w:val="17"/>
          <w:color w:val="auto"/>
        </w:rPr>
        <w:t>☐</w:t>
      </w:r>
      <w:r>
        <w:rPr>
          <w:rFonts w:ascii="Arial" w:cs="Arial" w:eastAsia="Arial" w:hAnsi="Arial"/>
          <w:sz w:val="17"/>
          <w:szCs w:val="17"/>
          <w:color w:val="auto"/>
        </w:rPr>
        <w:t xml:space="preserve"> No</w:t>
      </w:r>
    </w:p>
    <w:p>
      <w:pPr>
        <w:spacing w:after="0" w:line="306" w:lineRule="exact"/>
        <w:rPr>
          <w:sz w:val="20"/>
          <w:szCs w:val="20"/>
          <w:color w:val="auto"/>
        </w:rPr>
      </w:pPr>
    </w:p>
    <w:p>
      <w:pPr>
        <w:spacing w:after="0"/>
        <w:rPr>
          <w:sz w:val="20"/>
          <w:szCs w:val="20"/>
          <w:color w:val="auto"/>
        </w:rPr>
      </w:pPr>
      <w:r>
        <w:rPr>
          <w:rFonts w:ascii="Arial" w:cs="Arial" w:eastAsia="Arial" w:hAnsi="Arial"/>
          <w:sz w:val="17"/>
          <w:szCs w:val="17"/>
          <w:color w:val="auto"/>
        </w:rPr>
        <w:t>Indicate the number of shares outstanding for each of the issuer's classes of common stock, as of the latest practicable date.</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The number of shares of common stock outstanding as of October 31, 2024 was 91,705,360.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563245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47"/>
        </w:trPr>
        <w:tc>
          <w:tcPr>
            <w:tcW w:w="960" w:type="dxa"/>
            <w:vAlign w:val="bottom"/>
          </w:tcPr>
          <w:p>
            <w:pPr>
              <w:spacing w:after="0"/>
              <w:rPr>
                <w:sz w:val="21"/>
                <w:szCs w:val="21"/>
                <w:color w:val="auto"/>
              </w:rPr>
            </w:pPr>
          </w:p>
        </w:tc>
        <w:tc>
          <w:tcPr>
            <w:tcW w:w="7520" w:type="dxa"/>
            <w:vAlign w:val="bottom"/>
          </w:tcPr>
          <w:p>
            <w:pPr>
              <w:ind w:left="1460"/>
              <w:spacing w:after="0"/>
              <w:rPr>
                <w:sz w:val="20"/>
                <w:szCs w:val="20"/>
                <w:color w:val="auto"/>
              </w:rPr>
            </w:pPr>
            <w:r>
              <w:rPr>
                <w:rFonts w:ascii="Arial" w:cs="Arial" w:eastAsia="Arial" w:hAnsi="Arial"/>
                <w:sz w:val="18"/>
                <w:szCs w:val="18"/>
                <w:b w:val="1"/>
                <w:bCs w:val="1"/>
                <w:color w:val="auto"/>
              </w:rPr>
              <w:t>California Resources Corporation and Subsidiaries</w:t>
            </w:r>
          </w:p>
        </w:tc>
        <w:tc>
          <w:tcPr>
            <w:tcW w:w="740" w:type="dxa"/>
            <w:vAlign w:val="bottom"/>
          </w:tcPr>
          <w:p>
            <w:pPr>
              <w:spacing w:after="0"/>
              <w:rPr>
                <w:sz w:val="21"/>
                <w:szCs w:val="21"/>
                <w:color w:val="auto"/>
              </w:rPr>
            </w:pPr>
          </w:p>
        </w:tc>
      </w:tr>
      <w:tr>
        <w:trPr>
          <w:trHeight w:val="459"/>
        </w:trPr>
        <w:tc>
          <w:tcPr>
            <w:tcW w:w="960" w:type="dxa"/>
            <w:vAlign w:val="bottom"/>
          </w:tcPr>
          <w:p>
            <w:pPr>
              <w:spacing w:after="0"/>
              <w:rPr>
                <w:sz w:val="24"/>
                <w:szCs w:val="24"/>
                <w:color w:val="auto"/>
              </w:rPr>
            </w:pPr>
          </w:p>
        </w:tc>
        <w:tc>
          <w:tcPr>
            <w:tcW w:w="7520" w:type="dxa"/>
            <w:vAlign w:val="bottom"/>
          </w:tcPr>
          <w:p>
            <w:pPr>
              <w:ind w:left="2900"/>
              <w:spacing w:after="0"/>
              <w:rPr>
                <w:sz w:val="20"/>
                <w:szCs w:val="20"/>
                <w:color w:val="auto"/>
              </w:rPr>
            </w:pPr>
            <w:r>
              <w:rPr>
                <w:rFonts w:ascii="Arial" w:cs="Arial" w:eastAsia="Arial" w:hAnsi="Arial"/>
                <w:sz w:val="18"/>
                <w:szCs w:val="18"/>
                <w:b w:val="1"/>
                <w:bCs w:val="1"/>
                <w:color w:val="auto"/>
              </w:rPr>
              <w:t>Table of Contents</w:t>
            </w:r>
          </w:p>
        </w:tc>
        <w:tc>
          <w:tcPr>
            <w:tcW w:w="740" w:type="dxa"/>
            <w:vAlign w:val="bottom"/>
          </w:tcPr>
          <w:p>
            <w:pPr>
              <w:spacing w:after="0"/>
              <w:rPr>
                <w:sz w:val="24"/>
                <w:szCs w:val="24"/>
                <w:color w:val="auto"/>
              </w:rPr>
            </w:pPr>
          </w:p>
        </w:tc>
      </w:tr>
      <w:tr>
        <w:trPr>
          <w:trHeight w:val="339"/>
        </w:trPr>
        <w:tc>
          <w:tcPr>
            <w:tcW w:w="960" w:type="dxa"/>
            <w:vAlign w:val="bottom"/>
          </w:tcPr>
          <w:p>
            <w:pPr>
              <w:spacing w:after="0"/>
              <w:rPr>
                <w:sz w:val="24"/>
                <w:szCs w:val="24"/>
                <w:color w:val="auto"/>
              </w:rPr>
            </w:pPr>
          </w:p>
        </w:tc>
        <w:tc>
          <w:tcPr>
            <w:tcW w:w="75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229"/>
        </w:trPr>
        <w:tc>
          <w:tcPr>
            <w:tcW w:w="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Part I</w:t>
            </w:r>
          </w:p>
        </w:tc>
        <w:tc>
          <w:tcPr>
            <w:tcW w:w="75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30"/>
        </w:trPr>
        <w:tc>
          <w:tcPr>
            <w:tcW w:w="960" w:type="dxa"/>
            <w:vAlign w:val="bottom"/>
          </w:tcPr>
          <w:p>
            <w:pPr>
              <w:ind w:left="140"/>
              <w:spacing w:after="0"/>
              <w:rPr>
                <w:sz w:val="20"/>
                <w:szCs w:val="20"/>
                <w:color w:val="auto"/>
              </w:rPr>
            </w:pPr>
            <w:r>
              <w:rPr>
                <w:rFonts w:ascii="Arial" w:cs="Arial" w:eastAsia="Arial" w:hAnsi="Arial"/>
                <w:sz w:val="18"/>
                <w:szCs w:val="18"/>
                <w:b w:val="1"/>
                <w:bCs w:val="1"/>
                <w:color w:val="auto"/>
              </w:rPr>
              <w:t>Item 1</w:t>
            </w:r>
          </w:p>
        </w:tc>
        <w:tc>
          <w:tcPr>
            <w:tcW w:w="7520" w:type="dxa"/>
            <w:vAlign w:val="bottom"/>
          </w:tcPr>
          <w:p>
            <w:pPr>
              <w:ind w:left="180"/>
              <w:spacing w:after="0"/>
              <w:rPr>
                <w:sz w:val="20"/>
                <w:szCs w:val="20"/>
                <w:color w:val="auto"/>
              </w:rPr>
            </w:pPr>
            <w:r>
              <w:rPr>
                <w:rFonts w:ascii="Arial" w:cs="Arial" w:eastAsia="Arial" w:hAnsi="Arial"/>
                <w:sz w:val="18"/>
                <w:szCs w:val="18"/>
                <w:color w:val="auto"/>
              </w:rPr>
              <w:t>Financial Statements (unaudited)</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4</w:t>
            </w:r>
          </w:p>
        </w:tc>
      </w:tr>
      <w:tr>
        <w:trPr>
          <w:trHeight w:val="229"/>
        </w:trPr>
        <w:tc>
          <w:tcPr>
            <w:tcW w:w="960" w:type="dxa"/>
            <w:vAlign w:val="bottom"/>
            <w:shd w:val="clear" w:color="auto" w:fill="CCEEFF"/>
          </w:tcPr>
          <w:p>
            <w:pPr>
              <w:spacing w:after="0"/>
              <w:rPr>
                <w:sz w:val="19"/>
                <w:szCs w:val="19"/>
                <w:color w:val="auto"/>
              </w:rPr>
            </w:pPr>
          </w:p>
        </w:tc>
        <w:tc>
          <w:tcPr>
            <w:tcW w:w="7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Condensed Consolidated Balance Sheets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r>
      <w:tr>
        <w:trPr>
          <w:trHeight w:val="229"/>
        </w:trPr>
        <w:tc>
          <w:tcPr>
            <w:tcW w:w="960" w:type="dxa"/>
            <w:vAlign w:val="bottom"/>
          </w:tcPr>
          <w:p>
            <w:pPr>
              <w:spacing w:after="0"/>
              <w:rPr>
                <w:sz w:val="19"/>
                <w:szCs w:val="19"/>
                <w:color w:val="auto"/>
              </w:rPr>
            </w:pPr>
          </w:p>
        </w:tc>
        <w:tc>
          <w:tcPr>
            <w:tcW w:w="7520" w:type="dxa"/>
            <w:vAlign w:val="bottom"/>
          </w:tcPr>
          <w:p>
            <w:pPr>
              <w:ind w:left="380"/>
              <w:spacing w:after="0"/>
              <w:rPr>
                <w:sz w:val="20"/>
                <w:szCs w:val="20"/>
                <w:color w:val="auto"/>
              </w:rPr>
            </w:pPr>
            <w:r>
              <w:rPr>
                <w:rFonts w:ascii="Arial" w:cs="Arial" w:eastAsia="Arial" w:hAnsi="Arial"/>
                <w:sz w:val="18"/>
                <w:szCs w:val="18"/>
                <w:color w:val="auto"/>
              </w:rPr>
              <w:t>Condensed Consolidated Statements of Operations</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5</w:t>
            </w:r>
          </w:p>
        </w:tc>
      </w:tr>
      <w:tr>
        <w:trPr>
          <w:trHeight w:val="230"/>
        </w:trPr>
        <w:tc>
          <w:tcPr>
            <w:tcW w:w="960" w:type="dxa"/>
            <w:vAlign w:val="bottom"/>
            <w:shd w:val="clear" w:color="auto" w:fill="CCEEFF"/>
          </w:tcPr>
          <w:p>
            <w:pPr>
              <w:spacing w:after="0"/>
              <w:rPr>
                <w:sz w:val="19"/>
                <w:szCs w:val="19"/>
                <w:color w:val="auto"/>
              </w:rPr>
            </w:pPr>
          </w:p>
        </w:tc>
        <w:tc>
          <w:tcPr>
            <w:tcW w:w="7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Condensed Consolidated Statements of Comprehensive Income (Loss)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r>
      <w:tr>
        <w:trPr>
          <w:trHeight w:val="229"/>
        </w:trPr>
        <w:tc>
          <w:tcPr>
            <w:tcW w:w="960" w:type="dxa"/>
            <w:vAlign w:val="bottom"/>
          </w:tcPr>
          <w:p>
            <w:pPr>
              <w:spacing w:after="0"/>
              <w:rPr>
                <w:sz w:val="19"/>
                <w:szCs w:val="19"/>
                <w:color w:val="auto"/>
              </w:rPr>
            </w:pPr>
          </w:p>
        </w:tc>
        <w:tc>
          <w:tcPr>
            <w:tcW w:w="7520" w:type="dxa"/>
            <w:vAlign w:val="bottom"/>
          </w:tcPr>
          <w:p>
            <w:pPr>
              <w:ind w:left="380"/>
              <w:spacing w:after="0"/>
              <w:rPr>
                <w:sz w:val="20"/>
                <w:szCs w:val="20"/>
                <w:color w:val="auto"/>
              </w:rPr>
            </w:pPr>
            <w:r>
              <w:rPr>
                <w:rFonts w:ascii="Arial" w:cs="Arial" w:eastAsia="Arial" w:hAnsi="Arial"/>
                <w:sz w:val="18"/>
                <w:szCs w:val="18"/>
                <w:color w:val="auto"/>
              </w:rPr>
              <w:t>Condensed Consolidated Statements of Stockholders' Equity</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7</w:t>
            </w:r>
          </w:p>
        </w:tc>
      </w:tr>
      <w:tr>
        <w:trPr>
          <w:trHeight w:val="230"/>
        </w:trPr>
        <w:tc>
          <w:tcPr>
            <w:tcW w:w="960" w:type="dxa"/>
            <w:vAlign w:val="bottom"/>
            <w:shd w:val="clear" w:color="auto" w:fill="CCEEFF"/>
          </w:tcPr>
          <w:p>
            <w:pPr>
              <w:spacing w:after="0"/>
              <w:rPr>
                <w:sz w:val="19"/>
                <w:szCs w:val="19"/>
                <w:color w:val="auto"/>
              </w:rPr>
            </w:pPr>
          </w:p>
        </w:tc>
        <w:tc>
          <w:tcPr>
            <w:tcW w:w="7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Condensed Consolidated Statements of Cash Flows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r>
      <w:tr>
        <w:trPr>
          <w:trHeight w:val="229"/>
        </w:trPr>
        <w:tc>
          <w:tcPr>
            <w:tcW w:w="960" w:type="dxa"/>
            <w:vAlign w:val="bottom"/>
          </w:tcPr>
          <w:p>
            <w:pPr>
              <w:spacing w:after="0"/>
              <w:rPr>
                <w:sz w:val="19"/>
                <w:szCs w:val="19"/>
                <w:color w:val="auto"/>
              </w:rPr>
            </w:pPr>
          </w:p>
        </w:tc>
        <w:tc>
          <w:tcPr>
            <w:tcW w:w="7520" w:type="dxa"/>
            <w:vAlign w:val="bottom"/>
          </w:tcPr>
          <w:p>
            <w:pPr>
              <w:ind w:left="380"/>
              <w:spacing w:after="0"/>
              <w:rPr>
                <w:sz w:val="20"/>
                <w:szCs w:val="20"/>
                <w:color w:val="auto"/>
              </w:rPr>
            </w:pPr>
            <w:r>
              <w:rPr>
                <w:rFonts w:ascii="Arial" w:cs="Arial" w:eastAsia="Arial" w:hAnsi="Arial"/>
                <w:sz w:val="18"/>
                <w:szCs w:val="18"/>
                <w:color w:val="auto"/>
              </w:rPr>
              <w:t>Notes to the Condensed Consolidated Financial Statements</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10</w:t>
            </w:r>
          </w:p>
        </w:tc>
      </w:tr>
      <w:tr>
        <w:trPr>
          <w:trHeight w:val="229"/>
        </w:trPr>
        <w:tc>
          <w:tcPr>
            <w:tcW w:w="96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Item 2</w:t>
            </w:r>
          </w:p>
        </w:tc>
        <w:tc>
          <w:tcPr>
            <w:tcW w:w="7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w:t>
            </w:r>
          </w:p>
        </w:tc>
      </w:tr>
      <w:tr>
        <w:trPr>
          <w:trHeight w:val="230"/>
        </w:trPr>
        <w:tc>
          <w:tcPr>
            <w:tcW w:w="960" w:type="dxa"/>
            <w:vAlign w:val="bottom"/>
          </w:tcPr>
          <w:p>
            <w:pPr>
              <w:spacing w:after="0"/>
              <w:rPr>
                <w:sz w:val="19"/>
                <w:szCs w:val="19"/>
                <w:color w:val="auto"/>
              </w:rPr>
            </w:pPr>
          </w:p>
        </w:tc>
        <w:tc>
          <w:tcPr>
            <w:tcW w:w="7520" w:type="dxa"/>
            <w:vAlign w:val="bottom"/>
          </w:tcPr>
          <w:p>
            <w:pPr>
              <w:ind w:left="380"/>
              <w:spacing w:after="0"/>
              <w:rPr>
                <w:sz w:val="20"/>
                <w:szCs w:val="20"/>
                <w:color w:val="auto"/>
              </w:rPr>
            </w:pPr>
            <w:r>
              <w:rPr>
                <w:rFonts w:ascii="Arial" w:cs="Arial" w:eastAsia="Arial" w:hAnsi="Arial"/>
                <w:sz w:val="18"/>
                <w:szCs w:val="18"/>
                <w:color w:val="auto"/>
              </w:rPr>
              <w:t>General</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34</w:t>
            </w:r>
          </w:p>
        </w:tc>
      </w:tr>
      <w:tr>
        <w:trPr>
          <w:trHeight w:val="229"/>
        </w:trPr>
        <w:tc>
          <w:tcPr>
            <w:tcW w:w="960" w:type="dxa"/>
            <w:vAlign w:val="bottom"/>
            <w:shd w:val="clear" w:color="auto" w:fill="CCEEFF"/>
          </w:tcPr>
          <w:p>
            <w:pPr>
              <w:spacing w:after="0"/>
              <w:rPr>
                <w:sz w:val="19"/>
                <w:szCs w:val="19"/>
                <w:color w:val="auto"/>
              </w:rPr>
            </w:pPr>
          </w:p>
        </w:tc>
        <w:tc>
          <w:tcPr>
            <w:tcW w:w="7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Aera Merger</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w:t>
            </w:r>
          </w:p>
        </w:tc>
      </w:tr>
      <w:tr>
        <w:trPr>
          <w:trHeight w:val="229"/>
        </w:trPr>
        <w:tc>
          <w:tcPr>
            <w:tcW w:w="960" w:type="dxa"/>
            <w:vAlign w:val="bottom"/>
          </w:tcPr>
          <w:p>
            <w:pPr>
              <w:spacing w:after="0"/>
              <w:rPr>
                <w:sz w:val="19"/>
                <w:szCs w:val="19"/>
                <w:color w:val="auto"/>
              </w:rPr>
            </w:pPr>
          </w:p>
        </w:tc>
        <w:tc>
          <w:tcPr>
            <w:tcW w:w="7520" w:type="dxa"/>
            <w:vAlign w:val="bottom"/>
          </w:tcPr>
          <w:p>
            <w:pPr>
              <w:ind w:left="380"/>
              <w:spacing w:after="0"/>
              <w:rPr>
                <w:sz w:val="20"/>
                <w:szCs w:val="20"/>
                <w:color w:val="auto"/>
              </w:rPr>
            </w:pPr>
            <w:r>
              <w:rPr>
                <w:rFonts w:ascii="Arial" w:cs="Arial" w:eastAsia="Arial" w:hAnsi="Arial"/>
                <w:sz w:val="18"/>
                <w:szCs w:val="18"/>
                <w:color w:val="auto"/>
              </w:rPr>
              <w:t>Recent Debt Transactions</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34</w:t>
            </w:r>
          </w:p>
        </w:tc>
      </w:tr>
      <w:tr>
        <w:trPr>
          <w:trHeight w:val="230"/>
        </w:trPr>
        <w:tc>
          <w:tcPr>
            <w:tcW w:w="960" w:type="dxa"/>
            <w:vAlign w:val="bottom"/>
            <w:shd w:val="clear" w:color="auto" w:fill="CCEEFF"/>
          </w:tcPr>
          <w:p>
            <w:pPr>
              <w:spacing w:after="0"/>
              <w:rPr>
                <w:sz w:val="19"/>
                <w:szCs w:val="19"/>
                <w:color w:val="auto"/>
              </w:rPr>
            </w:pPr>
          </w:p>
        </w:tc>
        <w:tc>
          <w:tcPr>
            <w:tcW w:w="7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Business Environment and Industry Outlook</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w:t>
            </w:r>
          </w:p>
        </w:tc>
      </w:tr>
      <w:tr>
        <w:trPr>
          <w:trHeight w:val="229"/>
        </w:trPr>
        <w:tc>
          <w:tcPr>
            <w:tcW w:w="960" w:type="dxa"/>
            <w:vAlign w:val="bottom"/>
          </w:tcPr>
          <w:p>
            <w:pPr>
              <w:spacing w:after="0"/>
              <w:rPr>
                <w:sz w:val="19"/>
                <w:szCs w:val="19"/>
                <w:color w:val="auto"/>
              </w:rPr>
            </w:pPr>
          </w:p>
        </w:tc>
        <w:tc>
          <w:tcPr>
            <w:tcW w:w="7520" w:type="dxa"/>
            <w:vAlign w:val="bottom"/>
          </w:tcPr>
          <w:p>
            <w:pPr>
              <w:ind w:left="380"/>
              <w:spacing w:after="0"/>
              <w:rPr>
                <w:sz w:val="20"/>
                <w:szCs w:val="20"/>
                <w:color w:val="auto"/>
              </w:rPr>
            </w:pPr>
            <w:r>
              <w:rPr>
                <w:rFonts w:ascii="Arial" w:cs="Arial" w:eastAsia="Arial" w:hAnsi="Arial"/>
                <w:sz w:val="18"/>
                <w:szCs w:val="18"/>
                <w:color w:val="auto"/>
              </w:rPr>
              <w:t>Regulatory Updates</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37</w:t>
            </w:r>
          </w:p>
        </w:tc>
      </w:tr>
      <w:tr>
        <w:trPr>
          <w:trHeight w:val="230"/>
        </w:trPr>
        <w:tc>
          <w:tcPr>
            <w:tcW w:w="960" w:type="dxa"/>
            <w:vAlign w:val="bottom"/>
            <w:shd w:val="clear" w:color="auto" w:fill="CCEEFF"/>
          </w:tcPr>
          <w:p>
            <w:pPr>
              <w:spacing w:after="0"/>
              <w:rPr>
                <w:sz w:val="19"/>
                <w:szCs w:val="19"/>
                <w:color w:val="auto"/>
              </w:rPr>
            </w:pPr>
          </w:p>
        </w:tc>
        <w:tc>
          <w:tcPr>
            <w:tcW w:w="7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Results of Oil and Gas Operations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w:t>
            </w:r>
          </w:p>
        </w:tc>
      </w:tr>
      <w:tr>
        <w:trPr>
          <w:trHeight w:val="229"/>
        </w:trPr>
        <w:tc>
          <w:tcPr>
            <w:tcW w:w="960" w:type="dxa"/>
            <w:vAlign w:val="bottom"/>
          </w:tcPr>
          <w:p>
            <w:pPr>
              <w:spacing w:after="0"/>
              <w:rPr>
                <w:sz w:val="19"/>
                <w:szCs w:val="19"/>
                <w:color w:val="auto"/>
              </w:rPr>
            </w:pPr>
          </w:p>
        </w:tc>
        <w:tc>
          <w:tcPr>
            <w:tcW w:w="7520" w:type="dxa"/>
            <w:vAlign w:val="bottom"/>
          </w:tcPr>
          <w:p>
            <w:pPr>
              <w:ind w:left="380"/>
              <w:spacing w:after="0"/>
              <w:rPr>
                <w:sz w:val="20"/>
                <w:szCs w:val="20"/>
                <w:color w:val="auto"/>
              </w:rPr>
            </w:pPr>
            <w:r>
              <w:rPr>
                <w:rFonts w:ascii="Arial" w:cs="Arial" w:eastAsia="Arial" w:hAnsi="Arial"/>
                <w:sz w:val="18"/>
                <w:szCs w:val="18"/>
                <w:color w:val="auto"/>
              </w:rPr>
              <w:t>Statements of Operations Analysis</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44</w:t>
            </w:r>
          </w:p>
        </w:tc>
      </w:tr>
      <w:tr>
        <w:trPr>
          <w:trHeight w:val="229"/>
        </w:trPr>
        <w:tc>
          <w:tcPr>
            <w:tcW w:w="960" w:type="dxa"/>
            <w:vAlign w:val="bottom"/>
            <w:shd w:val="clear" w:color="auto" w:fill="CCEEFF"/>
          </w:tcPr>
          <w:p>
            <w:pPr>
              <w:spacing w:after="0"/>
              <w:rPr>
                <w:sz w:val="19"/>
                <w:szCs w:val="19"/>
                <w:color w:val="auto"/>
              </w:rPr>
            </w:pPr>
          </w:p>
        </w:tc>
        <w:tc>
          <w:tcPr>
            <w:tcW w:w="7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Liquidity and Capital Resources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w:t>
            </w:r>
          </w:p>
        </w:tc>
      </w:tr>
      <w:tr>
        <w:trPr>
          <w:trHeight w:val="230"/>
        </w:trPr>
        <w:tc>
          <w:tcPr>
            <w:tcW w:w="960" w:type="dxa"/>
            <w:vAlign w:val="bottom"/>
          </w:tcPr>
          <w:p>
            <w:pPr>
              <w:spacing w:after="0"/>
              <w:rPr>
                <w:sz w:val="19"/>
                <w:szCs w:val="19"/>
                <w:color w:val="auto"/>
              </w:rPr>
            </w:pPr>
          </w:p>
        </w:tc>
        <w:tc>
          <w:tcPr>
            <w:tcW w:w="7520" w:type="dxa"/>
            <w:vAlign w:val="bottom"/>
          </w:tcPr>
          <w:p>
            <w:pPr>
              <w:ind w:left="380"/>
              <w:spacing w:after="0"/>
              <w:rPr>
                <w:sz w:val="20"/>
                <w:szCs w:val="20"/>
                <w:color w:val="auto"/>
              </w:rPr>
            </w:pPr>
            <w:r>
              <w:rPr>
                <w:rFonts w:ascii="Arial" w:cs="Arial" w:eastAsia="Arial" w:hAnsi="Arial"/>
                <w:sz w:val="18"/>
                <w:szCs w:val="18"/>
                <w:color w:val="auto"/>
              </w:rPr>
              <w:t>Divestitures, Acquisitions and Assets Held for Sale</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57</w:t>
            </w:r>
          </w:p>
        </w:tc>
      </w:tr>
      <w:tr>
        <w:trPr>
          <w:trHeight w:val="229"/>
        </w:trPr>
        <w:tc>
          <w:tcPr>
            <w:tcW w:w="960" w:type="dxa"/>
            <w:vAlign w:val="bottom"/>
            <w:shd w:val="clear" w:color="auto" w:fill="CCEEFF"/>
          </w:tcPr>
          <w:p>
            <w:pPr>
              <w:spacing w:after="0"/>
              <w:rPr>
                <w:sz w:val="19"/>
                <w:szCs w:val="19"/>
                <w:color w:val="auto"/>
              </w:rPr>
            </w:pPr>
          </w:p>
        </w:tc>
        <w:tc>
          <w:tcPr>
            <w:tcW w:w="7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Lawsuits, Claims, Commitments and Contingencies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w:t>
            </w:r>
          </w:p>
        </w:tc>
      </w:tr>
      <w:tr>
        <w:trPr>
          <w:trHeight w:val="229"/>
        </w:trPr>
        <w:tc>
          <w:tcPr>
            <w:tcW w:w="960" w:type="dxa"/>
            <w:vAlign w:val="bottom"/>
          </w:tcPr>
          <w:p>
            <w:pPr>
              <w:spacing w:after="0"/>
              <w:rPr>
                <w:sz w:val="19"/>
                <w:szCs w:val="19"/>
                <w:color w:val="auto"/>
              </w:rPr>
            </w:pPr>
          </w:p>
        </w:tc>
        <w:tc>
          <w:tcPr>
            <w:tcW w:w="7520" w:type="dxa"/>
            <w:vAlign w:val="bottom"/>
          </w:tcPr>
          <w:p>
            <w:pPr>
              <w:ind w:left="380"/>
              <w:spacing w:after="0"/>
              <w:rPr>
                <w:sz w:val="20"/>
                <w:szCs w:val="20"/>
                <w:color w:val="auto"/>
              </w:rPr>
            </w:pPr>
            <w:r>
              <w:rPr>
                <w:rFonts w:ascii="Arial" w:cs="Arial" w:eastAsia="Arial" w:hAnsi="Arial"/>
                <w:sz w:val="18"/>
                <w:szCs w:val="18"/>
                <w:color w:val="auto"/>
              </w:rPr>
              <w:t>Critical Accounting Estimates and Significant Accounting and Disclosure Changes</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58</w:t>
            </w:r>
          </w:p>
        </w:tc>
      </w:tr>
      <w:tr>
        <w:trPr>
          <w:trHeight w:val="230"/>
        </w:trPr>
        <w:tc>
          <w:tcPr>
            <w:tcW w:w="960" w:type="dxa"/>
            <w:vAlign w:val="bottom"/>
            <w:shd w:val="clear" w:color="auto" w:fill="CCEEFF"/>
          </w:tcPr>
          <w:p>
            <w:pPr>
              <w:spacing w:after="0"/>
              <w:rPr>
                <w:sz w:val="19"/>
                <w:szCs w:val="19"/>
                <w:color w:val="auto"/>
              </w:rPr>
            </w:pPr>
          </w:p>
        </w:tc>
        <w:tc>
          <w:tcPr>
            <w:tcW w:w="7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Forward-Looking Statements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w:t>
            </w:r>
          </w:p>
        </w:tc>
      </w:tr>
      <w:tr>
        <w:trPr>
          <w:trHeight w:val="229"/>
        </w:trPr>
        <w:tc>
          <w:tcPr>
            <w:tcW w:w="960" w:type="dxa"/>
            <w:vAlign w:val="bottom"/>
          </w:tcPr>
          <w:p>
            <w:pPr>
              <w:ind w:left="140"/>
              <w:spacing w:after="0"/>
              <w:rPr>
                <w:sz w:val="20"/>
                <w:szCs w:val="20"/>
                <w:color w:val="auto"/>
              </w:rPr>
            </w:pPr>
            <w:r>
              <w:rPr>
                <w:rFonts w:ascii="Arial" w:cs="Arial" w:eastAsia="Arial" w:hAnsi="Arial"/>
                <w:sz w:val="18"/>
                <w:szCs w:val="18"/>
                <w:b w:val="1"/>
                <w:bCs w:val="1"/>
                <w:color w:val="auto"/>
              </w:rPr>
              <w:t>Item 3</w:t>
            </w:r>
          </w:p>
        </w:tc>
        <w:tc>
          <w:tcPr>
            <w:tcW w:w="7520" w:type="dxa"/>
            <w:vAlign w:val="bottom"/>
          </w:tcPr>
          <w:p>
            <w:pPr>
              <w:ind w:left="180"/>
              <w:spacing w:after="0"/>
              <w:rPr>
                <w:sz w:val="20"/>
                <w:szCs w:val="20"/>
                <w:color w:val="auto"/>
              </w:rPr>
            </w:pPr>
            <w:r>
              <w:rPr>
                <w:rFonts w:ascii="Arial" w:cs="Arial" w:eastAsia="Arial" w:hAnsi="Arial"/>
                <w:sz w:val="18"/>
                <w:szCs w:val="18"/>
                <w:color w:val="auto"/>
              </w:rPr>
              <w:t>Quantitative and Qualitative Disclosures About Market Risk</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61</w:t>
            </w:r>
          </w:p>
        </w:tc>
      </w:tr>
      <w:tr>
        <w:trPr>
          <w:trHeight w:val="230"/>
        </w:trPr>
        <w:tc>
          <w:tcPr>
            <w:tcW w:w="96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Item 4</w:t>
            </w:r>
          </w:p>
        </w:tc>
        <w:tc>
          <w:tcPr>
            <w:tcW w:w="7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Controls and Procedures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w:t>
            </w:r>
          </w:p>
        </w:tc>
      </w:tr>
      <w:tr>
        <w:trPr>
          <w:trHeight w:val="216"/>
        </w:trPr>
        <w:tc>
          <w:tcPr>
            <w:tcW w:w="960" w:type="dxa"/>
            <w:vAlign w:val="bottom"/>
          </w:tcPr>
          <w:p>
            <w:pPr>
              <w:spacing w:after="0"/>
              <w:rPr>
                <w:sz w:val="18"/>
                <w:szCs w:val="18"/>
                <w:color w:val="auto"/>
              </w:rPr>
            </w:pPr>
          </w:p>
        </w:tc>
        <w:tc>
          <w:tcPr>
            <w:tcW w:w="75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30"/>
        </w:trPr>
        <w:tc>
          <w:tcPr>
            <w:tcW w:w="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Part II</w:t>
            </w:r>
          </w:p>
        </w:tc>
        <w:tc>
          <w:tcPr>
            <w:tcW w:w="75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30"/>
        </w:trPr>
        <w:tc>
          <w:tcPr>
            <w:tcW w:w="960" w:type="dxa"/>
            <w:vAlign w:val="bottom"/>
          </w:tcPr>
          <w:p>
            <w:pPr>
              <w:ind w:left="140"/>
              <w:spacing w:after="0"/>
              <w:rPr>
                <w:sz w:val="20"/>
                <w:szCs w:val="20"/>
                <w:color w:val="auto"/>
              </w:rPr>
            </w:pPr>
            <w:r>
              <w:rPr>
                <w:rFonts w:ascii="Arial" w:cs="Arial" w:eastAsia="Arial" w:hAnsi="Arial"/>
                <w:sz w:val="18"/>
                <w:szCs w:val="18"/>
                <w:b w:val="1"/>
                <w:bCs w:val="1"/>
                <w:color w:val="auto"/>
              </w:rPr>
              <w:t>Item 1</w:t>
            </w:r>
          </w:p>
        </w:tc>
        <w:tc>
          <w:tcPr>
            <w:tcW w:w="7520" w:type="dxa"/>
            <w:vAlign w:val="bottom"/>
          </w:tcPr>
          <w:p>
            <w:pPr>
              <w:ind w:left="180"/>
              <w:spacing w:after="0"/>
              <w:rPr>
                <w:sz w:val="20"/>
                <w:szCs w:val="20"/>
                <w:color w:val="auto"/>
              </w:rPr>
            </w:pPr>
            <w:r>
              <w:rPr>
                <w:rFonts w:ascii="Arial" w:cs="Arial" w:eastAsia="Arial" w:hAnsi="Arial"/>
                <w:sz w:val="18"/>
                <w:szCs w:val="18"/>
                <w:color w:val="auto"/>
              </w:rPr>
              <w:t>Legal Proceedings</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62</w:t>
            </w:r>
          </w:p>
        </w:tc>
      </w:tr>
      <w:tr>
        <w:trPr>
          <w:trHeight w:val="230"/>
        </w:trPr>
        <w:tc>
          <w:tcPr>
            <w:tcW w:w="96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Item 1A</w:t>
            </w:r>
          </w:p>
        </w:tc>
        <w:tc>
          <w:tcPr>
            <w:tcW w:w="7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Risk Factors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w:t>
            </w:r>
          </w:p>
        </w:tc>
      </w:tr>
      <w:tr>
        <w:trPr>
          <w:trHeight w:val="230"/>
        </w:trPr>
        <w:tc>
          <w:tcPr>
            <w:tcW w:w="960" w:type="dxa"/>
            <w:vAlign w:val="bottom"/>
          </w:tcPr>
          <w:p>
            <w:pPr>
              <w:ind w:left="140"/>
              <w:spacing w:after="0"/>
              <w:rPr>
                <w:sz w:val="20"/>
                <w:szCs w:val="20"/>
                <w:color w:val="auto"/>
              </w:rPr>
            </w:pPr>
            <w:r>
              <w:rPr>
                <w:rFonts w:ascii="Arial" w:cs="Arial" w:eastAsia="Arial" w:hAnsi="Arial"/>
                <w:sz w:val="18"/>
                <w:szCs w:val="18"/>
                <w:b w:val="1"/>
                <w:bCs w:val="1"/>
                <w:color w:val="auto"/>
              </w:rPr>
              <w:t>Item 2</w:t>
            </w:r>
          </w:p>
        </w:tc>
        <w:tc>
          <w:tcPr>
            <w:tcW w:w="7520" w:type="dxa"/>
            <w:vAlign w:val="bottom"/>
          </w:tcPr>
          <w:p>
            <w:pPr>
              <w:ind w:left="180"/>
              <w:spacing w:after="0"/>
              <w:rPr>
                <w:sz w:val="20"/>
                <w:szCs w:val="20"/>
                <w:color w:val="auto"/>
              </w:rPr>
            </w:pPr>
            <w:r>
              <w:rPr>
                <w:rFonts w:ascii="Arial" w:cs="Arial" w:eastAsia="Arial" w:hAnsi="Arial"/>
                <w:sz w:val="18"/>
                <w:szCs w:val="18"/>
                <w:color w:val="auto"/>
              </w:rPr>
              <w:t>Unregistered Sales of Equity Securities and Use of Proceeds</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62</w:t>
            </w:r>
          </w:p>
        </w:tc>
      </w:tr>
      <w:tr>
        <w:trPr>
          <w:trHeight w:val="229"/>
        </w:trPr>
        <w:tc>
          <w:tcPr>
            <w:tcW w:w="96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Item 5</w:t>
            </w:r>
          </w:p>
        </w:tc>
        <w:tc>
          <w:tcPr>
            <w:tcW w:w="7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Disclosures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w:t>
            </w:r>
          </w:p>
        </w:tc>
      </w:tr>
      <w:tr>
        <w:trPr>
          <w:trHeight w:val="247"/>
        </w:trPr>
        <w:tc>
          <w:tcPr>
            <w:tcW w:w="960" w:type="dxa"/>
            <w:vAlign w:val="bottom"/>
          </w:tcPr>
          <w:p>
            <w:pPr>
              <w:ind w:left="140"/>
              <w:spacing w:after="0"/>
              <w:rPr>
                <w:sz w:val="20"/>
                <w:szCs w:val="20"/>
                <w:color w:val="auto"/>
              </w:rPr>
            </w:pPr>
            <w:r>
              <w:rPr>
                <w:rFonts w:ascii="Arial" w:cs="Arial" w:eastAsia="Arial" w:hAnsi="Arial"/>
                <w:sz w:val="18"/>
                <w:szCs w:val="18"/>
                <w:b w:val="1"/>
                <w:bCs w:val="1"/>
                <w:color w:val="auto"/>
              </w:rPr>
              <w:t>Item 6</w:t>
            </w:r>
          </w:p>
        </w:tc>
        <w:tc>
          <w:tcPr>
            <w:tcW w:w="7520" w:type="dxa"/>
            <w:vAlign w:val="bottom"/>
          </w:tcPr>
          <w:p>
            <w:pPr>
              <w:ind w:left="180"/>
              <w:spacing w:after="0"/>
              <w:rPr>
                <w:sz w:val="20"/>
                <w:szCs w:val="20"/>
                <w:color w:val="auto"/>
              </w:rPr>
            </w:pPr>
            <w:r>
              <w:rPr>
                <w:rFonts w:ascii="Arial" w:cs="Arial" w:eastAsia="Arial" w:hAnsi="Arial"/>
                <w:sz w:val="18"/>
                <w:szCs w:val="18"/>
                <w:color w:val="auto"/>
              </w:rPr>
              <w:t>Exhibits</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64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73660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220"/>
          </w:cols>
          <w:pgMar w:left="1340" w:top="890" w:right="1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GLOSSARY AND SELECTED ABBREVIATIONS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abbreviations and definitions of certain terms used within this Form 10-Q:</w:t>
      </w:r>
    </w:p>
    <w:p>
      <w:pPr>
        <w:spacing w:after="0" w:line="252"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ABR </w:t>
      </w:r>
      <w:r>
        <w:rPr>
          <w:rFonts w:ascii="Arial" w:cs="Arial" w:eastAsia="Arial" w:hAnsi="Arial"/>
          <w:sz w:val="18"/>
          <w:szCs w:val="18"/>
          <w:color w:val="auto"/>
        </w:rPr>
        <w:t>- Alternate base rate.</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Aera </w:t>
      </w:r>
      <w:r>
        <w:rPr>
          <w:rFonts w:ascii="Arial" w:cs="Arial" w:eastAsia="Arial" w:hAnsi="Arial"/>
          <w:sz w:val="18"/>
          <w:szCs w:val="18"/>
          <w:color w:val="auto"/>
        </w:rPr>
        <w:t>- Aera Energy, LLC.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Aera Merger </w:t>
      </w:r>
      <w:r>
        <w:rPr>
          <w:rFonts w:ascii="Arial" w:cs="Arial" w:eastAsia="Arial" w:hAnsi="Arial"/>
          <w:sz w:val="18"/>
          <w:szCs w:val="18"/>
          <w:color w:val="auto"/>
        </w:rPr>
        <w:t>- The transactions contemplated by the Merger Agreement.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ASC </w:t>
      </w:r>
      <w:r>
        <w:rPr>
          <w:rFonts w:ascii="Arial" w:cs="Arial" w:eastAsia="Arial" w:hAnsi="Arial"/>
          <w:sz w:val="18"/>
          <w:szCs w:val="18"/>
          <w:color w:val="auto"/>
        </w:rPr>
        <w:t>- Accounting Standards Codification.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ARO </w:t>
      </w:r>
      <w:r>
        <w:rPr>
          <w:rFonts w:ascii="Arial" w:cs="Arial" w:eastAsia="Arial" w:hAnsi="Arial"/>
          <w:sz w:val="18"/>
          <w:szCs w:val="18"/>
          <w:color w:val="auto"/>
        </w:rPr>
        <w:t>- Asset retirement obligation.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Bbl </w:t>
      </w:r>
      <w:r>
        <w:rPr>
          <w:rFonts w:ascii="Arial" w:cs="Arial" w:eastAsia="Arial" w:hAnsi="Arial"/>
          <w:sz w:val="18"/>
          <w:szCs w:val="18"/>
          <w:color w:val="auto"/>
        </w:rPr>
        <w:t>- Barrel.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Bbl/d </w:t>
      </w:r>
      <w:r>
        <w:rPr>
          <w:rFonts w:ascii="Arial" w:cs="Arial" w:eastAsia="Arial" w:hAnsi="Arial"/>
          <w:sz w:val="18"/>
          <w:szCs w:val="18"/>
          <w:color w:val="auto"/>
        </w:rPr>
        <w:t>- Barrels per day.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Bcf </w:t>
      </w:r>
      <w:r>
        <w:rPr>
          <w:rFonts w:ascii="Arial" w:cs="Arial" w:eastAsia="Arial" w:hAnsi="Arial"/>
          <w:sz w:val="18"/>
          <w:szCs w:val="18"/>
          <w:color w:val="auto"/>
        </w:rPr>
        <w:t>- Billion cubic feet.</w:t>
      </w:r>
    </w:p>
    <w:p>
      <w:pPr>
        <w:spacing w:after="0" w:line="9" w:lineRule="exact"/>
        <w:rPr>
          <w:rFonts w:ascii="Arial" w:cs="Arial" w:eastAsia="Arial" w:hAnsi="Arial"/>
          <w:sz w:val="18"/>
          <w:szCs w:val="18"/>
          <w:color w:val="auto"/>
        </w:rPr>
      </w:pPr>
    </w:p>
    <w:p>
      <w:pPr>
        <w:ind w:left="660" w:right="12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Bcfe </w:t>
      </w:r>
      <w:r>
        <w:rPr>
          <w:rFonts w:ascii="Arial" w:cs="Arial" w:eastAsia="Arial" w:hAnsi="Arial"/>
          <w:sz w:val="18"/>
          <w:szCs w:val="18"/>
          <w:color w:val="auto"/>
        </w:rPr>
        <w:t>- Billion cubic feet of natural gas equivalent using the ratio of one barrel of oil, condensate, or NGLs converted to six thousand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cubic feet of natural gas.</w:t>
      </w:r>
    </w:p>
    <w:p>
      <w:pPr>
        <w:ind w:left="660" w:right="4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Boe </w:t>
      </w:r>
      <w:r>
        <w:rPr>
          <w:rFonts w:ascii="Arial" w:cs="Arial" w:eastAsia="Arial" w:hAnsi="Arial"/>
          <w:sz w:val="18"/>
          <w:szCs w:val="18"/>
          <w:color w:val="auto"/>
        </w:rPr>
        <w:t>- We convert natural gas volumes to crude oil equivalents using a ratio of six thousand cubic feet (Mcf) to one barrel of crude oil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equivalent based on energy content. This is a widely used conversion method in the oil and natural gas industry.</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Boe/d </w:t>
      </w:r>
      <w:r>
        <w:rPr>
          <w:rFonts w:ascii="Arial" w:cs="Arial" w:eastAsia="Arial" w:hAnsi="Arial"/>
          <w:sz w:val="18"/>
          <w:szCs w:val="18"/>
          <w:color w:val="auto"/>
        </w:rPr>
        <w:t>- Barrel of oil equivalent per day.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Brookfield </w:t>
      </w:r>
      <w:r>
        <w:rPr>
          <w:rFonts w:ascii="Arial" w:cs="Arial" w:eastAsia="Arial" w:hAnsi="Arial"/>
          <w:sz w:val="18"/>
          <w:szCs w:val="18"/>
          <w:color w:val="auto"/>
        </w:rPr>
        <w:t>- BGTF Sierra Aggregator LLC.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Btu </w:t>
      </w:r>
      <w:r>
        <w:rPr>
          <w:rFonts w:ascii="Arial" w:cs="Arial" w:eastAsia="Arial" w:hAnsi="Arial"/>
          <w:sz w:val="18"/>
          <w:szCs w:val="18"/>
          <w:color w:val="auto"/>
        </w:rPr>
        <w:t>- British thermal unit.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CalGEM </w:t>
      </w:r>
      <w:r>
        <w:rPr>
          <w:rFonts w:ascii="Arial" w:cs="Arial" w:eastAsia="Arial" w:hAnsi="Arial"/>
          <w:sz w:val="18"/>
          <w:szCs w:val="18"/>
          <w:color w:val="auto"/>
        </w:rPr>
        <w:t>- California Geologic Energy Management Division.</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Carbon TerraVault JV </w:t>
      </w:r>
      <w:r>
        <w:rPr>
          <w:rFonts w:ascii="Arial" w:cs="Arial" w:eastAsia="Arial" w:hAnsi="Arial"/>
          <w:sz w:val="18"/>
          <w:szCs w:val="18"/>
          <w:color w:val="auto"/>
        </w:rPr>
        <w:t>- A joint venture between our wholly-owned subsidiary Carbon TerraVault I, LLC with Brookfield for the further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development of a carbon management business in California.</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CCS </w:t>
      </w:r>
      <w:r>
        <w:rPr>
          <w:rFonts w:ascii="Arial" w:cs="Arial" w:eastAsia="Arial" w:hAnsi="Arial"/>
          <w:sz w:val="18"/>
          <w:szCs w:val="18"/>
          <w:color w:val="auto"/>
        </w:rPr>
        <w:t>- Carbon capture and storage.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CDMA </w:t>
      </w:r>
      <w:r>
        <w:rPr>
          <w:rFonts w:ascii="Arial" w:cs="Arial" w:eastAsia="Arial" w:hAnsi="Arial"/>
          <w:sz w:val="18"/>
          <w:szCs w:val="18"/>
          <w:color w:val="auto"/>
        </w:rPr>
        <w:t>- Carbon Dioxide Management Agreement.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CEQA </w:t>
      </w:r>
      <w:r>
        <w:rPr>
          <w:rFonts w:ascii="Arial" w:cs="Arial" w:eastAsia="Arial" w:hAnsi="Arial"/>
          <w:sz w:val="18"/>
          <w:szCs w:val="18"/>
          <w:color w:val="auto"/>
        </w:rPr>
        <w:t>- California Environmental Quality Act.</w:t>
      </w:r>
    </w:p>
    <w:p>
      <w:pPr>
        <w:spacing w:after="0" w:line="9" w:lineRule="exact"/>
        <w:rPr>
          <w:rFonts w:ascii="Arial" w:cs="Arial" w:eastAsia="Arial" w:hAnsi="Arial"/>
          <w:sz w:val="18"/>
          <w:szCs w:val="18"/>
          <w:color w:val="auto"/>
        </w:rPr>
      </w:pPr>
    </w:p>
    <w:p>
      <w:pPr>
        <w:ind w:left="660" w:hanging="328"/>
        <w:spacing w:after="0" w:line="19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CO</w:t>
      </w:r>
      <w:r>
        <w:rPr>
          <w:rFonts w:ascii="Arial" w:cs="Arial" w:eastAsia="Arial" w:hAnsi="Arial"/>
          <w:sz w:val="23"/>
          <w:szCs w:val="23"/>
          <w:b w:val="1"/>
          <w:bCs w:val="1"/>
          <w:i w:val="1"/>
          <w:iCs w:val="1"/>
          <w:color w:val="auto"/>
          <w:vertAlign w:val="subscript"/>
        </w:rPr>
        <w:t>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Carbon dioxide.</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DAC </w:t>
      </w:r>
      <w:r>
        <w:rPr>
          <w:rFonts w:ascii="Arial" w:cs="Arial" w:eastAsia="Arial" w:hAnsi="Arial"/>
          <w:sz w:val="18"/>
          <w:szCs w:val="18"/>
          <w:color w:val="auto"/>
        </w:rPr>
        <w:t>- Direct air capture.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DD&amp;A </w:t>
      </w:r>
      <w:r>
        <w:rPr>
          <w:rFonts w:ascii="Arial" w:cs="Arial" w:eastAsia="Arial" w:hAnsi="Arial"/>
          <w:sz w:val="18"/>
          <w:szCs w:val="18"/>
          <w:color w:val="auto"/>
        </w:rPr>
        <w:t>- Depletion, depreciation, and amortization.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EOR </w:t>
      </w:r>
      <w:r>
        <w:rPr>
          <w:rFonts w:ascii="Arial" w:cs="Arial" w:eastAsia="Arial" w:hAnsi="Arial"/>
          <w:sz w:val="18"/>
          <w:szCs w:val="18"/>
          <w:color w:val="auto"/>
        </w:rPr>
        <w:t>- Enhanced oil recovery.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EPA </w:t>
      </w:r>
      <w:r>
        <w:rPr>
          <w:rFonts w:ascii="Arial" w:cs="Arial" w:eastAsia="Arial" w:hAnsi="Arial"/>
          <w:sz w:val="18"/>
          <w:szCs w:val="18"/>
          <w:color w:val="auto"/>
        </w:rPr>
        <w:t>- United States Environmental Protection Agency.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ESG </w:t>
      </w:r>
      <w:r>
        <w:rPr>
          <w:rFonts w:ascii="Arial" w:cs="Arial" w:eastAsia="Arial" w:hAnsi="Arial"/>
          <w:sz w:val="18"/>
          <w:szCs w:val="18"/>
          <w:color w:val="auto"/>
        </w:rPr>
        <w:t>- Environmental, social and governance.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E&amp;P </w:t>
      </w:r>
      <w:r>
        <w:rPr>
          <w:rFonts w:ascii="Arial" w:cs="Arial" w:eastAsia="Arial" w:hAnsi="Arial"/>
          <w:sz w:val="18"/>
          <w:szCs w:val="18"/>
          <w:color w:val="auto"/>
        </w:rPr>
        <w:t>- Exploration and production.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GAAP </w:t>
      </w:r>
      <w:r>
        <w:rPr>
          <w:rFonts w:ascii="Arial" w:cs="Arial" w:eastAsia="Arial" w:hAnsi="Arial"/>
          <w:sz w:val="18"/>
          <w:szCs w:val="18"/>
          <w:color w:val="auto"/>
        </w:rPr>
        <w:t>- United States Generally Accepted Accounting Principles.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G&amp;A </w:t>
      </w:r>
      <w:r>
        <w:rPr>
          <w:rFonts w:ascii="Arial" w:cs="Arial" w:eastAsia="Arial" w:hAnsi="Arial"/>
          <w:sz w:val="18"/>
          <w:szCs w:val="18"/>
          <w:color w:val="auto"/>
        </w:rPr>
        <w:t>- General and administrative expenses.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GHG </w:t>
      </w:r>
      <w:r>
        <w:rPr>
          <w:rFonts w:ascii="Arial" w:cs="Arial" w:eastAsia="Arial" w:hAnsi="Arial"/>
          <w:sz w:val="18"/>
          <w:szCs w:val="18"/>
          <w:color w:val="auto"/>
        </w:rPr>
        <w:t>- Greenhouse gases.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JV </w:t>
      </w:r>
      <w:r>
        <w:rPr>
          <w:rFonts w:ascii="Arial" w:cs="Arial" w:eastAsia="Arial" w:hAnsi="Arial"/>
          <w:sz w:val="18"/>
          <w:szCs w:val="18"/>
          <w:color w:val="auto"/>
        </w:rPr>
        <w:t>- Joint venture.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LCFS </w:t>
      </w:r>
      <w:r>
        <w:rPr>
          <w:rFonts w:ascii="Arial" w:cs="Arial" w:eastAsia="Arial" w:hAnsi="Arial"/>
          <w:sz w:val="18"/>
          <w:szCs w:val="18"/>
          <w:color w:val="auto"/>
        </w:rPr>
        <w:t>- Low Carbon Fuel Standard.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MBbl </w:t>
      </w:r>
      <w:r>
        <w:rPr>
          <w:rFonts w:ascii="Arial" w:cs="Arial" w:eastAsia="Arial" w:hAnsi="Arial"/>
          <w:sz w:val="18"/>
          <w:szCs w:val="18"/>
          <w:color w:val="auto"/>
        </w:rPr>
        <w:t>- One thousand barrels of crude oil, condensate or NGLs.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MBbl/d </w:t>
      </w:r>
      <w:r>
        <w:rPr>
          <w:rFonts w:ascii="Arial" w:cs="Arial" w:eastAsia="Arial" w:hAnsi="Arial"/>
          <w:sz w:val="18"/>
          <w:szCs w:val="18"/>
          <w:color w:val="auto"/>
        </w:rPr>
        <w:t>- One thousand barrels per day.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MBoe/d </w:t>
      </w:r>
      <w:r>
        <w:rPr>
          <w:rFonts w:ascii="Arial" w:cs="Arial" w:eastAsia="Arial" w:hAnsi="Arial"/>
          <w:sz w:val="18"/>
          <w:szCs w:val="18"/>
          <w:color w:val="auto"/>
        </w:rPr>
        <w:t>- One thousand barrels of oil equivalent per day.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MBw/d </w:t>
      </w:r>
      <w:r>
        <w:rPr>
          <w:rFonts w:ascii="Arial" w:cs="Arial" w:eastAsia="Arial" w:hAnsi="Arial"/>
          <w:sz w:val="18"/>
          <w:szCs w:val="18"/>
          <w:color w:val="auto"/>
        </w:rPr>
        <w:t>- One thousand barrels of water per day.</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Mcf </w:t>
      </w:r>
      <w:r>
        <w:rPr>
          <w:rFonts w:ascii="Arial" w:cs="Arial" w:eastAsia="Arial" w:hAnsi="Arial"/>
          <w:sz w:val="18"/>
          <w:szCs w:val="18"/>
          <w:color w:val="auto"/>
        </w:rPr>
        <w:t>- One thousand cubic feet of natural gas equivalent, with liquids converted to an equivalent volume of natural gas using the ratio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one barrel of oil to six thousand cubic feet of natural gas.</w:t>
      </w:r>
    </w:p>
    <w:p>
      <w:pPr>
        <w:ind w:left="660" w:right="20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Merger Agreement </w:t>
      </w:r>
      <w:r>
        <w:rPr>
          <w:rFonts w:ascii="Arial" w:cs="Arial" w:eastAsia="Arial" w:hAnsi="Arial"/>
          <w:sz w:val="18"/>
          <w:szCs w:val="18"/>
          <w:color w:val="auto"/>
        </w:rPr>
        <w:t>- Definitive agreement and plan of merger related to the transactions to obtain all of the ownership interests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Aera.</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MHp </w:t>
      </w:r>
      <w:r>
        <w:rPr>
          <w:rFonts w:ascii="Arial" w:cs="Arial" w:eastAsia="Arial" w:hAnsi="Arial"/>
          <w:sz w:val="18"/>
          <w:szCs w:val="18"/>
          <w:color w:val="auto"/>
        </w:rPr>
        <w:t>- One thousand horsepower.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MMBbl </w:t>
      </w:r>
      <w:r>
        <w:rPr>
          <w:rFonts w:ascii="Arial" w:cs="Arial" w:eastAsia="Arial" w:hAnsi="Arial"/>
          <w:sz w:val="18"/>
          <w:szCs w:val="18"/>
          <w:color w:val="auto"/>
        </w:rPr>
        <w:t>- One million barrels of crude oil, condensate or NGLs.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MMBoe </w:t>
      </w:r>
      <w:r>
        <w:rPr>
          <w:rFonts w:ascii="Arial" w:cs="Arial" w:eastAsia="Arial" w:hAnsi="Arial"/>
          <w:sz w:val="18"/>
          <w:szCs w:val="18"/>
          <w:color w:val="auto"/>
        </w:rPr>
        <w:t>- One million barrels of oil equivalent.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MMBtu </w:t>
      </w:r>
      <w:r>
        <w:rPr>
          <w:rFonts w:ascii="Arial" w:cs="Arial" w:eastAsia="Arial" w:hAnsi="Arial"/>
          <w:sz w:val="18"/>
          <w:szCs w:val="18"/>
          <w:color w:val="auto"/>
        </w:rPr>
        <w:t>- One million British thermal units.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MMcf/d </w:t>
      </w:r>
      <w:r>
        <w:rPr>
          <w:rFonts w:ascii="Arial" w:cs="Arial" w:eastAsia="Arial" w:hAnsi="Arial"/>
          <w:sz w:val="18"/>
          <w:szCs w:val="18"/>
          <w:color w:val="auto"/>
        </w:rPr>
        <w:t>- One million cubic feet of natural gas per day.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MMT </w:t>
      </w:r>
      <w:r>
        <w:rPr>
          <w:rFonts w:ascii="Arial" w:cs="Arial" w:eastAsia="Arial" w:hAnsi="Arial"/>
          <w:sz w:val="18"/>
          <w:szCs w:val="18"/>
          <w:color w:val="auto"/>
        </w:rPr>
        <w:t>- Million metric tons.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MMTPA </w:t>
      </w:r>
      <w:r>
        <w:rPr>
          <w:rFonts w:ascii="Arial" w:cs="Arial" w:eastAsia="Arial" w:hAnsi="Arial"/>
          <w:sz w:val="18"/>
          <w:szCs w:val="18"/>
          <w:color w:val="auto"/>
        </w:rPr>
        <w:t>- Million metric tons per annum.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MW </w:t>
      </w:r>
      <w:r>
        <w:rPr>
          <w:rFonts w:ascii="Arial" w:cs="Arial" w:eastAsia="Arial" w:hAnsi="Arial"/>
          <w:sz w:val="18"/>
          <w:szCs w:val="18"/>
          <w:color w:val="auto"/>
        </w:rPr>
        <w:t>- Megawatts of power.</w:t>
      </w:r>
    </w:p>
    <w:p>
      <w:pPr>
        <w:spacing w:after="0" w:line="9" w:lineRule="exact"/>
        <w:rPr>
          <w:rFonts w:ascii="Arial" w:cs="Arial" w:eastAsia="Arial" w:hAnsi="Arial"/>
          <w:sz w:val="18"/>
          <w:szCs w:val="18"/>
          <w:color w:val="auto"/>
        </w:rPr>
      </w:pPr>
    </w:p>
    <w:p>
      <w:pPr>
        <w:ind w:left="660" w:right="24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NGLs </w:t>
      </w:r>
      <w:r>
        <w:rPr>
          <w:rFonts w:ascii="Arial" w:cs="Arial" w:eastAsia="Arial" w:hAnsi="Arial"/>
          <w:sz w:val="18"/>
          <w:szCs w:val="18"/>
          <w:color w:val="auto"/>
        </w:rPr>
        <w:t>- Natural gas liquids. Hydrocarbons found in natural gas that may be extracted as purity products such as ethane, propane,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isobutane and normal butane, and natural gasoline.</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NYMEX </w:t>
      </w:r>
      <w:r>
        <w:rPr>
          <w:rFonts w:ascii="Arial" w:cs="Arial" w:eastAsia="Arial" w:hAnsi="Arial"/>
          <w:sz w:val="18"/>
          <w:szCs w:val="18"/>
          <w:color w:val="auto"/>
        </w:rPr>
        <w:t>- The New York Mercantile Exchange.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OCTG </w:t>
      </w:r>
      <w:r>
        <w:rPr>
          <w:rFonts w:ascii="Arial" w:cs="Arial" w:eastAsia="Arial" w:hAnsi="Arial"/>
          <w:sz w:val="18"/>
          <w:szCs w:val="18"/>
          <w:color w:val="auto"/>
        </w:rPr>
        <w:t>- Oil country tubular goods.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Oil spill prevention rate </w:t>
      </w:r>
      <w:r>
        <w:rPr>
          <w:rFonts w:ascii="Arial" w:cs="Arial" w:eastAsia="Arial" w:hAnsi="Arial"/>
          <w:sz w:val="18"/>
          <w:szCs w:val="18"/>
          <w:color w:val="auto"/>
        </w:rPr>
        <w:t>- Calculated as total Boe less net barrels lost divided by total Boe.</w:t>
      </w:r>
    </w:p>
    <w:p>
      <w:pPr>
        <w:sectPr>
          <w:pgSz w:w="11900" w:h="16838" w:orient="portrait"/>
          <w:cols w:equalWidth="0" w:num="1">
            <w:col w:w="11200"/>
          </w:cols>
          <w:pgMar w:left="320" w:top="890" w:right="379" w:bottom="1440"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0" w:right="379" w:bottom="1440" w:gutter="0" w:footer="0" w:header="0"/>
          <w:type w:val="continuous"/>
        </w:sectPr>
      </w:pPr>
    </w:p>
    <w:bookmarkStart w:id="4" w:name="page5"/>
    <w:bookmarkEnd w:id="4"/>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OPEC </w:t>
      </w:r>
      <w:r>
        <w:rPr>
          <w:rFonts w:ascii="Arial" w:cs="Arial" w:eastAsia="Arial" w:hAnsi="Arial"/>
          <w:sz w:val="18"/>
          <w:szCs w:val="18"/>
          <w:color w:val="auto"/>
        </w:rPr>
        <w:t>- Organization of the Petroleum Exporting Countries.</w:t>
      </w:r>
    </w:p>
    <w:p>
      <w:pPr>
        <w:spacing w:after="0" w:line="27"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OPEC+ </w:t>
      </w:r>
      <w:r>
        <w:rPr>
          <w:rFonts w:ascii="Arial" w:cs="Arial" w:eastAsia="Arial" w:hAnsi="Arial"/>
          <w:sz w:val="18"/>
          <w:szCs w:val="18"/>
          <w:color w:val="auto"/>
        </w:rPr>
        <w:t>- OPEC together with Russia and certain other producing countries.</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PHMSA </w:t>
      </w:r>
      <w:r>
        <w:rPr>
          <w:rFonts w:ascii="Arial" w:cs="Arial" w:eastAsia="Arial" w:hAnsi="Arial"/>
          <w:sz w:val="18"/>
          <w:szCs w:val="18"/>
          <w:color w:val="auto"/>
        </w:rPr>
        <w:t>- Pipeline and Hazardous Materials Safety Administration.</w:t>
      </w:r>
    </w:p>
    <w:p>
      <w:pPr>
        <w:spacing w:after="0" w:line="9" w:lineRule="exact"/>
        <w:rPr>
          <w:rFonts w:ascii="Arial" w:cs="Arial" w:eastAsia="Arial" w:hAnsi="Arial"/>
          <w:sz w:val="18"/>
          <w:szCs w:val="18"/>
          <w:color w:val="auto"/>
        </w:rPr>
      </w:pPr>
    </w:p>
    <w:p>
      <w:pPr>
        <w:ind w:left="328" w:right="260" w:hanging="328"/>
        <w:spacing w:after="0" w:line="250"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Proved developed reserves </w:t>
      </w:r>
      <w:r>
        <w:rPr>
          <w:rFonts w:ascii="Arial" w:cs="Arial" w:eastAsia="Arial" w:hAnsi="Arial"/>
          <w:sz w:val="18"/>
          <w:szCs w:val="18"/>
          <w:color w:val="auto"/>
        </w:rPr>
        <w:t>- Reserves that can be expected to be recovered through existing wells with existing equipment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operating methods.</w:t>
      </w:r>
    </w:p>
    <w:p>
      <w:pPr>
        <w:ind w:left="328" w:right="360" w:hanging="328"/>
        <w:spacing w:after="0" w:line="250"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Proved reserves </w:t>
      </w:r>
      <w:r>
        <w:rPr>
          <w:rFonts w:ascii="Arial" w:cs="Arial" w:eastAsia="Arial" w:hAnsi="Arial"/>
          <w:sz w:val="18"/>
          <w:szCs w:val="18"/>
          <w:color w:val="auto"/>
        </w:rPr>
        <w:t>- The estimated quantities of natural gas, NGLs, and oil that geological and engineering data demonstrate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reasonable certainty to be commercially recoverable in future years from known reservoirs under existing economic conditions, operating methods and government regulations.</w:t>
      </w:r>
    </w:p>
    <w:p>
      <w:pPr>
        <w:spacing w:after="0" w:line="1" w:lineRule="exact"/>
        <w:rPr>
          <w:rFonts w:ascii="Arial" w:cs="Arial" w:eastAsia="Arial" w:hAnsi="Arial"/>
          <w:sz w:val="18"/>
          <w:szCs w:val="18"/>
          <w:color w:val="auto"/>
        </w:rPr>
      </w:pPr>
    </w:p>
    <w:p>
      <w:pPr>
        <w:ind w:left="328" w:right="60" w:hanging="328"/>
        <w:spacing w:after="0" w:line="265" w:lineRule="auto"/>
        <w:tabs>
          <w:tab w:leader="none" w:pos="323"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Proved undeveloped reserves </w:t>
      </w:r>
      <w:r>
        <w:rPr>
          <w:rFonts w:ascii="Arial" w:cs="Arial" w:eastAsia="Arial" w:hAnsi="Arial"/>
          <w:sz w:val="17"/>
          <w:szCs w:val="17"/>
          <w:color w:val="auto"/>
        </w:rPr>
        <w:t>- Proved reserves that are expected to be recovered from new wells on undrilled acreage that 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reasonably certain of production when drilled or from existing wells where a relatively major expenditure is required for recompletion.</w:t>
      </w: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PSCs </w:t>
      </w:r>
      <w:r>
        <w:rPr>
          <w:rFonts w:ascii="Arial" w:cs="Arial" w:eastAsia="Arial" w:hAnsi="Arial"/>
          <w:sz w:val="18"/>
          <w:szCs w:val="18"/>
          <w:color w:val="auto"/>
        </w:rPr>
        <w:t>- Contractual arrangements similar to production-sharing contracts.</w:t>
      </w:r>
    </w:p>
    <w:p>
      <w:pPr>
        <w:spacing w:after="0" w:line="9" w:lineRule="exact"/>
        <w:rPr>
          <w:rFonts w:ascii="Arial" w:cs="Arial" w:eastAsia="Arial" w:hAnsi="Arial"/>
          <w:sz w:val="18"/>
          <w:szCs w:val="18"/>
          <w:color w:val="auto"/>
        </w:rPr>
      </w:pPr>
    </w:p>
    <w:p>
      <w:pPr>
        <w:ind w:left="328" w:right="120" w:hanging="328"/>
        <w:spacing w:after="0" w:line="250"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PV-10 </w:t>
      </w:r>
      <w:r>
        <w:rPr>
          <w:rFonts w:ascii="Arial" w:cs="Arial" w:eastAsia="Arial" w:hAnsi="Arial"/>
          <w:sz w:val="18"/>
          <w:szCs w:val="18"/>
          <w:color w:val="auto"/>
        </w:rPr>
        <w:t>- Non-GAAP financial measure and represents the year-end present value of estimated future cash flows from proved oil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natural gas reserves, less future development and operating costs, discounted at 10% per annum and using SEC Prices. PV-10 facilitates the comparisons to other companies as it is not dependent on the tax-paying status of the entity.</w:t>
      </w:r>
    </w:p>
    <w:p>
      <w:pPr>
        <w:spacing w:after="0" w:line="1"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Scope 1 emissions </w:t>
      </w:r>
      <w:r>
        <w:rPr>
          <w:rFonts w:ascii="Arial" w:cs="Arial" w:eastAsia="Arial" w:hAnsi="Arial"/>
          <w:sz w:val="18"/>
          <w:szCs w:val="18"/>
          <w:color w:val="auto"/>
        </w:rPr>
        <w:t>- Our direct emissions.</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Scope 2 emissions </w:t>
      </w:r>
      <w:r>
        <w:rPr>
          <w:rFonts w:ascii="Arial" w:cs="Arial" w:eastAsia="Arial" w:hAnsi="Arial"/>
          <w:sz w:val="18"/>
          <w:szCs w:val="18"/>
          <w:color w:val="auto"/>
        </w:rPr>
        <w:t>- Indirect emissions from energy that we use (</w:t>
      </w:r>
      <w:r>
        <w:rPr>
          <w:rFonts w:ascii="Arial" w:cs="Arial" w:eastAsia="Arial" w:hAnsi="Arial"/>
          <w:sz w:val="18"/>
          <w:szCs w:val="18"/>
          <w:i w:val="1"/>
          <w:iCs w:val="1"/>
          <w:color w:val="auto"/>
        </w:rPr>
        <w:t>e.g.</w:t>
      </w:r>
      <w:r>
        <w:rPr>
          <w:rFonts w:ascii="Arial" w:cs="Arial" w:eastAsia="Arial" w:hAnsi="Arial"/>
          <w:sz w:val="18"/>
          <w:szCs w:val="18"/>
          <w:color w:val="auto"/>
        </w:rPr>
        <w:t>, electricity, heat, steam, cooling) that is produced by others.</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Scope 3 emissions </w:t>
      </w:r>
      <w:r>
        <w:rPr>
          <w:rFonts w:ascii="Arial" w:cs="Arial" w:eastAsia="Arial" w:hAnsi="Arial"/>
          <w:sz w:val="18"/>
          <w:szCs w:val="18"/>
          <w:color w:val="auto"/>
        </w:rPr>
        <w:t>- Indirect emissions from upstream and downstream processing and use of our products.</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SDWA </w:t>
      </w:r>
      <w:r>
        <w:rPr>
          <w:rFonts w:ascii="Arial" w:cs="Arial" w:eastAsia="Arial" w:hAnsi="Arial"/>
          <w:sz w:val="18"/>
          <w:szCs w:val="18"/>
          <w:color w:val="auto"/>
        </w:rPr>
        <w:t>- Safe Drinking Water Act.</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SEC </w:t>
      </w:r>
      <w:r>
        <w:rPr>
          <w:rFonts w:ascii="Arial" w:cs="Arial" w:eastAsia="Arial" w:hAnsi="Arial"/>
          <w:sz w:val="18"/>
          <w:szCs w:val="18"/>
          <w:color w:val="auto"/>
        </w:rPr>
        <w:t>- United States Securities and Exchange Commission.</w:t>
      </w:r>
    </w:p>
    <w:p>
      <w:pPr>
        <w:spacing w:after="0" w:line="9" w:lineRule="exact"/>
        <w:rPr>
          <w:rFonts w:ascii="Arial" w:cs="Arial" w:eastAsia="Arial" w:hAnsi="Arial"/>
          <w:sz w:val="18"/>
          <w:szCs w:val="18"/>
          <w:color w:val="auto"/>
        </w:rPr>
      </w:pPr>
    </w:p>
    <w:p>
      <w:pPr>
        <w:ind w:left="328" w:hanging="328"/>
        <w:spacing w:after="0" w:line="250"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SEC Prices </w:t>
      </w:r>
      <w:r>
        <w:rPr>
          <w:rFonts w:ascii="Arial" w:cs="Arial" w:eastAsia="Arial" w:hAnsi="Arial"/>
          <w:sz w:val="18"/>
          <w:szCs w:val="18"/>
          <w:color w:val="auto"/>
        </w:rPr>
        <w:t>- The unweighted arithmetic average of the first day-of-the-month price for each month within the year used to determine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estimated volumes and cash flows for our proved reserves.</w:t>
      </w: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SOFR </w:t>
      </w:r>
      <w:r>
        <w:rPr>
          <w:rFonts w:ascii="Arial" w:cs="Arial" w:eastAsia="Arial" w:hAnsi="Arial"/>
          <w:sz w:val="18"/>
          <w:szCs w:val="18"/>
          <w:color w:val="auto"/>
        </w:rPr>
        <w:t>- Secured overnight financing rate as administered by the Federal Reserve Bank of New York.</w:t>
      </w:r>
    </w:p>
    <w:p>
      <w:pPr>
        <w:spacing w:after="0" w:line="9" w:lineRule="exact"/>
        <w:rPr>
          <w:rFonts w:ascii="Arial" w:cs="Arial" w:eastAsia="Arial" w:hAnsi="Arial"/>
          <w:sz w:val="18"/>
          <w:szCs w:val="18"/>
          <w:color w:val="auto"/>
        </w:rPr>
      </w:pPr>
    </w:p>
    <w:p>
      <w:pPr>
        <w:ind w:left="328" w:right="60" w:hanging="328"/>
        <w:spacing w:after="0" w:line="250"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Standardized measure </w:t>
      </w:r>
      <w:r>
        <w:rPr>
          <w:rFonts w:ascii="Arial" w:cs="Arial" w:eastAsia="Arial" w:hAnsi="Arial"/>
          <w:sz w:val="18"/>
          <w:szCs w:val="18"/>
          <w:color w:val="auto"/>
        </w:rPr>
        <w:t>- The year-end present value of after-tax estimated future cash flows from proved oil and natural gas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reserves, less future development and operating costs, discounted at 10% per annum and using SEC Prices. Standardized measure is prescribed by the SEC as an industry standard asset value measure to compare reserves with consistent pricing, costs and discount assumptions.</w:t>
      </w:r>
    </w:p>
    <w:p>
      <w:pPr>
        <w:spacing w:after="0" w:line="1" w:lineRule="exact"/>
        <w:rPr>
          <w:rFonts w:ascii="Arial" w:cs="Arial" w:eastAsia="Arial" w:hAnsi="Arial"/>
          <w:sz w:val="18"/>
          <w:szCs w:val="18"/>
          <w:color w:val="auto"/>
        </w:rPr>
      </w:pPr>
    </w:p>
    <w:p>
      <w:pPr>
        <w:ind w:left="328" w:right="780" w:hanging="328"/>
        <w:spacing w:after="0" w:line="250"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TRIR </w:t>
      </w:r>
      <w:r>
        <w:rPr>
          <w:rFonts w:ascii="Arial" w:cs="Arial" w:eastAsia="Arial" w:hAnsi="Arial"/>
          <w:sz w:val="18"/>
          <w:szCs w:val="18"/>
          <w:color w:val="auto"/>
        </w:rPr>
        <w:t>- Total Recordable Incident Rate calculated as recordable incidents per 200,000 hours for all workers (employees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contractors).</w:t>
      </w:r>
    </w:p>
    <w:p>
      <w:pPr>
        <w:ind w:left="328" w:right="700" w:hanging="328"/>
        <w:spacing w:after="0" w:line="250"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Working interest </w:t>
      </w:r>
      <w:r>
        <w:rPr>
          <w:rFonts w:ascii="Arial" w:cs="Arial" w:eastAsia="Arial" w:hAnsi="Arial"/>
          <w:sz w:val="18"/>
          <w:szCs w:val="18"/>
          <w:color w:val="auto"/>
        </w:rPr>
        <w:t>- The right granted to a lessee of a property to explore for and to produce and own oil, natural gas or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minerals in-place. A working interest owner bears the cost of development and operations of the property.</w:t>
      </w: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WTI </w:t>
      </w:r>
      <w:r>
        <w:rPr>
          <w:rFonts w:ascii="Arial" w:cs="Arial" w:eastAsia="Arial" w:hAnsi="Arial"/>
          <w:sz w:val="18"/>
          <w:szCs w:val="18"/>
          <w:color w:val="auto"/>
        </w:rPr>
        <w:t>- West Texas Intermediate.</w:t>
      </w:r>
    </w:p>
    <w:p>
      <w:pPr>
        <w:spacing w:after="0" w:line="200" w:lineRule="exact"/>
        <w:rPr>
          <w:sz w:val="20"/>
          <w:szCs w:val="20"/>
          <w:color w:val="auto"/>
        </w:rPr>
      </w:pPr>
    </w:p>
    <w:p>
      <w:pPr>
        <w:spacing w:after="0" w:line="345"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73660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652" w:top="890"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47"/>
        </w:trPr>
        <w:tc>
          <w:tcPr>
            <w:tcW w:w="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180" w:type="dxa"/>
            <w:vAlign w:val="bottom"/>
          </w:tcPr>
          <w:p>
            <w:pPr>
              <w:ind w:left="3500"/>
              <w:spacing w:after="0"/>
              <w:rPr>
                <w:sz w:val="20"/>
                <w:szCs w:val="20"/>
                <w:color w:val="auto"/>
              </w:rPr>
            </w:pPr>
            <w:r>
              <w:rPr>
                <w:rFonts w:ascii="Arial" w:cs="Arial" w:eastAsia="Arial" w:hAnsi="Arial"/>
                <w:sz w:val="18"/>
                <w:szCs w:val="18"/>
                <w:b w:val="1"/>
                <w:bCs w:val="1"/>
                <w:color w:val="auto"/>
              </w:rPr>
              <w:t>PART I</w:t>
            </w:r>
          </w:p>
        </w:tc>
        <w:tc>
          <w:tcPr>
            <w:tcW w:w="3160" w:type="dxa"/>
            <w:vAlign w:val="bottom"/>
            <w:gridSpan w:val="3"/>
          </w:tcPr>
          <w:p>
            <w:pPr>
              <w:jc w:val="right"/>
              <w:ind w:right="690"/>
              <w:spacing w:after="0"/>
              <w:rPr>
                <w:sz w:val="20"/>
                <w:szCs w:val="20"/>
                <w:color w:val="auto"/>
              </w:rPr>
            </w:pPr>
            <w:r>
              <w:rPr>
                <w:rFonts w:ascii="Arial" w:cs="Arial" w:eastAsia="Arial" w:hAnsi="Arial"/>
                <w:sz w:val="18"/>
                <w:szCs w:val="18"/>
                <w:b w:val="1"/>
                <w:bCs w:val="1"/>
                <w:color w:val="auto"/>
              </w:rPr>
              <w:t>FINANCIAL INFORMATION</w:t>
            </w:r>
          </w:p>
        </w:tc>
        <w:tc>
          <w:tcPr>
            <w:tcW w:w="1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75"/>
        </w:trPr>
        <w:tc>
          <w:tcPr>
            <w:tcW w:w="60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4180" w:type="dxa"/>
            <w:vAlign w:val="bottom"/>
          </w:tcPr>
          <w:p>
            <w:pPr>
              <w:ind w:left="380"/>
              <w:spacing w:after="0"/>
              <w:rPr>
                <w:sz w:val="20"/>
                <w:szCs w:val="20"/>
                <w:color w:val="auto"/>
              </w:rPr>
            </w:pPr>
            <w:r>
              <w:rPr>
                <w:rFonts w:ascii="Arial" w:cs="Arial" w:eastAsia="Arial" w:hAnsi="Arial"/>
                <w:sz w:val="18"/>
                <w:szCs w:val="18"/>
                <w:b w:val="1"/>
                <w:bCs w:val="1"/>
                <w:color w:val="auto"/>
              </w:rPr>
              <w:t>Financial Statements (unaudited)</w:t>
            </w:r>
          </w:p>
        </w:tc>
        <w:tc>
          <w:tcPr>
            <w:tcW w:w="3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960" w:type="dxa"/>
            <w:vAlign w:val="bottom"/>
            <w:gridSpan w:val="7"/>
          </w:tcPr>
          <w:p>
            <w:pPr>
              <w:jc w:val="center"/>
              <w:ind w:left="1010"/>
              <w:spacing w:after="0"/>
              <w:rPr>
                <w:sz w:val="20"/>
                <w:szCs w:val="20"/>
                <w:color w:val="auto"/>
              </w:rPr>
            </w:pPr>
            <w:r>
              <w:rPr>
                <w:rFonts w:ascii="Arial" w:cs="Arial" w:eastAsia="Arial" w:hAnsi="Arial"/>
                <w:sz w:val="18"/>
                <w:szCs w:val="18"/>
                <w:b w:val="1"/>
                <w:bCs w:val="1"/>
                <w:color w:val="auto"/>
                <w:w w:val="99"/>
              </w:rPr>
              <w:t>CALIFORNIA RESOURCES CORPORATION AND SUBSIDIARIES</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340" w:type="dxa"/>
            <w:vAlign w:val="bottom"/>
            <w:gridSpan w:val="4"/>
          </w:tcPr>
          <w:p>
            <w:pPr>
              <w:jc w:val="center"/>
              <w:ind w:left="2610"/>
              <w:spacing w:after="0"/>
              <w:rPr>
                <w:sz w:val="20"/>
                <w:szCs w:val="20"/>
                <w:color w:val="auto"/>
              </w:rPr>
            </w:pPr>
            <w:r>
              <w:rPr>
                <w:rFonts w:ascii="Arial" w:cs="Arial" w:eastAsia="Arial" w:hAnsi="Arial"/>
                <w:sz w:val="18"/>
                <w:szCs w:val="18"/>
                <w:b w:val="1"/>
                <w:bCs w:val="1"/>
                <w:color w:val="auto"/>
              </w:rPr>
              <w:t>Condensed Consolidated Balance Sheets</w:t>
            </w: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340" w:type="dxa"/>
            <w:vAlign w:val="bottom"/>
            <w:gridSpan w:val="4"/>
          </w:tcPr>
          <w:p>
            <w:pPr>
              <w:jc w:val="center"/>
              <w:ind w:left="2630"/>
              <w:spacing w:after="0"/>
              <w:rPr>
                <w:sz w:val="20"/>
                <w:szCs w:val="20"/>
                <w:color w:val="auto"/>
              </w:rPr>
            </w:pPr>
            <w:r>
              <w:rPr>
                <w:rFonts w:ascii="Arial" w:cs="Arial" w:eastAsia="Arial" w:hAnsi="Arial"/>
                <w:sz w:val="18"/>
                <w:szCs w:val="18"/>
                <w:b w:val="1"/>
                <w:bCs w:val="1"/>
                <w:color w:val="auto"/>
                <w:w w:val="99"/>
              </w:rPr>
              <w:t>As of September 30, 2024 and December 31, 2023</w:t>
            </w: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340" w:type="dxa"/>
            <w:vAlign w:val="bottom"/>
            <w:gridSpan w:val="4"/>
          </w:tcPr>
          <w:p>
            <w:pPr>
              <w:jc w:val="center"/>
              <w:ind w:left="2610"/>
              <w:spacing w:after="0"/>
              <w:rPr>
                <w:sz w:val="20"/>
                <w:szCs w:val="20"/>
                <w:color w:val="auto"/>
              </w:rPr>
            </w:pPr>
            <w:r>
              <w:rPr>
                <w:rFonts w:ascii="Arial" w:cs="Arial" w:eastAsia="Arial" w:hAnsi="Arial"/>
                <w:sz w:val="18"/>
                <w:szCs w:val="18"/>
                <w:color w:val="auto"/>
                <w:w w:val="99"/>
              </w:rPr>
              <w:t>(in millions, except share data)</w:t>
            </w:r>
          </w:p>
        </w:tc>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0"/>
        </w:trPr>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gridSpan w:val="3"/>
          </w:tcPr>
          <w:p>
            <w:pPr>
              <w:ind w:left="40"/>
              <w:spacing w:after="0"/>
              <w:rPr>
                <w:sz w:val="20"/>
                <w:szCs w:val="20"/>
                <w:color w:val="auto"/>
              </w:rPr>
            </w:pPr>
            <w:r>
              <w:rPr>
                <w:rFonts w:ascii="Arial" w:cs="Arial" w:eastAsia="Arial" w:hAnsi="Arial"/>
                <w:sz w:val="18"/>
                <w:szCs w:val="18"/>
                <w:b w:val="1"/>
                <w:bCs w:val="1"/>
                <w:color w:val="auto"/>
              </w:rPr>
              <w:t>September 30,</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jc w:val="right"/>
              <w:ind w:right="170"/>
              <w:spacing w:after="0"/>
              <w:rPr>
                <w:sz w:val="20"/>
                <w:szCs w:val="20"/>
                <w:color w:val="auto"/>
              </w:rPr>
            </w:pPr>
            <w:r>
              <w:rPr>
                <w:rFonts w:ascii="Arial" w:cs="Arial" w:eastAsia="Arial" w:hAnsi="Arial"/>
                <w:sz w:val="18"/>
                <w:szCs w:val="18"/>
                <w:b w:val="1"/>
                <w:bCs w:val="1"/>
                <w:color w:val="auto"/>
              </w:rPr>
              <w:t>December 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47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CURRENT ASSETS</w:t>
            </w:r>
          </w:p>
        </w:tc>
        <w:tc>
          <w:tcPr>
            <w:tcW w:w="30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740" w:type="dxa"/>
            <w:vAlign w:val="bottom"/>
            <w:gridSpan w:val="2"/>
            <w:vMerge w:val="continue"/>
          </w:tcPr>
          <w:p>
            <w:pPr>
              <w:spacing w:after="0"/>
              <w:rPr>
                <w:sz w:val="19"/>
                <w:szCs w:val="19"/>
                <w:color w:val="auto"/>
              </w:rPr>
            </w:pPr>
          </w:p>
        </w:tc>
        <w:tc>
          <w:tcPr>
            <w:tcW w:w="3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3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740" w:type="dxa"/>
            <w:vAlign w:val="bottom"/>
            <w:gridSpan w:val="2"/>
          </w:tcPr>
          <w:p>
            <w:pPr>
              <w:ind w:left="340"/>
              <w:spacing w:after="0"/>
              <w:rPr>
                <w:sz w:val="20"/>
                <w:szCs w:val="20"/>
                <w:color w:val="auto"/>
              </w:rPr>
            </w:pPr>
            <w:r>
              <w:rPr>
                <w:rFonts w:ascii="Arial" w:cs="Arial" w:eastAsia="Arial" w:hAnsi="Arial"/>
                <w:sz w:val="18"/>
                <w:szCs w:val="18"/>
                <w:color w:val="auto"/>
              </w:rPr>
              <w:t>Trade receivables</w:t>
            </w:r>
          </w:p>
        </w:tc>
        <w:tc>
          <w:tcPr>
            <w:tcW w:w="3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313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3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740" w:type="dxa"/>
            <w:vAlign w:val="bottom"/>
            <w:gridSpan w:val="2"/>
          </w:tcPr>
          <w:p>
            <w:pPr>
              <w:ind w:left="340"/>
              <w:spacing w:after="0"/>
              <w:rPr>
                <w:sz w:val="20"/>
                <w:szCs w:val="20"/>
                <w:color w:val="auto"/>
              </w:rPr>
            </w:pPr>
            <w:r>
              <w:rPr>
                <w:rFonts w:ascii="Arial" w:cs="Arial" w:eastAsia="Arial" w:hAnsi="Arial"/>
                <w:sz w:val="18"/>
                <w:szCs w:val="18"/>
                <w:color w:val="auto"/>
              </w:rPr>
              <w:t>Assets held for sale</w:t>
            </w:r>
          </w:p>
        </w:tc>
        <w:tc>
          <w:tcPr>
            <w:tcW w:w="3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Receivable from affiliate</w:t>
            </w:r>
          </w:p>
        </w:tc>
        <w:tc>
          <w:tcPr>
            <w:tcW w:w="3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74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Other current assets, net</w:t>
            </w:r>
          </w:p>
        </w:tc>
        <w:tc>
          <w:tcPr>
            <w:tcW w:w="30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current assets</w:t>
            </w:r>
          </w:p>
        </w:tc>
        <w:tc>
          <w:tcPr>
            <w:tcW w:w="3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740" w:type="dxa"/>
            <w:vAlign w:val="bottom"/>
            <w:gridSpan w:val="2"/>
          </w:tcPr>
          <w:p>
            <w:pPr>
              <w:spacing w:after="0"/>
              <w:rPr>
                <w:sz w:val="20"/>
                <w:szCs w:val="20"/>
                <w:color w:val="auto"/>
              </w:rPr>
            </w:pPr>
            <w:r>
              <w:rPr>
                <w:rFonts w:ascii="Arial" w:cs="Arial" w:eastAsia="Arial" w:hAnsi="Arial"/>
                <w:sz w:val="18"/>
                <w:szCs w:val="18"/>
                <w:b w:val="1"/>
                <w:bCs w:val="1"/>
                <w:color w:val="auto"/>
              </w:rPr>
              <w:t>PROPERTY, PLANT AND EQUIPMENT</w:t>
            </w:r>
          </w:p>
        </w:tc>
        <w:tc>
          <w:tcPr>
            <w:tcW w:w="3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6,752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3,437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Accumulated depreciation, depletion and amortization</w:t>
            </w:r>
          </w:p>
        </w:tc>
        <w:tc>
          <w:tcPr>
            <w:tcW w:w="30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180" w:type="dxa"/>
            <w:vAlign w:val="bottom"/>
          </w:tcPr>
          <w:p>
            <w:pPr>
              <w:ind w:left="100"/>
              <w:spacing w:after="0"/>
              <w:rPr>
                <w:sz w:val="20"/>
                <w:szCs w:val="20"/>
                <w:color w:val="auto"/>
              </w:rPr>
            </w:pPr>
            <w:r>
              <w:rPr>
                <w:rFonts w:ascii="Arial" w:cs="Arial" w:eastAsia="Arial" w:hAnsi="Arial"/>
                <w:sz w:val="18"/>
                <w:szCs w:val="18"/>
                <w:color w:val="auto"/>
              </w:rPr>
              <w:t>Total property, plant and equipment, net</w:t>
            </w:r>
          </w:p>
        </w:tc>
        <w:tc>
          <w:tcPr>
            <w:tcW w:w="3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5,836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2,770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INVESTMENT IN UNCONSOLIDATED SUBSIDIARY</w:t>
            </w:r>
          </w:p>
        </w:tc>
        <w:tc>
          <w:tcPr>
            <w:tcW w:w="3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740" w:type="dxa"/>
            <w:vAlign w:val="bottom"/>
            <w:gridSpan w:val="2"/>
          </w:tcPr>
          <w:p>
            <w:pPr>
              <w:spacing w:after="0"/>
              <w:rPr>
                <w:sz w:val="20"/>
                <w:szCs w:val="20"/>
                <w:color w:val="auto"/>
              </w:rPr>
            </w:pPr>
            <w:r>
              <w:rPr>
                <w:rFonts w:ascii="Arial" w:cs="Arial" w:eastAsia="Arial" w:hAnsi="Arial"/>
                <w:sz w:val="18"/>
                <w:szCs w:val="18"/>
                <w:b w:val="1"/>
                <w:bCs w:val="1"/>
                <w:color w:val="auto"/>
              </w:rPr>
              <w:t>DEFERRED INCOME TAXES</w:t>
            </w:r>
          </w:p>
        </w:tc>
        <w:tc>
          <w:tcPr>
            <w:tcW w:w="3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NONCURRENT ASSETS</w:t>
            </w:r>
          </w:p>
        </w:tc>
        <w:tc>
          <w:tcPr>
            <w:tcW w:w="30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74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3000" w:type="dxa"/>
            <w:vAlign w:val="bottom"/>
          </w:tcPr>
          <w:p>
            <w:pPr>
              <w:spacing w:after="0"/>
              <w:rPr>
                <w:sz w:val="19"/>
                <w:szCs w:val="19"/>
                <w:color w:val="auto"/>
              </w:rPr>
            </w:pP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80" w:type="dxa"/>
            <w:vAlign w:val="bottom"/>
            <w:gridSpan w:val="3"/>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4780" w:type="dxa"/>
            <w:vAlign w:val="bottom"/>
            <w:gridSpan w:val="3"/>
          </w:tcPr>
          <w:p>
            <w:pPr>
              <w:spacing w:after="0"/>
              <w:rPr>
                <w:sz w:val="10"/>
                <w:szCs w:val="10"/>
                <w:color w:val="auto"/>
              </w:rPr>
            </w:pPr>
          </w:p>
        </w:tc>
        <w:tc>
          <w:tcPr>
            <w:tcW w:w="3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478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3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740" w:type="dxa"/>
            <w:vAlign w:val="bottom"/>
            <w:gridSpan w:val="2"/>
          </w:tcPr>
          <w:p>
            <w:pPr>
              <w:ind w:left="320"/>
              <w:spacing w:after="0"/>
              <w:rPr>
                <w:sz w:val="20"/>
                <w:szCs w:val="20"/>
                <w:color w:val="auto"/>
              </w:rPr>
            </w:pPr>
            <w:r>
              <w:rPr>
                <w:rFonts w:ascii="Arial" w:cs="Arial" w:eastAsia="Arial" w:hAnsi="Arial"/>
                <w:sz w:val="18"/>
                <w:szCs w:val="18"/>
                <w:color w:val="auto"/>
              </w:rPr>
              <w:t>Accounts payable</w:t>
            </w:r>
          </w:p>
        </w:tc>
        <w:tc>
          <w:tcPr>
            <w:tcW w:w="3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351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4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Liabilities associated with assets held for sale</w:t>
            </w:r>
          </w:p>
        </w:tc>
        <w:tc>
          <w:tcPr>
            <w:tcW w:w="3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bottom w:val="single" w:sz="8" w:color="CCEEFF"/>
            </w:tcBorders>
          </w:tcPr>
          <w:p>
            <w:pPr>
              <w:spacing w:after="0"/>
              <w:rPr>
                <w:sz w:val="19"/>
                <w:szCs w:val="19"/>
                <w:color w:val="auto"/>
              </w:rPr>
            </w:pPr>
          </w:p>
        </w:tc>
        <w:tc>
          <w:tcPr>
            <w:tcW w:w="4740" w:type="dxa"/>
            <w:vAlign w:val="bottom"/>
            <w:tcBorders>
              <w:bottom w:val="single" w:sz="8" w:color="CCEEFF"/>
            </w:tcBorders>
            <w:gridSpan w:val="2"/>
          </w:tcPr>
          <w:p>
            <w:pPr>
              <w:ind w:left="320"/>
              <w:spacing w:after="0"/>
              <w:rPr>
                <w:sz w:val="20"/>
                <w:szCs w:val="20"/>
                <w:color w:val="auto"/>
              </w:rPr>
            </w:pPr>
            <w:r>
              <w:rPr>
                <w:rFonts w:ascii="Arial" w:cs="Arial" w:eastAsia="Arial" w:hAnsi="Arial"/>
                <w:sz w:val="18"/>
                <w:szCs w:val="18"/>
                <w:color w:val="auto"/>
              </w:rPr>
              <w:t>Accrued liabilities</w:t>
            </w:r>
          </w:p>
        </w:tc>
        <w:tc>
          <w:tcPr>
            <w:tcW w:w="30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180" w:type="dxa"/>
            <w:vAlign w:val="bottom"/>
            <w:shd w:val="clear" w:color="auto" w:fill="CCEEFF"/>
          </w:tcPr>
          <w:p>
            <w:pPr>
              <w:ind w:left="80"/>
              <w:spacing w:after="0"/>
              <w:rPr>
                <w:sz w:val="20"/>
                <w:szCs w:val="20"/>
                <w:color w:val="auto"/>
              </w:rPr>
            </w:pPr>
            <w:r>
              <w:rPr>
                <w:rFonts w:ascii="Arial" w:cs="Arial" w:eastAsia="Arial" w:hAnsi="Arial"/>
                <w:sz w:val="18"/>
                <w:szCs w:val="18"/>
                <w:color w:val="auto"/>
              </w:rPr>
              <w:t>Total current liabilities</w:t>
            </w:r>
          </w:p>
        </w:tc>
        <w:tc>
          <w:tcPr>
            <w:tcW w:w="3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gridSpan w:val="3"/>
          </w:tcPr>
          <w:p>
            <w:pPr>
              <w:ind w:left="20"/>
              <w:spacing w:after="0"/>
              <w:rPr>
                <w:sz w:val="20"/>
                <w:szCs w:val="20"/>
                <w:color w:val="auto"/>
              </w:rPr>
            </w:pPr>
            <w:r>
              <w:rPr>
                <w:rFonts w:ascii="Arial" w:cs="Arial" w:eastAsia="Arial" w:hAnsi="Arial"/>
                <w:sz w:val="18"/>
                <w:szCs w:val="18"/>
                <w:b w:val="1"/>
                <w:bCs w:val="1"/>
                <w:color w:val="auto"/>
              </w:rPr>
              <w:t>NONCURRENT LIABILITIES</w:t>
            </w:r>
          </w:p>
        </w:tc>
        <w:tc>
          <w:tcPr>
            <w:tcW w:w="3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4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Long-term debt, net</w:t>
            </w:r>
          </w:p>
        </w:tc>
        <w:tc>
          <w:tcPr>
            <w:tcW w:w="3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740" w:type="dxa"/>
            <w:vAlign w:val="bottom"/>
            <w:gridSpan w:val="2"/>
          </w:tcPr>
          <w:p>
            <w:pPr>
              <w:ind w:left="320"/>
              <w:spacing w:after="0"/>
              <w:rPr>
                <w:sz w:val="20"/>
                <w:szCs w:val="20"/>
                <w:color w:val="auto"/>
              </w:rPr>
            </w:pPr>
            <w:r>
              <w:rPr>
                <w:rFonts w:ascii="Arial" w:cs="Arial" w:eastAsia="Arial" w:hAnsi="Arial"/>
                <w:sz w:val="18"/>
                <w:szCs w:val="18"/>
                <w:color w:val="auto"/>
              </w:rPr>
              <w:t>Fair value of derivative contracts</w:t>
            </w:r>
          </w:p>
        </w:tc>
        <w:tc>
          <w:tcPr>
            <w:tcW w:w="3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4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Asset retirement obligations</w:t>
            </w:r>
          </w:p>
        </w:tc>
        <w:tc>
          <w:tcPr>
            <w:tcW w:w="3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740" w:type="dxa"/>
            <w:vAlign w:val="bottom"/>
            <w:gridSpan w:val="2"/>
          </w:tcPr>
          <w:p>
            <w:pPr>
              <w:ind w:left="320"/>
              <w:spacing w:after="0"/>
              <w:rPr>
                <w:sz w:val="20"/>
                <w:szCs w:val="20"/>
                <w:color w:val="auto"/>
              </w:rPr>
            </w:pPr>
            <w:r>
              <w:rPr>
                <w:rFonts w:ascii="Arial" w:cs="Arial" w:eastAsia="Arial" w:hAnsi="Arial"/>
                <w:sz w:val="18"/>
                <w:szCs w:val="18"/>
                <w:color w:val="auto"/>
              </w:rPr>
              <w:t>Deferred tax liability</w:t>
            </w:r>
          </w:p>
        </w:tc>
        <w:tc>
          <w:tcPr>
            <w:tcW w:w="3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4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Other long-term liabilities</w:t>
            </w:r>
          </w:p>
        </w:tc>
        <w:tc>
          <w:tcPr>
            <w:tcW w:w="3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gridSpan w:val="3"/>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3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7900" w:type="dxa"/>
            <w:vAlign w:val="bottom"/>
            <w:gridSpan w:val="5"/>
            <w:shd w:val="clear" w:color="auto" w:fill="CCEEFF"/>
          </w:tcPr>
          <w:p>
            <w:pPr>
              <w:ind w:left="320"/>
              <w:spacing w:after="0" w:line="176" w:lineRule="exact"/>
              <w:rPr>
                <w:sz w:val="20"/>
                <w:szCs w:val="20"/>
                <w:color w:val="auto"/>
              </w:rPr>
            </w:pPr>
            <w:r>
              <w:rPr>
                <w:rFonts w:ascii="Arial" w:cs="Arial" w:eastAsia="Arial" w:hAnsi="Arial"/>
                <w:sz w:val="18"/>
                <w:szCs w:val="18"/>
                <w:color w:val="auto"/>
              </w:rPr>
              <w:t>Preferred stock (20,000,000 shares authorized at $0.01 par value) no shares outstanding at</w:t>
            </w:r>
          </w:p>
        </w:tc>
        <w:tc>
          <w:tcPr>
            <w:tcW w:w="162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shd w:val="clear" w:color="auto" w:fill="CCEEFF"/>
          </w:tcPr>
          <w:p>
            <w:pPr>
              <w:spacing w:after="0"/>
              <w:rPr>
                <w:sz w:val="21"/>
                <w:szCs w:val="21"/>
                <w:color w:val="auto"/>
              </w:rPr>
            </w:pPr>
          </w:p>
        </w:tc>
        <w:tc>
          <w:tcPr>
            <w:tcW w:w="47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September 30, 2024 and December 31, 2023</w:t>
            </w:r>
          </w:p>
        </w:tc>
        <w:tc>
          <w:tcPr>
            <w:tcW w:w="30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20" w:type="dxa"/>
            <w:vAlign w:val="bottom"/>
            <w:gridSpan w:val="3"/>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80" w:type="dxa"/>
            <w:vAlign w:val="bottom"/>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7900" w:type="dxa"/>
            <w:vAlign w:val="bottom"/>
            <w:gridSpan w:val="5"/>
          </w:tcPr>
          <w:p>
            <w:pPr>
              <w:ind w:left="320"/>
              <w:spacing w:after="0" w:line="176" w:lineRule="exact"/>
              <w:rPr>
                <w:sz w:val="20"/>
                <w:szCs w:val="20"/>
                <w:color w:val="auto"/>
              </w:rPr>
            </w:pPr>
            <w:r>
              <w:rPr>
                <w:rFonts w:ascii="Arial" w:cs="Arial" w:eastAsia="Arial" w:hAnsi="Arial"/>
                <w:sz w:val="18"/>
                <w:szCs w:val="18"/>
                <w:color w:val="auto"/>
              </w:rPr>
              <w:t>Common stock (200,000,000 shares authorized at $0.01 par value) (106,930,510 and</w:t>
            </w:r>
          </w:p>
        </w:tc>
        <w:tc>
          <w:tcPr>
            <w:tcW w:w="1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7900" w:type="dxa"/>
            <w:vAlign w:val="bottom"/>
            <w:gridSpan w:val="5"/>
          </w:tcPr>
          <w:p>
            <w:pPr>
              <w:ind w:left="480"/>
              <w:spacing w:after="0" w:line="176" w:lineRule="exact"/>
              <w:rPr>
                <w:sz w:val="20"/>
                <w:szCs w:val="20"/>
                <w:color w:val="auto"/>
              </w:rPr>
            </w:pPr>
            <w:r>
              <w:rPr>
                <w:rFonts w:ascii="Arial" w:cs="Arial" w:eastAsia="Arial" w:hAnsi="Arial"/>
                <w:sz w:val="18"/>
                <w:szCs w:val="18"/>
                <w:color w:val="auto"/>
              </w:rPr>
              <w:t>83,557,800 shares issued; 89,461,673 and 68,693,885 shares outstanding at</w:t>
            </w:r>
          </w:p>
        </w:tc>
        <w:tc>
          <w:tcPr>
            <w:tcW w:w="150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740" w:type="dxa"/>
            <w:vAlign w:val="bottom"/>
            <w:gridSpan w:val="2"/>
          </w:tcPr>
          <w:p>
            <w:pPr>
              <w:ind w:left="480"/>
              <w:spacing w:after="0"/>
              <w:rPr>
                <w:sz w:val="20"/>
                <w:szCs w:val="20"/>
                <w:color w:val="auto"/>
              </w:rPr>
            </w:pPr>
            <w:r>
              <w:rPr>
                <w:rFonts w:ascii="Arial" w:cs="Arial" w:eastAsia="Arial" w:hAnsi="Arial"/>
                <w:sz w:val="18"/>
                <w:szCs w:val="18"/>
                <w:color w:val="auto"/>
              </w:rPr>
              <w:t>September 30, 2024 and December 31, 2023)</w:t>
            </w:r>
          </w:p>
        </w:tc>
        <w:tc>
          <w:tcPr>
            <w:tcW w:w="3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40" w:type="dxa"/>
            <w:vAlign w:val="bottom"/>
            <w:shd w:val="clear" w:color="auto" w:fill="CCEEFF"/>
          </w:tcPr>
          <w:p>
            <w:pPr>
              <w:spacing w:after="0"/>
              <w:rPr>
                <w:sz w:val="15"/>
                <w:szCs w:val="15"/>
                <w:color w:val="auto"/>
              </w:rPr>
            </w:pPr>
          </w:p>
        </w:tc>
        <w:tc>
          <w:tcPr>
            <w:tcW w:w="7900" w:type="dxa"/>
            <w:vAlign w:val="bottom"/>
            <w:gridSpan w:val="5"/>
            <w:shd w:val="clear" w:color="auto" w:fill="CCEEFF"/>
          </w:tcPr>
          <w:p>
            <w:pPr>
              <w:ind w:left="320"/>
              <w:spacing w:after="0" w:line="176" w:lineRule="exact"/>
              <w:rPr>
                <w:sz w:val="20"/>
                <w:szCs w:val="20"/>
                <w:color w:val="auto"/>
              </w:rPr>
            </w:pPr>
            <w:r>
              <w:rPr>
                <w:rFonts w:ascii="Arial" w:cs="Arial" w:eastAsia="Arial" w:hAnsi="Arial"/>
                <w:sz w:val="18"/>
                <w:szCs w:val="18"/>
                <w:color w:val="auto"/>
              </w:rPr>
              <w:t>Treasury stock (17,468,837 shares held at cost at September 30, 2024 and 14,863,915</w:t>
            </w: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shd w:val="clear" w:color="auto" w:fill="CCEEFF"/>
          </w:tcPr>
          <w:p>
            <w:pPr>
              <w:spacing w:after="0"/>
              <w:rPr>
                <w:sz w:val="21"/>
                <w:szCs w:val="21"/>
                <w:color w:val="auto"/>
              </w:rPr>
            </w:pPr>
          </w:p>
        </w:tc>
        <w:tc>
          <w:tcPr>
            <w:tcW w:w="4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shares held at cost at December 31, 2023)</w:t>
            </w:r>
          </w:p>
        </w:tc>
        <w:tc>
          <w:tcPr>
            <w:tcW w:w="30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00" w:type="dxa"/>
            <w:vAlign w:val="bottom"/>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80" w:type="dxa"/>
            <w:vAlign w:val="bottom"/>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740" w:type="dxa"/>
            <w:vAlign w:val="bottom"/>
            <w:gridSpan w:val="2"/>
          </w:tcPr>
          <w:p>
            <w:pPr>
              <w:ind w:left="320"/>
              <w:spacing w:after="0"/>
              <w:rPr>
                <w:sz w:val="20"/>
                <w:szCs w:val="20"/>
                <w:color w:val="auto"/>
              </w:rPr>
            </w:pPr>
            <w:r>
              <w:rPr>
                <w:rFonts w:ascii="Arial" w:cs="Arial" w:eastAsia="Arial" w:hAnsi="Arial"/>
                <w:sz w:val="18"/>
                <w:szCs w:val="18"/>
                <w:color w:val="auto"/>
              </w:rPr>
              <w:t>Additional paid-in capital</w:t>
            </w:r>
          </w:p>
        </w:tc>
        <w:tc>
          <w:tcPr>
            <w:tcW w:w="3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2,479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4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Retained earnings</w:t>
            </w:r>
          </w:p>
        </w:tc>
        <w:tc>
          <w:tcPr>
            <w:tcW w:w="3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bottom w:val="single" w:sz="8" w:color="CCEEFF"/>
            </w:tcBorders>
          </w:tcPr>
          <w:p>
            <w:pPr>
              <w:spacing w:after="0"/>
              <w:rPr>
                <w:sz w:val="19"/>
                <w:szCs w:val="19"/>
                <w:color w:val="auto"/>
              </w:rPr>
            </w:pPr>
          </w:p>
        </w:tc>
        <w:tc>
          <w:tcPr>
            <w:tcW w:w="4740" w:type="dxa"/>
            <w:vAlign w:val="bottom"/>
            <w:tcBorders>
              <w:bottom w:val="single" w:sz="8" w:color="CCEEFF"/>
            </w:tcBorders>
            <w:gridSpan w:val="2"/>
          </w:tcPr>
          <w:p>
            <w:pPr>
              <w:ind w:left="320"/>
              <w:spacing w:after="0"/>
              <w:rPr>
                <w:sz w:val="20"/>
                <w:szCs w:val="20"/>
                <w:color w:val="auto"/>
              </w:rPr>
            </w:pPr>
            <w:r>
              <w:rPr>
                <w:rFonts w:ascii="Arial" w:cs="Arial" w:eastAsia="Arial" w:hAnsi="Arial"/>
                <w:sz w:val="18"/>
                <w:szCs w:val="18"/>
                <w:color w:val="auto"/>
              </w:rPr>
              <w:t>Accumulated other comprehensive income</w:t>
            </w:r>
          </w:p>
        </w:tc>
        <w:tc>
          <w:tcPr>
            <w:tcW w:w="30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180" w:type="dxa"/>
            <w:vAlign w:val="bottom"/>
            <w:shd w:val="clear" w:color="auto" w:fill="CCEEFF"/>
          </w:tcPr>
          <w:p>
            <w:pPr>
              <w:ind w:left="80"/>
              <w:spacing w:after="0"/>
              <w:rPr>
                <w:sz w:val="20"/>
                <w:szCs w:val="20"/>
                <w:color w:val="auto"/>
              </w:rPr>
            </w:pPr>
            <w:r>
              <w:rPr>
                <w:rFonts w:ascii="Arial" w:cs="Arial" w:eastAsia="Arial" w:hAnsi="Arial"/>
                <w:sz w:val="18"/>
                <w:szCs w:val="18"/>
                <w:color w:val="auto"/>
              </w:rPr>
              <w:t>Total stockholders' equity</w:t>
            </w:r>
          </w:p>
        </w:tc>
        <w:tc>
          <w:tcPr>
            <w:tcW w:w="3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3,501</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2,219</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gridSpan w:val="3"/>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3020" w:type="dxa"/>
            <w:vAlign w:val="bottom"/>
            <w:gridSpan w:val="2"/>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7,128</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3,998</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-95885</wp:posOffset>
            </wp:positionV>
            <wp:extent cx="21945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94560" cy="8890"/>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type w:val="continuous"/>
        </w:sectPr>
      </w:pPr>
    </w:p>
    <w:bookmarkStart w:id="6" w:name="page7"/>
    <w:bookmarkEnd w:id="6"/>
    <w:p>
      <w:pPr>
        <w:jc w:val="center"/>
        <w:ind w:right="-59"/>
        <w:spacing w:after="0"/>
        <w:tabs>
          <w:tab w:leader="none" w:pos="180" w:val="left"/>
        </w:tabs>
        <w:rPr>
          <w:sz w:val="20"/>
          <w:szCs w:val="20"/>
          <w:color w:val="auto"/>
        </w:rPr>
      </w:pPr>
      <w:r>
        <w:rPr>
          <w:rFonts w:ascii="Arial" w:cs="Arial" w:eastAsia="Arial" w:hAnsi="Arial"/>
          <w:sz w:val="18"/>
          <w:szCs w:val="18"/>
          <w:b w:val="1"/>
          <w:bCs w:val="1"/>
          <w:color w:val="auto"/>
        </w:rPr>
        <w:t>CALIFORNIA R</w:t>
      </w:r>
      <w:r>
        <w:rPr>
          <w:sz w:val="20"/>
          <w:szCs w:val="20"/>
          <w:color w:val="auto"/>
        </w:rPr>
        <w:tab/>
      </w:r>
      <w:r>
        <w:rPr>
          <w:rFonts w:ascii="Arial" w:cs="Arial" w:eastAsia="Arial" w:hAnsi="Arial"/>
          <w:sz w:val="17"/>
          <w:szCs w:val="17"/>
          <w:b w:val="1"/>
          <w:bCs w:val="1"/>
          <w:color w:val="auto"/>
        </w:rPr>
        <w:t>ESOURCES CORPORATION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both"/>
        <w:ind w:left="2800" w:right="2720" w:hanging="28"/>
        <w:spacing w:after="0" w:line="281" w:lineRule="auto"/>
        <w:rPr>
          <w:sz w:val="20"/>
          <w:szCs w:val="20"/>
          <w:color w:val="auto"/>
        </w:rPr>
      </w:pPr>
      <w:r>
        <w:rPr>
          <w:rFonts w:ascii="Arial" w:cs="Arial" w:eastAsia="Arial" w:hAnsi="Arial"/>
          <w:sz w:val="17"/>
          <w:szCs w:val="17"/>
          <w:b w:val="1"/>
          <w:bCs w:val="1"/>
          <w:color w:val="auto"/>
        </w:rPr>
        <w:t xml:space="preserve">For the three and nine months ended September 30, 2024 and 2023 </w:t>
      </w:r>
      <w:r>
        <w:rPr>
          <w:rFonts w:ascii="Arial" w:cs="Arial" w:eastAsia="Arial" w:hAnsi="Arial"/>
          <w:sz w:val="17"/>
          <w:szCs w:val="17"/>
          <w:color w:val="auto"/>
        </w:rPr>
        <w:t>(dollars in millions, except share and per share data; shares in millions)</w:t>
      </w:r>
    </w:p>
    <w:tbl>
      <w:tblPr>
        <w:tblLayout w:type="fixed"/>
        <w:tblInd w:w="60" w:type="dxa"/>
        <w:tblCellMar>
          <w:top w:w="0" w:type="dxa"/>
          <w:left w:w="0" w:type="dxa"/>
          <w:bottom w:w="0" w:type="dxa"/>
          <w:right w:w="0" w:type="dxa"/>
        </w:tblCellMar>
      </w:tblPr>
      <w:tr>
        <w:trPr>
          <w:trHeight w:val="164"/>
        </w:trPr>
        <w:tc>
          <w:tcPr>
            <w:tcW w:w="5080" w:type="dxa"/>
            <w:vAlign w:val="bottom"/>
          </w:tcPr>
          <w:p>
            <w:pPr>
              <w:spacing w:after="0"/>
              <w:rPr>
                <w:sz w:val="14"/>
                <w:szCs w:val="14"/>
                <w:color w:val="auto"/>
              </w:rPr>
            </w:pPr>
          </w:p>
        </w:tc>
        <w:tc>
          <w:tcPr>
            <w:tcW w:w="2480" w:type="dxa"/>
            <w:vAlign w:val="bottom"/>
            <w:gridSpan w:val="4"/>
          </w:tcPr>
          <w:p>
            <w:pPr>
              <w:jc w:val="right"/>
              <w:ind w:right="119"/>
              <w:spacing w:after="0" w:line="165" w:lineRule="exact"/>
              <w:rPr>
                <w:sz w:val="20"/>
                <w:szCs w:val="20"/>
                <w:color w:val="auto"/>
              </w:rPr>
            </w:pPr>
            <w:r>
              <w:rPr>
                <w:rFonts w:ascii="Arial" w:cs="Arial" w:eastAsia="Arial" w:hAnsi="Arial"/>
                <w:sz w:val="16"/>
                <w:szCs w:val="16"/>
                <w:b w:val="1"/>
                <w:bCs w:val="1"/>
                <w:color w:val="auto"/>
              </w:rPr>
              <w:t>Three months ended</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60" w:type="dxa"/>
            <w:vAlign w:val="bottom"/>
            <w:gridSpan w:val="4"/>
          </w:tcPr>
          <w:p>
            <w:pPr>
              <w:jc w:val="right"/>
              <w:ind w:right="659"/>
              <w:spacing w:after="0" w:line="165" w:lineRule="exact"/>
              <w:rPr>
                <w:sz w:val="20"/>
                <w:szCs w:val="20"/>
                <w:color w:val="auto"/>
              </w:rPr>
            </w:pPr>
            <w:r>
              <w:rPr>
                <w:rFonts w:ascii="Arial" w:cs="Arial" w:eastAsia="Arial" w:hAnsi="Arial"/>
                <w:sz w:val="16"/>
                <w:szCs w:val="16"/>
                <w:b w:val="1"/>
                <w:bCs w:val="1"/>
                <w:color w:val="auto"/>
              </w:rPr>
              <w:t>Nine months ended</w:t>
            </w:r>
          </w:p>
        </w:tc>
      </w:tr>
      <w:tr>
        <w:trPr>
          <w:trHeight w:val="216"/>
        </w:trPr>
        <w:tc>
          <w:tcPr>
            <w:tcW w:w="508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right"/>
              <w:ind w:right="359"/>
              <w:spacing w:after="0"/>
              <w:rPr>
                <w:sz w:val="20"/>
                <w:szCs w:val="20"/>
                <w:color w:val="auto"/>
              </w:rPr>
            </w:pPr>
            <w:r>
              <w:rPr>
                <w:rFonts w:ascii="Arial" w:cs="Arial" w:eastAsia="Arial" w:hAnsi="Arial"/>
                <w:sz w:val="16"/>
                <w:szCs w:val="16"/>
                <w:b w:val="1"/>
                <w:bCs w:val="1"/>
                <w:color w:val="auto"/>
              </w:rPr>
              <w:t>September 30,</w:t>
            </w: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20" w:type="dxa"/>
            <w:vAlign w:val="bottom"/>
            <w:tcBorders>
              <w:bottom w:val="single" w:sz="8" w:color="auto"/>
            </w:tcBorders>
          </w:tcPr>
          <w:p>
            <w:pPr>
              <w:spacing w:after="0"/>
              <w:rPr>
                <w:sz w:val="18"/>
                <w:szCs w:val="18"/>
                <w:color w:val="auto"/>
              </w:rPr>
            </w:pPr>
          </w:p>
        </w:tc>
      </w:tr>
      <w:tr>
        <w:trPr>
          <w:trHeight w:val="209"/>
        </w:trPr>
        <w:tc>
          <w:tcPr>
            <w:tcW w:w="508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2023</w:t>
            </w:r>
          </w:p>
        </w:tc>
      </w:tr>
      <w:tr>
        <w:trPr>
          <w:trHeight w:val="210"/>
        </w:trPr>
        <w:tc>
          <w:tcPr>
            <w:tcW w:w="5080" w:type="dxa"/>
            <w:vAlign w:val="bottom"/>
          </w:tcPr>
          <w:p>
            <w:pPr>
              <w:ind w:left="20"/>
              <w:spacing w:after="0"/>
              <w:rPr>
                <w:sz w:val="20"/>
                <w:szCs w:val="20"/>
                <w:color w:val="auto"/>
              </w:rPr>
            </w:pPr>
            <w:r>
              <w:rPr>
                <w:rFonts w:ascii="Arial" w:cs="Arial" w:eastAsia="Arial" w:hAnsi="Arial"/>
                <w:sz w:val="16"/>
                <w:szCs w:val="16"/>
                <w:b w:val="1"/>
                <w:bCs w:val="1"/>
                <w:color w:val="auto"/>
              </w:rPr>
              <w:t>REVENUES</w:t>
            </w: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50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Oil, natural gas and NGL sales</w:t>
            </w:r>
          </w:p>
        </w:tc>
        <w:tc>
          <w:tcPr>
            <w:tcW w:w="92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870</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1,711</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1,672</w:t>
            </w:r>
          </w:p>
        </w:tc>
      </w:tr>
      <w:tr>
        <w:trPr>
          <w:trHeight w:val="215"/>
        </w:trPr>
        <w:tc>
          <w:tcPr>
            <w:tcW w:w="5080" w:type="dxa"/>
            <w:vAlign w:val="bottom"/>
          </w:tcPr>
          <w:p>
            <w:pPr>
              <w:ind w:left="340"/>
              <w:spacing w:after="0"/>
              <w:rPr>
                <w:sz w:val="20"/>
                <w:szCs w:val="20"/>
                <w:color w:val="auto"/>
              </w:rPr>
            </w:pPr>
            <w:r>
              <w:rPr>
                <w:rFonts w:ascii="Arial" w:cs="Arial" w:eastAsia="Arial" w:hAnsi="Arial"/>
                <w:sz w:val="16"/>
                <w:szCs w:val="16"/>
                <w:color w:val="auto"/>
              </w:rPr>
              <w:t>Net gain (loss) from commodity derivatives</w:t>
            </w:r>
          </w:p>
        </w:tc>
        <w:tc>
          <w:tcPr>
            <w:tcW w:w="9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356</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(204)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290</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(131)</w:t>
            </w:r>
          </w:p>
        </w:tc>
      </w:tr>
      <w:tr>
        <w:trPr>
          <w:trHeight w:val="217"/>
        </w:trPr>
        <w:tc>
          <w:tcPr>
            <w:tcW w:w="50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Revenue from marketing of purchased commodities</w:t>
            </w: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w:t>
            </w:r>
          </w:p>
        </w:tc>
      </w:tr>
      <w:tr>
        <w:trPr>
          <w:trHeight w:val="215"/>
        </w:trPr>
        <w:tc>
          <w:tcPr>
            <w:tcW w:w="5080" w:type="dxa"/>
            <w:vAlign w:val="bottom"/>
          </w:tcPr>
          <w:p>
            <w:pPr>
              <w:ind w:left="340"/>
              <w:spacing w:after="0"/>
              <w:rPr>
                <w:sz w:val="20"/>
                <w:szCs w:val="20"/>
                <w:color w:val="auto"/>
              </w:rPr>
            </w:pPr>
            <w:r>
              <w:rPr>
                <w:rFonts w:ascii="Arial" w:cs="Arial" w:eastAsia="Arial" w:hAnsi="Arial"/>
                <w:sz w:val="16"/>
                <w:szCs w:val="16"/>
                <w:color w:val="auto"/>
              </w:rPr>
              <w:t>Electricity sales</w:t>
            </w:r>
          </w:p>
        </w:tc>
        <w:tc>
          <w:tcPr>
            <w:tcW w:w="9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120</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169</w:t>
            </w:r>
          </w:p>
        </w:tc>
      </w:tr>
      <w:tr>
        <w:trPr>
          <w:trHeight w:val="217"/>
        </w:trPr>
        <w:tc>
          <w:tcPr>
            <w:tcW w:w="50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Interest and other revenue</w:t>
            </w:r>
          </w:p>
        </w:tc>
        <w:tc>
          <w:tcPr>
            <w:tcW w:w="9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r>
      <w:tr>
        <w:trPr>
          <w:trHeight w:val="209"/>
        </w:trPr>
        <w:tc>
          <w:tcPr>
            <w:tcW w:w="5080" w:type="dxa"/>
            <w:vAlign w:val="bottom"/>
            <w:tcBorders>
              <w:bottom w:val="single" w:sz="8" w:color="CCEEFF"/>
            </w:tcBorders>
          </w:tcPr>
          <w:p>
            <w:pPr>
              <w:ind w:left="540"/>
              <w:spacing w:after="0"/>
              <w:rPr>
                <w:sz w:val="20"/>
                <w:szCs w:val="20"/>
                <w:color w:val="auto"/>
              </w:rPr>
            </w:pPr>
            <w:r>
              <w:rPr>
                <w:rFonts w:ascii="Arial" w:cs="Arial" w:eastAsia="Arial" w:hAnsi="Arial"/>
                <w:sz w:val="16"/>
                <w:szCs w:val="16"/>
                <w:color w:val="auto"/>
              </w:rPr>
              <w:t>Total operating revenues</w:t>
            </w:r>
          </w:p>
        </w:tc>
        <w:tc>
          <w:tcPr>
            <w:tcW w:w="9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1,353</w:t>
            </w: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2,321</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2,075</w:t>
            </w:r>
          </w:p>
        </w:tc>
      </w:tr>
      <w:tr>
        <w:trPr>
          <w:trHeight w:val="75"/>
        </w:trPr>
        <w:tc>
          <w:tcPr>
            <w:tcW w:w="508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r>
      <w:tr>
        <w:trPr>
          <w:trHeight w:val="216"/>
        </w:trPr>
        <w:tc>
          <w:tcPr>
            <w:tcW w:w="5080" w:type="dxa"/>
            <w:vAlign w:val="bottom"/>
          </w:tcPr>
          <w:p>
            <w:pPr>
              <w:ind w:left="20"/>
              <w:spacing w:after="0"/>
              <w:rPr>
                <w:sz w:val="20"/>
                <w:szCs w:val="20"/>
                <w:color w:val="auto"/>
              </w:rPr>
            </w:pPr>
            <w:r>
              <w:rPr>
                <w:rFonts w:ascii="Arial" w:cs="Arial" w:eastAsia="Arial" w:hAnsi="Arial"/>
                <w:sz w:val="16"/>
                <w:szCs w:val="16"/>
                <w:b w:val="1"/>
                <w:bCs w:val="1"/>
                <w:color w:val="auto"/>
              </w:rPr>
              <w:t>OPERATING EXPENSES</w:t>
            </w: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50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Operating costs</w:t>
            </w: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643</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636</w:t>
            </w:r>
          </w:p>
        </w:tc>
      </w:tr>
      <w:tr>
        <w:trPr>
          <w:trHeight w:val="215"/>
        </w:trPr>
        <w:tc>
          <w:tcPr>
            <w:tcW w:w="5080" w:type="dxa"/>
            <w:vAlign w:val="bottom"/>
          </w:tcPr>
          <w:p>
            <w:pPr>
              <w:ind w:left="340"/>
              <w:spacing w:after="0"/>
              <w:rPr>
                <w:sz w:val="20"/>
                <w:szCs w:val="20"/>
                <w:color w:val="auto"/>
              </w:rPr>
            </w:pPr>
            <w:r>
              <w:rPr>
                <w:rFonts w:ascii="Arial" w:cs="Arial" w:eastAsia="Arial" w:hAnsi="Arial"/>
                <w:sz w:val="16"/>
                <w:szCs w:val="16"/>
                <w:color w:val="auto"/>
              </w:rPr>
              <w:t>General and administrative expenses</w:t>
            </w:r>
          </w:p>
        </w:tc>
        <w:tc>
          <w:tcPr>
            <w:tcW w:w="9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106</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226</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201</w:t>
            </w:r>
          </w:p>
        </w:tc>
      </w:tr>
      <w:tr>
        <w:trPr>
          <w:trHeight w:val="217"/>
        </w:trPr>
        <w:tc>
          <w:tcPr>
            <w:tcW w:w="50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Depreciation, depletion and amortization</w:t>
            </w: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w:t>
            </w:r>
          </w:p>
        </w:tc>
      </w:tr>
      <w:tr>
        <w:trPr>
          <w:trHeight w:val="215"/>
        </w:trPr>
        <w:tc>
          <w:tcPr>
            <w:tcW w:w="5080" w:type="dxa"/>
            <w:vAlign w:val="bottom"/>
          </w:tcPr>
          <w:p>
            <w:pPr>
              <w:ind w:left="340"/>
              <w:spacing w:after="0"/>
              <w:rPr>
                <w:sz w:val="20"/>
                <w:szCs w:val="20"/>
                <w:color w:val="auto"/>
              </w:rPr>
            </w:pPr>
            <w:r>
              <w:rPr>
                <w:rFonts w:ascii="Arial" w:cs="Arial" w:eastAsia="Arial" w:hAnsi="Arial"/>
                <w:sz w:val="16"/>
                <w:szCs w:val="16"/>
                <w:color w:val="auto"/>
              </w:rPr>
              <w:t>Asset impairment</w:t>
            </w:r>
          </w:p>
        </w:tc>
        <w:tc>
          <w:tcPr>
            <w:tcW w:w="92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4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17"/>
        </w:trPr>
        <w:tc>
          <w:tcPr>
            <w:tcW w:w="50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Taxes other than on income</w:t>
            </w: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w:t>
            </w:r>
          </w:p>
        </w:tc>
      </w:tr>
      <w:tr>
        <w:trPr>
          <w:trHeight w:val="215"/>
        </w:trPr>
        <w:tc>
          <w:tcPr>
            <w:tcW w:w="5080" w:type="dxa"/>
            <w:vAlign w:val="bottom"/>
          </w:tcPr>
          <w:p>
            <w:pPr>
              <w:ind w:left="340"/>
              <w:spacing w:after="0"/>
              <w:rPr>
                <w:sz w:val="20"/>
                <w:szCs w:val="20"/>
                <w:color w:val="auto"/>
              </w:rPr>
            </w:pPr>
            <w:r>
              <w:rPr>
                <w:rFonts w:ascii="Arial" w:cs="Arial" w:eastAsia="Arial" w:hAnsi="Arial"/>
                <w:sz w:val="16"/>
                <w:szCs w:val="16"/>
                <w:color w:val="auto"/>
              </w:rPr>
              <w:t>Exploration expense</w:t>
            </w:r>
          </w:p>
        </w:tc>
        <w:tc>
          <w:tcPr>
            <w:tcW w:w="9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7"/>
        </w:trPr>
        <w:tc>
          <w:tcPr>
            <w:tcW w:w="50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Costs related to marketing of purchased commodities</w:t>
            </w: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w:t>
            </w:r>
          </w:p>
        </w:tc>
      </w:tr>
      <w:tr>
        <w:trPr>
          <w:trHeight w:val="215"/>
        </w:trPr>
        <w:tc>
          <w:tcPr>
            <w:tcW w:w="5080" w:type="dxa"/>
            <w:vAlign w:val="bottom"/>
          </w:tcPr>
          <w:p>
            <w:pPr>
              <w:ind w:left="340"/>
              <w:spacing w:after="0"/>
              <w:rPr>
                <w:sz w:val="20"/>
                <w:szCs w:val="20"/>
                <w:color w:val="auto"/>
              </w:rPr>
            </w:pPr>
            <w:r>
              <w:rPr>
                <w:rFonts w:ascii="Arial" w:cs="Arial" w:eastAsia="Arial" w:hAnsi="Arial"/>
                <w:sz w:val="16"/>
                <w:szCs w:val="16"/>
                <w:color w:val="auto"/>
              </w:rPr>
              <w:t>Electricity generation expenses</w:t>
            </w:r>
          </w:p>
        </w:tc>
        <w:tc>
          <w:tcPr>
            <w:tcW w:w="9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85</w:t>
            </w:r>
          </w:p>
        </w:tc>
      </w:tr>
      <w:tr>
        <w:trPr>
          <w:trHeight w:val="217"/>
        </w:trPr>
        <w:tc>
          <w:tcPr>
            <w:tcW w:w="50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Transportation costs</w:t>
            </w: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r>
      <w:tr>
        <w:trPr>
          <w:trHeight w:val="215"/>
        </w:trPr>
        <w:tc>
          <w:tcPr>
            <w:tcW w:w="5080" w:type="dxa"/>
            <w:vAlign w:val="bottom"/>
          </w:tcPr>
          <w:p>
            <w:pPr>
              <w:ind w:left="340"/>
              <w:spacing w:after="0"/>
              <w:rPr>
                <w:sz w:val="20"/>
                <w:szCs w:val="20"/>
                <w:color w:val="auto"/>
              </w:rPr>
            </w:pPr>
            <w:r>
              <w:rPr>
                <w:rFonts w:ascii="Arial" w:cs="Arial" w:eastAsia="Arial" w:hAnsi="Arial"/>
                <w:sz w:val="16"/>
                <w:szCs w:val="16"/>
                <w:color w:val="auto"/>
              </w:rPr>
              <w:t>Accretion expense</w:t>
            </w:r>
          </w:p>
        </w:tc>
        <w:tc>
          <w:tcPr>
            <w:tcW w:w="9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17"/>
        </w:trPr>
        <w:tc>
          <w:tcPr>
            <w:tcW w:w="50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Carbon management business expenses</w:t>
            </w: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15"/>
        </w:trPr>
        <w:tc>
          <w:tcPr>
            <w:tcW w:w="508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Other operating expenses, net</w:t>
            </w:r>
          </w:p>
        </w:tc>
        <w:tc>
          <w:tcPr>
            <w:tcW w:w="9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w:t>
            </w: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w:t>
            </w:r>
          </w:p>
        </w:tc>
      </w:tr>
      <w:tr>
        <w:trPr>
          <w:trHeight w:val="210"/>
        </w:trPr>
        <w:tc>
          <w:tcPr>
            <w:tcW w:w="5080" w:type="dxa"/>
            <w:vAlign w:val="bottom"/>
            <w:shd w:val="clear" w:color="auto" w:fill="CCEEFF"/>
          </w:tcPr>
          <w:p>
            <w:pPr>
              <w:ind w:left="540"/>
              <w:spacing w:after="0"/>
              <w:rPr>
                <w:sz w:val="20"/>
                <w:szCs w:val="20"/>
                <w:color w:val="auto"/>
              </w:rPr>
            </w:pPr>
            <w:r>
              <w:rPr>
                <w:rFonts w:ascii="Arial" w:cs="Arial" w:eastAsia="Arial" w:hAnsi="Arial"/>
                <w:sz w:val="16"/>
                <w:szCs w:val="16"/>
                <w:color w:val="auto"/>
              </w:rPr>
              <w:t>Total operating expenses</w:t>
            </w:r>
          </w:p>
        </w:tc>
        <w:tc>
          <w:tcPr>
            <w:tcW w:w="9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835</w:t>
            </w:r>
          </w:p>
        </w:tc>
        <w:tc>
          <w:tcPr>
            <w:tcW w:w="10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475</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1,776</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1,557</w:t>
            </w:r>
          </w:p>
        </w:tc>
      </w:tr>
      <w:tr>
        <w:trPr>
          <w:trHeight w:val="209"/>
        </w:trPr>
        <w:tc>
          <w:tcPr>
            <w:tcW w:w="508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Gain on asset divestitures</w:t>
            </w:r>
          </w:p>
        </w:tc>
        <w:tc>
          <w:tcPr>
            <w:tcW w:w="9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r>
      <w:tr>
        <w:trPr>
          <w:trHeight w:val="210"/>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INCOME (LOSS)</w:t>
            </w: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518</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552</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w:t>
            </w:r>
          </w:p>
        </w:tc>
      </w:tr>
      <w:tr>
        <w:trPr>
          <w:trHeight w:val="95"/>
        </w:trPr>
        <w:tc>
          <w:tcPr>
            <w:tcW w:w="5080" w:type="dxa"/>
            <w:vAlign w:val="bottom"/>
          </w:tcPr>
          <w:p>
            <w:pPr>
              <w:spacing w:after="0"/>
              <w:rPr>
                <w:sz w:val="8"/>
                <w:szCs w:val="8"/>
                <w:color w:val="auto"/>
              </w:rPr>
            </w:pPr>
          </w:p>
        </w:tc>
        <w:tc>
          <w:tcPr>
            <w:tcW w:w="9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920" w:type="dxa"/>
            <w:vAlign w:val="bottom"/>
          </w:tcPr>
          <w:p>
            <w:pPr>
              <w:spacing w:after="0"/>
              <w:rPr>
                <w:sz w:val="8"/>
                <w:szCs w:val="8"/>
                <w:color w:val="auto"/>
              </w:rPr>
            </w:pPr>
          </w:p>
        </w:tc>
      </w:tr>
      <w:tr>
        <w:trPr>
          <w:trHeight w:val="216"/>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NON-OPERATING (EXPENSES) INCOME</w:t>
            </w: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5"/>
        </w:trPr>
        <w:tc>
          <w:tcPr>
            <w:tcW w:w="5080" w:type="dxa"/>
            <w:vAlign w:val="bottom"/>
          </w:tcPr>
          <w:p>
            <w:pPr>
              <w:ind w:left="340"/>
              <w:spacing w:after="0"/>
              <w:rPr>
                <w:sz w:val="20"/>
                <w:szCs w:val="20"/>
                <w:color w:val="auto"/>
              </w:rPr>
            </w:pPr>
            <w:r>
              <w:rPr>
                <w:rFonts w:ascii="Arial" w:cs="Arial" w:eastAsia="Arial" w:hAnsi="Arial"/>
                <w:sz w:val="16"/>
                <w:szCs w:val="16"/>
                <w:color w:val="auto"/>
              </w:rPr>
              <w:t>Interest and debt expense</w:t>
            </w:r>
          </w:p>
        </w:tc>
        <w:tc>
          <w:tcPr>
            <w:tcW w:w="9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(43)</w:t>
            </w:r>
          </w:p>
        </w:tc>
      </w:tr>
      <w:tr>
        <w:trPr>
          <w:trHeight w:val="217"/>
        </w:trPr>
        <w:tc>
          <w:tcPr>
            <w:tcW w:w="50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Loss on early extinguishment of debt</w:t>
            </w: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5080" w:type="dxa"/>
            <w:vAlign w:val="bottom"/>
          </w:tcPr>
          <w:p>
            <w:pPr>
              <w:ind w:left="340"/>
              <w:spacing w:after="0"/>
              <w:rPr>
                <w:sz w:val="20"/>
                <w:szCs w:val="20"/>
                <w:color w:val="auto"/>
              </w:rPr>
            </w:pPr>
            <w:r>
              <w:rPr>
                <w:rFonts w:ascii="Arial" w:cs="Arial" w:eastAsia="Arial" w:hAnsi="Arial"/>
                <w:sz w:val="16"/>
                <w:szCs w:val="16"/>
                <w:color w:val="auto"/>
              </w:rPr>
              <w:t>Loss from investment in unconsolidated subsidiaries</w:t>
            </w:r>
          </w:p>
        </w:tc>
        <w:tc>
          <w:tcPr>
            <w:tcW w:w="9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17"/>
        </w:trPr>
        <w:tc>
          <w:tcPr>
            <w:tcW w:w="50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non-operating income (loss)</w:t>
            </w:r>
          </w:p>
        </w:tc>
        <w:tc>
          <w:tcPr>
            <w:tcW w:w="9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09"/>
        </w:trPr>
        <w:tc>
          <w:tcPr>
            <w:tcW w:w="5080" w:type="dxa"/>
            <w:vAlign w:val="bottom"/>
          </w:tcPr>
          <w:p>
            <w:pPr>
              <w:ind w:left="20"/>
              <w:spacing w:after="0"/>
              <w:rPr>
                <w:sz w:val="20"/>
                <w:szCs w:val="20"/>
                <w:color w:val="auto"/>
              </w:rPr>
            </w:pPr>
            <w:r>
              <w:rPr>
                <w:rFonts w:ascii="Arial" w:cs="Arial" w:eastAsia="Arial" w:hAnsi="Arial"/>
                <w:sz w:val="16"/>
                <w:szCs w:val="16"/>
                <w:b w:val="1"/>
                <w:bCs w:val="1"/>
                <w:color w:val="auto"/>
              </w:rPr>
              <w:t>INCOME (LOSS) BEFORE INCOME TAXES</w:t>
            </w:r>
          </w:p>
        </w:tc>
        <w:tc>
          <w:tcPr>
            <w:tcW w:w="9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483</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475</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481</w:t>
            </w:r>
          </w:p>
        </w:tc>
      </w:tr>
      <w:tr>
        <w:trPr>
          <w:trHeight w:val="215"/>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(provision) benefit</w:t>
            </w:r>
          </w:p>
        </w:tc>
        <w:tc>
          <w:tcPr>
            <w:tcW w:w="9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10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w:t>
            </w:r>
          </w:p>
        </w:tc>
      </w:tr>
      <w:tr>
        <w:trPr>
          <w:trHeight w:val="210"/>
        </w:trPr>
        <w:tc>
          <w:tcPr>
            <w:tcW w:w="5080" w:type="dxa"/>
            <w:vAlign w:val="bottom"/>
          </w:tcPr>
          <w:p>
            <w:pPr>
              <w:ind w:left="20"/>
              <w:spacing w:after="0"/>
              <w:rPr>
                <w:sz w:val="20"/>
                <w:szCs w:val="20"/>
                <w:color w:val="auto"/>
              </w:rPr>
            </w:pPr>
            <w:r>
              <w:rPr>
                <w:rFonts w:ascii="Arial" w:cs="Arial" w:eastAsia="Arial" w:hAnsi="Arial"/>
                <w:sz w:val="16"/>
                <w:szCs w:val="16"/>
                <w:b w:val="1"/>
                <w:bCs w:val="1"/>
                <w:color w:val="auto"/>
              </w:rPr>
              <w:t>NET INCOME (LOSS)</w:t>
            </w:r>
          </w:p>
        </w:tc>
        <w:tc>
          <w:tcPr>
            <w:tcW w:w="92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345</w:t>
            </w:r>
          </w:p>
        </w:tc>
        <w:tc>
          <w:tcPr>
            <w:tcW w:w="100" w:type="dxa"/>
            <w:vAlign w:val="bottom"/>
          </w:tcPr>
          <w:p>
            <w:pPr>
              <w:spacing w:after="0"/>
              <w:rPr>
                <w:sz w:val="18"/>
                <w:szCs w:val="18"/>
                <w:color w:val="auto"/>
              </w:rPr>
            </w:pPr>
          </w:p>
        </w:tc>
        <w:tc>
          <w:tcPr>
            <w:tcW w:w="94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343</w:t>
            </w:r>
          </w:p>
        </w:tc>
        <w:tc>
          <w:tcPr>
            <w:tcW w:w="100" w:type="dxa"/>
            <w:vAlign w:val="bottom"/>
          </w:tcPr>
          <w:p>
            <w:pPr>
              <w:spacing w:after="0"/>
              <w:rPr>
                <w:sz w:val="18"/>
                <w:szCs w:val="18"/>
                <w:color w:val="auto"/>
              </w:rPr>
            </w:pPr>
          </w:p>
        </w:tc>
        <w:tc>
          <w:tcPr>
            <w:tcW w:w="5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376</w:t>
            </w:r>
          </w:p>
        </w:tc>
      </w:tr>
      <w:tr>
        <w:trPr>
          <w:trHeight w:val="20"/>
        </w:trPr>
        <w:tc>
          <w:tcPr>
            <w:tcW w:w="50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62"/>
        </w:trPr>
        <w:tc>
          <w:tcPr>
            <w:tcW w:w="508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r>
      <w:tr>
        <w:trPr>
          <w:trHeight w:val="216"/>
        </w:trPr>
        <w:tc>
          <w:tcPr>
            <w:tcW w:w="5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 per share</w:t>
            </w: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5"/>
        </w:trPr>
        <w:tc>
          <w:tcPr>
            <w:tcW w:w="5080" w:type="dxa"/>
            <w:vAlign w:val="bottom"/>
          </w:tcPr>
          <w:p>
            <w:pPr>
              <w:ind w:left="20"/>
              <w:spacing w:after="0"/>
              <w:rPr>
                <w:sz w:val="20"/>
                <w:szCs w:val="20"/>
                <w:color w:val="auto"/>
              </w:rPr>
            </w:pPr>
            <w:r>
              <w:rPr>
                <w:rFonts w:ascii="Arial" w:cs="Arial" w:eastAsia="Arial" w:hAnsi="Arial"/>
                <w:sz w:val="16"/>
                <w:szCs w:val="16"/>
                <w:color w:val="auto"/>
              </w:rPr>
              <w:t>Basic</w:t>
            </w:r>
          </w:p>
        </w:tc>
        <w:tc>
          <w:tcPr>
            <w:tcW w:w="920" w:type="dxa"/>
            <w:vAlign w:val="bottom"/>
          </w:tcPr>
          <w:p>
            <w:pPr>
              <w:jc w:val="right"/>
              <w:ind w:right="739"/>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3.86</w:t>
            </w:r>
          </w:p>
        </w:tc>
        <w:tc>
          <w:tcPr>
            <w:tcW w:w="100" w:type="dxa"/>
            <w:vAlign w:val="bottom"/>
          </w:tcPr>
          <w:p>
            <w:pPr>
              <w:spacing w:after="0"/>
              <w:rPr>
                <w:sz w:val="18"/>
                <w:szCs w:val="18"/>
                <w:color w:val="auto"/>
              </w:rPr>
            </w:pPr>
          </w:p>
        </w:tc>
        <w:tc>
          <w:tcPr>
            <w:tcW w:w="940" w:type="dxa"/>
            <w:vAlign w:val="bottom"/>
          </w:tcPr>
          <w:p>
            <w:pPr>
              <w:jc w:val="right"/>
              <w:ind w:right="759"/>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(0.32)</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4.54</w:t>
            </w:r>
          </w:p>
        </w:tc>
        <w:tc>
          <w:tcPr>
            <w:tcW w:w="100" w:type="dxa"/>
            <w:vAlign w:val="bottom"/>
          </w:tcPr>
          <w:p>
            <w:pPr>
              <w:spacing w:after="0"/>
              <w:rPr>
                <w:sz w:val="18"/>
                <w:szCs w:val="18"/>
                <w:color w:val="auto"/>
              </w:rPr>
            </w:pP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5.38</w:t>
            </w:r>
          </w:p>
        </w:tc>
      </w:tr>
      <w:tr>
        <w:trPr>
          <w:trHeight w:val="217"/>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w:t>
            </w:r>
          </w:p>
        </w:tc>
        <w:tc>
          <w:tcPr>
            <w:tcW w:w="92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5.18</w:t>
            </w:r>
          </w:p>
        </w:tc>
      </w:tr>
      <w:tr>
        <w:trPr>
          <w:trHeight w:val="216"/>
        </w:trPr>
        <w:tc>
          <w:tcPr>
            <w:tcW w:w="5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Weighted-average common shares outstanding</w:t>
            </w: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5"/>
        </w:trPr>
        <w:tc>
          <w:tcPr>
            <w:tcW w:w="5080" w:type="dxa"/>
            <w:vAlign w:val="bottom"/>
          </w:tcPr>
          <w:p>
            <w:pPr>
              <w:ind w:left="20"/>
              <w:spacing w:after="0"/>
              <w:rPr>
                <w:sz w:val="20"/>
                <w:szCs w:val="20"/>
                <w:color w:val="auto"/>
              </w:rPr>
            </w:pPr>
            <w:r>
              <w:rPr>
                <w:rFonts w:ascii="Arial" w:cs="Arial" w:eastAsia="Arial" w:hAnsi="Arial"/>
                <w:sz w:val="16"/>
                <w:szCs w:val="16"/>
                <w:color w:val="auto"/>
              </w:rPr>
              <w:t>Basic</w:t>
            </w:r>
          </w:p>
        </w:tc>
        <w:tc>
          <w:tcPr>
            <w:tcW w:w="9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89.4</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68.7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75.5</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69.9</w:t>
            </w:r>
          </w:p>
        </w:tc>
      </w:tr>
      <w:tr>
        <w:trPr>
          <w:trHeight w:val="217"/>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w:t>
            </w: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91.2</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77.6</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72.6</w:t>
            </w:r>
          </w:p>
        </w:tc>
      </w:tr>
    </w:tbl>
    <w:p>
      <w:pPr>
        <w:spacing w:after="0" w:line="180"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31" w:right="37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CALIFORNIA RESOURCES CORPORATION AND SUBSIDIARIES</w:t>
      </w:r>
    </w:p>
    <w:p>
      <w:pPr>
        <w:spacing w:after="0" w:line="27" w:lineRule="exact"/>
        <w:rPr>
          <w:sz w:val="20"/>
          <w:szCs w:val="20"/>
          <w:color w:val="auto"/>
        </w:rPr>
      </w:pPr>
    </w:p>
    <w:p>
      <w:pPr>
        <w:jc w:val="center"/>
        <w:ind w:left="340" w:right="2560"/>
        <w:spacing w:after="0" w:line="258" w:lineRule="auto"/>
        <w:rPr>
          <w:sz w:val="20"/>
          <w:szCs w:val="20"/>
          <w:color w:val="auto"/>
        </w:rPr>
      </w:pPr>
      <w:r>
        <w:rPr>
          <w:rFonts w:ascii="Arial" w:cs="Arial" w:eastAsia="Arial" w:hAnsi="Arial"/>
          <w:sz w:val="18"/>
          <w:szCs w:val="18"/>
          <w:b w:val="1"/>
          <w:bCs w:val="1"/>
          <w:color w:val="auto"/>
        </w:rPr>
        <w:t xml:space="preserve">Condensed Consolidated Statements of Comprehensive Income (Loss) For the three and nine months ended September 30, 2024 and 2023 </w:t>
      </w:r>
      <w:r>
        <w:rPr>
          <w:rFonts w:ascii="Arial" w:cs="Arial" w:eastAsia="Arial" w:hAnsi="Arial"/>
          <w:sz w:val="18"/>
          <w:szCs w:val="18"/>
          <w:color w:val="auto"/>
        </w:rPr>
        <w:t>(in millions)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120" w:type="dxa"/>
            <w:vAlign w:val="bottom"/>
          </w:tcPr>
          <w:p>
            <w:pPr>
              <w:spacing w:after="0"/>
              <w:rPr>
                <w:sz w:val="17"/>
                <w:szCs w:val="17"/>
                <w:color w:val="auto"/>
              </w:rPr>
            </w:pPr>
          </w:p>
        </w:tc>
        <w:tc>
          <w:tcPr>
            <w:tcW w:w="254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rPr>
              <w:t>Three months ended</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6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43"/>
        </w:trPr>
        <w:tc>
          <w:tcPr>
            <w:tcW w:w="5120" w:type="dxa"/>
            <w:vAlign w:val="bottom"/>
          </w:tcPr>
          <w:p>
            <w:pPr>
              <w:spacing w:after="0"/>
              <w:rPr>
                <w:sz w:val="21"/>
                <w:szCs w:val="21"/>
                <w:color w:val="auto"/>
              </w:rPr>
            </w:pPr>
          </w:p>
        </w:tc>
        <w:tc>
          <w:tcPr>
            <w:tcW w:w="254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8"/>
                <w:szCs w:val="18"/>
                <w:b w:val="1"/>
                <w:bCs w:val="1"/>
                <w:color w:val="auto"/>
              </w:rPr>
              <w:t>September 30,</w:t>
            </w:r>
          </w:p>
        </w:tc>
        <w:tc>
          <w:tcPr>
            <w:tcW w:w="4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660" w:type="dxa"/>
            <w:vAlign w:val="bottom"/>
            <w:tcBorders>
              <w:bottom w:val="single" w:sz="8" w:color="auto"/>
            </w:tcBorders>
            <w:gridSpan w:val="4"/>
          </w:tcPr>
          <w:p>
            <w:pPr>
              <w:jc w:val="right"/>
              <w:ind w:right="79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512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2024</w:t>
            </w:r>
          </w:p>
        </w:tc>
        <w:tc>
          <w:tcPr>
            <w:tcW w:w="4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4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223"/>
        </w:trPr>
        <w:tc>
          <w:tcPr>
            <w:tcW w:w="5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100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29"/>
        </w:trPr>
        <w:tc>
          <w:tcPr>
            <w:tcW w:w="5120" w:type="dxa"/>
            <w:vAlign w:val="bottom"/>
          </w:tcPr>
          <w:p>
            <w:pPr>
              <w:spacing w:after="0" w:line="230" w:lineRule="exact"/>
              <w:rPr>
                <w:sz w:val="20"/>
                <w:szCs w:val="20"/>
                <w:color w:val="auto"/>
              </w:rPr>
            </w:pPr>
            <w:r>
              <w:rPr>
                <w:rFonts w:ascii="Arial" w:cs="Arial" w:eastAsia="Arial" w:hAnsi="Arial"/>
                <w:sz w:val="18"/>
                <w:szCs w:val="18"/>
                <w:color w:val="auto"/>
              </w:rPr>
              <w:t>Other comprehensive income (loss)</w:t>
            </w:r>
            <w:r>
              <w:rPr>
                <w:rFonts w:ascii="Arial" w:cs="Arial" w:eastAsia="Arial" w:hAnsi="Arial"/>
                <w:sz w:val="23"/>
                <w:szCs w:val="23"/>
                <w:color w:val="auto"/>
                <w:vertAlign w:val="superscript"/>
              </w:rPr>
              <w:t>(a)</w:t>
            </w:r>
            <w:r>
              <w:rPr>
                <w:rFonts w:ascii="Arial" w:cs="Arial" w:eastAsia="Arial" w:hAnsi="Arial"/>
                <w:sz w:val="18"/>
                <w:szCs w:val="18"/>
                <w:color w:val="auto"/>
              </w:rPr>
              <w:t>:</w:t>
            </w:r>
          </w:p>
        </w:tc>
        <w:tc>
          <w:tcPr>
            <w:tcW w:w="10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Actuarial gain associated with pension and postretirement plans</w:t>
            </w: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5120" w:type="dxa"/>
            <w:vAlign w:val="bottom"/>
          </w:tcPr>
          <w:p>
            <w:pPr>
              <w:spacing w:after="0" w:line="176" w:lineRule="exact"/>
              <w:rPr>
                <w:sz w:val="20"/>
                <w:szCs w:val="20"/>
                <w:color w:val="auto"/>
              </w:rPr>
            </w:pPr>
            <w:r>
              <w:rPr>
                <w:rFonts w:ascii="Arial" w:cs="Arial" w:eastAsia="Arial" w:hAnsi="Arial"/>
                <w:sz w:val="18"/>
                <w:szCs w:val="18"/>
                <w:color w:val="auto"/>
              </w:rPr>
              <w:t>Amortization of prior service cost credit included in net periodic</w:t>
            </w:r>
          </w:p>
        </w:tc>
        <w:tc>
          <w:tcPr>
            <w:tcW w:w="1000" w:type="dxa"/>
            <w:vAlign w:val="bottom"/>
          </w:tcPr>
          <w:p>
            <w:pPr>
              <w:spacing w:after="0"/>
              <w:rPr>
                <w:sz w:val="15"/>
                <w:szCs w:val="15"/>
                <w:color w:val="auto"/>
              </w:rPr>
            </w:pP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5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benefit cost, net of tax</w:t>
            </w:r>
          </w:p>
        </w:tc>
        <w:tc>
          <w:tcPr>
            <w:tcW w:w="10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5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100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ind w:right="140"/>
        <w:spacing w:after="0" w:line="347" w:lineRule="auto"/>
        <w:rPr>
          <w:sz w:val="20"/>
          <w:szCs w:val="20"/>
          <w:color w:val="auto"/>
        </w:rPr>
      </w:pPr>
      <w:r>
        <w:rPr>
          <w:rFonts w:ascii="Arial" w:cs="Arial" w:eastAsia="Arial" w:hAnsi="Arial"/>
          <w:sz w:val="13"/>
          <w:szCs w:val="13"/>
          <w:color w:val="auto"/>
        </w:rPr>
        <w:t>The(a)Amountsaccompanyiarengetnotesof$2 aremillionan integraland$1 millionpartof inthesetax forcondth</w:t>
      </w:r>
      <w:r>
        <w:rPr>
          <w:rFonts w:ascii="Arial" w:cs="Arial" w:eastAsia="Arial" w:hAnsi="Arial"/>
          <w:sz w:val="13"/>
          <w:szCs w:val="13"/>
          <w:b w:val="1"/>
          <w:bCs w:val="1"/>
          <w:color w:val="auto"/>
        </w:rPr>
        <w:t>e</w:t>
      </w:r>
      <w:r>
        <w:rPr>
          <w:rFonts w:ascii="Arial" w:cs="Arial" w:eastAsia="Arial" w:hAnsi="Arial"/>
          <w:sz w:val="13"/>
          <w:szCs w:val="13"/>
          <w:color w:val="auto"/>
        </w:rPr>
        <w:t>nsedthreecoandsoln</w:t>
      </w:r>
      <w:r>
        <w:rPr>
          <w:rFonts w:ascii="Arial" w:cs="Arial" w:eastAsia="Arial" w:hAnsi="Arial"/>
          <w:sz w:val="13"/>
          <w:szCs w:val="13"/>
          <w:b w:val="1"/>
          <w:bCs w:val="1"/>
          <w:color w:val="auto"/>
        </w:rPr>
        <w:t>i</w:t>
      </w:r>
      <w:r>
        <w:rPr>
          <w:rFonts w:ascii="Arial" w:cs="Arial" w:eastAsia="Arial" w:hAnsi="Arial"/>
          <w:sz w:val="13"/>
          <w:szCs w:val="13"/>
          <w:color w:val="auto"/>
        </w:rPr>
        <w:t>nedatedmonthsfinancialendedstatementsSeptember. 30, 2024, respectively. Amounts are net of $2 million in tax for the three and nine months ended September 30, 2023.</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8" w:name="page9"/>
    <w:bookmarkEnd w:id="8"/>
    <w:p>
      <w:pPr>
        <w:jc w:val="center"/>
        <w:ind w:left="340" w:right="2740"/>
        <w:spacing w:after="0" w:line="262" w:lineRule="auto"/>
        <w:rPr>
          <w:sz w:val="20"/>
          <w:szCs w:val="20"/>
          <w:color w:val="auto"/>
        </w:rPr>
      </w:pPr>
      <w:r>
        <w:rPr>
          <w:rFonts w:ascii="Arial" w:cs="Arial" w:eastAsia="Arial" w:hAnsi="Arial"/>
          <w:sz w:val="18"/>
          <w:szCs w:val="18"/>
          <w:b w:val="1"/>
          <w:bCs w:val="1"/>
          <w:color w:val="auto"/>
        </w:rPr>
        <w:t xml:space="preserve">CALIFORNIA RESOURCES CORPORATION AND SUBSIDIARIES Condensed Consolidated Statements of Stockholders' Equity For the three and nine months ended September 30, 2024 and 2023 </w:t>
      </w:r>
      <w:r>
        <w:rPr>
          <w:rFonts w:ascii="Arial" w:cs="Arial" w:eastAsia="Arial" w:hAnsi="Arial"/>
          <w:sz w:val="18"/>
          <w:szCs w:val="18"/>
          <w:color w:val="auto"/>
        </w:rPr>
        <w:t>(in millions)</w:t>
      </w:r>
    </w:p>
    <w:p>
      <w:pPr>
        <w:spacing w:after="0" w:line="253" w:lineRule="exact"/>
        <w:rPr>
          <w:sz w:val="20"/>
          <w:szCs w:val="20"/>
          <w:color w:val="auto"/>
        </w:rPr>
      </w:pPr>
    </w:p>
    <w:tbl>
      <w:tblPr>
        <w:tblLayout w:type="fixed"/>
        <w:tblInd w:w="4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4000" w:type="dxa"/>
            <w:vAlign w:val="bottom"/>
            <w:tcBorders>
              <w:bottom w:val="single" w:sz="8" w:color="auto"/>
            </w:tcBorders>
            <w:gridSpan w:val="14"/>
          </w:tcPr>
          <w:p>
            <w:pPr>
              <w:jc w:val="right"/>
              <w:ind w:right="1108"/>
              <w:spacing w:after="0"/>
              <w:rPr>
                <w:sz w:val="20"/>
                <w:szCs w:val="20"/>
                <w:color w:val="auto"/>
              </w:rPr>
            </w:pPr>
            <w:r>
              <w:rPr>
                <w:rFonts w:ascii="Arial" w:cs="Arial" w:eastAsia="Arial" w:hAnsi="Arial"/>
                <w:sz w:val="14"/>
                <w:szCs w:val="14"/>
                <w:b w:val="1"/>
                <w:bCs w:val="1"/>
                <w:color w:val="auto"/>
              </w:rPr>
              <w:t>Three months ended September 30, 2024</w:t>
            </w: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jc w:val="center"/>
              <w:ind w:right="28"/>
              <w:spacing w:after="0" w:line="147" w:lineRule="exact"/>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3"/>
            <w:vMerge w:val="restart"/>
          </w:tcPr>
          <w:p>
            <w:pPr>
              <w:jc w:val="center"/>
              <w:ind w:right="20"/>
              <w:spacing w:after="0"/>
              <w:rPr>
                <w:sz w:val="20"/>
                <w:szCs w:val="20"/>
                <w:color w:val="auto"/>
              </w:rPr>
            </w:pPr>
            <w:r>
              <w:rPr>
                <w:rFonts w:ascii="Arial" w:cs="Arial" w:eastAsia="Arial" w:hAnsi="Arial"/>
                <w:sz w:val="14"/>
                <w:szCs w:val="14"/>
                <w:b w:val="1"/>
                <w:bCs w:val="1"/>
                <w:color w:val="auto"/>
              </w:rPr>
              <w:t>Additional Paid-</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Retained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jc w:val="center"/>
              <w:ind w:right="28"/>
              <w:spacing w:after="0" w:line="145" w:lineRule="exact"/>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2"/>
                <w:szCs w:val="12"/>
                <w:color w:val="auto"/>
              </w:rPr>
            </w:pPr>
          </w:p>
        </w:tc>
        <w:tc>
          <w:tcPr>
            <w:tcW w:w="11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Treasury Stock</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rPr>
              <w:t>Comprehensive</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tcPr>
          <w:p>
            <w:pPr>
              <w:spacing w:after="0"/>
              <w:rPr>
                <w:sz w:val="16"/>
                <w:szCs w:val="16"/>
                <w:color w:val="auto"/>
              </w:rPr>
            </w:pPr>
          </w:p>
        </w:tc>
        <w:tc>
          <w:tcPr>
            <w:tcW w:w="34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gridSpan w:val="2"/>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rPr>
              <w:t>in Capital</w:t>
            </w:r>
          </w:p>
        </w:tc>
        <w:tc>
          <w:tcPr>
            <w:tcW w:w="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Earnings</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Income</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346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Balance, June 30, 2024</w:t>
            </w:r>
          </w:p>
        </w:tc>
        <w:tc>
          <w:tcPr>
            <w:tcW w:w="540" w:type="dxa"/>
            <w:vAlign w:val="bottom"/>
            <w:gridSpan w:val="2"/>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540" w:type="dxa"/>
            <w:vAlign w:val="bottom"/>
            <w:gridSpan w:val="2"/>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(697)</w:t>
            </w:r>
          </w:p>
        </w:tc>
        <w:tc>
          <w:tcPr>
            <w:tcW w:w="300" w:type="dxa"/>
            <w:vAlign w:val="bottom"/>
            <w:gridSpan w:val="5"/>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1,302</w:t>
            </w:r>
          </w:p>
        </w:tc>
        <w:tc>
          <w:tcPr>
            <w:tcW w:w="20" w:type="dxa"/>
            <w:vAlign w:val="bottom"/>
            <w:shd w:val="clear" w:color="auto" w:fill="CCEEFF"/>
          </w:tcPr>
          <w:p>
            <w:pPr>
              <w:spacing w:after="0"/>
              <w:rPr>
                <w:sz w:val="17"/>
                <w:szCs w:val="17"/>
                <w:color w:val="auto"/>
              </w:rPr>
            </w:pPr>
          </w:p>
        </w:tc>
        <w:tc>
          <w:tcPr>
            <w:tcW w:w="26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30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2,052</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40" w:type="dxa"/>
            <w:vAlign w:val="bottom"/>
          </w:tcPr>
          <w:p>
            <w:pPr>
              <w:ind w:left="100"/>
              <w:spacing w:after="0"/>
              <w:rPr>
                <w:sz w:val="20"/>
                <w:szCs w:val="20"/>
                <w:color w:val="auto"/>
              </w:rPr>
            </w:pPr>
            <w:r>
              <w:rPr>
                <w:rFonts w:ascii="Arial" w:cs="Arial" w:eastAsia="Arial" w:hAnsi="Arial"/>
                <w:sz w:val="14"/>
                <w:szCs w:val="14"/>
                <w:color w:val="auto"/>
              </w:rPr>
              <w:t>Net income</w:t>
            </w: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345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345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34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Share-based compensation</w:t>
            </w: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40" w:type="dxa"/>
            <w:vAlign w:val="bottom"/>
          </w:tcPr>
          <w:p>
            <w:pPr>
              <w:ind w:left="100"/>
              <w:spacing w:after="0"/>
              <w:rPr>
                <w:sz w:val="20"/>
                <w:szCs w:val="20"/>
                <w:color w:val="auto"/>
              </w:rPr>
            </w:pPr>
            <w:r>
              <w:rPr>
                <w:rFonts w:ascii="Arial" w:cs="Arial" w:eastAsia="Arial" w:hAnsi="Arial"/>
                <w:sz w:val="14"/>
                <w:szCs w:val="14"/>
                <w:color w:val="auto"/>
              </w:rPr>
              <w:t>Repurchases of common stock</w:t>
            </w: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34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Shares issued for warrants</w:t>
            </w: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40" w:type="dxa"/>
            <w:vAlign w:val="bottom"/>
          </w:tcPr>
          <w:p>
            <w:pPr>
              <w:ind w:left="100"/>
              <w:spacing w:after="0"/>
              <w:rPr>
                <w:sz w:val="20"/>
                <w:szCs w:val="20"/>
                <w:color w:val="auto"/>
              </w:rPr>
            </w:pPr>
            <w:r>
              <w:rPr>
                <w:rFonts w:ascii="Arial" w:cs="Arial" w:eastAsia="Arial" w:hAnsi="Arial"/>
                <w:sz w:val="14"/>
                <w:szCs w:val="14"/>
                <w:color w:val="auto"/>
              </w:rPr>
              <w:t>Shares issued for Aera Merger</w:t>
            </w: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1,135</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1,135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34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Cash dividend ($0.3875 per share)</w:t>
            </w: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Borders>
              <w:bottom w:val="single" w:sz="8" w:color="CCEEFF"/>
            </w:tcBorders>
          </w:tcPr>
          <w:p>
            <w:pPr>
              <w:spacing w:after="0"/>
              <w:rPr>
                <w:sz w:val="17"/>
                <w:szCs w:val="17"/>
                <w:color w:val="auto"/>
              </w:rPr>
            </w:pPr>
          </w:p>
        </w:tc>
        <w:tc>
          <w:tcPr>
            <w:tcW w:w="344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Other comprehensive income, net of tax</w:t>
            </w:r>
          </w:p>
        </w:tc>
        <w:tc>
          <w:tcPr>
            <w:tcW w:w="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Balance, September 30, 2024</w:t>
            </w:r>
          </w:p>
        </w:tc>
        <w:tc>
          <w:tcPr>
            <w:tcW w:w="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68"/>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(739)</w:t>
            </w:r>
          </w:p>
        </w:tc>
        <w:tc>
          <w:tcPr>
            <w:tcW w:w="40" w:type="dxa"/>
            <w:vAlign w:val="bottom"/>
            <w:tcBorders>
              <w:bottom w:val="single" w:sz="8" w:color="auto"/>
            </w:tcBorders>
            <w:gridSpan w:val="2"/>
            <w:shd w:val="clear" w:color="auto" w:fill="CCEEFF"/>
          </w:tcPr>
          <w:p>
            <w:pPr>
              <w:spacing w:after="0"/>
              <w:rPr>
                <w:sz w:val="19"/>
                <w:szCs w:val="19"/>
                <w:color w:val="auto"/>
              </w:rPr>
            </w:pPr>
          </w:p>
        </w:tc>
        <w:tc>
          <w:tcPr>
            <w:tcW w:w="80" w:type="dxa"/>
            <w:vAlign w:val="bottom"/>
            <w:tcBorders>
              <w:bottom w:val="single" w:sz="8" w:color="CCEEFF"/>
            </w:tcBorders>
            <w:gridSpan w:val="2"/>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2,479</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gridSpan w:val="2"/>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1,683</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3,501</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0"/>
        </w:trPr>
        <w:tc>
          <w:tcPr>
            <w:tcW w:w="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gridSpan w:val="14"/>
          </w:tcPr>
          <w:p>
            <w:pPr>
              <w:jc w:val="right"/>
              <w:ind w:right="1128"/>
              <w:spacing w:after="0"/>
              <w:rPr>
                <w:sz w:val="20"/>
                <w:szCs w:val="20"/>
                <w:color w:val="auto"/>
              </w:rPr>
            </w:pPr>
            <w:r>
              <w:rPr>
                <w:rFonts w:ascii="Arial" w:cs="Arial" w:eastAsia="Arial" w:hAnsi="Arial"/>
                <w:sz w:val="14"/>
                <w:szCs w:val="14"/>
                <w:b w:val="1"/>
                <w:bCs w:val="1"/>
                <w:color w:val="auto"/>
              </w:rPr>
              <w:t>Three months ended September 30, 2023</w:t>
            </w: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jc w:val="center"/>
              <w:ind w:right="68"/>
              <w:spacing w:after="0" w:line="143" w:lineRule="exact"/>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jc w:val="center"/>
              <w:ind w:right="68"/>
              <w:spacing w:after="0" w:line="139" w:lineRule="exact"/>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80" w:type="dxa"/>
            <w:vAlign w:val="bottom"/>
            <w:gridSpan w:val="2"/>
            <w:vMerge w:val="restart"/>
          </w:tcPr>
          <w:p>
            <w:pPr>
              <w:jc w:val="right"/>
              <w:ind w:right="8"/>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3"/>
                <w:szCs w:val="13"/>
                <w:color w:val="auto"/>
              </w:rPr>
            </w:pPr>
          </w:p>
        </w:tc>
        <w:tc>
          <w:tcPr>
            <w:tcW w:w="11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Treasury Stock</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0" w:type="dxa"/>
            <w:vAlign w:val="bottom"/>
            <w:gridSpan w:val="3"/>
          </w:tcPr>
          <w:p>
            <w:pPr>
              <w:jc w:val="center"/>
              <w:ind w:right="60"/>
              <w:spacing w:after="0" w:line="158" w:lineRule="exact"/>
              <w:rPr>
                <w:sz w:val="20"/>
                <w:szCs w:val="20"/>
                <w:color w:val="auto"/>
              </w:rPr>
            </w:pPr>
            <w:r>
              <w:rPr>
                <w:rFonts w:ascii="Arial" w:cs="Arial" w:eastAsia="Arial" w:hAnsi="Arial"/>
                <w:sz w:val="14"/>
                <w:szCs w:val="14"/>
                <w:b w:val="1"/>
                <w:bCs w:val="1"/>
                <w:color w:val="auto"/>
              </w:rPr>
              <w:t>Additional Paid-</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ind w:left="80"/>
              <w:spacing w:after="0" w:line="158" w:lineRule="exact"/>
              <w:rPr>
                <w:sz w:val="20"/>
                <w:szCs w:val="20"/>
                <w:color w:val="auto"/>
              </w:rPr>
            </w:pPr>
            <w:r>
              <w:rPr>
                <w:rFonts w:ascii="Arial" w:cs="Arial" w:eastAsia="Arial" w:hAnsi="Arial"/>
                <w:sz w:val="14"/>
                <w:szCs w:val="14"/>
                <w:b w:val="1"/>
                <w:bCs w:val="1"/>
                <w:color w:val="auto"/>
              </w:rPr>
              <w:t>Retained</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jc w:val="center"/>
              <w:ind w:right="48"/>
              <w:spacing w:after="0" w:line="158" w:lineRule="exact"/>
              <w:rPr>
                <w:sz w:val="20"/>
                <w:szCs w:val="20"/>
                <w:color w:val="auto"/>
              </w:rPr>
            </w:pPr>
            <w:r>
              <w:rPr>
                <w:rFonts w:ascii="Arial" w:cs="Arial" w:eastAsia="Arial" w:hAnsi="Arial"/>
                <w:sz w:val="14"/>
                <w:szCs w:val="14"/>
                <w:b w:val="1"/>
                <w:bCs w:val="1"/>
                <w:color w:val="auto"/>
              </w:rPr>
              <w:t>Comprehensive</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44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gridSpan w:val="2"/>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rPr>
              <w:t>in Capital</w:t>
            </w:r>
          </w:p>
        </w:tc>
        <w:tc>
          <w:tcPr>
            <w:tcW w:w="2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Earnings</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Income</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b w:val="1"/>
                <w:bCs w:val="1"/>
                <w:color w:val="auto"/>
              </w:rPr>
              <w:t>Equity</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June 30, 2023</w:t>
            </w:r>
          </w:p>
        </w:tc>
        <w:tc>
          <w:tcPr>
            <w:tcW w:w="540" w:type="dxa"/>
            <w:vAlign w:val="bottom"/>
            <w:gridSpan w:val="2"/>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540" w:type="dxa"/>
            <w:vAlign w:val="bottom"/>
            <w:gridSpan w:val="2"/>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(584)</w:t>
            </w:r>
          </w:p>
        </w:tc>
        <w:tc>
          <w:tcPr>
            <w:tcW w:w="300" w:type="dxa"/>
            <w:vAlign w:val="bottom"/>
            <w:gridSpan w:val="5"/>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1,317</w:t>
            </w:r>
          </w:p>
        </w:tc>
        <w:tc>
          <w:tcPr>
            <w:tcW w:w="20" w:type="dxa"/>
            <w:vAlign w:val="bottom"/>
            <w:shd w:val="clear" w:color="auto" w:fill="CCEEFF"/>
          </w:tcPr>
          <w:p>
            <w:pPr>
              <w:spacing w:after="0"/>
              <w:rPr>
                <w:sz w:val="17"/>
                <w:szCs w:val="17"/>
                <w:color w:val="auto"/>
              </w:rPr>
            </w:pPr>
          </w:p>
        </w:tc>
        <w:tc>
          <w:tcPr>
            <w:tcW w:w="26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1,295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81</w:t>
            </w:r>
          </w:p>
        </w:tc>
        <w:tc>
          <w:tcPr>
            <w:tcW w:w="30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40" w:type="dxa"/>
            <w:vAlign w:val="bottom"/>
          </w:tcPr>
          <w:p>
            <w:pPr>
              <w:ind w:left="100"/>
              <w:spacing w:after="0"/>
              <w:rPr>
                <w:sz w:val="20"/>
                <w:szCs w:val="20"/>
                <w:color w:val="auto"/>
              </w:rPr>
            </w:pPr>
            <w:r>
              <w:rPr>
                <w:rFonts w:ascii="Arial" w:cs="Arial" w:eastAsia="Arial" w:hAnsi="Arial"/>
                <w:sz w:val="14"/>
                <w:szCs w:val="14"/>
                <w:color w:val="auto"/>
              </w:rPr>
              <w:t>Net loss</w:t>
            </w: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4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Share-based compensation</w:t>
            </w: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40" w:type="dxa"/>
            <w:vAlign w:val="bottom"/>
          </w:tcPr>
          <w:p>
            <w:pPr>
              <w:ind w:left="100"/>
              <w:spacing w:after="0"/>
              <w:rPr>
                <w:sz w:val="20"/>
                <w:szCs w:val="20"/>
                <w:color w:val="auto"/>
              </w:rPr>
            </w:pPr>
            <w:r>
              <w:rPr>
                <w:rFonts w:ascii="Arial" w:cs="Arial" w:eastAsia="Arial" w:hAnsi="Arial"/>
                <w:sz w:val="14"/>
                <w:szCs w:val="14"/>
                <w:color w:val="auto"/>
              </w:rPr>
              <w:t>Repurchases of common stock</w:t>
            </w: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4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Cash dividend ($0.2825 per share)</w:t>
            </w: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440" w:type="dxa"/>
            <w:vAlign w:val="bottom"/>
          </w:tcPr>
          <w:p>
            <w:pPr>
              <w:ind w:left="100"/>
              <w:spacing w:after="0"/>
              <w:rPr>
                <w:sz w:val="20"/>
                <w:szCs w:val="20"/>
                <w:color w:val="auto"/>
              </w:rPr>
            </w:pPr>
            <w:r>
              <w:rPr>
                <w:rFonts w:ascii="Arial" w:cs="Arial" w:eastAsia="Arial" w:hAnsi="Arial"/>
                <w:sz w:val="14"/>
                <w:szCs w:val="14"/>
                <w:color w:val="auto"/>
              </w:rPr>
              <w:t>Shares cancelled for taxes</w:t>
            </w: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comprehensive income, net of tax</w:t>
            </w:r>
          </w:p>
        </w:tc>
        <w:tc>
          <w:tcPr>
            <w:tcW w:w="2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440" w:type="dxa"/>
            <w:vAlign w:val="bottom"/>
          </w:tcPr>
          <w:p>
            <w:pPr>
              <w:ind w:left="20"/>
              <w:spacing w:after="0"/>
              <w:rPr>
                <w:sz w:val="20"/>
                <w:szCs w:val="20"/>
                <w:color w:val="auto"/>
              </w:rPr>
            </w:pPr>
            <w:r>
              <w:rPr>
                <w:rFonts w:ascii="Arial" w:cs="Arial" w:eastAsia="Arial" w:hAnsi="Arial"/>
                <w:sz w:val="14"/>
                <w:szCs w:val="14"/>
                <w:b w:val="1"/>
                <w:bCs w:val="1"/>
                <w:color w:val="auto"/>
              </w:rPr>
              <w:t>Balance, September 30, 2023</w:t>
            </w:r>
          </w:p>
        </w:tc>
        <w:tc>
          <w:tcPr>
            <w:tcW w:w="540" w:type="dxa"/>
            <w:vAlign w:val="bottom"/>
            <w:gridSpan w:val="2"/>
          </w:tcPr>
          <w:p>
            <w:pPr>
              <w:jc w:val="right"/>
              <w:ind w:right="36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540" w:type="dxa"/>
            <w:vAlign w:val="bottom"/>
            <w:gridSpan w:val="2"/>
          </w:tcPr>
          <w:p>
            <w:pPr>
              <w:jc w:val="right"/>
              <w:ind w:right="30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(604)</w:t>
            </w:r>
          </w:p>
        </w:tc>
        <w:tc>
          <w:tcPr>
            <w:tcW w:w="300" w:type="dxa"/>
            <w:vAlign w:val="bottom"/>
            <w:gridSpan w:val="5"/>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1,324</w:t>
            </w:r>
          </w:p>
        </w:tc>
        <w:tc>
          <w:tcPr>
            <w:tcW w:w="20" w:type="dxa"/>
            <w:vAlign w:val="bottom"/>
          </w:tcPr>
          <w:p>
            <w:pPr>
              <w:spacing w:after="0"/>
              <w:rPr>
                <w:sz w:val="17"/>
                <w:szCs w:val="17"/>
                <w:color w:val="auto"/>
              </w:rPr>
            </w:pPr>
          </w:p>
        </w:tc>
        <w:tc>
          <w:tcPr>
            <w:tcW w:w="260" w:type="dxa"/>
            <w:vAlign w:val="bottom"/>
            <w:gridSpan w:val="3"/>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1,253</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76</w:t>
            </w:r>
          </w:p>
        </w:tc>
        <w:tc>
          <w:tcPr>
            <w:tcW w:w="30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2,050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97"/>
        </w:trPr>
        <w:tc>
          <w:tcPr>
            <w:tcW w:w="3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12"/>
          </w:tcPr>
          <w:p>
            <w:pPr>
              <w:jc w:val="right"/>
              <w:spacing w:after="0"/>
              <w:rPr>
                <w:sz w:val="20"/>
                <w:szCs w:val="20"/>
                <w:color w:val="auto"/>
              </w:rPr>
            </w:pPr>
            <w:r>
              <w:rPr>
                <w:rFonts w:ascii="Arial" w:cs="Arial" w:eastAsia="Arial" w:hAnsi="Arial"/>
                <w:sz w:val="14"/>
                <w:szCs w:val="14"/>
                <w:b w:val="1"/>
                <w:bCs w:val="1"/>
                <w:color w:val="auto"/>
              </w:rPr>
              <w:t>Nine months ended September 30, 2024</w:t>
            </w:r>
          </w:p>
        </w:tc>
        <w:tc>
          <w:tcPr>
            <w:tcW w:w="12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3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4"/>
          </w:tcPr>
          <w:p>
            <w:pPr>
              <w:jc w:val="center"/>
              <w:ind w:right="200"/>
              <w:spacing w:after="0" w:line="147" w:lineRule="exact"/>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20" w:type="dxa"/>
            <w:vAlign w:val="bottom"/>
            <w:gridSpan w:val="5"/>
            <w:vMerge w:val="restart"/>
          </w:tcPr>
          <w:p>
            <w:pPr>
              <w:jc w:val="center"/>
              <w:ind w:right="100"/>
              <w:spacing w:after="0"/>
              <w:rPr>
                <w:sz w:val="20"/>
                <w:szCs w:val="20"/>
                <w:color w:val="auto"/>
              </w:rPr>
            </w:pPr>
            <w:r>
              <w:rPr>
                <w:rFonts w:ascii="Arial" w:cs="Arial" w:eastAsia="Arial" w:hAnsi="Arial"/>
                <w:sz w:val="14"/>
                <w:szCs w:val="14"/>
                <w:b w:val="1"/>
                <w:bCs w:val="1"/>
                <w:color w:val="auto"/>
              </w:rPr>
              <w:t>Additional Paid-</w:t>
            </w:r>
          </w:p>
        </w:tc>
        <w:tc>
          <w:tcPr>
            <w:tcW w:w="180" w:type="dxa"/>
            <w:vAlign w:val="bottom"/>
          </w:tcPr>
          <w:p>
            <w:pPr>
              <w:spacing w:after="0"/>
              <w:rPr>
                <w:sz w:val="12"/>
                <w:szCs w:val="12"/>
                <w:color w:val="auto"/>
              </w:rPr>
            </w:pPr>
          </w:p>
        </w:tc>
        <w:tc>
          <w:tcPr>
            <w:tcW w:w="112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Retained</w:t>
            </w:r>
          </w:p>
        </w:tc>
        <w:tc>
          <w:tcPr>
            <w:tcW w:w="100" w:type="dxa"/>
            <w:vAlign w:val="bottom"/>
          </w:tcPr>
          <w:p>
            <w:pPr>
              <w:spacing w:after="0"/>
              <w:rPr>
                <w:sz w:val="12"/>
                <w:szCs w:val="12"/>
                <w:color w:val="auto"/>
              </w:rPr>
            </w:pPr>
          </w:p>
        </w:tc>
        <w:tc>
          <w:tcPr>
            <w:tcW w:w="1340" w:type="dxa"/>
            <w:vAlign w:val="bottom"/>
            <w:gridSpan w:val="4"/>
          </w:tcPr>
          <w:p>
            <w:pPr>
              <w:jc w:val="center"/>
              <w:ind w:right="200"/>
              <w:spacing w:after="0" w:line="145" w:lineRule="exact"/>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2"/>
                <w:szCs w:val="12"/>
                <w:color w:val="auto"/>
              </w:rPr>
            </w:pPr>
          </w:p>
        </w:tc>
        <w:tc>
          <w:tcPr>
            <w:tcW w:w="960" w:type="dxa"/>
            <w:vAlign w:val="bottom"/>
            <w:vMerge w:val="restart"/>
          </w:tcPr>
          <w:p>
            <w:pPr>
              <w:jc w:val="center"/>
              <w:ind w:right="1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Common Stock</w:t>
            </w:r>
          </w:p>
        </w:tc>
        <w:tc>
          <w:tcPr>
            <w:tcW w:w="80" w:type="dxa"/>
            <w:vAlign w:val="bottom"/>
            <w:gridSpan w:val="2"/>
            <w:vMerge w:val="restart"/>
          </w:tcPr>
          <w:p>
            <w:pPr>
              <w:spacing w:after="0"/>
              <w:rPr>
                <w:sz w:val="12"/>
                <w:szCs w:val="12"/>
                <w:color w:val="auto"/>
              </w:rPr>
            </w:pPr>
          </w:p>
        </w:tc>
        <w:tc>
          <w:tcPr>
            <w:tcW w:w="12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Treasury Stock</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20" w:type="dxa"/>
            <w:vAlign w:val="bottom"/>
            <w:gridSpan w:val="5"/>
            <w:vMerge w:val="continue"/>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rPr>
              <w:t>Comprehensive</w:t>
            </w:r>
          </w:p>
        </w:tc>
        <w:tc>
          <w:tcPr>
            <w:tcW w:w="2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4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gridSpan w:val="3"/>
            <w:vMerge w:val="continue"/>
          </w:tcPr>
          <w:p>
            <w:pPr>
              <w:spacing w:after="0"/>
              <w:rPr>
                <w:sz w:val="16"/>
                <w:szCs w:val="16"/>
                <w:color w:val="auto"/>
              </w:rPr>
            </w:pPr>
          </w:p>
        </w:tc>
        <w:tc>
          <w:tcPr>
            <w:tcW w:w="80" w:type="dxa"/>
            <w:vAlign w:val="bottom"/>
            <w:tcBorders>
              <w:bottom w:val="single" w:sz="8" w:color="CCEEFF"/>
            </w:tcBorders>
            <w:gridSpan w:val="2"/>
            <w:vMerge w:val="continue"/>
          </w:tcPr>
          <w:p>
            <w:pPr>
              <w:spacing w:after="0"/>
              <w:rPr>
                <w:sz w:val="16"/>
                <w:szCs w:val="16"/>
                <w:color w:val="auto"/>
              </w:rPr>
            </w:pPr>
          </w:p>
        </w:tc>
        <w:tc>
          <w:tcPr>
            <w:tcW w:w="1200" w:type="dxa"/>
            <w:vAlign w:val="bottom"/>
            <w:tcBorders>
              <w:bottom w:val="single" w:sz="8" w:color="auto"/>
            </w:tcBorders>
            <w:gridSpan w:val="3"/>
            <w:vMerge w:val="continue"/>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rPr>
              <w:t>in Capital</w:t>
            </w:r>
          </w:p>
        </w:tc>
        <w:tc>
          <w:tcPr>
            <w:tcW w:w="100" w:type="dxa"/>
            <w:vAlign w:val="bottom"/>
            <w:tcBorders>
              <w:bottom w:val="single" w:sz="8" w:color="CCEEFF"/>
            </w:tcBorders>
            <w:gridSpan w:val="2"/>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Earnings</w:t>
            </w:r>
          </w:p>
        </w:tc>
        <w:tc>
          <w:tcPr>
            <w:tcW w:w="100" w:type="dxa"/>
            <w:vAlign w:val="bottom"/>
            <w:tcBorders>
              <w:bottom w:val="single" w:sz="8" w:color="CCEEFF"/>
            </w:tcBorders>
            <w:gridSpan w:val="2"/>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rPr>
              <w:t>Income</w:t>
            </w:r>
          </w:p>
        </w:tc>
        <w:tc>
          <w:tcPr>
            <w:tcW w:w="100" w:type="dxa"/>
            <w:vAlign w:val="bottom"/>
            <w:tcBorders>
              <w:bottom w:val="single" w:sz="8" w:color="CCEEFF"/>
            </w:tcBorders>
            <w:gridSpan w:val="2"/>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344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Balance, December 31, 2023</w:t>
            </w:r>
          </w:p>
        </w:tc>
        <w:tc>
          <w:tcPr>
            <w:tcW w:w="54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(604)</w:t>
            </w:r>
          </w:p>
        </w:tc>
        <w:tc>
          <w:tcPr>
            <w:tcW w:w="20" w:type="dxa"/>
            <w:vAlign w:val="bottom"/>
            <w:shd w:val="clear" w:color="auto" w:fill="CCEEFF"/>
          </w:tcPr>
          <w:p>
            <w:pPr>
              <w:spacing w:after="0"/>
              <w:rPr>
                <w:sz w:val="17"/>
                <w:szCs w:val="17"/>
                <w:color w:val="auto"/>
              </w:rPr>
            </w:pPr>
          </w:p>
        </w:tc>
        <w:tc>
          <w:tcPr>
            <w:tcW w:w="260" w:type="dxa"/>
            <w:vAlign w:val="bottom"/>
            <w:gridSpan w:val="3"/>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1,329</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1,419</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2,219</w:t>
            </w:r>
          </w:p>
        </w:tc>
        <w:tc>
          <w:tcPr>
            <w:tcW w:w="0" w:type="dxa"/>
            <w:vAlign w:val="bottom"/>
          </w:tcPr>
          <w:p>
            <w:pPr>
              <w:spacing w:after="0"/>
              <w:rPr>
                <w:sz w:val="1"/>
                <w:szCs w:val="1"/>
                <w:color w:val="auto"/>
              </w:rPr>
            </w:pPr>
          </w:p>
        </w:tc>
      </w:tr>
      <w:tr>
        <w:trPr>
          <w:trHeight w:val="198"/>
        </w:trPr>
        <w:tc>
          <w:tcPr>
            <w:tcW w:w="3440" w:type="dxa"/>
            <w:vAlign w:val="bottom"/>
            <w:gridSpan w:val="2"/>
          </w:tcPr>
          <w:p>
            <w:pPr>
              <w:ind w:left="120"/>
              <w:spacing w:after="0"/>
              <w:rPr>
                <w:sz w:val="20"/>
                <w:szCs w:val="20"/>
                <w:color w:val="auto"/>
              </w:rPr>
            </w:pPr>
            <w:r>
              <w:rPr>
                <w:rFonts w:ascii="Arial" w:cs="Arial" w:eastAsia="Arial" w:hAnsi="Arial"/>
                <w:sz w:val="14"/>
                <w:szCs w:val="14"/>
                <w:color w:val="auto"/>
              </w:rPr>
              <w:t>Net income</w:t>
            </w:r>
          </w:p>
        </w:tc>
        <w:tc>
          <w:tcPr>
            <w:tcW w:w="540" w:type="dxa"/>
            <w:vAlign w:val="bottom"/>
          </w:tcPr>
          <w:p>
            <w:pPr>
              <w:spacing w:after="0"/>
              <w:rPr>
                <w:sz w:val="17"/>
                <w:szCs w:val="17"/>
                <w:color w:val="auto"/>
              </w:rPr>
            </w:pPr>
          </w:p>
        </w:tc>
        <w:tc>
          <w:tcPr>
            <w:tcW w:w="740" w:type="dxa"/>
            <w:vAlign w:val="bottom"/>
            <w:gridSpan w:val="4"/>
          </w:tcPr>
          <w:p>
            <w:pPr>
              <w:jc w:val="right"/>
              <w:ind w:right="14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7"/>
                <w:szCs w:val="17"/>
                <w:color w:val="auto"/>
              </w:rPr>
            </w:pPr>
          </w:p>
        </w:tc>
        <w:tc>
          <w:tcPr>
            <w:tcW w:w="74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4"/>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343</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4"/>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343</w:t>
            </w:r>
          </w:p>
        </w:tc>
        <w:tc>
          <w:tcPr>
            <w:tcW w:w="0" w:type="dxa"/>
            <w:vAlign w:val="bottom"/>
          </w:tcPr>
          <w:p>
            <w:pPr>
              <w:spacing w:after="0"/>
              <w:rPr>
                <w:sz w:val="1"/>
                <w:szCs w:val="1"/>
                <w:color w:val="auto"/>
              </w:rPr>
            </w:pPr>
          </w:p>
        </w:tc>
      </w:tr>
      <w:tr>
        <w:trPr>
          <w:trHeight w:val="207"/>
        </w:trPr>
        <w:tc>
          <w:tcPr>
            <w:tcW w:w="34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Share-based compensation</w:t>
            </w:r>
          </w:p>
        </w:tc>
        <w:tc>
          <w:tcPr>
            <w:tcW w:w="540" w:type="dxa"/>
            <w:vAlign w:val="bottom"/>
            <w:shd w:val="clear" w:color="auto" w:fill="CCEEFF"/>
          </w:tcPr>
          <w:p>
            <w:pPr>
              <w:spacing w:after="0"/>
              <w:rPr>
                <w:sz w:val="17"/>
                <w:szCs w:val="17"/>
                <w:color w:val="auto"/>
              </w:rPr>
            </w:pPr>
          </w:p>
        </w:tc>
        <w:tc>
          <w:tcPr>
            <w:tcW w:w="740" w:type="dxa"/>
            <w:vAlign w:val="bottom"/>
            <w:gridSpan w:val="4"/>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340" w:type="dxa"/>
            <w:vAlign w:val="bottom"/>
            <w:gridSpan w:val="4"/>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98"/>
        </w:trPr>
        <w:tc>
          <w:tcPr>
            <w:tcW w:w="3440" w:type="dxa"/>
            <w:vAlign w:val="bottom"/>
            <w:gridSpan w:val="2"/>
          </w:tcPr>
          <w:p>
            <w:pPr>
              <w:ind w:left="120"/>
              <w:spacing w:after="0"/>
              <w:rPr>
                <w:sz w:val="20"/>
                <w:szCs w:val="20"/>
                <w:color w:val="auto"/>
              </w:rPr>
            </w:pPr>
            <w:r>
              <w:rPr>
                <w:rFonts w:ascii="Arial" w:cs="Arial" w:eastAsia="Arial" w:hAnsi="Arial"/>
                <w:sz w:val="14"/>
                <w:szCs w:val="14"/>
                <w:color w:val="auto"/>
              </w:rPr>
              <w:t>Repurchases of common stock</w:t>
            </w:r>
          </w:p>
        </w:tc>
        <w:tc>
          <w:tcPr>
            <w:tcW w:w="540" w:type="dxa"/>
            <w:vAlign w:val="bottom"/>
          </w:tcPr>
          <w:p>
            <w:pPr>
              <w:spacing w:after="0"/>
              <w:rPr>
                <w:sz w:val="17"/>
                <w:szCs w:val="17"/>
                <w:color w:val="auto"/>
              </w:rPr>
            </w:pPr>
          </w:p>
        </w:tc>
        <w:tc>
          <w:tcPr>
            <w:tcW w:w="740" w:type="dxa"/>
            <w:vAlign w:val="bottom"/>
            <w:gridSpan w:val="4"/>
          </w:tcPr>
          <w:p>
            <w:pPr>
              <w:jc w:val="right"/>
              <w:ind w:right="14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(135)</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4"/>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12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340" w:type="dxa"/>
            <w:vAlign w:val="bottom"/>
            <w:gridSpan w:val="4"/>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r>
        <w:trPr>
          <w:trHeight w:val="207"/>
        </w:trPr>
        <w:tc>
          <w:tcPr>
            <w:tcW w:w="34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Shares issued for warrants</w:t>
            </w:r>
          </w:p>
        </w:tc>
        <w:tc>
          <w:tcPr>
            <w:tcW w:w="540" w:type="dxa"/>
            <w:vAlign w:val="bottom"/>
            <w:shd w:val="clear" w:color="auto" w:fill="CCEEFF"/>
          </w:tcPr>
          <w:p>
            <w:pPr>
              <w:spacing w:after="0"/>
              <w:rPr>
                <w:sz w:val="17"/>
                <w:szCs w:val="17"/>
                <w:color w:val="auto"/>
              </w:rPr>
            </w:pPr>
          </w:p>
        </w:tc>
        <w:tc>
          <w:tcPr>
            <w:tcW w:w="740" w:type="dxa"/>
            <w:vAlign w:val="bottom"/>
            <w:gridSpan w:val="4"/>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340" w:type="dxa"/>
            <w:vAlign w:val="bottom"/>
            <w:gridSpan w:val="4"/>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98"/>
        </w:trPr>
        <w:tc>
          <w:tcPr>
            <w:tcW w:w="3440" w:type="dxa"/>
            <w:vAlign w:val="bottom"/>
            <w:gridSpan w:val="2"/>
          </w:tcPr>
          <w:p>
            <w:pPr>
              <w:ind w:left="120"/>
              <w:spacing w:after="0"/>
              <w:rPr>
                <w:sz w:val="20"/>
                <w:szCs w:val="20"/>
                <w:color w:val="auto"/>
              </w:rPr>
            </w:pPr>
            <w:r>
              <w:rPr>
                <w:rFonts w:ascii="Arial" w:cs="Arial" w:eastAsia="Arial" w:hAnsi="Arial"/>
                <w:sz w:val="14"/>
                <w:szCs w:val="14"/>
                <w:color w:val="auto"/>
              </w:rPr>
              <w:t>Shares issued for Aera Merger</w:t>
            </w:r>
          </w:p>
        </w:tc>
        <w:tc>
          <w:tcPr>
            <w:tcW w:w="540" w:type="dxa"/>
            <w:vAlign w:val="bottom"/>
          </w:tcPr>
          <w:p>
            <w:pPr>
              <w:spacing w:after="0"/>
              <w:rPr>
                <w:sz w:val="17"/>
                <w:szCs w:val="17"/>
                <w:color w:val="auto"/>
              </w:rPr>
            </w:pPr>
          </w:p>
        </w:tc>
        <w:tc>
          <w:tcPr>
            <w:tcW w:w="740" w:type="dxa"/>
            <w:vAlign w:val="bottom"/>
            <w:gridSpan w:val="4"/>
          </w:tcPr>
          <w:p>
            <w:pPr>
              <w:jc w:val="right"/>
              <w:ind w:right="14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7"/>
                <w:szCs w:val="17"/>
                <w:color w:val="auto"/>
              </w:rPr>
            </w:pPr>
          </w:p>
        </w:tc>
        <w:tc>
          <w:tcPr>
            <w:tcW w:w="74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1,135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340" w:type="dxa"/>
            <w:vAlign w:val="bottom"/>
            <w:gridSpan w:val="4"/>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1,135</w:t>
            </w:r>
          </w:p>
        </w:tc>
        <w:tc>
          <w:tcPr>
            <w:tcW w:w="0" w:type="dxa"/>
            <w:vAlign w:val="bottom"/>
          </w:tcPr>
          <w:p>
            <w:pPr>
              <w:spacing w:after="0"/>
              <w:rPr>
                <w:sz w:val="1"/>
                <w:szCs w:val="1"/>
                <w:color w:val="auto"/>
              </w:rPr>
            </w:pPr>
          </w:p>
        </w:tc>
      </w:tr>
      <w:tr>
        <w:trPr>
          <w:trHeight w:val="207"/>
        </w:trPr>
        <w:tc>
          <w:tcPr>
            <w:tcW w:w="34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Cash dividend ($1.0075 per share)</w:t>
            </w:r>
          </w:p>
        </w:tc>
        <w:tc>
          <w:tcPr>
            <w:tcW w:w="540" w:type="dxa"/>
            <w:vAlign w:val="bottom"/>
            <w:shd w:val="clear" w:color="auto" w:fill="CCEEFF"/>
          </w:tcPr>
          <w:p>
            <w:pPr>
              <w:spacing w:after="0"/>
              <w:rPr>
                <w:sz w:val="17"/>
                <w:szCs w:val="17"/>
                <w:color w:val="auto"/>
              </w:rPr>
            </w:pPr>
          </w:p>
        </w:tc>
        <w:tc>
          <w:tcPr>
            <w:tcW w:w="740" w:type="dxa"/>
            <w:vAlign w:val="bottom"/>
            <w:gridSpan w:val="4"/>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gridSpan w:val="4"/>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4"/>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198"/>
        </w:trPr>
        <w:tc>
          <w:tcPr>
            <w:tcW w:w="3440" w:type="dxa"/>
            <w:vAlign w:val="bottom"/>
            <w:gridSpan w:val="2"/>
          </w:tcPr>
          <w:p>
            <w:pPr>
              <w:ind w:left="120"/>
              <w:spacing w:after="0"/>
              <w:rPr>
                <w:sz w:val="20"/>
                <w:szCs w:val="20"/>
                <w:color w:val="auto"/>
              </w:rPr>
            </w:pPr>
            <w:r>
              <w:rPr>
                <w:rFonts w:ascii="Arial" w:cs="Arial" w:eastAsia="Arial" w:hAnsi="Arial"/>
                <w:sz w:val="14"/>
                <w:szCs w:val="14"/>
                <w:color w:val="auto"/>
              </w:rPr>
              <w:t>Shares cancelled for taxes</w:t>
            </w:r>
          </w:p>
        </w:tc>
        <w:tc>
          <w:tcPr>
            <w:tcW w:w="5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340" w:type="dxa"/>
            <w:vAlign w:val="bottom"/>
            <w:gridSpan w:val="4"/>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206"/>
        </w:trPr>
        <w:tc>
          <w:tcPr>
            <w:tcW w:w="34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Other comprehensive income, net of tax</w:t>
            </w:r>
          </w:p>
        </w:tc>
        <w:tc>
          <w:tcPr>
            <w:tcW w:w="540" w:type="dxa"/>
            <w:vAlign w:val="bottom"/>
            <w:shd w:val="clear" w:color="auto" w:fill="CCEEFF"/>
          </w:tcPr>
          <w:p>
            <w:pPr>
              <w:spacing w:after="0"/>
              <w:rPr>
                <w:sz w:val="17"/>
                <w:szCs w:val="17"/>
                <w:color w:val="auto"/>
              </w:rPr>
            </w:pPr>
          </w:p>
        </w:tc>
        <w:tc>
          <w:tcPr>
            <w:tcW w:w="740" w:type="dxa"/>
            <w:vAlign w:val="bottom"/>
            <w:gridSpan w:val="4"/>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gridSpan w:val="4"/>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99"/>
        </w:trPr>
        <w:tc>
          <w:tcPr>
            <w:tcW w:w="3440" w:type="dxa"/>
            <w:vAlign w:val="bottom"/>
            <w:tcBorders>
              <w:bottom w:val="single" w:sz="8" w:color="CCEEFF"/>
            </w:tcBorders>
            <w:gridSpan w:val="2"/>
          </w:tcPr>
          <w:p>
            <w:pPr>
              <w:ind w:left="120"/>
              <w:spacing w:after="0"/>
              <w:rPr>
                <w:sz w:val="20"/>
                <w:szCs w:val="20"/>
                <w:color w:val="auto"/>
              </w:rPr>
            </w:pPr>
            <w:r>
              <w:rPr>
                <w:rFonts w:ascii="Arial" w:cs="Arial" w:eastAsia="Arial" w:hAnsi="Arial"/>
                <w:sz w:val="14"/>
                <w:szCs w:val="14"/>
                <w:color w:val="auto"/>
              </w:rPr>
              <w:t>Other</w:t>
            </w:r>
          </w:p>
        </w:tc>
        <w:tc>
          <w:tcPr>
            <w:tcW w:w="5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gridSpan w:val="2"/>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2"/>
          </w:tcPr>
          <w:p>
            <w:pPr>
              <w:ind w:left="54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gridSpan w:val="2"/>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gridSpan w:val="2"/>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20"/>
        </w:trPr>
        <w:tc>
          <w:tcPr>
            <w:tcW w:w="3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Balance, September 30, 2024</w:t>
            </w:r>
          </w:p>
        </w:tc>
        <w:tc>
          <w:tcPr>
            <w:tcW w:w="540" w:type="dxa"/>
            <w:vAlign w:val="bottom"/>
            <w:tcBorders>
              <w:bottom w:val="single" w:sz="8" w:color="auto"/>
            </w:tcBorders>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(739)</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gridSpan w:val="2"/>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2,479</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1,683</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3,501</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0"/>
        </w:trPr>
        <w:tc>
          <w:tcPr>
            <w:tcW w:w="34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12"/>
          </w:tcPr>
          <w:p>
            <w:pPr>
              <w:jc w:val="right"/>
              <w:spacing w:after="0"/>
              <w:rPr>
                <w:sz w:val="20"/>
                <w:szCs w:val="20"/>
                <w:color w:val="auto"/>
              </w:rPr>
            </w:pPr>
            <w:r>
              <w:rPr>
                <w:rFonts w:ascii="Arial" w:cs="Arial" w:eastAsia="Arial" w:hAnsi="Arial"/>
                <w:sz w:val="14"/>
                <w:szCs w:val="14"/>
                <w:b w:val="1"/>
                <w:bCs w:val="1"/>
                <w:color w:val="auto"/>
              </w:rPr>
              <w:t>Nine months ended September 30, 2023</w:t>
            </w:r>
          </w:p>
        </w:tc>
        <w:tc>
          <w:tcPr>
            <w:tcW w:w="1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3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4"/>
          </w:tcPr>
          <w:p>
            <w:pPr>
              <w:jc w:val="center"/>
              <w:ind w:right="240"/>
              <w:spacing w:after="0" w:line="143" w:lineRule="exact"/>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4"/>
          </w:tcPr>
          <w:p>
            <w:pPr>
              <w:jc w:val="center"/>
              <w:ind w:right="240"/>
              <w:spacing w:after="0" w:line="139" w:lineRule="exact"/>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80" w:type="dxa"/>
            <w:vAlign w:val="bottom"/>
            <w:gridSpan w:val="2"/>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1180" w:type="dxa"/>
            <w:vAlign w:val="bottom"/>
            <w:gridSpan w:val="2"/>
            <w:vMerge w:val="restart"/>
          </w:tcPr>
          <w:p>
            <w:pPr>
              <w:jc w:val="right"/>
              <w:ind w:right="8"/>
              <w:spacing w:after="0"/>
              <w:rPr>
                <w:sz w:val="20"/>
                <w:szCs w:val="20"/>
                <w:color w:val="auto"/>
              </w:rPr>
            </w:pPr>
            <w:r>
              <w:rPr>
                <w:rFonts w:ascii="Arial" w:cs="Arial" w:eastAsia="Arial" w:hAnsi="Arial"/>
                <w:sz w:val="14"/>
                <w:szCs w:val="14"/>
                <w:b w:val="1"/>
                <w:bCs w:val="1"/>
                <w:color w:val="auto"/>
              </w:rPr>
              <w:t>Treasury Stock</w:t>
            </w:r>
          </w:p>
        </w:tc>
        <w:tc>
          <w:tcPr>
            <w:tcW w:w="20" w:type="dxa"/>
            <w:vAlign w:val="bottom"/>
            <w:vMerge w:val="restart"/>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20" w:type="dxa"/>
            <w:vAlign w:val="bottom"/>
            <w:gridSpan w:val="5"/>
          </w:tcPr>
          <w:p>
            <w:pPr>
              <w:jc w:val="center"/>
              <w:ind w:right="140"/>
              <w:spacing w:after="0" w:line="158" w:lineRule="exact"/>
              <w:rPr>
                <w:sz w:val="20"/>
                <w:szCs w:val="20"/>
                <w:color w:val="auto"/>
              </w:rPr>
            </w:pPr>
            <w:r>
              <w:rPr>
                <w:rFonts w:ascii="Arial" w:cs="Arial" w:eastAsia="Arial" w:hAnsi="Arial"/>
                <w:sz w:val="14"/>
                <w:szCs w:val="14"/>
                <w:b w:val="1"/>
                <w:bCs w:val="1"/>
                <w:color w:val="auto"/>
              </w:rPr>
              <w:t>Additional Paid-</w:t>
            </w:r>
          </w:p>
        </w:tc>
        <w:tc>
          <w:tcPr>
            <w:tcW w:w="180" w:type="dxa"/>
            <w:vAlign w:val="bottom"/>
          </w:tcPr>
          <w:p>
            <w:pPr>
              <w:spacing w:after="0"/>
              <w:rPr>
                <w:sz w:val="13"/>
                <w:szCs w:val="13"/>
                <w:color w:val="auto"/>
              </w:rPr>
            </w:pPr>
          </w:p>
        </w:tc>
        <w:tc>
          <w:tcPr>
            <w:tcW w:w="1120" w:type="dxa"/>
            <w:vAlign w:val="bottom"/>
            <w:gridSpan w:val="3"/>
          </w:tcPr>
          <w:p>
            <w:pPr>
              <w:ind w:left="100"/>
              <w:spacing w:after="0" w:line="158" w:lineRule="exact"/>
              <w:rPr>
                <w:sz w:val="20"/>
                <w:szCs w:val="20"/>
                <w:color w:val="auto"/>
              </w:rPr>
            </w:pPr>
            <w:r>
              <w:rPr>
                <w:rFonts w:ascii="Arial" w:cs="Arial" w:eastAsia="Arial" w:hAnsi="Arial"/>
                <w:sz w:val="14"/>
                <w:szCs w:val="14"/>
                <w:b w:val="1"/>
                <w:bCs w:val="1"/>
                <w:color w:val="auto"/>
              </w:rPr>
              <w:t>Retained</w:t>
            </w:r>
          </w:p>
        </w:tc>
        <w:tc>
          <w:tcPr>
            <w:tcW w:w="100" w:type="dxa"/>
            <w:vAlign w:val="bottom"/>
          </w:tcPr>
          <w:p>
            <w:pPr>
              <w:spacing w:after="0"/>
              <w:rPr>
                <w:sz w:val="13"/>
                <w:szCs w:val="13"/>
                <w:color w:val="auto"/>
              </w:rPr>
            </w:pPr>
          </w:p>
        </w:tc>
        <w:tc>
          <w:tcPr>
            <w:tcW w:w="1340" w:type="dxa"/>
            <w:vAlign w:val="bottom"/>
            <w:gridSpan w:val="4"/>
          </w:tcPr>
          <w:p>
            <w:pPr>
              <w:jc w:val="center"/>
              <w:ind w:right="220"/>
              <w:spacing w:after="0" w:line="158" w:lineRule="exact"/>
              <w:rPr>
                <w:sz w:val="20"/>
                <w:szCs w:val="20"/>
                <w:color w:val="auto"/>
              </w:rPr>
            </w:pPr>
            <w:r>
              <w:rPr>
                <w:rFonts w:ascii="Arial" w:cs="Arial" w:eastAsia="Arial" w:hAnsi="Arial"/>
                <w:sz w:val="14"/>
                <w:szCs w:val="14"/>
                <w:b w:val="1"/>
                <w:bCs w:val="1"/>
                <w:color w:val="auto"/>
              </w:rPr>
              <w:t>Comprehensive</w:t>
            </w:r>
          </w:p>
        </w:tc>
        <w:tc>
          <w:tcPr>
            <w:tcW w:w="220" w:type="dxa"/>
            <w:vAlign w:val="bottom"/>
          </w:tcPr>
          <w:p>
            <w:pPr>
              <w:spacing w:after="0"/>
              <w:rPr>
                <w:sz w:val="13"/>
                <w:szCs w:val="13"/>
                <w:color w:val="auto"/>
              </w:rPr>
            </w:pPr>
          </w:p>
        </w:tc>
        <w:tc>
          <w:tcPr>
            <w:tcW w:w="960" w:type="dxa"/>
            <w:vAlign w:val="bottom"/>
          </w:tcPr>
          <w:p>
            <w:pPr>
              <w:jc w:val="center"/>
              <w:ind w:right="208"/>
              <w:spacing w:after="0" w:line="158"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89"/>
        </w:trPr>
        <w:tc>
          <w:tcPr>
            <w:tcW w:w="34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CCEEFF"/>
            </w:tcBorders>
            <w:gridSpan w:val="2"/>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20" w:type="dxa"/>
            <w:vAlign w:val="bottom"/>
            <w:tcBorders>
              <w:bottom w:val="single" w:sz="8" w:color="CCEEFF"/>
            </w:tcBorders>
            <w:vMerge w:val="continue"/>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in Capital</w:t>
            </w:r>
          </w:p>
        </w:tc>
        <w:tc>
          <w:tcPr>
            <w:tcW w:w="100" w:type="dxa"/>
            <w:vAlign w:val="bottom"/>
            <w:tcBorders>
              <w:bottom w:val="single" w:sz="8" w:color="CCEEFF"/>
            </w:tcBorders>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Earnings</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Income</w:t>
            </w:r>
          </w:p>
        </w:tc>
        <w:tc>
          <w:tcPr>
            <w:tcW w:w="100" w:type="dxa"/>
            <w:vAlign w:val="bottom"/>
            <w:tcBorders>
              <w:bottom w:val="single" w:sz="8" w:color="CCEEFF"/>
            </w:tcBorders>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34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December 31, 2022</w:t>
            </w: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(461)</w:t>
            </w:r>
          </w:p>
        </w:tc>
        <w:tc>
          <w:tcPr>
            <w:tcW w:w="20" w:type="dxa"/>
            <w:vAlign w:val="bottom"/>
            <w:shd w:val="clear" w:color="auto" w:fill="CCEEFF"/>
          </w:tcPr>
          <w:p>
            <w:pPr>
              <w:spacing w:after="0"/>
              <w:rPr>
                <w:sz w:val="17"/>
                <w:szCs w:val="17"/>
                <w:color w:val="auto"/>
              </w:rPr>
            </w:pPr>
          </w:p>
        </w:tc>
        <w:tc>
          <w:tcPr>
            <w:tcW w:w="26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1,305</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938</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1,864</w:t>
            </w:r>
          </w:p>
        </w:tc>
        <w:tc>
          <w:tcPr>
            <w:tcW w:w="0" w:type="dxa"/>
            <w:vAlign w:val="bottom"/>
          </w:tcPr>
          <w:p>
            <w:pPr>
              <w:spacing w:after="0"/>
              <w:rPr>
                <w:sz w:val="1"/>
                <w:szCs w:val="1"/>
                <w:color w:val="auto"/>
              </w:rPr>
            </w:pPr>
          </w:p>
        </w:tc>
      </w:tr>
      <w:tr>
        <w:trPr>
          <w:trHeight w:val="198"/>
        </w:trPr>
        <w:tc>
          <w:tcPr>
            <w:tcW w:w="3440" w:type="dxa"/>
            <w:vAlign w:val="bottom"/>
            <w:gridSpan w:val="2"/>
          </w:tcPr>
          <w:p>
            <w:pPr>
              <w:ind w:left="120"/>
              <w:spacing w:after="0"/>
              <w:rPr>
                <w:sz w:val="20"/>
                <w:szCs w:val="20"/>
                <w:color w:val="auto"/>
              </w:rPr>
            </w:pPr>
            <w:r>
              <w:rPr>
                <w:rFonts w:ascii="Arial" w:cs="Arial" w:eastAsia="Arial" w:hAnsi="Arial"/>
                <w:sz w:val="14"/>
                <w:szCs w:val="14"/>
                <w:color w:val="auto"/>
              </w:rPr>
              <w:t>Net income</w:t>
            </w:r>
          </w:p>
        </w:tc>
        <w:tc>
          <w:tcPr>
            <w:tcW w:w="540" w:type="dxa"/>
            <w:vAlign w:val="bottom"/>
          </w:tcPr>
          <w:p>
            <w:pPr>
              <w:spacing w:after="0"/>
              <w:rPr>
                <w:sz w:val="17"/>
                <w:szCs w:val="17"/>
                <w:color w:val="auto"/>
              </w:rPr>
            </w:pPr>
          </w:p>
        </w:tc>
        <w:tc>
          <w:tcPr>
            <w:tcW w:w="740" w:type="dxa"/>
            <w:vAlign w:val="bottom"/>
            <w:gridSpan w:val="4"/>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4"/>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376</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4"/>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376</w:t>
            </w:r>
          </w:p>
        </w:tc>
        <w:tc>
          <w:tcPr>
            <w:tcW w:w="0" w:type="dxa"/>
            <w:vAlign w:val="bottom"/>
          </w:tcPr>
          <w:p>
            <w:pPr>
              <w:spacing w:after="0"/>
              <w:rPr>
                <w:sz w:val="1"/>
                <w:szCs w:val="1"/>
                <w:color w:val="auto"/>
              </w:rPr>
            </w:pPr>
          </w:p>
        </w:tc>
      </w:tr>
      <w:tr>
        <w:trPr>
          <w:trHeight w:val="207"/>
        </w:trPr>
        <w:tc>
          <w:tcPr>
            <w:tcW w:w="34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Share-based compensation</w:t>
            </w:r>
          </w:p>
        </w:tc>
        <w:tc>
          <w:tcPr>
            <w:tcW w:w="540" w:type="dxa"/>
            <w:vAlign w:val="bottom"/>
            <w:shd w:val="clear" w:color="auto" w:fill="CCEEFF"/>
          </w:tcPr>
          <w:p>
            <w:pPr>
              <w:spacing w:after="0"/>
              <w:rPr>
                <w:sz w:val="17"/>
                <w:szCs w:val="17"/>
                <w:color w:val="auto"/>
              </w:rPr>
            </w:pPr>
          </w:p>
        </w:tc>
        <w:tc>
          <w:tcPr>
            <w:tcW w:w="740" w:type="dxa"/>
            <w:vAlign w:val="bottom"/>
            <w:gridSpan w:val="4"/>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340" w:type="dxa"/>
            <w:vAlign w:val="bottom"/>
            <w:gridSpan w:val="4"/>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98"/>
        </w:trPr>
        <w:tc>
          <w:tcPr>
            <w:tcW w:w="3440" w:type="dxa"/>
            <w:vAlign w:val="bottom"/>
            <w:gridSpan w:val="2"/>
          </w:tcPr>
          <w:p>
            <w:pPr>
              <w:ind w:left="120"/>
              <w:spacing w:after="0"/>
              <w:rPr>
                <w:sz w:val="20"/>
                <w:szCs w:val="20"/>
                <w:color w:val="auto"/>
              </w:rPr>
            </w:pPr>
            <w:r>
              <w:rPr>
                <w:rFonts w:ascii="Arial" w:cs="Arial" w:eastAsia="Arial" w:hAnsi="Arial"/>
                <w:sz w:val="14"/>
                <w:szCs w:val="14"/>
                <w:color w:val="auto"/>
              </w:rPr>
              <w:t>Repurchases of common stock</w:t>
            </w:r>
          </w:p>
        </w:tc>
        <w:tc>
          <w:tcPr>
            <w:tcW w:w="540" w:type="dxa"/>
            <w:vAlign w:val="bottom"/>
          </w:tcPr>
          <w:p>
            <w:pPr>
              <w:spacing w:after="0"/>
              <w:rPr>
                <w:sz w:val="17"/>
                <w:szCs w:val="17"/>
                <w:color w:val="auto"/>
              </w:rPr>
            </w:pPr>
          </w:p>
        </w:tc>
        <w:tc>
          <w:tcPr>
            <w:tcW w:w="740" w:type="dxa"/>
            <w:vAlign w:val="bottom"/>
            <w:gridSpan w:val="4"/>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(143)</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4"/>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12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340" w:type="dxa"/>
            <w:vAlign w:val="bottom"/>
            <w:gridSpan w:val="4"/>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(143)</w:t>
            </w:r>
          </w:p>
        </w:tc>
        <w:tc>
          <w:tcPr>
            <w:tcW w:w="0" w:type="dxa"/>
            <w:vAlign w:val="bottom"/>
          </w:tcPr>
          <w:p>
            <w:pPr>
              <w:spacing w:after="0"/>
              <w:rPr>
                <w:sz w:val="1"/>
                <w:szCs w:val="1"/>
                <w:color w:val="auto"/>
              </w:rPr>
            </w:pPr>
          </w:p>
        </w:tc>
      </w:tr>
      <w:tr>
        <w:trPr>
          <w:trHeight w:val="207"/>
        </w:trPr>
        <w:tc>
          <w:tcPr>
            <w:tcW w:w="34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Cash dividend ($0.8475 per share)</w:t>
            </w:r>
          </w:p>
        </w:tc>
        <w:tc>
          <w:tcPr>
            <w:tcW w:w="540" w:type="dxa"/>
            <w:vAlign w:val="bottom"/>
            <w:shd w:val="clear" w:color="auto" w:fill="CCEEFF"/>
          </w:tcPr>
          <w:p>
            <w:pPr>
              <w:spacing w:after="0"/>
              <w:rPr>
                <w:sz w:val="17"/>
                <w:szCs w:val="17"/>
                <w:color w:val="auto"/>
              </w:rPr>
            </w:pPr>
          </w:p>
        </w:tc>
        <w:tc>
          <w:tcPr>
            <w:tcW w:w="740" w:type="dxa"/>
            <w:vAlign w:val="bottom"/>
            <w:gridSpan w:val="4"/>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gridSpan w:val="4"/>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4"/>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98"/>
        </w:trPr>
        <w:tc>
          <w:tcPr>
            <w:tcW w:w="3440" w:type="dxa"/>
            <w:vAlign w:val="bottom"/>
            <w:gridSpan w:val="2"/>
          </w:tcPr>
          <w:p>
            <w:pPr>
              <w:ind w:left="120"/>
              <w:spacing w:after="0"/>
              <w:rPr>
                <w:sz w:val="20"/>
                <w:szCs w:val="20"/>
                <w:color w:val="auto"/>
              </w:rPr>
            </w:pPr>
            <w:r>
              <w:rPr>
                <w:rFonts w:ascii="Arial" w:cs="Arial" w:eastAsia="Arial" w:hAnsi="Arial"/>
                <w:sz w:val="14"/>
                <w:szCs w:val="14"/>
                <w:color w:val="auto"/>
              </w:rPr>
              <w:t>Shares cancelled for taxes</w:t>
            </w:r>
          </w:p>
        </w:tc>
        <w:tc>
          <w:tcPr>
            <w:tcW w:w="5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340" w:type="dxa"/>
            <w:vAlign w:val="bottom"/>
            <w:gridSpan w:val="4"/>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03"/>
        </w:trPr>
        <w:tc>
          <w:tcPr>
            <w:tcW w:w="34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comprehensive income, net of tax</w:t>
            </w:r>
          </w:p>
        </w:tc>
        <w:tc>
          <w:tcPr>
            <w:tcW w:w="2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gridSpan w:val="2"/>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gridSpan w:val="2"/>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00"/>
        </w:trPr>
        <w:tc>
          <w:tcPr>
            <w:tcW w:w="344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 September 30, 2023</w:t>
            </w:r>
          </w:p>
        </w:tc>
        <w:tc>
          <w:tcPr>
            <w:tcW w:w="540" w:type="dxa"/>
            <w:vAlign w:val="bottom"/>
          </w:tcPr>
          <w:p>
            <w:pPr>
              <w:jc w:val="right"/>
              <w:ind w:right="388"/>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jc w:val="right"/>
              <w:ind w:right="308"/>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(604)</w:t>
            </w:r>
          </w:p>
        </w:tc>
        <w:tc>
          <w:tcPr>
            <w:tcW w:w="20" w:type="dxa"/>
            <w:vAlign w:val="bottom"/>
          </w:tcPr>
          <w:p>
            <w:pPr>
              <w:spacing w:after="0"/>
              <w:rPr>
                <w:sz w:val="17"/>
                <w:szCs w:val="17"/>
                <w:color w:val="auto"/>
              </w:rPr>
            </w:pPr>
          </w:p>
        </w:tc>
        <w:tc>
          <w:tcPr>
            <w:tcW w:w="260" w:type="dxa"/>
            <w:vAlign w:val="bottom"/>
            <w:gridSpan w:val="3"/>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1,324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1,253</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76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2,050</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 w:name="page11"/>
    <w:bookmarkEnd w:id="10"/>
    <w:p>
      <w:pPr>
        <w:jc w:val="center"/>
        <w:spacing w:after="0" w:line="265" w:lineRule="auto"/>
        <w:rPr>
          <w:sz w:val="20"/>
          <w:szCs w:val="20"/>
          <w:color w:val="auto"/>
        </w:rPr>
      </w:pPr>
      <w:r>
        <w:rPr>
          <w:rFonts w:ascii="Arial" w:cs="Arial" w:eastAsia="Arial" w:hAnsi="Arial"/>
          <w:sz w:val="18"/>
          <w:szCs w:val="18"/>
          <w:b w:val="1"/>
          <w:bCs w:val="1"/>
          <w:color w:val="auto"/>
        </w:rPr>
        <w:t xml:space="preserve">CALIFORNIA RESOURCES CORPORATION AND SUBSIDIARIES Condensed Consolidated Statements of Cash Flows For the three and nine months ended September 30, 2024 and 2023 </w:t>
      </w:r>
      <w:r>
        <w:rPr>
          <w:rFonts w:ascii="Arial" w:cs="Arial" w:eastAsia="Arial" w:hAnsi="Arial"/>
          <w:sz w:val="18"/>
          <w:szCs w:val="18"/>
          <w:color w:val="auto"/>
        </w:rPr>
        <w:t>(in millions)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54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99"/>
              </w:rPr>
              <w:t>Three months ended</w:t>
            </w:r>
          </w:p>
        </w:tc>
        <w:tc>
          <w:tcPr>
            <w:tcW w:w="300" w:type="dxa"/>
            <w:vAlign w:val="bottom"/>
          </w:tcPr>
          <w:p>
            <w:pPr>
              <w:spacing w:after="0"/>
              <w:rPr>
                <w:sz w:val="17"/>
                <w:szCs w:val="17"/>
                <w:color w:val="auto"/>
              </w:rPr>
            </w:pPr>
          </w:p>
        </w:tc>
        <w:tc>
          <w:tcPr>
            <w:tcW w:w="246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54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rPr>
              <w:t>September 30,</w:t>
            </w:r>
          </w:p>
        </w:tc>
        <w:tc>
          <w:tcPr>
            <w:tcW w:w="300" w:type="dxa"/>
            <w:vAlign w:val="bottom"/>
          </w:tcPr>
          <w:p>
            <w:pPr>
              <w:spacing w:after="0"/>
              <w:rPr>
                <w:sz w:val="21"/>
                <w:szCs w:val="21"/>
                <w:color w:val="auto"/>
              </w:rPr>
            </w:pPr>
          </w:p>
        </w:tc>
        <w:tc>
          <w:tcPr>
            <w:tcW w:w="246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CASH FLOW FROM OPERATING ACTIVITIES</w:t>
            </w:r>
          </w:p>
        </w:tc>
        <w:tc>
          <w:tcPr>
            <w:tcW w:w="16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2024</w:t>
            </w:r>
          </w:p>
        </w:tc>
        <w:tc>
          <w:tcPr>
            <w:tcW w:w="8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income (loss)</w:t>
            </w:r>
          </w:p>
        </w:tc>
        <w:tc>
          <w:tcPr>
            <w:tcW w:w="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480" w:type="dxa"/>
            <w:vAlign w:val="bottom"/>
          </w:tcPr>
          <w:p>
            <w:pPr>
              <w:ind w:left="120"/>
              <w:spacing w:after="0" w:line="176" w:lineRule="exact"/>
              <w:rPr>
                <w:sz w:val="20"/>
                <w:szCs w:val="20"/>
                <w:color w:val="auto"/>
              </w:rPr>
            </w:pPr>
            <w:r>
              <w:rPr>
                <w:rFonts w:ascii="Arial" w:cs="Arial" w:eastAsia="Arial" w:hAnsi="Arial"/>
                <w:sz w:val="18"/>
                <w:szCs w:val="18"/>
                <w:color w:val="auto"/>
              </w:rPr>
              <w:t>Adjustments to reconcile net income (loss) to net cash provided by</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480" w:type="dxa"/>
            <w:vAlign w:val="bottom"/>
          </w:tcPr>
          <w:p>
            <w:pPr>
              <w:ind w:left="120"/>
              <w:spacing w:after="0"/>
              <w:rPr>
                <w:sz w:val="20"/>
                <w:szCs w:val="20"/>
                <w:color w:val="auto"/>
              </w:rPr>
            </w:pPr>
            <w:r>
              <w:rPr>
                <w:rFonts w:ascii="Arial" w:cs="Arial" w:eastAsia="Arial" w:hAnsi="Arial"/>
                <w:sz w:val="18"/>
                <w:szCs w:val="18"/>
                <w:color w:val="auto"/>
              </w:rPr>
              <w:t>operating activities:</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Depreciation, depletion and amortization</w:t>
            </w:r>
          </w:p>
        </w:tc>
        <w:tc>
          <w:tcPr>
            <w:tcW w:w="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480" w:type="dxa"/>
            <w:vAlign w:val="bottom"/>
          </w:tcPr>
          <w:p>
            <w:pPr>
              <w:ind w:left="240"/>
              <w:spacing w:after="0"/>
              <w:rPr>
                <w:sz w:val="20"/>
                <w:szCs w:val="20"/>
                <w:color w:val="auto"/>
              </w:rPr>
            </w:pPr>
            <w:r>
              <w:rPr>
                <w:rFonts w:ascii="Arial" w:cs="Arial" w:eastAsia="Arial" w:hAnsi="Arial"/>
                <w:sz w:val="18"/>
                <w:szCs w:val="18"/>
                <w:color w:val="auto"/>
              </w:rPr>
              <w:t>Deferred income tax provision (benefit)</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Asset impairments</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480" w:type="dxa"/>
            <w:vAlign w:val="bottom"/>
          </w:tcPr>
          <w:p>
            <w:pPr>
              <w:ind w:left="240"/>
              <w:spacing w:after="0"/>
              <w:rPr>
                <w:sz w:val="20"/>
                <w:szCs w:val="20"/>
                <w:color w:val="auto"/>
              </w:rPr>
            </w:pPr>
            <w:r>
              <w:rPr>
                <w:rFonts w:ascii="Arial" w:cs="Arial" w:eastAsia="Arial" w:hAnsi="Arial"/>
                <w:sz w:val="18"/>
                <w:szCs w:val="18"/>
                <w:color w:val="auto"/>
              </w:rPr>
              <w:t>Net (gain) loss from commodity derivatives</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payments on settled commodity derivatives</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480" w:type="dxa"/>
            <w:vAlign w:val="bottom"/>
          </w:tcPr>
          <w:p>
            <w:pPr>
              <w:ind w:left="240"/>
              <w:spacing w:after="0"/>
              <w:rPr>
                <w:sz w:val="20"/>
                <w:szCs w:val="20"/>
                <w:color w:val="auto"/>
              </w:rPr>
            </w:pPr>
            <w:r>
              <w:rPr>
                <w:rFonts w:ascii="Arial" w:cs="Arial" w:eastAsia="Arial" w:hAnsi="Arial"/>
                <w:sz w:val="18"/>
                <w:szCs w:val="18"/>
                <w:color w:val="auto"/>
              </w:rPr>
              <w:t>Net loss on early extinguishment of debt</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Gain on asset divestitures</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tcPr>
          <w:p>
            <w:pPr>
              <w:ind w:left="240"/>
              <w:spacing w:after="0"/>
              <w:rPr>
                <w:sz w:val="20"/>
                <w:szCs w:val="20"/>
                <w:color w:val="auto"/>
              </w:rPr>
            </w:pPr>
            <w:r>
              <w:rPr>
                <w:rFonts w:ascii="Arial" w:cs="Arial" w:eastAsia="Arial" w:hAnsi="Arial"/>
                <w:sz w:val="18"/>
                <w:szCs w:val="18"/>
                <w:color w:val="auto"/>
              </w:rPr>
              <w:t>Other non-cash charges to income, net</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Changes in operating assets and liabilities, net</w:t>
            </w:r>
          </w:p>
        </w:tc>
        <w:tc>
          <w:tcPr>
            <w:tcW w:w="1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80" w:type="dxa"/>
            <w:vAlign w:val="bottom"/>
            <w:tcBorders>
              <w:bottom w:val="single" w:sz="8" w:color="CCEEFF"/>
            </w:tcBorders>
          </w:tcPr>
          <w:p>
            <w:pPr>
              <w:ind w:left="580"/>
              <w:spacing w:after="0"/>
              <w:rPr>
                <w:sz w:val="20"/>
                <w:szCs w:val="20"/>
                <w:color w:val="auto"/>
              </w:rPr>
            </w:pPr>
            <w:r>
              <w:rPr>
                <w:rFonts w:ascii="Arial" w:cs="Arial" w:eastAsia="Arial" w:hAnsi="Arial"/>
                <w:sz w:val="18"/>
                <w:szCs w:val="18"/>
                <w:b w:val="1"/>
                <w:bCs w:val="1"/>
                <w:color w:val="auto"/>
              </w:rPr>
              <w:t>Net cash provided by operating activities</w:t>
            </w: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54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tcPr>
          <w:p>
            <w:pPr>
              <w:ind w:left="20"/>
              <w:spacing w:after="0"/>
              <w:rPr>
                <w:sz w:val="20"/>
                <w:szCs w:val="20"/>
                <w:color w:val="auto"/>
              </w:rPr>
            </w:pPr>
            <w:r>
              <w:rPr>
                <w:rFonts w:ascii="Arial" w:cs="Arial" w:eastAsia="Arial" w:hAnsi="Arial"/>
                <w:sz w:val="18"/>
                <w:szCs w:val="18"/>
                <w:b w:val="1"/>
                <w:bCs w:val="1"/>
                <w:color w:val="auto"/>
              </w:rPr>
              <w:t>CASH FLOW FROM INVESTING ACTIVITIES</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Capital investments</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480" w:type="dxa"/>
            <w:vAlign w:val="bottom"/>
          </w:tcPr>
          <w:p>
            <w:pPr>
              <w:ind w:left="120"/>
              <w:spacing w:after="0"/>
              <w:rPr>
                <w:sz w:val="20"/>
                <w:szCs w:val="20"/>
                <w:color w:val="auto"/>
              </w:rPr>
            </w:pPr>
            <w:r>
              <w:rPr>
                <w:rFonts w:ascii="Arial" w:cs="Arial" w:eastAsia="Arial" w:hAnsi="Arial"/>
                <w:sz w:val="18"/>
                <w:szCs w:val="18"/>
                <w:color w:val="auto"/>
              </w:rPr>
              <w:t>Changes in accrued capital investments</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Proceeds from asset divestitures, net</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tcPr>
          <w:p>
            <w:pPr>
              <w:ind w:left="120"/>
              <w:spacing w:after="0"/>
              <w:rPr>
                <w:sz w:val="20"/>
                <w:szCs w:val="20"/>
                <w:color w:val="auto"/>
              </w:rPr>
            </w:pPr>
            <w:r>
              <w:rPr>
                <w:rFonts w:ascii="Arial" w:cs="Arial" w:eastAsia="Arial" w:hAnsi="Arial"/>
                <w:sz w:val="18"/>
                <w:szCs w:val="18"/>
                <w:color w:val="auto"/>
              </w:rPr>
              <w:t>Purchase of a business, net of cash acquired</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(853)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(853)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Acquisitions</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tcPr>
          <w:p>
            <w:pPr>
              <w:ind w:left="120"/>
              <w:spacing w:after="0"/>
              <w:rPr>
                <w:sz w:val="20"/>
                <w:szCs w:val="20"/>
                <w:color w:val="auto"/>
              </w:rPr>
            </w:pPr>
            <w:r>
              <w:rPr>
                <w:rFonts w:ascii="Arial" w:cs="Arial" w:eastAsia="Arial" w:hAnsi="Arial"/>
                <w:sz w:val="18"/>
                <w:szCs w:val="18"/>
                <w:color w:val="auto"/>
              </w:rPr>
              <w:t>Other, net</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80" w:type="dxa"/>
            <w:vAlign w:val="bottom"/>
            <w:tcBorders>
              <w:top w:val="single" w:sz="8" w:color="CCEEFF"/>
            </w:tcBorders>
            <w:shd w:val="clear" w:color="auto" w:fill="CCEEFF"/>
          </w:tcPr>
          <w:p>
            <w:pPr>
              <w:ind w:left="580"/>
              <w:spacing w:after="0"/>
              <w:rPr>
                <w:sz w:val="20"/>
                <w:szCs w:val="20"/>
                <w:color w:val="auto"/>
              </w:rPr>
            </w:pPr>
            <w:r>
              <w:rPr>
                <w:rFonts w:ascii="Arial" w:cs="Arial" w:eastAsia="Arial" w:hAnsi="Arial"/>
                <w:sz w:val="18"/>
                <w:szCs w:val="18"/>
                <w:b w:val="1"/>
                <w:bCs w:val="1"/>
                <w:color w:val="auto"/>
              </w:rPr>
              <w:t>Net cash used in investing activities</w:t>
            </w:r>
          </w:p>
        </w:tc>
        <w:tc>
          <w:tcPr>
            <w:tcW w:w="16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(928)</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5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 FROM FINANCING ACTIVITIES</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tcPr>
          <w:p>
            <w:pPr>
              <w:ind w:left="120"/>
              <w:spacing w:after="0"/>
              <w:rPr>
                <w:sz w:val="20"/>
                <w:szCs w:val="20"/>
                <w:color w:val="auto"/>
              </w:rPr>
            </w:pPr>
            <w:r>
              <w:rPr>
                <w:rFonts w:ascii="Arial" w:cs="Arial" w:eastAsia="Arial" w:hAnsi="Arial"/>
                <w:sz w:val="18"/>
                <w:szCs w:val="18"/>
                <w:color w:val="auto"/>
              </w:rPr>
              <w:t>Proceeds from Revolving Credit Facility</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Repayments of Revolving Credit Facility</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tcPr>
          <w:p>
            <w:pPr>
              <w:ind w:left="120"/>
              <w:spacing w:after="0"/>
              <w:rPr>
                <w:sz w:val="20"/>
                <w:szCs w:val="20"/>
                <w:color w:val="auto"/>
              </w:rPr>
            </w:pPr>
            <w:r>
              <w:rPr>
                <w:rFonts w:ascii="Arial" w:cs="Arial" w:eastAsia="Arial" w:hAnsi="Arial"/>
                <w:sz w:val="18"/>
                <w:szCs w:val="18"/>
                <w:color w:val="auto"/>
              </w:rPr>
              <w:t>Proceeds from 2029 Senior Notes, net</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888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Repurchases of common stock</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tcPr>
          <w:p>
            <w:pPr>
              <w:ind w:left="120"/>
              <w:spacing w:after="0"/>
              <w:rPr>
                <w:sz w:val="20"/>
                <w:szCs w:val="20"/>
                <w:color w:val="auto"/>
              </w:rPr>
            </w:pPr>
            <w:r>
              <w:rPr>
                <w:rFonts w:ascii="Arial" w:cs="Arial" w:eastAsia="Arial" w:hAnsi="Arial"/>
                <w:sz w:val="18"/>
                <w:szCs w:val="18"/>
                <w:color w:val="auto"/>
              </w:rPr>
              <w:t>Common stock dividends</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Payments on equity-settled awards</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tcPr>
          <w:p>
            <w:pPr>
              <w:ind w:left="120"/>
              <w:spacing w:after="0"/>
              <w:rPr>
                <w:sz w:val="20"/>
                <w:szCs w:val="20"/>
                <w:color w:val="auto"/>
              </w:rPr>
            </w:pPr>
            <w:r>
              <w:rPr>
                <w:rFonts w:ascii="Arial" w:cs="Arial" w:eastAsia="Arial" w:hAnsi="Arial"/>
                <w:sz w:val="18"/>
                <w:szCs w:val="18"/>
                <w:color w:val="auto"/>
              </w:rPr>
              <w:t>Issuance of common stock</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Bridge loan commitments</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tcPr>
          <w:p>
            <w:pPr>
              <w:ind w:left="120"/>
              <w:spacing w:after="0"/>
              <w:rPr>
                <w:sz w:val="20"/>
                <w:szCs w:val="20"/>
                <w:color w:val="auto"/>
              </w:rPr>
            </w:pPr>
            <w:r>
              <w:rPr>
                <w:rFonts w:ascii="Arial" w:cs="Arial" w:eastAsia="Arial" w:hAnsi="Arial"/>
                <w:sz w:val="18"/>
                <w:szCs w:val="18"/>
                <w:color w:val="auto"/>
              </w:rPr>
              <w:t>Debt amendment costs</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 warrants exercised</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tcPr>
          <w:p>
            <w:pPr>
              <w:ind w:left="120"/>
              <w:spacing w:after="0"/>
              <w:rPr>
                <w:sz w:val="20"/>
                <w:szCs w:val="20"/>
                <w:color w:val="auto"/>
              </w:rPr>
            </w:pPr>
            <w:r>
              <w:rPr>
                <w:rFonts w:ascii="Arial" w:cs="Arial" w:eastAsia="Arial" w:hAnsi="Arial"/>
                <w:sz w:val="18"/>
                <w:szCs w:val="18"/>
                <w:color w:val="auto"/>
              </w:rPr>
              <w:t>Shares cancelled for taxes</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Debt repurchases</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tcPr>
          <w:p>
            <w:pPr>
              <w:ind w:left="12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80" w:type="dxa"/>
            <w:vAlign w:val="bottom"/>
            <w:tcBorders>
              <w:top w:val="single" w:sz="8" w:color="CCEEFF"/>
            </w:tcBorders>
            <w:shd w:val="clear" w:color="auto" w:fill="CCEEFF"/>
          </w:tcPr>
          <w:p>
            <w:pPr>
              <w:ind w:left="580"/>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16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80" w:type="dxa"/>
            <w:vAlign w:val="bottom"/>
          </w:tcPr>
          <w:p>
            <w:pPr>
              <w:ind w:left="20"/>
              <w:spacing w:after="0"/>
              <w:rPr>
                <w:sz w:val="20"/>
                <w:szCs w:val="20"/>
                <w:color w:val="auto"/>
              </w:rPr>
            </w:pPr>
            <w:r>
              <w:rPr>
                <w:rFonts w:ascii="Arial" w:cs="Arial" w:eastAsia="Arial" w:hAnsi="Arial"/>
                <w:sz w:val="18"/>
                <w:szCs w:val="18"/>
                <w:b w:val="1"/>
                <w:bCs w:val="1"/>
                <w:color w:val="auto"/>
              </w:rPr>
              <w:t>Increase (decrease) in cash and cash equivalents</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(790)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and cash equivalents—beginning of period</w:t>
            </w:r>
          </w:p>
        </w:tc>
        <w:tc>
          <w:tcPr>
            <w:tcW w:w="1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1,031</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80" w:type="dxa"/>
            <w:vAlign w:val="bottom"/>
          </w:tcPr>
          <w:p>
            <w:pPr>
              <w:ind w:left="20"/>
              <w:spacing w:after="0"/>
              <w:rPr>
                <w:sz w:val="20"/>
                <w:szCs w:val="20"/>
                <w:color w:val="auto"/>
              </w:rPr>
            </w:pPr>
            <w:r>
              <w:rPr>
                <w:rFonts w:ascii="Arial" w:cs="Arial" w:eastAsia="Arial" w:hAnsi="Arial"/>
                <w:sz w:val="18"/>
                <w:szCs w:val="18"/>
                <w:b w:val="1"/>
                <w:bCs w:val="1"/>
                <w:color w:val="auto"/>
              </w:rPr>
              <w:t>Cash and cash equivalents—end of period</w:t>
            </w:r>
          </w:p>
        </w:tc>
        <w:tc>
          <w:tcPr>
            <w:tcW w:w="160" w:type="dxa"/>
            <w:vAlign w:val="bottom"/>
          </w:tcPr>
          <w:p>
            <w:pPr>
              <w:spacing w:after="0"/>
              <w:rPr>
                <w:sz w:val="19"/>
                <w:szCs w:val="19"/>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60" w:type="dxa"/>
            <w:vAlign w:val="bottom"/>
            <w:gridSpan w:val="3"/>
            <w:vMerge w:val="restart"/>
          </w:tcPr>
          <w:p>
            <w:pPr>
              <w:spacing w:after="0"/>
              <w:rPr>
                <w:sz w:val="20"/>
                <w:szCs w:val="20"/>
                <w:color w:val="auto"/>
              </w:rPr>
            </w:pPr>
            <w:r>
              <w:rPr>
                <w:rFonts w:ascii="Arial" w:cs="Arial" w:eastAsia="Arial" w:hAnsi="Arial"/>
                <w:sz w:val="14"/>
                <w:szCs w:val="14"/>
                <w:color w:val="auto"/>
              </w:rPr>
              <w:t>The accompanying notes are an integral part of these condensed consolidated financial</w:t>
            </w:r>
          </w:p>
        </w:tc>
        <w:tc>
          <w:tcPr>
            <w:tcW w:w="1320" w:type="dxa"/>
            <w:vAlign w:val="bottom"/>
            <w:gridSpan w:val="2"/>
            <w:vMerge w:val="restart"/>
          </w:tcPr>
          <w:p>
            <w:pPr>
              <w:spacing w:after="0"/>
              <w:rPr>
                <w:sz w:val="20"/>
                <w:szCs w:val="20"/>
                <w:color w:val="auto"/>
              </w:rPr>
            </w:pPr>
            <w:r>
              <w:rPr>
                <w:rFonts w:ascii="Arial" w:cs="Arial" w:eastAsia="Arial" w:hAnsi="Arial"/>
                <w:sz w:val="14"/>
                <w:szCs w:val="14"/>
                <w:color w:val="auto"/>
              </w:rPr>
              <w:t>statements.</w:t>
            </w:r>
          </w:p>
        </w:tc>
        <w:tc>
          <w:tcPr>
            <w:tcW w:w="8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3"/>
        </w:trPr>
        <w:tc>
          <w:tcPr>
            <w:tcW w:w="5660" w:type="dxa"/>
            <w:vAlign w:val="bottom"/>
            <w:gridSpan w:val="3"/>
            <w:vMerge w:val="continue"/>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8"/>
        </w:trPr>
        <w:tc>
          <w:tcPr>
            <w:tcW w:w="2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440" w:type="dxa"/>
            <w:vAlign w:val="bottom"/>
            <w:gridSpan w:val="2"/>
          </w:tcPr>
          <w:p>
            <w:pPr>
              <w:jc w:val="right"/>
              <w:ind w:right="179"/>
              <w:spacing w:after="0"/>
              <w:rPr>
                <w:sz w:val="20"/>
                <w:szCs w:val="20"/>
                <w:color w:val="auto"/>
              </w:rPr>
            </w:pPr>
            <w:r>
              <w:rPr>
                <w:rFonts w:ascii="Arial" w:cs="Arial" w:eastAsia="Arial" w:hAnsi="Arial"/>
                <w:sz w:val="18"/>
                <w:szCs w:val="18"/>
                <w:color w:val="auto"/>
              </w:rPr>
              <w:t>9</w:t>
            </w: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9A9A9A"/>
            </w:tcBorders>
          </w:tcPr>
          <w:p>
            <w:pPr>
              <w:spacing w:after="0"/>
              <w:rPr>
                <w:sz w:val="24"/>
                <w:szCs w:val="24"/>
                <w:color w:val="auto"/>
              </w:rPr>
            </w:pPr>
          </w:p>
        </w:tc>
        <w:tc>
          <w:tcPr>
            <w:tcW w:w="54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-770890</wp:posOffset>
            </wp:positionV>
            <wp:extent cx="84010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40105" cy="8890"/>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t>CALIFORNIA RESOURCES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2024</w:t>
      </w:r>
    </w:p>
    <w:p>
      <w:pPr>
        <w:spacing w:after="0" w:line="234"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7"/>
          <w:szCs w:val="17"/>
          <w:b w:val="1"/>
          <w:bCs w:val="1"/>
          <w:color w:val="auto"/>
        </w:rPr>
        <w:t>BASIS OF PRESENTATION</w:t>
      </w:r>
    </w:p>
    <w:p>
      <w:pPr>
        <w:spacing w:after="0" w:line="252" w:lineRule="exact"/>
        <w:rPr>
          <w:sz w:val="20"/>
          <w:szCs w:val="20"/>
          <w:color w:val="auto"/>
        </w:rPr>
      </w:pPr>
    </w:p>
    <w:p>
      <w:pPr>
        <w:ind w:right="200" w:firstLine="324"/>
        <w:spacing w:after="0" w:line="262" w:lineRule="auto"/>
        <w:rPr>
          <w:sz w:val="20"/>
          <w:szCs w:val="20"/>
          <w:color w:val="auto"/>
        </w:rPr>
      </w:pPr>
      <w:r>
        <w:rPr>
          <w:rFonts w:ascii="Arial" w:cs="Arial" w:eastAsia="Arial" w:hAnsi="Arial"/>
          <w:sz w:val="18"/>
          <w:szCs w:val="18"/>
          <w:color w:val="auto"/>
        </w:rPr>
        <w:t>We are an independent energy and carbon management company committed to energy transition. We are committed to environmental stewardship while safely providing local, responsibly sourced energy. We are also focused on maximizing the value of our land, mineral ownership, and energy expertise for decarbonization by developing carbon capture and storage (CCS) and other emissions-reducing projects.</w:t>
      </w:r>
    </w:p>
    <w:p>
      <w:pPr>
        <w:spacing w:after="0" w:line="203" w:lineRule="exact"/>
        <w:rPr>
          <w:sz w:val="20"/>
          <w:szCs w:val="20"/>
          <w:color w:val="auto"/>
        </w:rPr>
      </w:pPr>
    </w:p>
    <w:p>
      <w:pPr>
        <w:ind w:right="40" w:firstLine="324"/>
        <w:spacing w:after="0" w:line="287" w:lineRule="auto"/>
        <w:rPr>
          <w:sz w:val="20"/>
          <w:szCs w:val="20"/>
          <w:color w:val="auto"/>
        </w:rPr>
      </w:pPr>
      <w:r>
        <w:rPr>
          <w:rFonts w:ascii="Arial" w:cs="Arial" w:eastAsia="Arial" w:hAnsi="Arial"/>
          <w:sz w:val="18"/>
          <w:szCs w:val="18"/>
          <w:color w:val="auto"/>
        </w:rPr>
        <w:t>Except when the context otherwise requires or where otherwise indicated, all references to ‘‘CRC,’’ the ‘‘Company,’’ ‘‘we,’’ ‘‘us’’ and ‘‘our’’ refer to California Resources Corporation and its subsidiaries as of the date presented.</w:t>
      </w:r>
    </w:p>
    <w:p>
      <w:pPr>
        <w:spacing w:after="0" w:line="180"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the opinion of our management, the accompanying unaudited condensed consolidated financial statements contain all adjustments necessary to fairly present our financial position, results of operations, comprehensive income, equity and cash flows for all periods presented. We have eliminated all significant intercompany transactions and accounts. We account for our share of oil and natural gas producing activities in which we have a direct working interest by reporting our proportionate share of assets, liabilities, revenues, costs and cash flows within the relevant lines on our condensed consolidated financial statements. In applying the equity method of accounting, our investments in our unconsolidated subsidiaries are recognized either at cost, as is the case with Carbon TerraVault JV HoldCo, LLC, or at fair value if acquired in a business combination, as is the case for Midway Sunset Cogeneration Company. These investments are then adjusted for our proportionate share of income or loss in addition to contributions and distributions.</w:t>
      </w:r>
    </w:p>
    <w:p>
      <w:pPr>
        <w:spacing w:after="0" w:line="212"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We have prepared this report in accordance with generally accepted accounting principles (GAAP) in the United States and the rules and regulations of the U.S. Securities and Exchange Commission applicable to interim financial information which permit the omission of certain disclosures to the extent they have not changed materially since the latest annual financial statements. We believe our disclosures are adequate to make the information presented not misleading.</w:t>
      </w:r>
    </w:p>
    <w:p>
      <w:pPr>
        <w:spacing w:after="0" w:line="203" w:lineRule="exact"/>
        <w:rPr>
          <w:sz w:val="20"/>
          <w:szCs w:val="20"/>
          <w:color w:val="auto"/>
        </w:rPr>
      </w:pPr>
    </w:p>
    <w:p>
      <w:pPr>
        <w:ind w:right="80" w:firstLine="324"/>
        <w:spacing w:after="0" w:line="256" w:lineRule="auto"/>
        <w:rPr>
          <w:sz w:val="20"/>
          <w:szCs w:val="20"/>
          <w:color w:val="auto"/>
        </w:rPr>
      </w:pPr>
      <w:r>
        <w:rPr>
          <w:rFonts w:ascii="Arial" w:cs="Arial" w:eastAsia="Arial" w:hAnsi="Arial"/>
          <w:sz w:val="18"/>
          <w:szCs w:val="18"/>
          <w:color w:val="auto"/>
        </w:rPr>
        <w:t xml:space="preserve">On July 1, 2024, we closed on transactions pursuant to the definitive agreement and plan of merger (Merger Agreement) to obtain all of the ownership interests in Aera Energy, LLC (Aera) (Aera Merger). Refer to </w:t>
      </w:r>
      <w:r>
        <w:rPr>
          <w:rFonts w:ascii="Arial" w:cs="Arial" w:eastAsia="Arial" w:hAnsi="Arial"/>
          <w:sz w:val="18"/>
          <w:szCs w:val="18"/>
          <w:i w:val="1"/>
          <w:iCs w:val="1"/>
          <w:color w:val="auto"/>
        </w:rPr>
        <w:t>Note 2 Aera Merger</w:t>
      </w:r>
      <w:r>
        <w:rPr>
          <w:rFonts w:ascii="Arial" w:cs="Arial" w:eastAsia="Arial" w:hAnsi="Arial"/>
          <w:sz w:val="18"/>
          <w:szCs w:val="18"/>
          <w:color w:val="auto"/>
        </w:rPr>
        <w:t xml:space="preserve"> for further discussion of the Aera Merger. The Aera Merger has been accounted for as a business combination in accordance with Accounting Standards Codification Topic 805, </w:t>
      </w:r>
      <w:r>
        <w:rPr>
          <w:rFonts w:ascii="Arial" w:cs="Arial" w:eastAsia="Arial" w:hAnsi="Arial"/>
          <w:sz w:val="18"/>
          <w:szCs w:val="18"/>
          <w:i w:val="1"/>
          <w:iCs w:val="1"/>
          <w:color w:val="auto"/>
        </w:rPr>
        <w:t xml:space="preserve">Business Combinations </w:t>
      </w:r>
      <w:r>
        <w:rPr>
          <w:rFonts w:ascii="Arial" w:cs="Arial" w:eastAsia="Arial" w:hAnsi="Arial"/>
          <w:sz w:val="18"/>
          <w:szCs w:val="18"/>
          <w:color w:val="auto"/>
        </w:rPr>
        <w:t>(ASC 805). The merger consideration of $2.1 billion was allocated to individual assets acquired net of liabilities</w:t>
      </w:r>
      <w:r>
        <w:rPr>
          <w:rFonts w:ascii="Arial" w:cs="Arial" w:eastAsia="Arial" w:hAnsi="Arial"/>
          <w:sz w:val="18"/>
          <w:szCs w:val="18"/>
          <w:i w:val="1"/>
          <w:iCs w:val="1"/>
          <w:color w:val="auto"/>
        </w:rPr>
        <w:t xml:space="preserve"> </w:t>
      </w:r>
      <w:r>
        <w:rPr>
          <w:rFonts w:ascii="Arial" w:cs="Arial" w:eastAsia="Arial" w:hAnsi="Arial"/>
          <w:sz w:val="18"/>
          <w:szCs w:val="18"/>
          <w:color w:val="auto"/>
        </w:rPr>
        <w:t>assumed based on their fair value as of July 1, 2024 and are not included on the comparative balance sheet presented. The accompanying unaudited condensed consolidated statement of operations, comprehensive income and cash flows contain the results of Aera beginning on July 1, 2024.</w:t>
      </w:r>
    </w:p>
    <w:p>
      <w:pPr>
        <w:spacing w:after="0" w:line="210"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The preparation of financial statements in conformity with GAAP requires management to select appropriate accounting policies and make informed estimates and judgments regarding certain types of financial statement balances and disclosures. Actual results could differ. Management believes that these estimates and judgments provide a reasonable basis for the fair presentation of our condensed consolidated financial statements. These condensed consolidated financial statements should be read in conjunction with the consolidated financial statements and notes thereto in our Annual Report on Form 10-K for the year ended December 31, 2023 (2023 Annual Report).</w:t>
      </w:r>
    </w:p>
    <w:p>
      <w:pPr>
        <w:spacing w:after="0" w:line="20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carrying amounts of cash, cash equivalents and on-balance sheet financial instruments, other than debt, approximate fair value.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Refer to </w:t>
      </w:r>
      <w:r>
        <w:rPr>
          <w:rFonts w:ascii="Arial" w:cs="Arial" w:eastAsia="Arial" w:hAnsi="Arial"/>
          <w:sz w:val="18"/>
          <w:szCs w:val="18"/>
          <w:i w:val="1"/>
          <w:iCs w:val="1"/>
          <w:color w:val="auto"/>
        </w:rPr>
        <w:t>Note 4 Debt</w:t>
      </w:r>
      <w:r>
        <w:rPr>
          <w:rFonts w:ascii="Arial" w:cs="Arial" w:eastAsia="Arial" w:hAnsi="Arial"/>
          <w:sz w:val="18"/>
          <w:szCs w:val="18"/>
          <w:color w:val="auto"/>
        </w:rPr>
        <w:t xml:space="preserve"> for the fair value of our debt.</w:t>
      </w:r>
    </w:p>
    <w:p>
      <w:pPr>
        <w:spacing w:after="0" w:line="234"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Certain prior period balances related to natural gas liquid (NGL) marketing activities have been reclassified to conform to our 2024 presentation. For the three and nine months ended September 30, 2023, we reclassified $1 million and $2 million, respectively, related to NGL storage activities from other revenue to revenue from marketing of purchased commodities on our condensed consolidated statement of operations.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Concentration of Customers</w:t>
      </w:r>
    </w:p>
    <w:p>
      <w:pPr>
        <w:spacing w:after="0" w:line="250" w:lineRule="exact"/>
        <w:rPr>
          <w:sz w:val="20"/>
          <w:szCs w:val="20"/>
          <w:color w:val="auto"/>
        </w:rPr>
      </w:pPr>
    </w:p>
    <w:p>
      <w:pPr>
        <w:ind w:right="120" w:firstLine="324"/>
        <w:spacing w:after="0" w:line="268" w:lineRule="auto"/>
        <w:rPr>
          <w:sz w:val="20"/>
          <w:szCs w:val="20"/>
          <w:color w:val="auto"/>
        </w:rPr>
      </w:pPr>
      <w:r>
        <w:rPr>
          <w:rFonts w:ascii="Arial" w:cs="Arial" w:eastAsia="Arial" w:hAnsi="Arial"/>
          <w:sz w:val="18"/>
          <w:szCs w:val="18"/>
          <w:color w:val="auto"/>
        </w:rPr>
        <w:t>We sell crude oil, natural gas and NGLs to marketers, California refineries and other customers that have access to transportation and storage facilities. In light of the ongoing energy deficit in California and strong demand for native crude oil production, we do not believe that the loss of any single customer would have a material adverse effect on our consolidated financial statements taken as a whole.</w:t>
      </w:r>
    </w:p>
    <w:p>
      <w:pPr>
        <w:spacing w:after="0" w:line="198"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color w:val="auto"/>
        </w:rPr>
        <w:t>For the three months ended September 30, 2024, two California customers each accounted for at least 10%, and collectively 58%, of our sales (before the effects of hedging).</w:t>
      </w:r>
    </w:p>
    <w:p>
      <w:pPr>
        <w:spacing w:after="0" w:line="180"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7"/>
          <w:szCs w:val="17"/>
          <w:b w:val="1"/>
          <w:bCs w:val="1"/>
          <w:color w:val="auto"/>
        </w:rPr>
        <w:t>AERA MERGER</w:t>
      </w:r>
    </w:p>
    <w:p>
      <w:pPr>
        <w:spacing w:after="0" w:line="252"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 xml:space="preserve">On July 1, 2024, we obtained by way of merger all of the ownership interests in Aera. Aera is a leading operator of mature fields in California, primarily in the San Joaquin and Ventura basins, with high oil-weighted production. The Aera Merger adds significant proved developed reserves to CRC. In connection with the closing of the Aera Merger, we issued 21,315,707 shares of common stock to the former Aera owners (Sellers). We also paid approximately $990 million in connection with the extinguishment of all of Aera's outstanding indebtedness using the proceeds from the issuance of our 8.25% senior notes due 2029 (2029 Senior Notes) and cash on hand. For more information on the 2029 Senior Notes and recent amendments to our Revolving Credit Facility, refer to </w:t>
      </w:r>
      <w:r>
        <w:rPr>
          <w:rFonts w:ascii="Arial" w:cs="Arial" w:eastAsia="Arial" w:hAnsi="Arial"/>
          <w:sz w:val="18"/>
          <w:szCs w:val="18"/>
          <w:i w:val="1"/>
          <w:iCs w:val="1"/>
          <w:color w:val="auto"/>
        </w:rPr>
        <w:t>Note 4 Debt</w:t>
      </w:r>
      <w:r>
        <w:rPr>
          <w:rFonts w:ascii="Arial" w:cs="Arial" w:eastAsia="Arial" w:hAnsi="Arial"/>
          <w:sz w:val="18"/>
          <w:szCs w:val="18"/>
          <w:color w:val="auto"/>
        </w:rPr>
        <w:t xml:space="preserve"> and </w:t>
      </w:r>
      <w:r>
        <w:rPr>
          <w:rFonts w:ascii="Arial" w:cs="Arial" w:eastAsia="Arial" w:hAnsi="Arial"/>
          <w:sz w:val="18"/>
          <w:szCs w:val="18"/>
          <w:i w:val="1"/>
          <w:iCs w:val="1"/>
          <w:color w:val="auto"/>
        </w:rPr>
        <w:t>Note 15 Subsequent</w:t>
      </w:r>
      <w:r>
        <w:rPr>
          <w:rFonts w:ascii="Arial" w:cs="Arial" w:eastAsia="Arial" w:hAnsi="Arial"/>
          <w:sz w:val="18"/>
          <w:szCs w:val="18"/>
          <w:color w:val="auto"/>
        </w:rPr>
        <w:t xml:space="preserve"> </w:t>
      </w:r>
      <w:r>
        <w:rPr>
          <w:rFonts w:ascii="Arial" w:cs="Arial" w:eastAsia="Arial" w:hAnsi="Arial"/>
          <w:sz w:val="18"/>
          <w:szCs w:val="18"/>
          <w:i w:val="1"/>
          <w:iCs w:val="1"/>
          <w:color w:val="auto"/>
        </w:rPr>
        <w:t>Events.</w:t>
      </w:r>
    </w:p>
    <w:p>
      <w:pPr>
        <w:spacing w:after="0" w:line="210" w:lineRule="exact"/>
        <w:rPr>
          <w:sz w:val="20"/>
          <w:szCs w:val="20"/>
          <w:color w:val="auto"/>
        </w:rPr>
      </w:pPr>
    </w:p>
    <w:p>
      <w:pPr>
        <w:ind w:right="120" w:firstLine="324"/>
        <w:spacing w:after="0" w:line="287" w:lineRule="auto"/>
        <w:rPr>
          <w:sz w:val="20"/>
          <w:szCs w:val="20"/>
          <w:color w:val="auto"/>
        </w:rPr>
      </w:pPr>
      <w:r>
        <w:rPr>
          <w:rFonts w:ascii="Arial" w:cs="Arial" w:eastAsia="Arial" w:hAnsi="Arial"/>
          <w:sz w:val="18"/>
          <w:szCs w:val="18"/>
          <w:color w:val="auto"/>
        </w:rPr>
        <w:t>As of July 1, 2024, and immediately following closing of the Aera Merger, our existing stockholders prior to the Aera Merger owned 76% of CRC and the Sellers owned 24% of CRC.</w:t>
      </w:r>
    </w:p>
    <w:p>
      <w:pPr>
        <w:spacing w:after="0" w:line="180" w:lineRule="exact"/>
        <w:rPr>
          <w:sz w:val="20"/>
          <w:szCs w:val="20"/>
          <w:color w:val="auto"/>
        </w:rPr>
      </w:pPr>
    </w:p>
    <w:p>
      <w:pPr>
        <w:ind w:right="100" w:firstLine="324"/>
        <w:spacing w:after="0" w:line="278" w:lineRule="auto"/>
        <w:rPr>
          <w:sz w:val="20"/>
          <w:szCs w:val="20"/>
          <w:color w:val="auto"/>
        </w:rPr>
      </w:pPr>
      <w:r>
        <w:rPr>
          <w:rFonts w:ascii="Arial" w:cs="Arial" w:eastAsia="Arial" w:hAnsi="Arial"/>
          <w:sz w:val="17"/>
          <w:szCs w:val="17"/>
          <w:color w:val="auto"/>
        </w:rPr>
        <w:t>At the date of this filing, our assessment of the fair value of assets acquired and liabilities assumed is not complete. Certain data necessary to complete the purchase price allocation is not yet available, and includes, but is not limited to, final appraisals of Aera's assets, evaluation of Aera's materials and supplies inventory, measurement of leases and preparation of final tax returns that will provide underlying tax basis of the assets acquired and liabilities assumed. We expect to complete the purchase price allocation during the 12-month period subsequent to the Aera Merger closing date and adjustments may be made to the provisional amounts recorded as of September 30, 2024.</w:t>
      </w:r>
    </w:p>
    <w:p>
      <w:pPr>
        <w:sectPr>
          <w:pgSz w:w="11900" w:h="16838" w:orient="portrait"/>
          <w:cols w:equalWidth="0" w:num="1">
            <w:col w:w="11220"/>
          </w:cols>
          <w:pgMar w:left="320" w:top="892" w:right="359" w:bottom="1440" w:gutter="0" w:footer="0" w:header="0"/>
        </w:sectPr>
      </w:pPr>
    </w:p>
    <w:p>
      <w:pPr>
        <w:spacing w:after="0" w:line="19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summarizes the consideration transferred: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Shares of common stock (dividend adjusted)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625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Common stock per share fair value on July 1, 2024</w:t>
      </w:r>
    </w:p>
    <w:p>
      <w:pPr>
        <w:spacing w:after="0" w:line="5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Fair value of share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Settlement of Aera debt</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Member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63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4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Total purchase consideration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Merger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17780</wp:posOffset>
            </wp:positionV>
            <wp:extent cx="160274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602740" cy="8890"/>
                    </a:xfrm>
                    <a:prstGeom prst="rect">
                      <a:avLst/>
                    </a:prstGeom>
                    <a:noFill/>
                  </pic:spPr>
                </pic:pic>
              </a:graphicData>
            </a:graphic>
          </wp:anchor>
        </w:drawing>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(in millions, except share and per</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share data)</w:t>
      </w:r>
    </w:p>
    <w:p>
      <w:pPr>
        <w:spacing w:after="0" w:line="31"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21,315,707</w:t>
      </w:r>
    </w:p>
    <w:p>
      <w:pPr>
        <w:spacing w:after="0" w:line="50"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53.28</w:t>
      </w:r>
    </w:p>
    <w:p>
      <w:pPr>
        <w:spacing w:after="0" w:line="36"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1,136</w:t>
      </w:r>
    </w:p>
    <w:p>
      <w:pPr>
        <w:spacing w:after="0" w:line="50"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990</w:t>
      </w:r>
    </w:p>
    <w:p>
      <w:pPr>
        <w:spacing w:after="0" w:line="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34925</wp:posOffset>
            </wp:positionV>
            <wp:extent cx="160274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602740" cy="8255"/>
                    </a:xfrm>
                    <a:prstGeom prst="rect">
                      <a:avLst/>
                    </a:prstGeom>
                    <a:noFill/>
                  </pic:spPr>
                </pic:pic>
              </a:graphicData>
            </a:graphic>
          </wp:anchor>
        </w:drawing>
      </w:r>
    </w:p>
    <w:p>
      <w:pPr>
        <w:spacing w:after="0" w:line="43"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34925</wp:posOffset>
            </wp:positionV>
            <wp:extent cx="160274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602740" cy="8255"/>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60325</wp:posOffset>
            </wp:positionV>
            <wp:extent cx="160274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60274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020" w:space="720"/>
            <w:col w:w="2480"/>
          </w:cols>
          <w:pgMar w:left="320" w:top="892"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2" w:right="359" w:bottom="1440" w:gutter="0" w:footer="0" w:header="0"/>
          <w:type w:val="continuous"/>
        </w:sectPr>
      </w:pPr>
    </w:p>
    <w:bookmarkStart w:id="13" w:name="page14"/>
    <w:bookmarkEnd w:id="13"/>
    <w:p>
      <w:pPr>
        <w:ind w:right="360" w:firstLine="324"/>
        <w:spacing w:after="0" w:line="287" w:lineRule="auto"/>
        <w:rPr>
          <w:sz w:val="20"/>
          <w:szCs w:val="20"/>
          <w:color w:val="auto"/>
        </w:rPr>
      </w:pPr>
      <w:r>
        <w:rPr>
          <w:rFonts w:ascii="Arial" w:cs="Arial" w:eastAsia="Arial" w:hAnsi="Arial"/>
          <w:sz w:val="18"/>
          <w:szCs w:val="18"/>
          <w:color w:val="auto"/>
        </w:rPr>
        <w:t>The following table represents the preliminary purchase price allocation of the identifiable assets acquired and the liabilities assumed based on their estimated fair values as of the closing date of the Aera Merger:</w:t>
      </w:r>
    </w:p>
    <w:p>
      <w:pPr>
        <w:sectPr>
          <w:pgSz w:w="11900" w:h="16838" w:orient="portrait"/>
          <w:cols w:equalWidth="0" w:num="1">
            <w:col w:w="11240"/>
          </w:cols>
          <w:pgMar w:left="320" w:top="89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Assets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140"/>
        <w:spacing w:after="0"/>
        <w:rPr>
          <w:sz w:val="20"/>
          <w:szCs w:val="20"/>
          <w:color w:val="auto"/>
        </w:rPr>
      </w:pPr>
      <w:r>
        <w:rPr>
          <w:rFonts w:ascii="Arial" w:cs="Arial" w:eastAsia="Arial" w:hAnsi="Arial"/>
          <w:sz w:val="18"/>
          <w:szCs w:val="18"/>
          <w:color w:val="auto"/>
        </w:rPr>
        <w:t>Other current assets</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Investment in unconsolidated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454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Property, plant and equipment</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7"/>
          <w:szCs w:val="17"/>
          <w:color w:val="auto"/>
        </w:rPr>
        <w:t>Pension and other postretirement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1454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4" w:lineRule="exact"/>
        <w:rPr>
          <w:sz w:val="20"/>
          <w:szCs w:val="20"/>
          <w:color w:val="auto"/>
        </w:rPr>
      </w:pPr>
    </w:p>
    <w:p>
      <w:pPr>
        <w:ind w:left="140"/>
        <w:spacing w:after="0"/>
        <w:rPr>
          <w:sz w:val="20"/>
          <w:szCs w:val="20"/>
          <w:color w:val="auto"/>
        </w:rPr>
      </w:pPr>
      <w:r>
        <w:rPr>
          <w:rFonts w:ascii="Arial" w:cs="Arial" w:eastAsia="Arial" w:hAnsi="Arial"/>
          <w:sz w:val="18"/>
          <w:szCs w:val="18"/>
          <w:color w:val="auto"/>
        </w:rPr>
        <w:t>Other noncurrent assets</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Total Assets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7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Liabilities Assumed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454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Accounts payable</w:t>
      </w:r>
    </w:p>
    <w:p>
      <w:pPr>
        <w:spacing w:after="0" w:line="1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Accrued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454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Asset retirement obligations</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Fair value of derivative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454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Other long-term liabilities</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Total Liabilities Assumed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Net Assets Acquired</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Preliminary Purchase Price</w:t>
      </w:r>
    </w:p>
    <w:p>
      <w:pPr>
        <w:jc w:val="center"/>
        <w:spacing w:after="0"/>
        <w:rPr>
          <w:sz w:val="20"/>
          <w:szCs w:val="20"/>
          <w:color w:val="auto"/>
        </w:rPr>
      </w:pPr>
      <w:r>
        <w:rPr>
          <w:rFonts w:ascii="Arial" w:cs="Arial" w:eastAsia="Arial" w:hAnsi="Arial"/>
          <w:sz w:val="18"/>
          <w:szCs w:val="18"/>
          <w:b w:val="1"/>
          <w:bCs w:val="1"/>
          <w:color w:val="auto"/>
        </w:rPr>
        <w:t>Allocation</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0" w:type="dxa"/>
            <w:vAlign w:val="bottom"/>
            <w:tcBorders>
              <w:top w:val="single" w:sz="8" w:color="auto"/>
            </w:tcBorders>
          </w:tcPr>
          <w:p>
            <w:pPr>
              <w:spacing w:after="0"/>
              <w:rPr>
                <w:sz w:val="16"/>
                <w:szCs w:val="16"/>
                <w:color w:val="auto"/>
              </w:rPr>
            </w:pPr>
          </w:p>
        </w:tc>
        <w:tc>
          <w:tcPr>
            <w:tcW w:w="2020" w:type="dxa"/>
            <w:vAlign w:val="bottom"/>
            <w:tcBorders>
              <w:top w:val="single" w:sz="8" w:color="auto"/>
            </w:tcBorders>
          </w:tcPr>
          <w:p>
            <w:pPr>
              <w:jc w:val="right"/>
              <w:ind w:right="811"/>
              <w:spacing w:after="0"/>
              <w:rPr>
                <w:sz w:val="20"/>
                <w:szCs w:val="20"/>
                <w:color w:val="auto"/>
              </w:rPr>
            </w:pPr>
            <w:r>
              <w:rPr>
                <w:rFonts w:ascii="Arial" w:cs="Arial" w:eastAsia="Arial" w:hAnsi="Arial"/>
                <w:sz w:val="14"/>
                <w:szCs w:val="14"/>
                <w:color w:val="auto"/>
              </w:rPr>
              <w:t>(in millions)</w:t>
            </w:r>
          </w:p>
        </w:tc>
      </w:tr>
      <w:tr>
        <w:trPr>
          <w:trHeight w:val="461"/>
        </w:trPr>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229"/>
        </w:trPr>
        <w:tc>
          <w:tcPr>
            <w:tcW w:w="50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202</w:t>
            </w:r>
          </w:p>
        </w:tc>
      </w:tr>
      <w:tr>
        <w:trPr>
          <w:trHeight w:val="229"/>
        </w:trPr>
        <w:tc>
          <w:tcPr>
            <w:tcW w:w="50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30"/>
        </w:trPr>
        <w:tc>
          <w:tcPr>
            <w:tcW w:w="50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3,119</w:t>
            </w:r>
          </w:p>
        </w:tc>
      </w:tr>
      <w:tr>
        <w:trPr>
          <w:trHeight w:val="229"/>
        </w:trPr>
        <w:tc>
          <w:tcPr>
            <w:tcW w:w="50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35"/>
        </w:trPr>
        <w:tc>
          <w:tcPr>
            <w:tcW w:w="50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r>
      <w:tr>
        <w:trPr>
          <w:trHeight w:val="223"/>
        </w:trPr>
        <w:tc>
          <w:tcPr>
            <w:tcW w:w="50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3,657</w:t>
            </w:r>
          </w:p>
        </w:tc>
      </w:tr>
      <w:tr>
        <w:trPr>
          <w:trHeight w:val="704"/>
        </w:trPr>
        <w:tc>
          <w:tcPr>
            <w:tcW w:w="500" w:type="dxa"/>
            <w:vAlign w:val="bottom"/>
          </w:tcPr>
          <w:p>
            <w:pPr>
              <w:spacing w:after="0"/>
              <w:rPr>
                <w:sz w:val="24"/>
                <w:szCs w:val="24"/>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(157)</w:t>
            </w:r>
          </w:p>
        </w:tc>
      </w:tr>
      <w:tr>
        <w:trPr>
          <w:trHeight w:val="229"/>
        </w:trPr>
        <w:tc>
          <w:tcPr>
            <w:tcW w:w="50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29"/>
        </w:trPr>
        <w:tc>
          <w:tcPr>
            <w:tcW w:w="50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(700)</w:t>
            </w:r>
          </w:p>
        </w:tc>
      </w:tr>
      <w:tr>
        <w:trPr>
          <w:trHeight w:val="230"/>
        </w:trPr>
        <w:tc>
          <w:tcPr>
            <w:tcW w:w="50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(351)</w:t>
            </w:r>
          </w:p>
        </w:tc>
      </w:tr>
      <w:tr>
        <w:trPr>
          <w:trHeight w:val="235"/>
        </w:trPr>
        <w:tc>
          <w:tcPr>
            <w:tcW w:w="50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w:t>
            </w:r>
          </w:p>
        </w:tc>
      </w:tr>
      <w:tr>
        <w:trPr>
          <w:trHeight w:val="223"/>
        </w:trPr>
        <w:tc>
          <w:tcPr>
            <w:tcW w:w="50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(1,532)</w:t>
            </w:r>
          </w:p>
        </w:tc>
      </w:tr>
      <w:tr>
        <w:trPr>
          <w:trHeight w:val="223"/>
        </w:trPr>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2,125</w:t>
            </w:r>
          </w:p>
        </w:tc>
      </w:tr>
      <w:tr>
        <w:trPr>
          <w:trHeight w:val="21"/>
        </w:trPr>
        <w:tc>
          <w:tcPr>
            <w:tcW w:w="50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000" w:space="720"/>
            <w:col w:w="2520"/>
          </w:cols>
          <w:pgMar w:left="320" w:top="890" w:right="339" w:bottom="1440" w:gutter="0" w:footer="0" w:header="0"/>
          <w:type w:val="continuous"/>
        </w:sectPr>
      </w:pPr>
    </w:p>
    <w:p>
      <w:pPr>
        <w:spacing w:after="0" w:line="119" w:lineRule="exact"/>
        <w:rPr>
          <w:sz w:val="20"/>
          <w:szCs w:val="20"/>
          <w:color w:val="auto"/>
        </w:rPr>
      </w:pPr>
    </w:p>
    <w:p>
      <w:pPr>
        <w:jc w:val="both"/>
        <w:ind w:right="100" w:firstLine="324"/>
        <w:spacing w:after="0" w:line="259" w:lineRule="auto"/>
        <w:rPr>
          <w:sz w:val="20"/>
          <w:szCs w:val="20"/>
          <w:color w:val="auto"/>
        </w:rPr>
      </w:pPr>
      <w:r>
        <w:rPr>
          <w:rFonts w:ascii="Arial" w:cs="Arial" w:eastAsia="Arial" w:hAnsi="Arial"/>
          <w:sz w:val="18"/>
          <w:szCs w:val="18"/>
          <w:color w:val="auto"/>
        </w:rPr>
        <w:t xml:space="preserve">We recorded cash based on Aera's bank balances as of July 1, 2024, which included restricted cash of $27 million. The measurements for predominately all of the other current and other noncurrent assets acquired and accounts payable, accrued liabilities and other long-term liabilities assumed are based on contracts in place at Aera on the acquisition date. Assets and liabilities related to Aera's pension and other postretirement benefit plans were measured based on actuarial valuations using Level 3 inputs. For more information on Aera's pension and other postretirement benefit plans, see </w:t>
      </w:r>
      <w:r>
        <w:rPr>
          <w:rFonts w:ascii="Arial" w:cs="Arial" w:eastAsia="Arial" w:hAnsi="Arial"/>
          <w:sz w:val="18"/>
          <w:szCs w:val="18"/>
          <w:i w:val="1"/>
          <w:iCs w:val="1"/>
          <w:color w:val="auto"/>
        </w:rPr>
        <w:t>Note 11 Pension and Postretirement Benefit Plans</w:t>
      </w:r>
      <w:r>
        <w:rPr>
          <w:rFonts w:ascii="Arial" w:cs="Arial" w:eastAsia="Arial" w:hAnsi="Arial"/>
          <w:sz w:val="18"/>
          <w:szCs w:val="18"/>
          <w:color w:val="auto"/>
        </w:rPr>
        <w:t>.</w:t>
      </w:r>
    </w:p>
    <w:p>
      <w:pPr>
        <w:spacing w:after="0" w:line="206" w:lineRule="exact"/>
        <w:rPr>
          <w:sz w:val="20"/>
          <w:szCs w:val="20"/>
          <w:color w:val="auto"/>
        </w:rPr>
      </w:pPr>
    </w:p>
    <w:p>
      <w:pPr>
        <w:ind w:right="160" w:firstLine="324"/>
        <w:spacing w:after="0" w:line="268" w:lineRule="auto"/>
        <w:rPr>
          <w:sz w:val="20"/>
          <w:szCs w:val="20"/>
          <w:color w:val="auto"/>
        </w:rPr>
      </w:pPr>
      <w:r>
        <w:rPr>
          <w:rFonts w:ascii="Arial" w:cs="Arial" w:eastAsia="Arial" w:hAnsi="Arial"/>
          <w:sz w:val="18"/>
          <w:szCs w:val="18"/>
          <w:color w:val="auto"/>
        </w:rPr>
        <w:t>The fair value of an investment in an unconsolidated subsidiary was based on a preliminary appraisal using both the cost approach and available market data. The fair value of derivative instruments was based on observable inputs, primarily forward commodity-price curves. These inputs are considered Level 2 inputs in the fair value hierarchy.</w:t>
      </w:r>
    </w:p>
    <w:p>
      <w:pPr>
        <w:spacing w:after="0" w:line="198"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The fair value of certain acquired property, plant and equipment, primarily consisting of proved oil and natural gas properties, land, gas processing plants and corporate assets including software and computer equipment, was based on preliminary appraisals. The fair value of proved oil and natural gas properties as of the acquisition date is based on estimated discounted future net cash flows incorporating market participant assumptions on an after-tax basis. Significant inputs to the valuation include estimates of future production volumes, future operating and development costs, future commodity prices, a weighted average cost of capital and a projected inflation rate. When estimating the fair value of proved properties, additional risk adjustments were applied to proved undeveloped reserves to reflect the relative uncertainty of the reserve class. These inputs are classified as Level 3 unobservable inputs, including the underlying commodity price assumptions which are based on the five-year NYMEX forward strip prices, escalated for inflation thereafter, and adjusted for price differentials.</w:t>
      </w:r>
    </w:p>
    <w:p>
      <w:pPr>
        <w:spacing w:after="0" w:line="208" w:lineRule="exact"/>
        <w:rPr>
          <w:sz w:val="20"/>
          <w:szCs w:val="20"/>
          <w:color w:val="auto"/>
        </w:rPr>
      </w:pPr>
    </w:p>
    <w:p>
      <w:pPr>
        <w:ind w:right="300" w:firstLine="324"/>
        <w:spacing w:after="0" w:line="268" w:lineRule="auto"/>
        <w:rPr>
          <w:sz w:val="20"/>
          <w:szCs w:val="20"/>
          <w:color w:val="auto"/>
        </w:rPr>
      </w:pPr>
      <w:r>
        <w:rPr>
          <w:rFonts w:ascii="Arial" w:cs="Arial" w:eastAsia="Arial" w:hAnsi="Arial"/>
          <w:sz w:val="18"/>
          <w:szCs w:val="18"/>
          <w:color w:val="auto"/>
        </w:rPr>
        <w:t>The liability for future asset retirement obligations was determined by calculating the present value of estimated future abandonment costs. We utilized several assumptions, including a credit-adjusted risk-free interest rate, estimated remediation costs, estimated timing of when the work will be performed and a projected inflation rate.</w:t>
      </w:r>
    </w:p>
    <w:p>
      <w:pPr>
        <w:spacing w:after="0" w:line="198" w:lineRule="exact"/>
        <w:rPr>
          <w:sz w:val="20"/>
          <w:szCs w:val="20"/>
          <w:color w:val="auto"/>
        </w:rPr>
      </w:pPr>
    </w:p>
    <w:p>
      <w:pPr>
        <w:ind w:right="140" w:firstLine="324"/>
        <w:spacing w:after="0" w:line="268" w:lineRule="auto"/>
        <w:rPr>
          <w:sz w:val="20"/>
          <w:szCs w:val="20"/>
          <w:color w:val="auto"/>
        </w:rPr>
      </w:pPr>
      <w:r>
        <w:rPr>
          <w:rFonts w:ascii="Arial" w:cs="Arial" w:eastAsia="Arial" w:hAnsi="Arial"/>
          <w:sz w:val="18"/>
          <w:szCs w:val="18"/>
          <w:color w:val="auto"/>
        </w:rPr>
        <w:t xml:space="preserve">Deferred income taxes, included in other noncurrent assets and long-term liabilities, represent the tax effects of differences in the tax basis and merger-date fair values of assets acquired and liabilities assumed. Refer to </w:t>
      </w:r>
      <w:r>
        <w:rPr>
          <w:rFonts w:ascii="Arial" w:cs="Arial" w:eastAsia="Arial" w:hAnsi="Arial"/>
          <w:sz w:val="18"/>
          <w:szCs w:val="18"/>
          <w:i w:val="1"/>
          <w:iCs w:val="1"/>
          <w:color w:val="auto"/>
        </w:rPr>
        <w:t>Note 7 Income Taxes</w:t>
      </w:r>
      <w:r>
        <w:rPr>
          <w:rFonts w:ascii="Arial" w:cs="Arial" w:eastAsia="Arial" w:hAnsi="Arial"/>
          <w:sz w:val="18"/>
          <w:szCs w:val="18"/>
          <w:color w:val="auto"/>
        </w:rPr>
        <w:t xml:space="preserve"> for additional information on the deferred tax liability.</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type w:val="continuous"/>
        </w:sectPr>
      </w:pPr>
    </w:p>
    <w:bookmarkStart w:id="14" w:name="page15"/>
    <w:bookmarkEnd w:id="14"/>
    <w:p>
      <w:pPr>
        <w:ind w:firstLine="324"/>
        <w:spacing w:after="0" w:line="268" w:lineRule="auto"/>
        <w:rPr>
          <w:sz w:val="20"/>
          <w:szCs w:val="20"/>
          <w:color w:val="auto"/>
        </w:rPr>
      </w:pPr>
      <w:r>
        <w:rPr>
          <w:rFonts w:ascii="Arial" w:cs="Arial" w:eastAsia="Arial" w:hAnsi="Arial"/>
          <w:sz w:val="18"/>
          <w:szCs w:val="18"/>
          <w:color w:val="auto"/>
        </w:rPr>
        <w:t>Lease-related assets and liabilities acquired are remeasured as if the leases were new at the merger date. These agreements are still under review for measurement at an updated incremental borrowing rate. Lease assets are included in property, plant and equipment and the liabilities are included in accrued liabilities and other long-term liabilities.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Supplemental Unaudited Pro Forma Financial Information</w:t>
      </w:r>
    </w:p>
    <w:p>
      <w:pPr>
        <w:spacing w:after="0" w:line="250" w:lineRule="exact"/>
        <w:rPr>
          <w:sz w:val="20"/>
          <w:szCs w:val="20"/>
          <w:color w:val="auto"/>
        </w:rPr>
      </w:pPr>
    </w:p>
    <w:p>
      <w:pPr>
        <w:ind w:right="160" w:firstLine="324"/>
        <w:spacing w:after="0" w:line="287" w:lineRule="auto"/>
        <w:rPr>
          <w:sz w:val="20"/>
          <w:szCs w:val="20"/>
          <w:color w:val="auto"/>
        </w:rPr>
      </w:pPr>
      <w:r>
        <w:rPr>
          <w:rFonts w:ascii="Arial" w:cs="Arial" w:eastAsia="Arial" w:hAnsi="Arial"/>
          <w:sz w:val="18"/>
          <w:szCs w:val="18"/>
          <w:color w:val="auto"/>
        </w:rPr>
        <w:t>The following supplemental unaudited pro forma financial information presents the condensed consolidated results of operations for the three and nine months ended September 30, 2024 and 2023 as if the Aera Merger had occurred on January 1, 2023.</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6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rPr>
              <w:t>Three months ended</w:t>
            </w:r>
          </w:p>
        </w:tc>
        <w:tc>
          <w:tcPr>
            <w:tcW w:w="320" w:type="dxa"/>
            <w:vAlign w:val="bottom"/>
          </w:tcPr>
          <w:p>
            <w:pPr>
              <w:spacing w:after="0"/>
              <w:rPr>
                <w:sz w:val="17"/>
                <w:szCs w:val="17"/>
                <w:color w:val="auto"/>
              </w:rPr>
            </w:pPr>
          </w:p>
        </w:tc>
        <w:tc>
          <w:tcPr>
            <w:tcW w:w="2660" w:type="dxa"/>
            <w:vAlign w:val="bottom"/>
            <w:gridSpan w:val="4"/>
          </w:tcPr>
          <w:p>
            <w:pPr>
              <w:jc w:val="center"/>
              <w:ind w:right="230"/>
              <w:spacing w:after="0"/>
              <w:rPr>
                <w:sz w:val="20"/>
                <w:szCs w:val="20"/>
                <w:color w:val="auto"/>
              </w:rPr>
            </w:pPr>
            <w:r>
              <w:rPr>
                <w:rFonts w:ascii="Arial" w:cs="Arial" w:eastAsia="Arial" w:hAnsi="Arial"/>
                <w:sz w:val="18"/>
                <w:szCs w:val="18"/>
                <w:b w:val="1"/>
                <w:bCs w:val="1"/>
                <w:color w:val="auto"/>
                <w:w w:val="99"/>
              </w:rPr>
              <w:t>Nine months ended</w:t>
            </w:r>
          </w:p>
        </w:tc>
      </w:tr>
      <w:tr>
        <w:trPr>
          <w:trHeight w:val="243"/>
        </w:trPr>
        <w:tc>
          <w:tcPr>
            <w:tcW w:w="5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76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99"/>
              </w:rPr>
              <w:t>September 30,</w:t>
            </w:r>
          </w:p>
        </w:tc>
        <w:tc>
          <w:tcPr>
            <w:tcW w:w="320" w:type="dxa"/>
            <w:vAlign w:val="bottom"/>
          </w:tcPr>
          <w:p>
            <w:pPr>
              <w:spacing w:after="0"/>
              <w:rPr>
                <w:sz w:val="21"/>
                <w:szCs w:val="21"/>
                <w:color w:val="auto"/>
              </w:rPr>
            </w:pPr>
          </w:p>
        </w:tc>
        <w:tc>
          <w:tcPr>
            <w:tcW w:w="2660" w:type="dxa"/>
            <w:vAlign w:val="bottom"/>
            <w:gridSpan w:val="4"/>
          </w:tcPr>
          <w:p>
            <w:pPr>
              <w:jc w:val="center"/>
              <w:ind w:right="230"/>
              <w:spacing w:after="0"/>
              <w:rPr>
                <w:sz w:val="20"/>
                <w:szCs w:val="20"/>
                <w:color w:val="auto"/>
              </w:rPr>
            </w:pPr>
            <w:r>
              <w:rPr>
                <w:rFonts w:ascii="Arial" w:cs="Arial" w:eastAsia="Arial" w:hAnsi="Arial"/>
                <w:sz w:val="18"/>
                <w:szCs w:val="18"/>
                <w:b w:val="1"/>
                <w:bCs w:val="1"/>
                <w:color w:val="auto"/>
                <w:w w:val="99"/>
              </w:rPr>
              <w:t>September 30,</w:t>
            </w:r>
          </w:p>
        </w:tc>
      </w:tr>
      <w:tr>
        <w:trPr>
          <w:trHeight w:val="223"/>
        </w:trPr>
        <w:tc>
          <w:tcPr>
            <w:tcW w:w="518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r>
      <w:tr>
        <w:trPr>
          <w:trHeight w:val="233"/>
        </w:trPr>
        <w:tc>
          <w:tcPr>
            <w:tcW w:w="5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40" w:type="dxa"/>
            <w:vAlign w:val="bottom"/>
            <w:gridSpan w:val="3"/>
          </w:tcPr>
          <w:p>
            <w:pPr>
              <w:jc w:val="center"/>
              <w:ind w:left="612"/>
              <w:spacing w:after="0"/>
              <w:rPr>
                <w:sz w:val="20"/>
                <w:szCs w:val="20"/>
                <w:color w:val="auto"/>
              </w:rPr>
            </w:pPr>
            <w:r>
              <w:rPr>
                <w:rFonts w:ascii="Arial" w:cs="Arial" w:eastAsia="Arial" w:hAnsi="Arial"/>
                <w:sz w:val="14"/>
                <w:szCs w:val="14"/>
                <w:color w:val="auto"/>
              </w:rPr>
              <w:t>(in millions)</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40" w:type="dxa"/>
            <w:vAlign w:val="bottom"/>
            <w:gridSpan w:val="3"/>
          </w:tcPr>
          <w:p>
            <w:pPr>
              <w:jc w:val="center"/>
              <w:ind w:left="612"/>
              <w:spacing w:after="0"/>
              <w:rPr>
                <w:sz w:val="20"/>
                <w:szCs w:val="20"/>
                <w:color w:val="auto"/>
              </w:rPr>
            </w:pPr>
            <w:r>
              <w:rPr>
                <w:rFonts w:ascii="Arial" w:cs="Arial" w:eastAsia="Arial" w:hAnsi="Arial"/>
                <w:sz w:val="14"/>
                <w:szCs w:val="14"/>
                <w:color w:val="auto"/>
              </w:rPr>
              <w:t>(in millions)</w:t>
            </w:r>
          </w:p>
        </w:tc>
        <w:tc>
          <w:tcPr>
            <w:tcW w:w="1020" w:type="dxa"/>
            <w:vAlign w:val="bottom"/>
          </w:tcPr>
          <w:p>
            <w:pPr>
              <w:spacing w:after="0"/>
              <w:rPr>
                <w:sz w:val="20"/>
                <w:szCs w:val="20"/>
                <w:color w:val="auto"/>
              </w:rPr>
            </w:pPr>
          </w:p>
        </w:tc>
      </w:tr>
      <w:tr>
        <w:trPr>
          <w:trHeight w:val="234"/>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revenue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3,006</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3,165</w:t>
            </w:r>
          </w:p>
        </w:tc>
      </w:tr>
      <w:tr>
        <w:trPr>
          <w:trHeight w:val="229"/>
        </w:trPr>
        <w:tc>
          <w:tcPr>
            <w:tcW w:w="51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386</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(459)</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57"/>
        </w:trPr>
        <w:tc>
          <w:tcPr>
            <w:tcW w:w="51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r>
      <w:tr>
        <w:trPr>
          <w:trHeight w:val="229"/>
        </w:trPr>
        <w:tc>
          <w:tcPr>
            <w:tcW w:w="5180" w:type="dxa"/>
            <w:vAlign w:val="bottom"/>
          </w:tcPr>
          <w:p>
            <w:pPr>
              <w:ind w:left="20"/>
              <w:spacing w:after="0"/>
              <w:rPr>
                <w:sz w:val="20"/>
                <w:szCs w:val="20"/>
                <w:color w:val="auto"/>
              </w:rPr>
            </w:pPr>
            <w:r>
              <w:rPr>
                <w:rFonts w:ascii="Arial" w:cs="Arial" w:eastAsia="Arial" w:hAnsi="Arial"/>
                <w:sz w:val="18"/>
                <w:szCs w:val="18"/>
                <w:b w:val="1"/>
                <w:bCs w:val="1"/>
                <w:color w:val="auto"/>
              </w:rPr>
              <w:t>EPS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5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r>
      <w:tr>
        <w:trPr>
          <w:trHeight w:val="239"/>
        </w:trPr>
        <w:tc>
          <w:tcPr>
            <w:tcW w:w="5180" w:type="dxa"/>
            <w:vAlign w:val="bottom"/>
          </w:tcPr>
          <w:p>
            <w:pPr>
              <w:ind w:left="140"/>
              <w:spacing w:after="0"/>
              <w:rPr>
                <w:sz w:val="20"/>
                <w:szCs w:val="20"/>
                <w:color w:val="auto"/>
              </w:rPr>
            </w:pPr>
            <w:r>
              <w:rPr>
                <w:rFonts w:ascii="Arial" w:cs="Arial" w:eastAsia="Arial" w:hAnsi="Arial"/>
                <w:sz w:val="18"/>
                <w:szCs w:val="18"/>
                <w:color w:val="auto"/>
              </w:rPr>
              <w:t>Diluted</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4.23</w:t>
            </w:r>
          </w:p>
        </w:tc>
        <w:tc>
          <w:tcPr>
            <w:tcW w:w="10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0.45</w:t>
            </w:r>
          </w:p>
        </w:tc>
      </w:tr>
    </w:tbl>
    <w:p>
      <w:pPr>
        <w:spacing w:after="0" w:line="309"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The pro forma information is presented for illustration purposes only and is not necessarily indicative of the operating results that would have occurred had the Aera Merger been completed on January 1, 2023, nor is it necessarily indicative of future operating results of the combined entity. The pro forma financial information for the three and nine months ended September 30, 2024 and 2023 is a result of combining our three and nine months statements of operations with Aera's pre-merger results from January 1, 2024 and 2023 and includes adjustments for revenues and direct expenses. The pro forma results do not reflect any cost savings anticipated as a result of the Aera Merger and exclude the impact of any severance and merger-related costs. The pro forma results include adjustments to depreciation, depletion and amortization (DD&amp;A) based on the purchase price allocated to property, plant, and equipment and the estimated useful lives as well as adjustments to interest and accretion expense. The pro forma adjustments include estimates and assumptions based on currently available information. Management believes the estimates and assumptions are reasonable, and the relative effects of the Aera Merger are properly reflected. Future results may vary significantly from the results reflected in the following pro forma information.</w:t>
      </w:r>
    </w:p>
    <w:p>
      <w:pPr>
        <w:spacing w:after="0" w:line="212" w:lineRule="exact"/>
        <w:rPr>
          <w:sz w:val="20"/>
          <w:szCs w:val="20"/>
          <w:color w:val="auto"/>
        </w:rPr>
      </w:pPr>
    </w:p>
    <w:p>
      <w:pPr>
        <w:ind w:right="520" w:firstLine="324"/>
        <w:spacing w:after="0" w:line="287" w:lineRule="auto"/>
        <w:rPr>
          <w:sz w:val="20"/>
          <w:szCs w:val="20"/>
          <w:color w:val="auto"/>
        </w:rPr>
      </w:pPr>
      <w:r>
        <w:rPr>
          <w:rFonts w:ascii="Arial" w:cs="Arial" w:eastAsia="Arial" w:hAnsi="Arial"/>
          <w:sz w:val="18"/>
          <w:szCs w:val="18"/>
          <w:color w:val="auto"/>
        </w:rPr>
        <w:t>For the period of July 1, 2024 through September 30, 2024, revenue and income before income taxes associated with Aera totaled $765 million and $400 million, respectively.</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400" w:type="dxa"/>
            <w:vAlign w:val="bottom"/>
          </w:tcPr>
          <w:p>
            <w:pPr>
              <w:ind w:left="340"/>
              <w:spacing w:after="0"/>
              <w:rPr>
                <w:sz w:val="20"/>
                <w:szCs w:val="20"/>
                <w:color w:val="auto"/>
              </w:rPr>
            </w:pPr>
            <w:r>
              <w:rPr>
                <w:rFonts w:ascii="Arial" w:cs="Arial" w:eastAsia="Arial" w:hAnsi="Arial"/>
                <w:sz w:val="18"/>
                <w:szCs w:val="18"/>
                <w:color w:val="auto"/>
              </w:rPr>
              <w:t>The following table summarizes the merger-related costs incurred:</w:t>
            </w:r>
          </w:p>
        </w:tc>
        <w:tc>
          <w:tcPr>
            <w:tcW w:w="2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40" w:type="dxa"/>
            <w:vAlign w:val="bottom"/>
          </w:tcPr>
          <w:p>
            <w:pPr>
              <w:spacing w:after="0"/>
              <w:rPr>
                <w:sz w:val="20"/>
                <w:szCs w:val="20"/>
                <w:color w:val="auto"/>
              </w:rPr>
            </w:pPr>
          </w:p>
        </w:tc>
      </w:tr>
      <w:tr>
        <w:trPr>
          <w:trHeight w:val="442"/>
        </w:trPr>
        <w:tc>
          <w:tcPr>
            <w:tcW w:w="6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60" w:type="dxa"/>
            <w:vAlign w:val="bottom"/>
            <w:gridSpan w:val="2"/>
          </w:tcPr>
          <w:p>
            <w:pPr>
              <w:ind w:left="100"/>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Pr>
          <w:p>
            <w:pPr>
              <w:spacing w:after="0"/>
              <w:rPr>
                <w:sz w:val="24"/>
                <w:szCs w:val="24"/>
                <w:color w:val="auto"/>
              </w:rPr>
            </w:pPr>
          </w:p>
        </w:tc>
        <w:tc>
          <w:tcPr>
            <w:tcW w:w="2040" w:type="dxa"/>
            <w:vAlign w:val="bottom"/>
          </w:tcPr>
          <w:p>
            <w:pPr>
              <w:jc w:val="right"/>
              <w:ind w:right="270"/>
              <w:spacing w:after="0"/>
              <w:rPr>
                <w:sz w:val="20"/>
                <w:szCs w:val="20"/>
                <w:color w:val="auto"/>
              </w:rPr>
            </w:pPr>
            <w:r>
              <w:rPr>
                <w:rFonts w:ascii="Arial" w:cs="Arial" w:eastAsia="Arial" w:hAnsi="Arial"/>
                <w:sz w:val="18"/>
                <w:szCs w:val="18"/>
                <w:b w:val="1"/>
                <w:bCs w:val="1"/>
                <w:color w:val="auto"/>
                <w:w w:val="99"/>
              </w:rPr>
              <w:t>Nine months ended</w:t>
            </w:r>
          </w:p>
        </w:tc>
      </w:tr>
      <w:tr>
        <w:trPr>
          <w:trHeight w:val="243"/>
        </w:trPr>
        <w:tc>
          <w:tcPr>
            <w:tcW w:w="64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tcPr>
          <w:p>
            <w:pPr>
              <w:jc w:val="right"/>
              <w:ind w:right="253"/>
              <w:spacing w:after="0"/>
              <w:rPr>
                <w:sz w:val="20"/>
                <w:szCs w:val="20"/>
                <w:color w:val="auto"/>
              </w:rPr>
            </w:pPr>
            <w:r>
              <w:rPr>
                <w:rFonts w:ascii="Arial" w:cs="Arial" w:eastAsia="Arial" w:hAnsi="Arial"/>
                <w:sz w:val="18"/>
                <w:szCs w:val="18"/>
                <w:b w:val="1"/>
                <w:bCs w:val="1"/>
                <w:color w:val="auto"/>
              </w:rPr>
              <w:t>September 30, 2024</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9"/>
              </w:rPr>
              <w:t>September 30, 2024</w:t>
            </w:r>
          </w:p>
        </w:tc>
      </w:tr>
      <w:tr>
        <w:trPr>
          <w:trHeight w:val="232"/>
        </w:trPr>
        <w:tc>
          <w:tcPr>
            <w:tcW w:w="6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2040" w:type="dxa"/>
            <w:vAlign w:val="bottom"/>
          </w:tcPr>
          <w:p>
            <w:pPr>
              <w:spacing w:after="0"/>
              <w:rPr>
                <w:sz w:val="20"/>
                <w:szCs w:val="20"/>
                <w:color w:val="auto"/>
              </w:rPr>
            </w:pPr>
          </w:p>
        </w:tc>
      </w:tr>
      <w:tr>
        <w:trPr>
          <w:trHeight w:val="234"/>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severance and related costs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30"/>
        </w:trPr>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Transaction and integration costs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r>
      <w:tr>
        <w:trPr>
          <w:trHeight w:val="223"/>
        </w:trPr>
        <w:tc>
          <w:tcPr>
            <w:tcW w:w="6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merger-related costs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r>
    </w:tbl>
    <w:p>
      <w:pPr>
        <w:spacing w:after="0" w:line="305" w:lineRule="exact"/>
        <w:rPr>
          <w:sz w:val="20"/>
          <w:szCs w:val="20"/>
          <w:color w:val="auto"/>
        </w:rPr>
      </w:pPr>
    </w:p>
    <w:p>
      <w:pPr>
        <w:ind w:right="160" w:firstLine="324"/>
        <w:spacing w:after="0" w:line="287" w:lineRule="auto"/>
        <w:rPr>
          <w:sz w:val="20"/>
          <w:szCs w:val="20"/>
          <w:color w:val="auto"/>
        </w:rPr>
      </w:pPr>
      <w:r>
        <w:rPr>
          <w:rFonts w:ascii="Arial" w:cs="Arial" w:eastAsia="Arial" w:hAnsi="Arial"/>
          <w:sz w:val="18"/>
          <w:szCs w:val="18"/>
          <w:color w:val="auto"/>
        </w:rPr>
        <w:t>Transaction and integration costs related to the Aera Merger and employee severance and related costs are included in other operating expenses, net on our condensed consolidated statement of operations.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15" w:name="page16"/>
    <w:bookmarkEnd w:id="15"/>
    <w:p>
      <w:pPr>
        <w:ind w:right="40" w:firstLine="324"/>
        <w:spacing w:after="0" w:line="262" w:lineRule="auto"/>
        <w:rPr>
          <w:sz w:val="20"/>
          <w:szCs w:val="20"/>
          <w:color w:val="auto"/>
        </w:rPr>
      </w:pPr>
      <w:r>
        <w:rPr>
          <w:rFonts w:ascii="Arial" w:cs="Arial" w:eastAsia="Arial" w:hAnsi="Arial"/>
          <w:sz w:val="18"/>
          <w:szCs w:val="18"/>
          <w:color w:val="auto"/>
        </w:rPr>
        <w:t>In August 2024, management committed to a reduction in force as part of the integration process following the Aera Merger, which, when complete, will result in a 12% reduction in the combined company's employee headcount. We initiated this workforce reduction to align the size and composition of our workforce with expected future operating and capital plans. In addition, employee severance and related costs includes expenses from a voluntary separation program for eligible employees.</w:t>
      </w:r>
    </w:p>
    <w:p>
      <w:pPr>
        <w:spacing w:after="0" w:line="203" w:lineRule="exact"/>
        <w:rPr>
          <w:sz w:val="20"/>
          <w:szCs w:val="20"/>
          <w:color w:val="auto"/>
        </w:rPr>
      </w:pPr>
    </w:p>
    <w:p>
      <w:pPr>
        <w:ind w:right="160" w:firstLine="324"/>
        <w:spacing w:after="0" w:line="268" w:lineRule="auto"/>
        <w:rPr>
          <w:sz w:val="20"/>
          <w:szCs w:val="20"/>
          <w:color w:val="auto"/>
        </w:rPr>
      </w:pPr>
      <w:r>
        <w:rPr>
          <w:rFonts w:ascii="Arial" w:cs="Arial" w:eastAsia="Arial" w:hAnsi="Arial"/>
          <w:sz w:val="18"/>
          <w:szCs w:val="18"/>
          <w:color w:val="auto"/>
        </w:rPr>
        <w:t>The accelerated vesting of certain awards for former Aera executives was $7 million, and is included in general and administrative expenses for the three and nine months ended September 30, 2024. This amount for accelerated vesting is not included in the table above. The accelerated vesting was based on existing change of control provisions within the former Aera employee award agreements.</w:t>
      </w:r>
    </w:p>
    <w:p>
      <w:pPr>
        <w:spacing w:after="0" w:line="198"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7"/>
          <w:szCs w:val="17"/>
          <w:b w:val="1"/>
          <w:bCs w:val="1"/>
          <w:color w:val="auto"/>
        </w:rPr>
        <w:t>INVESTMENT IN UNCONSOLIDATED SUBSIDIARIES AND RELATED PARTY TRANSACTIONS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Midway Sunset Cogeneration Company</w:t>
      </w:r>
    </w:p>
    <w:p>
      <w:pPr>
        <w:spacing w:after="0" w:line="250"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In July 2024, our merger with Aera led to our ownership of Midway Sunset Cogeneration Company, which is a partnership designed to own, manage, and operate a cogeneration facility in Kern County, California. We hold a 50% interest in Midway Sunset Cogeneration Company and San Joaquin Energy Company, a subsidiary of NRG Energy Inc. (NRG), holds a 50% interest. We determined that Midway Sunset Cogeneration Company is a voting interest entity, where we share decision-making power with San Joaquin Energy Company, on all matters that most significantly impact the economic performance of the company. Therefore, we account for our investment in Midway Sunset Cogeneration Company under the equity method of accounting. We recorded our investment at a preliminary fair value of $ 59 million which was $48 million in excess of Aera's investment in the underlying assets of the partnership. This difference is associated with PP&amp;E and we expect this amount will reverse over the remaining useful life of the power plant. There are no significant transactions between CRC and Midway Sunset Cogeneration Company. As of September 30, 2024, the carrying value of our investment in Midway Sunset Cogeneration Company was $55 million.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Carbon TerraVault JV</w:t>
      </w:r>
    </w:p>
    <w:p>
      <w:pPr>
        <w:spacing w:after="0" w:line="250"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In August 2022, we entered into a joint venture with BGTF Sierra Aggregator LLC (Brookfield) for the further development of a carbon management business in California (Carbon TerraVault JV). We hold a 51% interest in the Carbon TerraVault JV and Brookfield holds a 49% interest. We determined that the Carbon TerraVault JV is a variable interest entity (VIE); however, we share decision-making power with Brookfield on all matters that most significantly impact the economic performance of the joint venture. Therefore, we account for our investment in the Carbon TerraVault JV under the equity method of accounting. Transactions between us and the Carbon TerraVault JV are related party transactions.</w:t>
      </w:r>
    </w:p>
    <w:p>
      <w:pPr>
        <w:spacing w:after="0" w:line="209" w:lineRule="exact"/>
        <w:rPr>
          <w:sz w:val="20"/>
          <w:szCs w:val="20"/>
          <w:color w:val="auto"/>
        </w:rPr>
      </w:pPr>
    </w:p>
    <w:p>
      <w:pPr>
        <w:ind w:right="200" w:firstLine="324"/>
        <w:spacing w:after="0"/>
        <w:rPr>
          <w:sz w:val="20"/>
          <w:szCs w:val="20"/>
          <w:color w:val="auto"/>
        </w:rPr>
      </w:pPr>
      <w:r>
        <w:rPr>
          <w:rFonts w:ascii="Arial" w:cs="Arial" w:eastAsia="Arial" w:hAnsi="Arial"/>
          <w:sz w:val="18"/>
          <w:szCs w:val="18"/>
          <w:color w:val="auto"/>
        </w:rPr>
        <w:t>Brookfield committed an initial $500 million to invest in CCS projects that are jointly approved through the Carbon TerraVault JV. Our initial contribution included rights to inject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into the 26R reservoir in our Elk Hills field for permanent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storage (26R reservoir). Brookfield's initial investment is $137 million, of which $92 million has been contributed to date. The remaining amount of Brookfield's initial investment will be sized based on permitted storage capacity.</w:t>
      </w:r>
    </w:p>
    <w:p>
      <w:pPr>
        <w:spacing w:after="0" w:line="222" w:lineRule="exact"/>
        <w:rPr>
          <w:sz w:val="20"/>
          <w:szCs w:val="20"/>
          <w:color w:val="auto"/>
        </w:rPr>
      </w:pPr>
    </w:p>
    <w:p>
      <w:pPr>
        <w:ind w:right="160" w:firstLine="324"/>
        <w:spacing w:after="0" w:line="262" w:lineRule="auto"/>
        <w:rPr>
          <w:sz w:val="20"/>
          <w:szCs w:val="20"/>
          <w:color w:val="auto"/>
        </w:rPr>
      </w:pPr>
      <w:r>
        <w:rPr>
          <w:rFonts w:ascii="Arial" w:cs="Arial" w:eastAsia="Arial" w:hAnsi="Arial"/>
          <w:sz w:val="18"/>
          <w:szCs w:val="18"/>
          <w:color w:val="auto"/>
        </w:rPr>
        <w:t>Because the parties have certain put and call rights (repurchase features) with respect to the 26R reservoir if certain milestones are not met, the initial investment by Brookfield is reflected as a contingent liability included in other long-term liabilities on our condensed consolidated balance sheets. The contingent liability was $104 million and $52 million at September 30, 2024 and December 31, 2023, respectively, inclusive of interest.</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6" w:name="page17"/>
    <w:bookmarkEnd w:id="16"/>
    <w:p>
      <w:pPr>
        <w:ind w:right="40" w:firstLine="324"/>
        <w:spacing w:after="0" w:line="268" w:lineRule="auto"/>
        <w:rPr>
          <w:sz w:val="20"/>
          <w:szCs w:val="20"/>
          <w:color w:val="auto"/>
        </w:rPr>
      </w:pPr>
      <w:r>
        <w:rPr>
          <w:rFonts w:ascii="Arial" w:cs="Arial" w:eastAsia="Arial" w:hAnsi="Arial"/>
          <w:sz w:val="18"/>
          <w:szCs w:val="18"/>
          <w:color w:val="auto"/>
        </w:rPr>
        <w:t>The tables below present the summarized financial information related to our equity method investment in the Carbon TerraVault JV (and do not include amounts we have incurred related to development of our carbon management business, Carbon TerraVault), along with related party transactions for the periods presented.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gridSpan w:val="2"/>
          </w:tcPr>
          <w:p>
            <w:pPr>
              <w:ind w:left="100"/>
              <w:spacing w:after="0"/>
              <w:rPr>
                <w:sz w:val="20"/>
                <w:szCs w:val="20"/>
                <w:color w:val="auto"/>
              </w:rPr>
            </w:pPr>
            <w:r>
              <w:rPr>
                <w:rFonts w:ascii="Arial" w:cs="Arial" w:eastAsia="Arial" w:hAnsi="Arial"/>
                <w:sz w:val="18"/>
                <w:szCs w:val="18"/>
                <w:b w:val="1"/>
                <w:bCs w:val="1"/>
                <w:color w:val="auto"/>
              </w:rPr>
              <w:t>September 30,</w:t>
            </w:r>
          </w:p>
        </w:tc>
        <w:tc>
          <w:tcPr>
            <w:tcW w:w="320" w:type="dxa"/>
            <w:vAlign w:val="bottom"/>
          </w:tcPr>
          <w:p>
            <w:pPr>
              <w:spacing w:after="0"/>
              <w:rPr>
                <w:sz w:val="19"/>
                <w:szCs w:val="19"/>
                <w:color w:val="auto"/>
              </w:rPr>
            </w:pPr>
          </w:p>
        </w:tc>
        <w:tc>
          <w:tcPr>
            <w:tcW w:w="1540" w:type="dxa"/>
            <w:vAlign w:val="bottom"/>
          </w:tcPr>
          <w:p>
            <w:pPr>
              <w:jc w:val="right"/>
              <w:ind w:right="25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5"/>
        </w:trPr>
        <w:tc>
          <w:tcPr>
            <w:tcW w:w="74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633"/>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233"/>
        </w:trPr>
        <w:tc>
          <w:tcPr>
            <w:tcW w:w="7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6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 in unconsolidated subsidiary</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7420" w:type="dxa"/>
            <w:vAlign w:val="bottom"/>
          </w:tcPr>
          <w:p>
            <w:pPr>
              <w:ind w:left="20"/>
              <w:spacing w:after="0" w:line="230" w:lineRule="exact"/>
              <w:rPr>
                <w:sz w:val="20"/>
                <w:szCs w:val="20"/>
                <w:color w:val="auto"/>
              </w:rPr>
            </w:pPr>
            <w:r>
              <w:rPr>
                <w:rFonts w:ascii="Arial" w:cs="Arial" w:eastAsia="Arial" w:hAnsi="Arial"/>
                <w:sz w:val="18"/>
                <w:szCs w:val="18"/>
                <w:color w:val="auto"/>
              </w:rPr>
              <w:t>Receivable from affiliate</w:t>
            </w:r>
            <w:r>
              <w:rPr>
                <w:rFonts w:ascii="Arial" w:cs="Arial" w:eastAsia="Arial" w:hAnsi="Arial"/>
                <w:sz w:val="23"/>
                <w:szCs w:val="23"/>
                <w:color w:val="auto"/>
                <w:vertAlign w:val="superscript"/>
              </w:rPr>
              <w:t>(a)</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75"/>
        </w:trPr>
        <w:tc>
          <w:tcPr>
            <w:tcW w:w="74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Other long-term liabilities - Contingent liability (related to Carbon TerraVault JV put and call</w:t>
            </w: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5"/>
                <w:szCs w:val="15"/>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43"/>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rights)</w:t>
            </w:r>
          </w:p>
        </w:tc>
        <w:tc>
          <w:tcPr>
            <w:tcW w:w="220" w:type="dxa"/>
            <w:vAlign w:val="bottom"/>
            <w:vMerge w:val="continue"/>
            <w:shd w:val="clear" w:color="auto" w:fill="CCEEFF"/>
          </w:tcPr>
          <w:p>
            <w:pPr>
              <w:spacing w:after="0"/>
              <w:rPr>
                <w:sz w:val="21"/>
                <w:szCs w:val="21"/>
                <w:color w:val="auto"/>
              </w:rPr>
            </w:pPr>
          </w:p>
        </w:tc>
        <w:tc>
          <w:tcPr>
            <w:tcW w:w="16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vMerge w:val="continue"/>
            <w:shd w:val="clear" w:color="auto" w:fill="CCEEFF"/>
          </w:tcPr>
          <w:p>
            <w:pPr>
              <w:spacing w:after="0"/>
              <w:rPr>
                <w:sz w:val="21"/>
                <w:szCs w:val="21"/>
                <w:color w:val="auto"/>
              </w:rPr>
            </w:pPr>
          </w:p>
        </w:tc>
        <w:tc>
          <w:tcPr>
            <w:tcW w:w="15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40" w:right="20" w:hanging="332"/>
        <w:spacing w:after="0" w:line="269" w:lineRule="auto"/>
        <w:tabs>
          <w:tab w:leader="none" w:pos="327"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amount of Brookfield's contributions available to us and amounts due to us under the MSA (described further below) are reported as receivable from affiliate. At September 30, 2024, the amount of $46 million includes the remaining $43 million of Brookfield's first and second installments of their initial investment which is available to us and $3 million related to the MSA and vendor reimbursements. At December 31, 2023, the amount of $19 million includes $17 million remaining of Brookfield's initial contribution available to us and $2 million related to the MSA and vendor reimbursements.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80" w:type="dxa"/>
            <w:vAlign w:val="bottom"/>
          </w:tcPr>
          <w:p>
            <w:pPr>
              <w:spacing w:after="0"/>
              <w:rPr>
                <w:sz w:val="17"/>
                <w:szCs w:val="17"/>
                <w:color w:val="auto"/>
              </w:rPr>
            </w:pPr>
          </w:p>
        </w:tc>
        <w:tc>
          <w:tcPr>
            <w:tcW w:w="2640" w:type="dxa"/>
            <w:vAlign w:val="bottom"/>
            <w:gridSpan w:val="4"/>
          </w:tcPr>
          <w:p>
            <w:pPr>
              <w:jc w:val="center"/>
              <w:ind w:left="250"/>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60" w:type="dxa"/>
            <w:vAlign w:val="bottom"/>
            <w:gridSpan w:val="4"/>
          </w:tcPr>
          <w:p>
            <w:pPr>
              <w:jc w:val="center"/>
              <w:ind w:right="230"/>
              <w:spacing w:after="0"/>
              <w:rPr>
                <w:sz w:val="20"/>
                <w:szCs w:val="20"/>
                <w:color w:val="auto"/>
              </w:rPr>
            </w:pPr>
            <w:r>
              <w:rPr>
                <w:rFonts w:ascii="Arial" w:cs="Arial" w:eastAsia="Arial" w:hAnsi="Arial"/>
                <w:sz w:val="18"/>
                <w:szCs w:val="18"/>
                <w:b w:val="1"/>
                <w:bCs w:val="1"/>
                <w:color w:val="auto"/>
                <w:w w:val="99"/>
              </w:rPr>
              <w:t>Nine months ended</w:t>
            </w:r>
          </w:p>
        </w:tc>
      </w:tr>
      <w:tr>
        <w:trPr>
          <w:trHeight w:val="243"/>
        </w:trPr>
        <w:tc>
          <w:tcPr>
            <w:tcW w:w="5180" w:type="dxa"/>
            <w:vAlign w:val="bottom"/>
          </w:tcPr>
          <w:p>
            <w:pPr>
              <w:spacing w:after="0"/>
              <w:rPr>
                <w:sz w:val="21"/>
                <w:szCs w:val="21"/>
                <w:color w:val="auto"/>
              </w:rPr>
            </w:pPr>
          </w:p>
        </w:tc>
        <w:tc>
          <w:tcPr>
            <w:tcW w:w="2640" w:type="dxa"/>
            <w:vAlign w:val="bottom"/>
            <w:tcBorders>
              <w:bottom w:val="single" w:sz="8" w:color="auto"/>
            </w:tcBorders>
            <w:gridSpan w:val="4"/>
          </w:tcPr>
          <w:p>
            <w:pPr>
              <w:jc w:val="center"/>
              <w:ind w:left="250"/>
              <w:spacing w:after="0"/>
              <w:rPr>
                <w:sz w:val="20"/>
                <w:szCs w:val="20"/>
                <w:color w:val="auto"/>
              </w:rPr>
            </w:pPr>
            <w:r>
              <w:rPr>
                <w:rFonts w:ascii="Arial" w:cs="Arial" w:eastAsia="Arial" w:hAnsi="Arial"/>
                <w:sz w:val="18"/>
                <w:szCs w:val="18"/>
                <w:b w:val="1"/>
                <w:bCs w:val="1"/>
                <w:color w:val="auto"/>
                <w:w w:val="99"/>
              </w:rPr>
              <w:t>September 30,</w:t>
            </w:r>
          </w:p>
        </w:tc>
        <w:tc>
          <w:tcPr>
            <w:tcW w:w="3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660" w:type="dxa"/>
            <w:vAlign w:val="bottom"/>
            <w:tcBorders>
              <w:bottom w:val="single" w:sz="8" w:color="auto"/>
            </w:tcBorders>
            <w:gridSpan w:val="4"/>
          </w:tcPr>
          <w:p>
            <w:pPr>
              <w:jc w:val="center"/>
              <w:ind w:right="230"/>
              <w:spacing w:after="0"/>
              <w:rPr>
                <w:sz w:val="20"/>
                <w:szCs w:val="20"/>
                <w:color w:val="auto"/>
              </w:rPr>
            </w:pPr>
            <w:r>
              <w:rPr>
                <w:rFonts w:ascii="Arial" w:cs="Arial" w:eastAsia="Arial" w:hAnsi="Arial"/>
                <w:sz w:val="18"/>
                <w:szCs w:val="18"/>
                <w:b w:val="1"/>
                <w:bCs w:val="1"/>
                <w:color w:val="auto"/>
                <w:w w:val="99"/>
              </w:rPr>
              <w:t>September 30,</w:t>
            </w:r>
          </w:p>
        </w:tc>
      </w:tr>
      <w:tr>
        <w:trPr>
          <w:trHeight w:val="223"/>
        </w:trPr>
        <w:tc>
          <w:tcPr>
            <w:tcW w:w="5180" w:type="dxa"/>
            <w:vAlign w:val="bottom"/>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2024</w:t>
            </w:r>
          </w:p>
        </w:tc>
        <w:tc>
          <w:tcPr>
            <w:tcW w:w="4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2023</w:t>
            </w:r>
          </w:p>
        </w:tc>
        <w:tc>
          <w:tcPr>
            <w:tcW w:w="3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3"/>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r>
      <w:tr>
        <w:trPr>
          <w:trHeight w:val="233"/>
        </w:trPr>
        <w:tc>
          <w:tcPr>
            <w:tcW w:w="5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20" w:type="dxa"/>
            <w:vAlign w:val="bottom"/>
            <w:gridSpan w:val="3"/>
          </w:tcPr>
          <w:p>
            <w:pPr>
              <w:jc w:val="center"/>
              <w:ind w:right="590"/>
              <w:spacing w:after="0"/>
              <w:rPr>
                <w:sz w:val="20"/>
                <w:szCs w:val="20"/>
                <w:color w:val="auto"/>
              </w:rPr>
            </w:pPr>
            <w:r>
              <w:rPr>
                <w:rFonts w:ascii="Arial" w:cs="Arial" w:eastAsia="Arial" w:hAnsi="Arial"/>
                <w:sz w:val="14"/>
                <w:szCs w:val="14"/>
                <w:color w:val="auto"/>
              </w:rPr>
              <w:t>(in millions)</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40" w:type="dxa"/>
            <w:vAlign w:val="bottom"/>
            <w:gridSpan w:val="3"/>
          </w:tcPr>
          <w:p>
            <w:pPr>
              <w:jc w:val="center"/>
              <w:ind w:left="613"/>
              <w:spacing w:after="0"/>
              <w:rPr>
                <w:sz w:val="20"/>
                <w:szCs w:val="20"/>
                <w:color w:val="auto"/>
              </w:rPr>
            </w:pPr>
            <w:r>
              <w:rPr>
                <w:rFonts w:ascii="Arial" w:cs="Arial" w:eastAsia="Arial" w:hAnsi="Arial"/>
                <w:sz w:val="14"/>
                <w:szCs w:val="14"/>
                <w:color w:val="auto"/>
              </w:rPr>
              <w:t>(in millions)</w:t>
            </w:r>
          </w:p>
        </w:tc>
        <w:tc>
          <w:tcPr>
            <w:tcW w:w="1020" w:type="dxa"/>
            <w:vAlign w:val="bottom"/>
          </w:tcPr>
          <w:p>
            <w:pPr>
              <w:spacing w:after="0"/>
              <w:rPr>
                <w:sz w:val="20"/>
                <w:szCs w:val="20"/>
                <w:color w:val="auto"/>
              </w:rPr>
            </w:pPr>
          </w:p>
        </w:tc>
      </w:tr>
      <w:tr>
        <w:trPr>
          <w:trHeight w:val="233"/>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investment in unconsolidated subsidiary</w:t>
            </w:r>
          </w:p>
        </w:tc>
        <w:tc>
          <w:tcPr>
            <w:tcW w:w="102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311"/>
        </w:trPr>
        <w:tc>
          <w:tcPr>
            <w:tcW w:w="5180" w:type="dxa"/>
            <w:vAlign w:val="bottom"/>
          </w:tcPr>
          <w:p>
            <w:pPr>
              <w:ind w:left="20"/>
              <w:spacing w:after="0"/>
              <w:rPr>
                <w:sz w:val="20"/>
                <w:szCs w:val="20"/>
                <w:color w:val="auto"/>
              </w:rPr>
            </w:pPr>
            <w:r>
              <w:rPr>
                <w:rFonts w:ascii="Arial" w:cs="Arial" w:eastAsia="Arial" w:hAnsi="Arial"/>
                <w:sz w:val="18"/>
                <w:szCs w:val="18"/>
                <w:color w:val="auto"/>
              </w:rPr>
              <w:t>General and administrative expenses</w:t>
            </w:r>
            <w:r>
              <w:rPr>
                <w:rFonts w:ascii="Arial" w:cs="Arial" w:eastAsia="Arial" w:hAnsi="Arial"/>
                <w:sz w:val="23"/>
                <w:szCs w:val="23"/>
                <w:color w:val="auto"/>
                <w:vertAlign w:val="superscript"/>
              </w:rPr>
              <w:t>(a)</w:t>
            </w:r>
          </w:p>
        </w:tc>
        <w:tc>
          <w:tcPr>
            <w:tcW w:w="1020" w:type="dxa"/>
            <w:vAlign w:val="bottom"/>
          </w:tcPr>
          <w:p>
            <w:pPr>
              <w:jc w:val="right"/>
              <w:ind w:right="810"/>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4"/>
                <w:szCs w:val="24"/>
                <w:color w:val="auto"/>
              </w:rPr>
            </w:pPr>
          </w:p>
        </w:tc>
        <w:tc>
          <w:tcPr>
            <w:tcW w:w="1100" w:type="dxa"/>
            <w:vAlign w:val="bottom"/>
          </w:tcPr>
          <w:p>
            <w:pPr>
              <w:jc w:val="right"/>
              <w:ind w:right="890"/>
              <w:spacing w:after="0"/>
              <w:rPr>
                <w:sz w:val="20"/>
                <w:szCs w:val="20"/>
                <w:color w:val="auto"/>
              </w:rPr>
            </w:pPr>
            <w:r>
              <w:rPr>
                <w:rFonts w:ascii="Arial" w:cs="Arial" w:eastAsia="Arial" w:hAnsi="Arial"/>
                <w:sz w:val="18"/>
                <w:szCs w:val="18"/>
                <w:color w:val="auto"/>
                <w:w w:val="9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4"/>
                <w:szCs w:val="24"/>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w:t>
            </w:r>
          </w:p>
        </w:tc>
      </w:tr>
    </w:tbl>
    <w:p>
      <w:pPr>
        <w:spacing w:after="0" w:line="4" w:lineRule="exact"/>
        <w:rPr>
          <w:sz w:val="20"/>
          <w:szCs w:val="20"/>
          <w:color w:val="auto"/>
        </w:rPr>
      </w:pPr>
    </w:p>
    <w:p>
      <w:pPr>
        <w:ind w:left="340" w:right="180" w:hanging="332"/>
        <w:spacing w:after="0" w:line="285" w:lineRule="auto"/>
        <w:tabs>
          <w:tab w:leader="none" w:pos="327" w:val="left"/>
        </w:tabs>
        <w:numPr>
          <w:ilvl w:val="0"/>
          <w:numId w:val="6"/>
        </w:numPr>
        <w:rPr>
          <w:rFonts w:ascii="Arial" w:cs="Arial" w:eastAsia="Arial" w:hAnsi="Arial"/>
          <w:sz w:val="14"/>
          <w:szCs w:val="14"/>
          <w:color w:val="auto"/>
        </w:rPr>
      </w:pPr>
      <w:r>
        <w:rPr>
          <w:rFonts w:ascii="Arial" w:cs="Arial" w:eastAsia="Arial" w:hAnsi="Arial"/>
          <w:sz w:val="14"/>
          <w:szCs w:val="14"/>
          <w:color w:val="auto"/>
        </w:rPr>
        <w:t>General and administrative expenses on our condensed consolidated statements of operations have been reduced by this amount which we have invoiced to the Carbon TerraVault JV under the MSA for back-office operational and commercial services.</w:t>
      </w:r>
    </w:p>
    <w:p>
      <w:pPr>
        <w:spacing w:after="0" w:line="122" w:lineRule="exact"/>
        <w:rPr>
          <w:sz w:val="20"/>
          <w:szCs w:val="20"/>
          <w:color w:val="auto"/>
        </w:rPr>
      </w:pPr>
    </w:p>
    <w:p>
      <w:pPr>
        <w:ind w:right="20" w:firstLine="324"/>
        <w:spacing w:after="0" w:line="260" w:lineRule="auto"/>
        <w:rPr>
          <w:sz w:val="20"/>
          <w:szCs w:val="20"/>
          <w:color w:val="auto"/>
        </w:rPr>
      </w:pPr>
      <w:r>
        <w:rPr>
          <w:rFonts w:ascii="Arial" w:cs="Arial" w:eastAsia="Arial" w:hAnsi="Arial"/>
          <w:sz w:val="18"/>
          <w:szCs w:val="18"/>
          <w:color w:val="auto"/>
        </w:rPr>
        <w:t>We are also performing well abandonment work at our Elk Hills field as part of the permitting process for injection of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at the 26R reservoir. During the three and nine months ended September 30, 2024, we performed abandonment work and sought reimbursement in the amounts of $4 million and $13 million, respectively, from the Carbon TerraVault JV. During the three and nine months ended September 30, 2023, we performed abandonment work and sought reimbursement in the amounts of $2 million and $4 million, respectively, from the Carbon TerraVault JV.</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47"/>
        </w:trPr>
        <w:tc>
          <w:tcPr>
            <w:tcW w:w="3440" w:type="dxa"/>
            <w:vAlign w:val="bottom"/>
          </w:tcPr>
          <w:p>
            <w:pPr>
              <w:spacing w:after="0"/>
              <w:rPr>
                <w:sz w:val="20"/>
                <w:szCs w:val="20"/>
                <w:color w:val="auto"/>
              </w:rPr>
            </w:pPr>
            <w:r>
              <w:rPr>
                <w:rFonts w:ascii="Arial" w:cs="Arial" w:eastAsia="Arial" w:hAnsi="Arial"/>
                <w:sz w:val="18"/>
                <w:szCs w:val="18"/>
                <w:b w:val="1"/>
                <w:bCs w:val="1"/>
                <w:color w:val="auto"/>
              </w:rPr>
              <w:t>NOTE 4  DEBT</w:t>
            </w: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60" w:type="dxa"/>
            <w:vAlign w:val="bottom"/>
          </w:tcPr>
          <w:p>
            <w:pPr>
              <w:spacing w:after="0"/>
              <w:rPr>
                <w:sz w:val="21"/>
                <w:szCs w:val="21"/>
                <w:color w:val="auto"/>
              </w:rPr>
            </w:pPr>
          </w:p>
        </w:tc>
      </w:tr>
      <w:tr>
        <w:trPr>
          <w:trHeight w:val="451"/>
        </w:trPr>
        <w:tc>
          <w:tcPr>
            <w:tcW w:w="9380" w:type="dxa"/>
            <w:vAlign w:val="bottom"/>
            <w:gridSpan w:val="9"/>
          </w:tcPr>
          <w:p>
            <w:pPr>
              <w:ind w:left="340"/>
              <w:spacing w:after="0"/>
              <w:rPr>
                <w:sz w:val="20"/>
                <w:szCs w:val="20"/>
                <w:color w:val="auto"/>
              </w:rPr>
            </w:pPr>
            <w:r>
              <w:rPr>
                <w:rFonts w:ascii="Arial" w:cs="Arial" w:eastAsia="Arial" w:hAnsi="Arial"/>
                <w:sz w:val="18"/>
                <w:szCs w:val="18"/>
                <w:color w:val="auto"/>
              </w:rPr>
              <w:t>As of September 30, 2024 and December 31, 2023, our long-term debt consisted of the following:</w:t>
            </w:r>
          </w:p>
        </w:tc>
        <w:tc>
          <w:tcPr>
            <w:tcW w:w="1860" w:type="dxa"/>
            <w:vAlign w:val="bottom"/>
          </w:tcPr>
          <w:p>
            <w:pPr>
              <w:spacing w:after="0"/>
              <w:rPr>
                <w:sz w:val="24"/>
                <w:szCs w:val="24"/>
                <w:color w:val="auto"/>
              </w:rPr>
            </w:pPr>
          </w:p>
        </w:tc>
      </w:tr>
      <w:tr>
        <w:trPr>
          <w:trHeight w:val="490"/>
        </w:trPr>
        <w:tc>
          <w:tcPr>
            <w:tcW w:w="3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24"/>
                <w:szCs w:val="24"/>
                <w:color w:val="auto"/>
              </w:rPr>
            </w:pPr>
          </w:p>
        </w:tc>
        <w:tc>
          <w:tcPr>
            <w:tcW w:w="1500" w:type="dxa"/>
            <w:vAlign w:val="bottom"/>
          </w:tcPr>
          <w:p>
            <w:pPr>
              <w:jc w:val="right"/>
              <w:ind w:right="170"/>
              <w:spacing w:after="0"/>
              <w:rPr>
                <w:sz w:val="20"/>
                <w:szCs w:val="20"/>
                <w:color w:val="auto"/>
              </w:rPr>
            </w:pPr>
            <w:r>
              <w:rPr>
                <w:rFonts w:ascii="Arial" w:cs="Arial" w:eastAsia="Arial" w:hAnsi="Arial"/>
                <w:sz w:val="18"/>
                <w:szCs w:val="18"/>
                <w:b w:val="1"/>
                <w:bCs w:val="1"/>
                <w:color w:val="auto"/>
              </w:rPr>
              <w:t>December 31,</w:t>
            </w:r>
          </w:p>
        </w:tc>
        <w:tc>
          <w:tcPr>
            <w:tcW w:w="1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235"/>
        </w:trPr>
        <w:tc>
          <w:tcPr>
            <w:tcW w:w="34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572"/>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20"/>
                <w:szCs w:val="20"/>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Interest Rate</w:t>
            </w:r>
          </w:p>
        </w:tc>
        <w:tc>
          <w:tcPr>
            <w:tcW w:w="120" w:type="dxa"/>
            <w:vAlign w:val="bottom"/>
          </w:tcPr>
          <w:p>
            <w:pPr>
              <w:spacing w:after="0"/>
              <w:rPr>
                <w:sz w:val="20"/>
                <w:szCs w:val="20"/>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Maturity</w:t>
            </w:r>
          </w:p>
        </w:tc>
      </w:tr>
      <w:tr>
        <w:trPr>
          <w:trHeight w:val="232"/>
        </w:trPr>
        <w:tc>
          <w:tcPr>
            <w:tcW w:w="3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320" w:type="dxa"/>
            <w:vAlign w:val="bottom"/>
            <w:gridSpan w:val="4"/>
          </w:tcPr>
          <w:p>
            <w:pPr>
              <w:jc w:val="right"/>
              <w:ind w:right="1290"/>
              <w:spacing w:after="0"/>
              <w:rPr>
                <w:sz w:val="20"/>
                <w:szCs w:val="20"/>
                <w:color w:val="auto"/>
              </w:rPr>
            </w:pPr>
            <w:r>
              <w:rPr>
                <w:rFonts w:ascii="Arial" w:cs="Arial" w:eastAsia="Arial" w:hAnsi="Arial"/>
                <w:sz w:val="14"/>
                <w:szCs w:val="14"/>
                <w:color w:val="auto"/>
              </w:rPr>
              <w:t>(in millions)</w:t>
            </w:r>
          </w:p>
        </w:tc>
        <w:tc>
          <w:tcPr>
            <w:tcW w:w="1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180"/>
        </w:trPr>
        <w:tc>
          <w:tcPr>
            <w:tcW w:w="3440" w:type="dxa"/>
            <w:vAlign w:val="bottom"/>
            <w:shd w:val="clear" w:color="auto" w:fill="CCEEFF"/>
          </w:tcPr>
          <w:p>
            <w:pPr>
              <w:ind w:left="40"/>
              <w:spacing w:after="0" w:line="180" w:lineRule="exact"/>
              <w:rPr>
                <w:sz w:val="20"/>
                <w:szCs w:val="20"/>
                <w:color w:val="auto"/>
              </w:rPr>
            </w:pPr>
            <w:r>
              <w:rPr>
                <w:rFonts w:ascii="Arial" w:cs="Arial" w:eastAsia="Arial" w:hAnsi="Arial"/>
                <w:sz w:val="18"/>
                <w:szCs w:val="18"/>
                <w:color w:val="auto"/>
              </w:rPr>
              <w:t>Revolving Credit Facility</w:t>
            </w:r>
          </w:p>
        </w:tc>
        <w:tc>
          <w:tcPr>
            <w:tcW w:w="180" w:type="dxa"/>
            <w:vAlign w:val="bottom"/>
            <w:shd w:val="clear" w:color="auto" w:fill="CCEEFF"/>
          </w:tcPr>
          <w:p>
            <w:pPr>
              <w:jc w:val="right"/>
              <w:spacing w:after="0" w:line="180" w:lineRule="exact"/>
              <w:rPr>
                <w:sz w:val="20"/>
                <w:szCs w:val="20"/>
                <w:color w:val="auto"/>
              </w:rPr>
            </w:pPr>
            <w:r>
              <w:rPr>
                <w:rFonts w:ascii="Arial" w:cs="Arial" w:eastAsia="Arial" w:hAnsi="Arial"/>
                <w:sz w:val="18"/>
                <w:szCs w:val="18"/>
                <w:color w:val="auto"/>
                <w:w w:val="99"/>
              </w:rPr>
              <w:t>$</w:t>
            </w:r>
          </w:p>
        </w:tc>
        <w:tc>
          <w:tcPr>
            <w:tcW w:w="1620" w:type="dxa"/>
            <w:vAlign w:val="bottom"/>
            <w:gridSpan w:val="2"/>
            <w:shd w:val="clear" w:color="auto" w:fill="CCEEFF"/>
          </w:tcPr>
          <w:p>
            <w:pPr>
              <w:jc w:val="right"/>
              <w:ind w:right="180"/>
              <w:spacing w:after="0" w:line="180"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line="180" w:lineRule="exact"/>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line="180"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2320" w:type="dxa"/>
            <w:vAlign w:val="bottom"/>
            <w:gridSpan w:val="2"/>
            <w:shd w:val="clear" w:color="auto" w:fill="CCEEFF"/>
          </w:tcPr>
          <w:p>
            <w:pPr>
              <w:jc w:val="center"/>
              <w:ind w:right="120"/>
              <w:spacing w:after="0" w:line="180" w:lineRule="exact"/>
              <w:rPr>
                <w:sz w:val="20"/>
                <w:szCs w:val="20"/>
                <w:color w:val="auto"/>
              </w:rPr>
            </w:pPr>
            <w:r>
              <w:rPr>
                <w:rFonts w:ascii="Arial" w:cs="Arial" w:eastAsia="Arial" w:hAnsi="Arial"/>
                <w:sz w:val="18"/>
                <w:szCs w:val="18"/>
                <w:color w:val="auto"/>
                <w:w w:val="99"/>
              </w:rPr>
              <w:t>SOFR plus 2.50%-3.50%</w:t>
            </w:r>
          </w:p>
        </w:tc>
        <w:tc>
          <w:tcPr>
            <w:tcW w:w="1860" w:type="dxa"/>
            <w:vAlign w:val="bottom"/>
            <w:shd w:val="clear" w:color="auto" w:fill="CCEEFF"/>
          </w:tcPr>
          <w:p>
            <w:pPr>
              <w:jc w:val="center"/>
              <w:spacing w:after="0" w:line="180" w:lineRule="exact"/>
              <w:rPr>
                <w:sz w:val="20"/>
                <w:szCs w:val="20"/>
                <w:color w:val="auto"/>
              </w:rPr>
            </w:pPr>
            <w:r>
              <w:rPr>
                <w:rFonts w:ascii="Arial" w:cs="Arial" w:eastAsia="Arial" w:hAnsi="Arial"/>
                <w:sz w:val="16"/>
                <w:szCs w:val="16"/>
                <w:color w:val="auto"/>
              </w:rPr>
              <w:t>July 31, 2027</w:t>
            </w:r>
            <w:r>
              <w:rPr>
                <w:rFonts w:ascii="Arial" w:cs="Arial" w:eastAsia="Arial" w:hAnsi="Arial"/>
                <w:sz w:val="20"/>
                <w:szCs w:val="20"/>
                <w:color w:val="auto"/>
                <w:vertAlign w:val="superscript"/>
              </w:rPr>
              <w:t>(b)</w:t>
            </w:r>
          </w:p>
        </w:tc>
      </w:tr>
      <w:tr>
        <w:trPr>
          <w:trHeight w:val="243"/>
        </w:trPr>
        <w:tc>
          <w:tcPr>
            <w:tcW w:w="34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320" w:type="dxa"/>
            <w:vAlign w:val="bottom"/>
            <w:gridSpan w:val="2"/>
            <w:shd w:val="clear" w:color="auto" w:fill="CCEEFF"/>
          </w:tcPr>
          <w:p>
            <w:pPr>
              <w:jc w:val="center"/>
              <w:ind w:right="100"/>
              <w:spacing w:after="0" w:line="243" w:lineRule="exact"/>
              <w:rPr>
                <w:sz w:val="20"/>
                <w:szCs w:val="20"/>
                <w:color w:val="auto"/>
              </w:rPr>
            </w:pPr>
            <w:r>
              <w:rPr>
                <w:rFonts w:ascii="Arial" w:cs="Arial" w:eastAsia="Arial" w:hAnsi="Arial"/>
                <w:sz w:val="18"/>
                <w:szCs w:val="18"/>
                <w:color w:val="auto"/>
                <w:w w:val="97"/>
              </w:rPr>
              <w:t>ABR plus 1.50%-2.50%</w:t>
            </w:r>
            <w:r>
              <w:rPr>
                <w:rFonts w:ascii="Arial" w:cs="Arial" w:eastAsia="Arial" w:hAnsi="Arial"/>
                <w:sz w:val="23"/>
                <w:szCs w:val="23"/>
                <w:color w:val="auto"/>
                <w:w w:val="97"/>
                <w:vertAlign w:val="superscript"/>
              </w:rPr>
              <w:t>(a)</w:t>
            </w:r>
          </w:p>
        </w:tc>
        <w:tc>
          <w:tcPr>
            <w:tcW w:w="1860" w:type="dxa"/>
            <w:vAlign w:val="bottom"/>
            <w:shd w:val="clear" w:color="auto" w:fill="CCEEFF"/>
          </w:tcPr>
          <w:p>
            <w:pPr>
              <w:spacing w:after="0"/>
              <w:rPr>
                <w:sz w:val="21"/>
                <w:szCs w:val="21"/>
                <w:color w:val="auto"/>
              </w:rPr>
            </w:pPr>
          </w:p>
        </w:tc>
      </w:tr>
      <w:tr>
        <w:trPr>
          <w:trHeight w:val="229"/>
        </w:trPr>
        <w:tc>
          <w:tcPr>
            <w:tcW w:w="3440" w:type="dxa"/>
            <w:vAlign w:val="bottom"/>
          </w:tcPr>
          <w:p>
            <w:pPr>
              <w:ind w:left="40"/>
              <w:spacing w:after="0"/>
              <w:rPr>
                <w:sz w:val="20"/>
                <w:szCs w:val="20"/>
                <w:color w:val="auto"/>
              </w:rPr>
            </w:pPr>
            <w:r>
              <w:rPr>
                <w:rFonts w:ascii="Arial" w:cs="Arial" w:eastAsia="Arial" w:hAnsi="Arial"/>
                <w:sz w:val="18"/>
                <w:szCs w:val="18"/>
                <w:color w:val="auto"/>
              </w:rPr>
              <w:t>2026 Senior Notes</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545</w:t>
            </w:r>
          </w:p>
        </w:tc>
        <w:tc>
          <w:tcPr>
            <w:tcW w:w="2320" w:type="dxa"/>
            <w:vAlign w:val="bottom"/>
            <w:gridSpan w:val="2"/>
          </w:tcPr>
          <w:p>
            <w:pPr>
              <w:jc w:val="center"/>
              <w:ind w:left="30"/>
              <w:spacing w:after="0"/>
              <w:rPr>
                <w:sz w:val="20"/>
                <w:szCs w:val="20"/>
                <w:color w:val="auto"/>
              </w:rPr>
            </w:pPr>
            <w:r>
              <w:rPr>
                <w:rFonts w:ascii="Arial" w:cs="Arial" w:eastAsia="Arial" w:hAnsi="Arial"/>
                <w:sz w:val="18"/>
                <w:szCs w:val="18"/>
                <w:color w:val="auto"/>
                <w:w w:val="98"/>
              </w:rPr>
              <w:t>7.125%</w:t>
            </w:r>
          </w:p>
        </w:tc>
        <w:tc>
          <w:tcPr>
            <w:tcW w:w="120" w:type="dxa"/>
            <w:vAlign w:val="bottom"/>
          </w:tcPr>
          <w:p>
            <w:pPr>
              <w:spacing w:after="0"/>
              <w:rPr>
                <w:sz w:val="19"/>
                <w:szCs w:val="19"/>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rPr>
              <w:t>February 1, 2026</w:t>
            </w:r>
          </w:p>
        </w:tc>
      </w:tr>
      <w:tr>
        <w:trPr>
          <w:trHeight w:val="229"/>
        </w:trPr>
        <w:tc>
          <w:tcPr>
            <w:tcW w:w="3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2029 Senior Notes</w:t>
            </w: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32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8"/>
              </w:rPr>
              <w:t>8.250%</w:t>
            </w:r>
          </w:p>
        </w:tc>
        <w:tc>
          <w:tcPr>
            <w:tcW w:w="120" w:type="dxa"/>
            <w:vAlign w:val="bottom"/>
            <w:shd w:val="clear" w:color="auto" w:fill="CCEEFF"/>
          </w:tcPr>
          <w:p>
            <w:pPr>
              <w:spacing w:after="0"/>
              <w:rPr>
                <w:sz w:val="19"/>
                <w:szCs w:val="19"/>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June 15, 2029</w:t>
            </w:r>
          </w:p>
        </w:tc>
      </w:tr>
      <w:tr>
        <w:trPr>
          <w:trHeight w:val="223"/>
        </w:trPr>
        <w:tc>
          <w:tcPr>
            <w:tcW w:w="3440" w:type="dxa"/>
            <w:vAlign w:val="bottom"/>
          </w:tcPr>
          <w:p>
            <w:pPr>
              <w:ind w:left="240"/>
              <w:spacing w:after="0"/>
              <w:rPr>
                <w:sz w:val="20"/>
                <w:szCs w:val="20"/>
                <w:color w:val="auto"/>
              </w:rPr>
            </w:pPr>
            <w:r>
              <w:rPr>
                <w:rFonts w:ascii="Arial" w:cs="Arial" w:eastAsia="Arial" w:hAnsi="Arial"/>
                <w:sz w:val="18"/>
                <w:szCs w:val="18"/>
                <w:b w:val="1"/>
                <w:bCs w:val="1"/>
                <w:color w:val="auto"/>
              </w:rPr>
              <w:t>Principal amount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1,145</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545</w:t>
            </w:r>
          </w:p>
        </w:tc>
        <w:tc>
          <w:tcPr>
            <w:tcW w:w="1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175"/>
        </w:trPr>
        <w:tc>
          <w:tcPr>
            <w:tcW w:w="3440" w:type="dxa"/>
            <w:vAlign w:val="bottom"/>
            <w:shd w:val="clear" w:color="auto" w:fill="CCEEFF"/>
          </w:tcPr>
          <w:p>
            <w:pPr>
              <w:ind w:left="40"/>
              <w:spacing w:after="0" w:line="176" w:lineRule="exact"/>
              <w:rPr>
                <w:sz w:val="20"/>
                <w:szCs w:val="20"/>
                <w:color w:val="auto"/>
              </w:rPr>
            </w:pPr>
            <w:r>
              <w:rPr>
                <w:rFonts w:ascii="Arial" w:cs="Arial" w:eastAsia="Arial" w:hAnsi="Arial"/>
                <w:sz w:val="18"/>
                <w:szCs w:val="18"/>
                <w:color w:val="auto"/>
              </w:rPr>
              <w:t>Unamortized debt discount and issuance</w:t>
            </w:r>
          </w:p>
        </w:tc>
        <w:tc>
          <w:tcPr>
            <w:tcW w:w="18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5"/>
                <w:szCs w:val="15"/>
                <w:color w:val="auto"/>
              </w:rPr>
            </w:pPr>
          </w:p>
        </w:tc>
        <w:tc>
          <w:tcPr>
            <w:tcW w:w="2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r>
      <w:tr>
        <w:trPr>
          <w:trHeight w:val="243"/>
        </w:trPr>
        <w:tc>
          <w:tcPr>
            <w:tcW w:w="3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costs</w:t>
            </w:r>
          </w:p>
        </w:tc>
        <w:tc>
          <w:tcPr>
            <w:tcW w:w="18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60" w:type="dxa"/>
            <w:vAlign w:val="bottom"/>
            <w:shd w:val="clear" w:color="auto" w:fill="CCEEFF"/>
          </w:tcPr>
          <w:p>
            <w:pPr>
              <w:spacing w:after="0"/>
              <w:rPr>
                <w:sz w:val="21"/>
                <w:szCs w:val="21"/>
                <w:color w:val="auto"/>
              </w:rPr>
            </w:pPr>
          </w:p>
        </w:tc>
      </w:tr>
      <w:tr>
        <w:trPr>
          <w:trHeight w:val="229"/>
        </w:trPr>
        <w:tc>
          <w:tcPr>
            <w:tcW w:w="34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Unamortized premium</w:t>
            </w: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2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60" w:type="dxa"/>
            <w:vAlign w:val="bottom"/>
            <w:tcBorders>
              <w:bottom w:val="single" w:sz="8" w:color="CCEEFF"/>
            </w:tcBorders>
          </w:tcPr>
          <w:p>
            <w:pPr>
              <w:spacing w:after="0"/>
              <w:rPr>
                <w:sz w:val="19"/>
                <w:szCs w:val="19"/>
                <w:color w:val="auto"/>
              </w:rPr>
            </w:pPr>
          </w:p>
        </w:tc>
      </w:tr>
      <w:tr>
        <w:trPr>
          <w:trHeight w:val="248"/>
        </w:trPr>
        <w:tc>
          <w:tcPr>
            <w:tcW w:w="34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b w:val="1"/>
                <w:bCs w:val="1"/>
                <w:color w:val="auto"/>
              </w:rPr>
              <w:t>Long-term debt,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12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r>
    </w:tbl>
    <w:p>
      <w:pPr>
        <w:spacing w:after="0" w:line="85" w:lineRule="exact"/>
        <w:rPr>
          <w:sz w:val="20"/>
          <w:szCs w:val="20"/>
          <w:color w:val="auto"/>
        </w:rPr>
      </w:pPr>
    </w:p>
    <w:p>
      <w:pPr>
        <w:ind w:left="340" w:hanging="332"/>
        <w:spacing w:after="0" w:line="261" w:lineRule="auto"/>
        <w:tabs>
          <w:tab w:leader="none" w:pos="327" w:val="left"/>
        </w:tabs>
        <w:numPr>
          <w:ilvl w:val="0"/>
          <w:numId w:val="7"/>
        </w:numPr>
        <w:rPr>
          <w:rFonts w:ascii="Arial" w:cs="Arial" w:eastAsia="Arial" w:hAnsi="Arial"/>
          <w:sz w:val="14"/>
          <w:szCs w:val="14"/>
          <w:color w:val="auto"/>
        </w:rPr>
      </w:pPr>
      <w:r>
        <w:rPr>
          <w:rFonts w:ascii="Arial" w:cs="Arial" w:eastAsia="Arial" w:hAnsi="Arial"/>
          <w:sz w:val="14"/>
          <w:szCs w:val="14"/>
          <w:color w:val="auto"/>
        </w:rPr>
        <w:t>At our election, borrowings under the amended Revolving Credit Facility may be alternate base rate (ABR) loans or term SOFR loans, plus an applicable margin. ABR loans bear interest at a rate equal to the highest of (i) the federal funds effective rate plus 0.50%, (ii) the administrative agent prime rate and (iii) the one-month SOFR rate plus 1%. Term SOFR loans bear interest at term SOFR, plus an additional 10 basis points per annum credit spread adjustment. The applicable margin is adjusted based on a commitment utilization percentage and will vary from (i) in the case of ABR loans, 1.50% to 2.50% and (ii) in the case of term SOFR loans, 2.50% to 3.50%.</w:t>
      </w:r>
    </w:p>
    <w:p>
      <w:pPr>
        <w:spacing w:after="0" w:line="2" w:lineRule="exact"/>
        <w:rPr>
          <w:rFonts w:ascii="Arial" w:cs="Arial" w:eastAsia="Arial" w:hAnsi="Arial"/>
          <w:sz w:val="14"/>
          <w:szCs w:val="14"/>
          <w:color w:val="auto"/>
        </w:rPr>
      </w:pPr>
    </w:p>
    <w:p>
      <w:pPr>
        <w:ind w:left="340" w:right="100" w:hanging="332"/>
        <w:spacing w:after="0" w:line="284" w:lineRule="auto"/>
        <w:tabs>
          <w:tab w:leader="none" w:pos="327" w:val="left"/>
        </w:tabs>
        <w:numPr>
          <w:ilvl w:val="0"/>
          <w:numId w:val="7"/>
        </w:numPr>
        <w:rPr>
          <w:rFonts w:ascii="Arial" w:cs="Arial" w:eastAsia="Arial" w:hAnsi="Arial"/>
          <w:sz w:val="14"/>
          <w:szCs w:val="14"/>
          <w:color w:val="auto"/>
        </w:rPr>
      </w:pPr>
      <w:r>
        <w:rPr>
          <w:rFonts w:ascii="Arial" w:cs="Arial" w:eastAsia="Arial" w:hAnsi="Arial"/>
          <w:sz w:val="14"/>
          <w:szCs w:val="14"/>
          <w:color w:val="auto"/>
        </w:rPr>
        <w:t xml:space="preserve">On November 1, 2024 the maturity date of the Revolving Credit Facility was extended to March 16, 2029, and the springing maturity date was also amended. See </w:t>
      </w:r>
      <w:r>
        <w:rPr>
          <w:rFonts w:ascii="Arial" w:cs="Arial" w:eastAsia="Arial" w:hAnsi="Arial"/>
          <w:sz w:val="14"/>
          <w:szCs w:val="14"/>
          <w:i w:val="1"/>
          <w:iCs w:val="1"/>
          <w:color w:val="auto"/>
        </w:rPr>
        <w:t>Note 15</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Subsequent Events </w:t>
      </w:r>
      <w:r>
        <w:rPr>
          <w:rFonts w:ascii="Arial" w:cs="Arial" w:eastAsia="Arial" w:hAnsi="Arial"/>
          <w:sz w:val="14"/>
          <w:szCs w:val="14"/>
          <w:color w:val="auto"/>
        </w:rPr>
        <w:t>for more information on the amendment.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250"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 xml:space="preserve">As of September 30, 2024, our Amended and Restated Credit Agreement, dated April 26, 2023 (Revolving Credit Facility), consisted of a senior revolving loan facility with an aggregate commitment of $1.1 billion. The amount we are able to borrow under our Revolving Credit Facility is limited to the amount of these commitments. Our Revolving Credit Facility also included a sub-limit of $250 million for the issuance of letters of credit. As of September 30, 2024, $175 million letters of credit were issued to support ordinary course marketing, insurance, regulatory and other matters. As of September 30, 2024, we had $ 925 million of availability on our Revolving Credit Facility after taking into account $175 million in letters of credit outstanding. Our borrowing base of $1.5 billion is redetermined semi-annually and was re-affirmed in November 2024 as part of our recent amendment. For information on the fifth amendment to our Revolving Credit Facility, refer to </w:t>
      </w:r>
      <w:r>
        <w:rPr>
          <w:rFonts w:ascii="Arial" w:cs="Arial" w:eastAsia="Arial" w:hAnsi="Arial"/>
          <w:sz w:val="18"/>
          <w:szCs w:val="18"/>
          <w:i w:val="1"/>
          <w:iCs w:val="1"/>
          <w:color w:val="auto"/>
        </w:rPr>
        <w:t>Note 15</w:t>
      </w:r>
      <w:r>
        <w:rPr>
          <w:rFonts w:ascii="Arial" w:cs="Arial" w:eastAsia="Arial" w:hAnsi="Arial"/>
          <w:sz w:val="18"/>
          <w:szCs w:val="18"/>
          <w:color w:val="auto"/>
        </w:rPr>
        <w:t xml:space="preserve"> </w:t>
      </w:r>
      <w:r>
        <w:rPr>
          <w:rFonts w:ascii="Arial" w:cs="Arial" w:eastAsia="Arial" w:hAnsi="Arial"/>
          <w:sz w:val="18"/>
          <w:szCs w:val="18"/>
          <w:i w:val="1"/>
          <w:iCs w:val="1"/>
          <w:color w:val="auto"/>
        </w:rPr>
        <w:t>Subsequent Events.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Amendments</w:t>
      </w:r>
    </w:p>
    <w:p>
      <w:pPr>
        <w:spacing w:after="0" w:line="250" w:lineRule="exact"/>
        <w:rPr>
          <w:sz w:val="20"/>
          <w:szCs w:val="20"/>
          <w:color w:val="auto"/>
        </w:rPr>
      </w:pPr>
    </w:p>
    <w:p>
      <w:pPr>
        <w:ind w:right="160" w:firstLine="324"/>
        <w:spacing w:after="0" w:line="256" w:lineRule="auto"/>
        <w:rPr>
          <w:sz w:val="20"/>
          <w:szCs w:val="20"/>
          <w:color w:val="auto"/>
        </w:rPr>
      </w:pPr>
      <w:r>
        <w:rPr>
          <w:rFonts w:ascii="Arial" w:cs="Arial" w:eastAsia="Arial" w:hAnsi="Arial"/>
          <w:sz w:val="18"/>
          <w:szCs w:val="18"/>
          <w:color w:val="auto"/>
        </w:rPr>
        <w:t>In February 2024, in connection with the Aera Merger, we entered into a second amendment to our Revolving Credit Facility to, among other things, permit the incurrence of indebtedness under a bridge loan facility. We did not utilize a bridge loan facility in connection with the Aera Merger and wrote-off $ 6 million of bridge loan and commitment fees during the three months ended June 30, 2024 included in other non-operating (loss) income on our condensed consolidated statement of operations. We capitalized approximately $3 million in deferred financing fees related to this amendment to other assets on our condensed consolidated statement of financial position during the nine months ended September 30, 2024. We did not capitalize any deferred financing fees related to this amendment during the three months ended September 30, 2024.</w:t>
      </w:r>
    </w:p>
    <w:p>
      <w:pPr>
        <w:spacing w:after="0" w:line="210" w:lineRule="exact"/>
        <w:rPr>
          <w:sz w:val="20"/>
          <w:szCs w:val="20"/>
          <w:color w:val="auto"/>
        </w:rPr>
      </w:pPr>
    </w:p>
    <w:p>
      <w:pPr>
        <w:ind w:right="20" w:firstLine="324"/>
        <w:spacing w:after="0" w:line="268" w:lineRule="auto"/>
        <w:rPr>
          <w:sz w:val="20"/>
          <w:szCs w:val="20"/>
          <w:color w:val="auto"/>
        </w:rPr>
      </w:pPr>
      <w:r>
        <w:rPr>
          <w:rFonts w:ascii="Arial" w:cs="Arial" w:eastAsia="Arial" w:hAnsi="Arial"/>
          <w:sz w:val="18"/>
          <w:szCs w:val="18"/>
          <w:color w:val="auto"/>
        </w:rPr>
        <w:t>In March 2024, we entered into a third amendment to our Revolving Credit Facility. This amendment facilitated certain matters with respect to the Aera Merger, including the postponement of the regular spring borrowing base redetermination until the fall of 2024 and certain other amendments.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8" w:name="page19"/>
    <w:bookmarkEnd w:id="18"/>
    <w:p>
      <w:pPr>
        <w:ind w:right="40" w:firstLine="324"/>
        <w:spacing w:after="0" w:line="278" w:lineRule="auto"/>
        <w:rPr>
          <w:sz w:val="20"/>
          <w:szCs w:val="20"/>
          <w:color w:val="auto"/>
        </w:rPr>
      </w:pPr>
      <w:r>
        <w:rPr>
          <w:rFonts w:ascii="Arial" w:cs="Arial" w:eastAsia="Arial" w:hAnsi="Arial"/>
          <w:sz w:val="17"/>
          <w:szCs w:val="17"/>
          <w:color w:val="auto"/>
        </w:rPr>
        <w:t>In July 2024, we entered into a fourth amendment to our Revolving Credit Facility as part of the Aera Merger. This amendment increased the aggregate revolving commitments available under the Revolving Credit Facility from $630 million to $ 1.1 billion. Our ability to borrow under our Revolving Credit Facility is limited to the amount of these commitments. This amendment also increased the borrowing base from $1.2 billion to $ 1.5 billion, among other matters. We capitalized approximately $7 million in deferred financing fees related to this amendment to other assets on our condensed consolidated statement of financial position during the three and nine months ended September 30, 2024.</w:t>
      </w:r>
    </w:p>
    <w:p>
      <w:pPr>
        <w:spacing w:after="0" w:line="191" w:lineRule="exact"/>
        <w:rPr>
          <w:sz w:val="20"/>
          <w:szCs w:val="20"/>
          <w:color w:val="auto"/>
        </w:rPr>
      </w:pPr>
    </w:p>
    <w:p>
      <w:pPr>
        <w:ind w:right="680" w:firstLine="324"/>
        <w:spacing w:after="0" w:line="268" w:lineRule="auto"/>
        <w:rPr>
          <w:sz w:val="20"/>
          <w:szCs w:val="20"/>
          <w:color w:val="auto"/>
        </w:rPr>
      </w:pPr>
      <w:r>
        <w:rPr>
          <w:rFonts w:ascii="Arial" w:cs="Arial" w:eastAsia="Arial" w:hAnsi="Arial"/>
          <w:sz w:val="18"/>
          <w:szCs w:val="18"/>
          <w:color w:val="auto"/>
        </w:rPr>
        <w:t xml:space="preserve">On November 1, 2024, we entered into a fifth amendment to our Revolving Credit Facility which included extending the springing maturity of our Revolving Credit Facility and increasing the aggregate amount of our commitments by $50 million. Refer to </w:t>
      </w:r>
      <w:r>
        <w:rPr>
          <w:rFonts w:ascii="Arial" w:cs="Arial" w:eastAsia="Arial" w:hAnsi="Arial"/>
          <w:sz w:val="18"/>
          <w:szCs w:val="18"/>
          <w:i w:val="1"/>
          <w:iCs w:val="1"/>
          <w:color w:val="auto"/>
        </w:rPr>
        <w:t>Note 15</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Subsequent Events </w:t>
      </w:r>
      <w:r>
        <w:rPr>
          <w:rFonts w:ascii="Arial" w:cs="Arial" w:eastAsia="Arial" w:hAnsi="Arial"/>
          <w:sz w:val="18"/>
          <w:szCs w:val="18"/>
          <w:color w:val="auto"/>
        </w:rPr>
        <w:t>for additional information on the fifth amendment.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2029 Notes Offering and Follow-On Offering</w:t>
      </w:r>
    </w:p>
    <w:p>
      <w:pPr>
        <w:spacing w:after="0" w:line="250"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 xml:space="preserve">On June 5, 2024, we completed the offering of $600 million in aggregate principal amount of the 2029 Senior Notes. The terms of the 2029 Senior Notes are governed by the indenture, dated as of June 5, 2024, by and among us, the guarantors and Wilmington Trust, National Association, as trustee (2029 Senior Notes Indenture). The net proceeds of $ 590 million, after $10 million of debt discount and issuance costs, were used along with available cash to repay all of Aera's outstanding debt for approximately $990 million at closing of the Aera Merger. See </w:t>
      </w:r>
      <w:r>
        <w:rPr>
          <w:rFonts w:ascii="Arial" w:cs="Arial" w:eastAsia="Arial" w:hAnsi="Arial"/>
          <w:sz w:val="18"/>
          <w:szCs w:val="18"/>
          <w:i w:val="1"/>
          <w:iCs w:val="1"/>
          <w:color w:val="auto"/>
        </w:rPr>
        <w:t>Note 2 Aera Merger</w:t>
      </w:r>
      <w:r>
        <w:rPr>
          <w:rFonts w:ascii="Arial" w:cs="Arial" w:eastAsia="Arial" w:hAnsi="Arial"/>
          <w:sz w:val="18"/>
          <w:szCs w:val="18"/>
          <w:color w:val="auto"/>
        </w:rPr>
        <w:t xml:space="preserve"> for more information on the closing of the Aera Merger.</w:t>
      </w:r>
    </w:p>
    <w:p>
      <w:pPr>
        <w:spacing w:after="0" w:line="206" w:lineRule="exact"/>
        <w:rPr>
          <w:sz w:val="20"/>
          <w:szCs w:val="20"/>
          <w:color w:val="auto"/>
        </w:rPr>
      </w:pPr>
    </w:p>
    <w:p>
      <w:pPr>
        <w:ind w:right="40" w:firstLine="324"/>
        <w:spacing w:after="0" w:line="262" w:lineRule="auto"/>
        <w:rPr>
          <w:sz w:val="20"/>
          <w:szCs w:val="20"/>
          <w:color w:val="auto"/>
        </w:rPr>
      </w:pPr>
      <w:r>
        <w:rPr>
          <w:rFonts w:ascii="Arial" w:cs="Arial" w:eastAsia="Arial" w:hAnsi="Arial"/>
          <w:sz w:val="18"/>
          <w:szCs w:val="18"/>
          <w:color w:val="auto"/>
        </w:rPr>
        <w:t>On August 22, 2024, we completed a follow-on offering of an additional $300 million in aggregate principal amount of 2029 Senior Notes. The net proceeds from this offering of $298 million, after $3 million of debt premium and $5 million of debt issuance costs, were used to repurchase a portion of our 7.125% senior notes due 2026 (2026 Senior Notes). The 2029 Senior Notes issued on August 22, 2024 are governed by the same indenture as the $600 million of 2029 Senior Notes that were previously issued on June 5, 2024.</w:t>
      </w:r>
    </w:p>
    <w:p>
      <w:pPr>
        <w:spacing w:after="0" w:line="203" w:lineRule="exact"/>
        <w:rPr>
          <w:sz w:val="20"/>
          <w:szCs w:val="20"/>
          <w:color w:val="auto"/>
        </w:rPr>
      </w:pPr>
    </w:p>
    <w:p>
      <w:pPr>
        <w:ind w:right="400" w:firstLine="324"/>
        <w:spacing w:after="0" w:line="287" w:lineRule="auto"/>
        <w:rPr>
          <w:sz w:val="20"/>
          <w:szCs w:val="20"/>
          <w:color w:val="auto"/>
        </w:rPr>
      </w:pPr>
      <w:r>
        <w:rPr>
          <w:rFonts w:ascii="Arial" w:cs="Arial" w:eastAsia="Arial" w:hAnsi="Arial"/>
          <w:sz w:val="18"/>
          <w:szCs w:val="18"/>
          <w:i w:val="1"/>
          <w:iCs w:val="1"/>
          <w:color w:val="auto"/>
        </w:rPr>
        <w:t xml:space="preserve">Security </w:t>
      </w:r>
      <w:r>
        <w:rPr>
          <w:rFonts w:ascii="Arial" w:cs="Arial" w:eastAsia="Arial" w:hAnsi="Arial"/>
          <w:sz w:val="18"/>
          <w:szCs w:val="18"/>
          <w:color w:val="auto"/>
        </w:rPr>
        <w:t>– Our 2029 Senior Notes are general unsecured obligations which are guaranteed on a senior unsecured basis by all of our</w:t>
      </w:r>
      <w:r>
        <w:rPr>
          <w:rFonts w:ascii="Arial" w:cs="Arial" w:eastAsia="Arial" w:hAnsi="Arial"/>
          <w:sz w:val="18"/>
          <w:szCs w:val="18"/>
          <w:i w:val="1"/>
          <w:iCs w:val="1"/>
          <w:color w:val="auto"/>
        </w:rPr>
        <w:t xml:space="preserve"> </w:t>
      </w:r>
      <w:r>
        <w:rPr>
          <w:rFonts w:ascii="Arial" w:cs="Arial" w:eastAsia="Arial" w:hAnsi="Arial"/>
          <w:sz w:val="18"/>
          <w:szCs w:val="18"/>
          <w:color w:val="auto"/>
        </w:rPr>
        <w:t>existing subsidiaries that guarantee our obligations under the Revolving Credit Facility and our existing 2026 Senior Notes.</w:t>
      </w:r>
    </w:p>
    <w:p>
      <w:pPr>
        <w:spacing w:after="0" w:line="180" w:lineRule="exact"/>
        <w:rPr>
          <w:sz w:val="20"/>
          <w:szCs w:val="20"/>
          <w:color w:val="auto"/>
        </w:rPr>
      </w:pPr>
    </w:p>
    <w:p>
      <w:pPr>
        <w:ind w:right="180" w:firstLine="324"/>
        <w:spacing w:after="0" w:line="260" w:lineRule="auto"/>
        <w:rPr>
          <w:sz w:val="20"/>
          <w:szCs w:val="20"/>
          <w:color w:val="auto"/>
        </w:rPr>
      </w:pPr>
      <w:r>
        <w:rPr>
          <w:rFonts w:ascii="Arial" w:cs="Arial" w:eastAsia="Arial" w:hAnsi="Arial"/>
          <w:sz w:val="18"/>
          <w:szCs w:val="18"/>
          <w:i w:val="1"/>
          <w:iCs w:val="1"/>
          <w:color w:val="auto"/>
        </w:rPr>
        <w:t xml:space="preserve">Redemption </w:t>
      </w:r>
      <w:r>
        <w:rPr>
          <w:rFonts w:ascii="Arial" w:cs="Arial" w:eastAsia="Arial" w:hAnsi="Arial"/>
          <w:sz w:val="18"/>
          <w:szCs w:val="18"/>
          <w:color w:val="auto"/>
        </w:rPr>
        <w:t>– We may redeem the 2029 Senior Notes at any time on or after June 15, 2026 at the redemption prices of (i) 104.125%</w:t>
      </w:r>
      <w:r>
        <w:rPr>
          <w:rFonts w:ascii="Arial" w:cs="Arial" w:eastAsia="Arial" w:hAnsi="Arial"/>
          <w:sz w:val="18"/>
          <w:szCs w:val="18"/>
          <w:i w:val="1"/>
          <w:iCs w:val="1"/>
          <w:color w:val="auto"/>
        </w:rPr>
        <w:t xml:space="preserve"> </w:t>
      </w:r>
      <w:r>
        <w:rPr>
          <w:rFonts w:ascii="Arial" w:cs="Arial" w:eastAsia="Arial" w:hAnsi="Arial"/>
          <w:sz w:val="18"/>
          <w:szCs w:val="18"/>
          <w:color w:val="auto"/>
        </w:rPr>
        <w:t>during the twelve-month period beginning on June 15, 2026, (ii) 102.063% during the twelve-month period beginning on June 15, 2027 and</w:t>
      </w:r>
    </w:p>
    <w:p>
      <w:pPr>
        <w:spacing w:after="0" w:line="2" w:lineRule="exact"/>
        <w:rPr>
          <w:sz w:val="20"/>
          <w:szCs w:val="20"/>
          <w:color w:val="auto"/>
        </w:rPr>
      </w:pPr>
    </w:p>
    <w:p>
      <w:pPr>
        <w:ind w:firstLine="8"/>
        <w:spacing w:after="0" w:line="254" w:lineRule="auto"/>
        <w:tabs>
          <w:tab w:leader="none" w:pos="290" w:val="left"/>
        </w:tabs>
        <w:numPr>
          <w:ilvl w:val="0"/>
          <w:numId w:val="8"/>
        </w:numPr>
        <w:rPr>
          <w:rFonts w:ascii="Arial" w:cs="Arial" w:eastAsia="Arial" w:hAnsi="Arial"/>
          <w:sz w:val="18"/>
          <w:szCs w:val="18"/>
          <w:color w:val="auto"/>
        </w:rPr>
      </w:pPr>
      <w:r>
        <w:rPr>
          <w:rFonts w:ascii="Arial" w:cs="Arial" w:eastAsia="Arial" w:hAnsi="Arial"/>
          <w:sz w:val="18"/>
          <w:szCs w:val="18"/>
          <w:color w:val="auto"/>
        </w:rPr>
        <w:t>100% after June 15, 2028 and before the maturity date. Prior to June 15, 2026, we may redeem up to 35% of the aggregate principal amount of the 2029 Senior Notes with an amount of cash not greater than the net cash proceeds from certain equity offerings at the redemption price of 108.250%. In addition, before June 15, 2026, we may redeem some or all of the 2029 Senior Notes at a redemption price equal to 100% of the aggregate principal amount of the 2029 Senior Notes redeemed, plus the applicable premium as specified in the 2029 Senior Notes Indenture and accrued and unpaid interest, if any, to, but excluding, the redemption date.</w:t>
      </w:r>
    </w:p>
    <w:p>
      <w:pPr>
        <w:spacing w:after="0" w:line="210" w:lineRule="exact"/>
        <w:rPr>
          <w:sz w:val="20"/>
          <w:szCs w:val="20"/>
          <w:color w:val="auto"/>
        </w:rPr>
      </w:pPr>
    </w:p>
    <w:p>
      <w:pPr>
        <w:ind w:right="880" w:firstLine="324"/>
        <w:spacing w:after="0" w:line="268" w:lineRule="auto"/>
        <w:rPr>
          <w:sz w:val="20"/>
          <w:szCs w:val="20"/>
          <w:color w:val="auto"/>
        </w:rPr>
      </w:pPr>
      <w:r>
        <w:rPr>
          <w:rFonts w:ascii="Arial" w:cs="Arial" w:eastAsia="Arial" w:hAnsi="Arial"/>
          <w:sz w:val="18"/>
          <w:szCs w:val="18"/>
          <w:i w:val="1"/>
          <w:iCs w:val="1"/>
          <w:color w:val="auto"/>
        </w:rPr>
        <w:t xml:space="preserve">Other Covenants </w:t>
      </w:r>
      <w:r>
        <w:rPr>
          <w:rFonts w:ascii="Arial" w:cs="Arial" w:eastAsia="Arial" w:hAnsi="Arial"/>
          <w:sz w:val="18"/>
          <w:szCs w:val="18"/>
          <w:color w:val="auto"/>
        </w:rPr>
        <w:t>– Our 2029 Senior Notes include covenants that, among other things, restrict our ability to incur additional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indebtedness, issue preferred stock, grant liens, make asset sales and investments, repay existing indebtedness, make subsidiary distributions, and enter into transactions that would result in fundamental changes.</w:t>
      </w:r>
    </w:p>
    <w:p>
      <w:pPr>
        <w:spacing w:after="0" w:line="198" w:lineRule="exact"/>
        <w:rPr>
          <w:sz w:val="20"/>
          <w:szCs w:val="20"/>
          <w:color w:val="auto"/>
        </w:rPr>
      </w:pPr>
    </w:p>
    <w:p>
      <w:pPr>
        <w:ind w:right="180" w:firstLine="324"/>
        <w:spacing w:after="0" w:line="268" w:lineRule="auto"/>
        <w:rPr>
          <w:sz w:val="20"/>
          <w:szCs w:val="20"/>
          <w:color w:val="auto"/>
        </w:rPr>
      </w:pPr>
      <w:r>
        <w:rPr>
          <w:rFonts w:ascii="Arial" w:cs="Arial" w:eastAsia="Arial" w:hAnsi="Arial"/>
          <w:sz w:val="18"/>
          <w:szCs w:val="18"/>
          <w:i w:val="1"/>
          <w:iCs w:val="1"/>
          <w:color w:val="auto"/>
        </w:rPr>
        <w:t xml:space="preserve">Events of Default and Change of Control </w:t>
      </w:r>
      <w:r>
        <w:rPr>
          <w:rFonts w:ascii="Arial" w:cs="Arial" w:eastAsia="Arial" w:hAnsi="Arial"/>
          <w:sz w:val="18"/>
          <w:szCs w:val="18"/>
          <w:color w:val="auto"/>
        </w:rPr>
        <w:t>– Our 2029 Senior Notes provide for certain triggering events, including upon a change of</w:t>
      </w:r>
      <w:r>
        <w:rPr>
          <w:rFonts w:ascii="Arial" w:cs="Arial" w:eastAsia="Arial" w:hAnsi="Arial"/>
          <w:sz w:val="18"/>
          <w:szCs w:val="18"/>
          <w:i w:val="1"/>
          <w:iCs w:val="1"/>
          <w:color w:val="auto"/>
        </w:rPr>
        <w:t xml:space="preserve"> </w:t>
      </w:r>
      <w:r>
        <w:rPr>
          <w:rFonts w:ascii="Arial" w:cs="Arial" w:eastAsia="Arial" w:hAnsi="Arial"/>
          <w:sz w:val="18"/>
          <w:szCs w:val="18"/>
          <w:color w:val="auto"/>
        </w:rPr>
        <w:t>control, as defined in the indenture, that would require us to repurchase all or any part of the 2029 Senior Notes at a price equal to 101% of the aggregate principal amount plus accrued and unpaid interest.</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Tender Offer and Note Repurchases</w:t>
      </w:r>
    </w:p>
    <w:p>
      <w:pPr>
        <w:spacing w:after="0" w:line="250" w:lineRule="exact"/>
        <w:rPr>
          <w:sz w:val="20"/>
          <w:szCs w:val="20"/>
          <w:color w:val="auto"/>
        </w:rPr>
      </w:pPr>
    </w:p>
    <w:p>
      <w:pPr>
        <w:ind w:right="220" w:firstLine="324"/>
        <w:spacing w:after="0" w:line="262" w:lineRule="auto"/>
        <w:rPr>
          <w:sz w:val="20"/>
          <w:szCs w:val="20"/>
          <w:color w:val="auto"/>
        </w:rPr>
      </w:pPr>
      <w:r>
        <w:rPr>
          <w:rFonts w:ascii="Arial" w:cs="Arial" w:eastAsia="Arial" w:hAnsi="Arial"/>
          <w:sz w:val="18"/>
          <w:szCs w:val="18"/>
          <w:color w:val="auto"/>
        </w:rPr>
        <w:t>In the three and nine months ended September 30, 2024, we repurchased $ 300 million in face value of our 2026 Senior Notes for $303 million, resulting in a loss on early extinguishment of debt in the amount of $5 million which includes a $ 2 million write-off of unamortized debt issuance costs. In the three and nine months ended September 30, 2023, we repurchased $5 million in face value of our 2026 Senior Notes at par, resulting in an insignificant extinguishment loss for the write-off of unamortized debt issuance costs.</w:t>
      </w:r>
    </w:p>
    <w:p>
      <w:pPr>
        <w:spacing w:after="0" w:line="203" w:lineRule="exact"/>
        <w:rPr>
          <w:sz w:val="20"/>
          <w:szCs w:val="20"/>
          <w:color w:val="auto"/>
        </w:rPr>
      </w:pPr>
    </w:p>
    <w:p>
      <w:pPr>
        <w:ind w:right="280" w:firstLine="324"/>
        <w:spacing w:after="0" w:line="268" w:lineRule="auto"/>
        <w:rPr>
          <w:sz w:val="20"/>
          <w:szCs w:val="20"/>
          <w:color w:val="auto"/>
        </w:rPr>
      </w:pPr>
      <w:r>
        <w:rPr>
          <w:rFonts w:ascii="Arial" w:cs="Arial" w:eastAsia="Arial" w:hAnsi="Arial"/>
          <w:sz w:val="18"/>
          <w:szCs w:val="18"/>
          <w:color w:val="auto"/>
        </w:rPr>
        <w:t>Our 2026 Senior Notes are redeemable at any time prior to the maturity date at a redemption price equal to (i) 102% of the principal amount if redeemed in the twelve months beginning February 1, 2024, and (ii) 100% of the principal amount if redeemed after February 1, 2025, in each case plus accrued and unpaid interest.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w:t>
      </w:r>
    </w:p>
    <w:p>
      <w:pPr>
        <w:spacing w:after="0" w:line="250" w:lineRule="exact"/>
        <w:rPr>
          <w:sz w:val="20"/>
          <w:szCs w:val="20"/>
          <w:color w:val="auto"/>
        </w:rPr>
      </w:pPr>
    </w:p>
    <w:p>
      <w:pPr>
        <w:ind w:right="460" w:firstLine="324"/>
        <w:spacing w:after="0" w:line="287" w:lineRule="auto"/>
        <w:rPr>
          <w:sz w:val="20"/>
          <w:szCs w:val="20"/>
          <w:color w:val="auto"/>
        </w:rPr>
      </w:pPr>
      <w:r>
        <w:rPr>
          <w:rFonts w:ascii="Arial" w:cs="Arial" w:eastAsia="Arial" w:hAnsi="Arial"/>
          <w:sz w:val="18"/>
          <w:szCs w:val="18"/>
          <w:color w:val="auto"/>
        </w:rPr>
        <w:t>As shown in the table below, we estimate the fair value of our fixed rate 2029 Senior Notes and 2026 Senior Notes based on known prices from market transactions (using Level 1 inputs on the fair value hierarchy).</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gridSpan w:val="2"/>
          </w:tcPr>
          <w:p>
            <w:pPr>
              <w:ind w:left="100"/>
              <w:spacing w:after="0"/>
              <w:rPr>
                <w:sz w:val="20"/>
                <w:szCs w:val="20"/>
                <w:color w:val="auto"/>
              </w:rPr>
            </w:pPr>
            <w:r>
              <w:rPr>
                <w:rFonts w:ascii="Arial" w:cs="Arial" w:eastAsia="Arial" w:hAnsi="Arial"/>
                <w:sz w:val="18"/>
                <w:szCs w:val="18"/>
                <w:b w:val="1"/>
                <w:bCs w:val="1"/>
                <w:color w:val="auto"/>
              </w:rPr>
              <w:t>September 30,</w:t>
            </w:r>
          </w:p>
        </w:tc>
        <w:tc>
          <w:tcPr>
            <w:tcW w:w="320" w:type="dxa"/>
            <w:vAlign w:val="bottom"/>
          </w:tcPr>
          <w:p>
            <w:pPr>
              <w:spacing w:after="0"/>
              <w:rPr>
                <w:sz w:val="19"/>
                <w:szCs w:val="19"/>
                <w:color w:val="auto"/>
              </w:rPr>
            </w:pPr>
          </w:p>
        </w:tc>
        <w:tc>
          <w:tcPr>
            <w:tcW w:w="1540" w:type="dxa"/>
            <w:vAlign w:val="bottom"/>
          </w:tcPr>
          <w:p>
            <w:pPr>
              <w:jc w:val="right"/>
              <w:ind w:right="250"/>
              <w:spacing w:after="0"/>
              <w:rPr>
                <w:sz w:val="20"/>
                <w:szCs w:val="20"/>
                <w:color w:val="auto"/>
              </w:rPr>
            </w:pPr>
            <w:r>
              <w:rPr>
                <w:rFonts w:ascii="Arial" w:cs="Arial" w:eastAsia="Arial" w:hAnsi="Arial"/>
                <w:sz w:val="18"/>
                <w:szCs w:val="18"/>
                <w:b w:val="1"/>
                <w:bCs w:val="1"/>
                <w:color w:val="auto"/>
              </w:rPr>
              <w:t>December 31,</w:t>
            </w:r>
          </w:p>
        </w:tc>
      </w:tr>
      <w:tr>
        <w:trPr>
          <w:trHeight w:val="235"/>
        </w:trPr>
        <w:tc>
          <w:tcPr>
            <w:tcW w:w="74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633"/>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2023</w:t>
            </w:r>
          </w:p>
        </w:tc>
      </w:tr>
      <w:tr>
        <w:trPr>
          <w:trHeight w:val="233"/>
        </w:trPr>
        <w:tc>
          <w:tcPr>
            <w:tcW w:w="7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6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1540" w:type="dxa"/>
            <w:vAlign w:val="bottom"/>
          </w:tcPr>
          <w:p>
            <w:pPr>
              <w:spacing w:after="0"/>
              <w:rPr>
                <w:sz w:val="20"/>
                <w:szCs w:val="20"/>
                <w:color w:val="auto"/>
              </w:rPr>
            </w:pPr>
          </w:p>
        </w:tc>
      </w:tr>
      <w:tr>
        <w:trPr>
          <w:trHeight w:val="233"/>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Variable rate debt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420" w:type="dxa"/>
            <w:vAlign w:val="bottom"/>
          </w:tcPr>
          <w:p>
            <w:pPr>
              <w:ind w:left="20"/>
              <w:spacing w:after="0"/>
              <w:rPr>
                <w:sz w:val="20"/>
                <w:szCs w:val="20"/>
                <w:color w:val="auto"/>
              </w:rPr>
            </w:pPr>
            <w:r>
              <w:rPr>
                <w:rFonts w:ascii="Arial" w:cs="Arial" w:eastAsia="Arial" w:hAnsi="Arial"/>
                <w:sz w:val="18"/>
                <w:szCs w:val="18"/>
                <w:color w:val="auto"/>
              </w:rPr>
              <w:t>Fixed rate debt</w:t>
            </w:r>
          </w:p>
        </w:tc>
        <w:tc>
          <w:tcPr>
            <w:tcW w:w="2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29"/>
        </w:trPr>
        <w:tc>
          <w:tcPr>
            <w:tcW w:w="7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2026 Senior Notes</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w:t>
            </w:r>
          </w:p>
        </w:tc>
      </w:tr>
      <w:tr>
        <w:trPr>
          <w:trHeight w:val="229"/>
        </w:trPr>
        <w:tc>
          <w:tcPr>
            <w:tcW w:w="74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2029 Senior Notes</w:t>
            </w: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Fair Value of Long-Term Debt</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w:t>
            </w: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250" w:lineRule="exact"/>
        <w:rPr>
          <w:sz w:val="20"/>
          <w:szCs w:val="20"/>
          <w:color w:val="auto"/>
        </w:rPr>
      </w:pPr>
    </w:p>
    <w:p>
      <w:pPr>
        <w:ind w:right="220" w:firstLine="324"/>
        <w:spacing w:after="0" w:line="268" w:lineRule="auto"/>
        <w:rPr>
          <w:sz w:val="20"/>
          <w:szCs w:val="20"/>
          <w:color w:val="auto"/>
        </w:rPr>
      </w:pPr>
      <w:r>
        <w:rPr>
          <w:rFonts w:ascii="Arial" w:cs="Arial" w:eastAsia="Arial" w:hAnsi="Arial"/>
          <w:sz w:val="18"/>
          <w:szCs w:val="18"/>
          <w:color w:val="auto"/>
        </w:rPr>
        <w:t xml:space="preserve">As of September 30, 2024, we were in compliance with all financial and other debt covenants under our Revolving Credit Facility, 2026 Senior Notes and 2029 Senior Notes. For more information on our 2026 Senior Notes, see </w:t>
      </w:r>
      <w:r>
        <w:rPr>
          <w:rFonts w:ascii="Arial" w:cs="Arial" w:eastAsia="Arial" w:hAnsi="Arial"/>
          <w:sz w:val="18"/>
          <w:szCs w:val="18"/>
          <w:i w:val="1"/>
          <w:iCs w:val="1"/>
          <w:color w:val="auto"/>
        </w:rPr>
        <w:t>Part II, Item 8 – Financial Statements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Supplementary Data, Note 4 Debt </w:t>
      </w:r>
      <w:r>
        <w:rPr>
          <w:rFonts w:ascii="Arial" w:cs="Arial" w:eastAsia="Arial" w:hAnsi="Arial"/>
          <w:sz w:val="18"/>
          <w:szCs w:val="18"/>
          <w:color w:val="auto"/>
        </w:rPr>
        <w:t>in our 2023 Annual Report.</w:t>
      </w:r>
    </w:p>
    <w:p>
      <w:pPr>
        <w:spacing w:after="0" w:line="198"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7"/>
          <w:szCs w:val="17"/>
          <w:b w:val="1"/>
          <w:bCs w:val="1"/>
          <w:color w:val="auto"/>
        </w:rPr>
        <w:t>LAWSUITS, CLAIMS, COMMITMENTS AND CONTINGENCIES</w:t>
      </w:r>
    </w:p>
    <w:p>
      <w:pPr>
        <w:spacing w:after="0" w:line="252" w:lineRule="exact"/>
        <w:rPr>
          <w:sz w:val="20"/>
          <w:szCs w:val="20"/>
          <w:color w:val="auto"/>
        </w:rPr>
      </w:pPr>
    </w:p>
    <w:p>
      <w:pPr>
        <w:ind w:right="240" w:firstLine="324"/>
        <w:spacing w:after="0" w:line="268" w:lineRule="auto"/>
        <w:rPr>
          <w:sz w:val="20"/>
          <w:szCs w:val="20"/>
          <w:color w:val="auto"/>
        </w:rPr>
      </w:pPr>
      <w:r>
        <w:rPr>
          <w:rFonts w:ascii="Arial" w:cs="Arial" w:eastAsia="Arial" w:hAnsi="Arial"/>
          <w:sz w:val="18"/>
          <w:szCs w:val="18"/>
          <w:color w:val="auto"/>
        </w:rPr>
        <w:t>We are involved, in the normal course of business, in lawsuits, environmental and other claims, and other contingencies that seek, among other things, compensation for alleged personal injury, breach of contract, property damage or other losses, punitive damages, civil penalties or injunctive or declaratory relief.</w:t>
      </w:r>
    </w:p>
    <w:p>
      <w:pPr>
        <w:spacing w:after="0" w:line="198"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We accrue reserves for currently outstanding lawsuits, claims and proceedings when we determine it is probable that a liability has been incurred and the liability can be reasonably estimated. Reserve balances for these items at September 30, 2024 and December 31, 2023 were not material to our condensed consolidated balance sheets as of such dates. We also evaluate the amount of reasonably possible losses that we could incur as a result of these matters. We believe that reasonably possible losses that we could incur in excess of reserves cannot be accurately determined.</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20" w:name="page21"/>
    <w:bookmarkEnd w:id="20"/>
    <w:p>
      <w:pPr>
        <w:ind w:right="20" w:firstLine="324"/>
        <w:spacing w:after="0" w:line="254" w:lineRule="auto"/>
        <w:rPr>
          <w:sz w:val="20"/>
          <w:szCs w:val="20"/>
          <w:color w:val="auto"/>
        </w:rPr>
      </w:pPr>
      <w:r>
        <w:rPr>
          <w:rFonts w:ascii="Arial" w:cs="Arial" w:eastAsia="Arial" w:hAnsi="Arial"/>
          <w:sz w:val="18"/>
          <w:szCs w:val="18"/>
          <w:color w:val="auto"/>
        </w:rPr>
        <w:t>In October 2020, Signal Hill Services, Inc. defaulted on its decommissioning obligations associated with two offshore platforms. The Bureau of Safety and Environmental Enforcement (BSEE) determined that former lessees, including our former parent, Occidental Petroleum Corporation (Oxy) with a 37.5% share, are responsible for accrued decommissioning obligations associated with these offshore platforms. Oxy sold its interest in the platforms approximately 30 years ago and it is our understanding that Oxy has not had any connection to the operations since that time and was challenging BSEE's order. Oxy notified us of the claim under the indemnification provisions of the Separation and Distribution Agreement between us and Oxy. In September 2021, we accepted the indemnification claim from Oxy and are challenging the order from BSEE. In March 2024, we entered into a cost sharing agreement with former lessees to share in ongoing maintenance costs during the pendency of the challenge to the BSEE order. We estimate our ongoing share of maintenance costs for the platforms could be approximately $5 million per year. Due to the preliminary stage of the process, no cost estimates to abandon the offshore platforms have been determined.</w:t>
      </w:r>
    </w:p>
    <w:p>
      <w:pPr>
        <w:spacing w:after="0" w:line="212" w:lineRule="exact"/>
        <w:rPr>
          <w:sz w:val="20"/>
          <w:szCs w:val="20"/>
          <w:color w:val="auto"/>
        </w:rPr>
      </w:pPr>
    </w:p>
    <w:p>
      <w:pPr>
        <w:jc w:val="both"/>
        <w:ind w:right="220" w:firstLine="324"/>
        <w:spacing w:after="0" w:line="268" w:lineRule="auto"/>
        <w:rPr>
          <w:sz w:val="20"/>
          <w:szCs w:val="20"/>
          <w:color w:val="auto"/>
        </w:rPr>
      </w:pPr>
      <w:r>
        <w:rPr>
          <w:rFonts w:ascii="Arial" w:cs="Arial" w:eastAsia="Arial" w:hAnsi="Arial"/>
          <w:sz w:val="18"/>
          <w:szCs w:val="18"/>
          <w:color w:val="auto"/>
        </w:rPr>
        <w:t>As of September 30, 2024 there were no material changes to our legacy purchase obligations disclosed in the 2023 Annual Report. In connection with the Aera Merger, we assumed purchase obligations of approximately $50 million. These purchase obligations are primarily related to natural gas transportation and a power purchase agreement for a future solar project.</w:t>
      </w:r>
    </w:p>
    <w:p>
      <w:pPr>
        <w:spacing w:after="0" w:line="198"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7"/>
          <w:szCs w:val="17"/>
          <w:b w:val="1"/>
          <w:bCs w:val="1"/>
          <w:color w:val="auto"/>
        </w:rPr>
        <w:t>DERIVATIVES</w:t>
      </w:r>
    </w:p>
    <w:p>
      <w:pPr>
        <w:spacing w:after="0" w:line="252"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We continue to maintain a commodity hedging program primarily focused on crude oil to help protect our cash flows, margins and capital program from the volatility of commodity prices. We also enter into natural gas swaps for the purpose of hedging our fuel consumption in our steamflood operations as well as swaps for natural gas purchases and sales related to our marketing activities. In connection with the Aera Merger, we also acquired swaps related to crude oil sales and natural gas purchases. We did not have any derivative instruments designated as accounting hedges as of and for the three and nine months ended September 30, 2024 and 2023. Unless otherwise indicated, we use the term "hedge" to describe derivative instruments that are designed to implement our hedging strategy.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Derivative Contracts</w:t>
      </w:r>
    </w:p>
    <w:p>
      <w:pPr>
        <w:spacing w:after="0" w:line="2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held the following Brent-based contracts as of September 30, 2024:</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Q4</w:t>
            </w:r>
          </w:p>
        </w:tc>
        <w:tc>
          <w:tcPr>
            <w:tcW w:w="220" w:type="dxa"/>
            <w:vAlign w:val="bottom"/>
          </w:tcPr>
          <w:p>
            <w:pPr>
              <w:spacing w:after="0"/>
              <w:rPr>
                <w:sz w:val="18"/>
                <w:szCs w:val="18"/>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Q1</w:t>
            </w:r>
          </w:p>
        </w:tc>
        <w:tc>
          <w:tcPr>
            <w:tcW w:w="200" w:type="dxa"/>
            <w:vAlign w:val="bottom"/>
          </w:tcPr>
          <w:p>
            <w:pPr>
              <w:spacing w:after="0"/>
              <w:rPr>
                <w:sz w:val="18"/>
                <w:szCs w:val="18"/>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Q2</w:t>
            </w:r>
          </w:p>
        </w:tc>
        <w:tc>
          <w:tcPr>
            <w:tcW w:w="220" w:type="dxa"/>
            <w:vAlign w:val="bottom"/>
          </w:tcPr>
          <w:p>
            <w:pPr>
              <w:spacing w:after="0"/>
              <w:rPr>
                <w:sz w:val="18"/>
                <w:szCs w:val="18"/>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Q3</w:t>
            </w:r>
          </w:p>
        </w:tc>
        <w:tc>
          <w:tcPr>
            <w:tcW w:w="220" w:type="dxa"/>
            <w:vAlign w:val="bottom"/>
          </w:tcPr>
          <w:p>
            <w:pPr>
              <w:spacing w:after="0"/>
              <w:rPr>
                <w:sz w:val="18"/>
                <w:szCs w:val="18"/>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Q4</w:t>
            </w:r>
          </w:p>
        </w:tc>
        <w:tc>
          <w:tcPr>
            <w:tcW w:w="220" w:type="dxa"/>
            <w:vAlign w:val="bottom"/>
          </w:tcPr>
          <w:p>
            <w:pPr>
              <w:spacing w:after="0"/>
              <w:rPr>
                <w:sz w:val="18"/>
                <w:szCs w:val="18"/>
                <w:color w:val="auto"/>
              </w:rPr>
            </w:pPr>
          </w:p>
        </w:tc>
        <w:tc>
          <w:tcPr>
            <w:tcW w:w="82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2026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2027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2028</w:t>
            </w:r>
          </w:p>
        </w:tc>
        <w:tc>
          <w:tcPr>
            <w:tcW w:w="0" w:type="dxa"/>
            <w:vAlign w:val="bottom"/>
          </w:tcPr>
          <w:p>
            <w:pPr>
              <w:spacing w:after="0"/>
              <w:rPr>
                <w:sz w:val="1"/>
                <w:szCs w:val="1"/>
                <w:color w:val="auto"/>
              </w:rPr>
            </w:pPr>
          </w:p>
        </w:tc>
      </w:tr>
      <w:tr>
        <w:trPr>
          <w:trHeight w:val="235"/>
        </w:trPr>
        <w:tc>
          <w:tcPr>
            <w:tcW w:w="2260" w:type="dxa"/>
            <w:vAlign w:val="bottom"/>
            <w:vMerge w:val="restart"/>
          </w:tcPr>
          <w:p>
            <w:pPr>
              <w:ind w:left="20"/>
              <w:spacing w:after="0"/>
              <w:rPr>
                <w:sz w:val="20"/>
                <w:szCs w:val="20"/>
                <w:color w:val="auto"/>
              </w:rPr>
            </w:pPr>
            <w:r>
              <w:rPr>
                <w:rFonts w:ascii="Arial" w:cs="Arial" w:eastAsia="Arial" w:hAnsi="Arial"/>
                <w:sz w:val="18"/>
                <w:szCs w:val="18"/>
                <w:color w:val="auto"/>
              </w:rPr>
              <w:t>Sold Calls</w:t>
            </w: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2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Barrels per day</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4"/>
        </w:trPr>
        <w:tc>
          <w:tcPr>
            <w:tcW w:w="2260" w:type="dxa"/>
            <w:vAlign w:val="bottom"/>
          </w:tcPr>
          <w:p>
            <w:pPr>
              <w:ind w:left="140"/>
              <w:spacing w:after="0" w:line="183" w:lineRule="exact"/>
              <w:rPr>
                <w:sz w:val="20"/>
                <w:szCs w:val="20"/>
                <w:color w:val="auto"/>
              </w:rPr>
            </w:pPr>
            <w:r>
              <w:rPr>
                <w:rFonts w:ascii="Arial" w:cs="Arial" w:eastAsia="Arial" w:hAnsi="Arial"/>
                <w:sz w:val="18"/>
                <w:szCs w:val="18"/>
                <w:color w:val="auto"/>
              </w:rPr>
              <w:t>Weighted-average price</w:t>
            </w: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90.07</w:t>
            </w:r>
          </w:p>
        </w:tc>
        <w:tc>
          <w:tcPr>
            <w:tcW w:w="100" w:type="dxa"/>
            <w:vAlign w:val="bottom"/>
          </w:tcPr>
          <w:p>
            <w:pPr>
              <w:spacing w:after="0"/>
              <w:rPr>
                <w:sz w:val="15"/>
                <w:szCs w:val="15"/>
                <w:color w:val="auto"/>
              </w:rPr>
            </w:pP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87.08</w:t>
            </w:r>
          </w:p>
        </w:tc>
        <w:tc>
          <w:tcPr>
            <w:tcW w:w="100" w:type="dxa"/>
            <w:vAlign w:val="bottom"/>
          </w:tcPr>
          <w:p>
            <w:pPr>
              <w:spacing w:after="0"/>
              <w:rPr>
                <w:sz w:val="15"/>
                <w:szCs w:val="15"/>
                <w:color w:val="auto"/>
              </w:rPr>
            </w:pP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87.08</w:t>
            </w:r>
          </w:p>
        </w:tc>
        <w:tc>
          <w:tcPr>
            <w:tcW w:w="100" w:type="dxa"/>
            <w:vAlign w:val="bottom"/>
          </w:tcPr>
          <w:p>
            <w:pPr>
              <w:spacing w:after="0"/>
              <w:rPr>
                <w:sz w:val="15"/>
                <w:szCs w:val="15"/>
                <w:color w:val="auto"/>
              </w:rPr>
            </w:pP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87.08</w:t>
            </w:r>
          </w:p>
        </w:tc>
        <w:tc>
          <w:tcPr>
            <w:tcW w:w="100" w:type="dxa"/>
            <w:vAlign w:val="bottom"/>
          </w:tcPr>
          <w:p>
            <w:pPr>
              <w:spacing w:after="0"/>
              <w:rPr>
                <w:sz w:val="15"/>
                <w:szCs w:val="15"/>
                <w:color w:val="auto"/>
              </w:rPr>
            </w:pP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87.13</w:t>
            </w:r>
          </w:p>
        </w:tc>
        <w:tc>
          <w:tcPr>
            <w:tcW w:w="100" w:type="dxa"/>
            <w:vAlign w:val="bottom"/>
          </w:tcPr>
          <w:p>
            <w:pPr>
              <w:spacing w:after="0"/>
              <w:rPr>
                <w:sz w:val="15"/>
                <w:szCs w:val="15"/>
                <w:color w:val="auto"/>
              </w:rPr>
            </w:pP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85.00</w:t>
            </w:r>
          </w:p>
        </w:tc>
        <w:tc>
          <w:tcPr>
            <w:tcW w:w="80" w:type="dxa"/>
            <w:vAlign w:val="bottom"/>
          </w:tcPr>
          <w:p>
            <w:pPr>
              <w:spacing w:after="0"/>
              <w:rPr>
                <w:sz w:val="15"/>
                <w:szCs w:val="15"/>
                <w:color w:val="auto"/>
              </w:rPr>
            </w:pP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2260" w:type="dxa"/>
            <w:vAlign w:val="bottom"/>
          </w:tcPr>
          <w:p>
            <w:pPr>
              <w:ind w:left="140"/>
              <w:spacing w:after="0"/>
              <w:rPr>
                <w:sz w:val="20"/>
                <w:szCs w:val="20"/>
                <w:color w:val="auto"/>
              </w:rPr>
            </w:pPr>
            <w:r>
              <w:rPr>
                <w:rFonts w:ascii="Arial" w:cs="Arial" w:eastAsia="Arial" w:hAnsi="Arial"/>
                <w:sz w:val="18"/>
                <w:szCs w:val="18"/>
                <w:color w:val="auto"/>
              </w:rPr>
              <w:t>per barrel</w:t>
            </w:r>
          </w:p>
        </w:tc>
        <w:tc>
          <w:tcPr>
            <w:tcW w:w="220" w:type="dxa"/>
            <w:vAlign w:val="bottom"/>
            <w:vMerge w:val="continue"/>
          </w:tcPr>
          <w:p>
            <w:pPr>
              <w:spacing w:after="0"/>
              <w:rPr>
                <w:sz w:val="20"/>
                <w:szCs w:val="20"/>
                <w:color w:val="auto"/>
              </w:rPr>
            </w:pPr>
          </w:p>
        </w:tc>
        <w:tc>
          <w:tcPr>
            <w:tcW w:w="8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vMerge w:val="continue"/>
          </w:tcPr>
          <w:p>
            <w:pPr>
              <w:spacing w:after="0"/>
              <w:rPr>
                <w:sz w:val="20"/>
                <w:szCs w:val="20"/>
                <w:color w:val="auto"/>
              </w:rPr>
            </w:pPr>
          </w:p>
        </w:tc>
        <w:tc>
          <w:tcPr>
            <w:tcW w:w="8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vMerge w:val="continue"/>
          </w:tcPr>
          <w:p>
            <w:pPr>
              <w:spacing w:after="0"/>
              <w:rPr>
                <w:sz w:val="20"/>
                <w:szCs w:val="20"/>
                <w:color w:val="auto"/>
              </w:rPr>
            </w:pPr>
          </w:p>
        </w:tc>
        <w:tc>
          <w:tcPr>
            <w:tcW w:w="8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vMerge w:val="continue"/>
          </w:tcPr>
          <w:p>
            <w:pPr>
              <w:spacing w:after="0"/>
              <w:rPr>
                <w:sz w:val="20"/>
                <w:szCs w:val="20"/>
                <w:color w:val="auto"/>
              </w:rPr>
            </w:pPr>
          </w:p>
        </w:tc>
        <w:tc>
          <w:tcPr>
            <w:tcW w:w="8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vMerge w:val="continue"/>
          </w:tcPr>
          <w:p>
            <w:pPr>
              <w:spacing w:after="0"/>
              <w:rPr>
                <w:sz w:val="20"/>
                <w:szCs w:val="20"/>
                <w:color w:val="auto"/>
              </w:rPr>
            </w:pPr>
          </w:p>
        </w:tc>
        <w:tc>
          <w:tcPr>
            <w:tcW w:w="8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vMerge w:val="continue"/>
          </w:tcPr>
          <w:p>
            <w:pPr>
              <w:spacing w:after="0"/>
              <w:rPr>
                <w:sz w:val="20"/>
                <w:szCs w:val="20"/>
                <w:color w:val="auto"/>
              </w:rPr>
            </w:pPr>
          </w:p>
        </w:tc>
        <w:tc>
          <w:tcPr>
            <w:tcW w:w="8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vMerge w:val="continue"/>
          </w:tcPr>
          <w:p>
            <w:pPr>
              <w:spacing w:after="0"/>
              <w:rPr>
                <w:sz w:val="20"/>
                <w:szCs w:val="20"/>
                <w:color w:val="auto"/>
              </w:rPr>
            </w:pPr>
          </w:p>
        </w:tc>
        <w:tc>
          <w:tcPr>
            <w:tcW w:w="920" w:type="dxa"/>
            <w:vAlign w:val="bottom"/>
            <w:gridSpan w:val="2"/>
            <w:vMerge w:val="continue"/>
          </w:tcPr>
          <w:p>
            <w:pPr>
              <w:spacing w:after="0"/>
              <w:rPr>
                <w:sz w:val="20"/>
                <w:szCs w:val="20"/>
                <w:color w:val="auto"/>
              </w:rPr>
            </w:pPr>
          </w:p>
        </w:tc>
        <w:tc>
          <w:tcPr>
            <w:tcW w:w="220" w:type="dxa"/>
            <w:vAlign w:val="bottom"/>
            <w:vMerge w:val="continue"/>
          </w:tcPr>
          <w:p>
            <w:pPr>
              <w:spacing w:after="0"/>
              <w:rPr>
                <w:sz w:val="20"/>
                <w:szCs w:val="20"/>
                <w:color w:val="auto"/>
              </w:rPr>
            </w:pPr>
          </w:p>
        </w:tc>
        <w:tc>
          <w:tcPr>
            <w:tcW w:w="8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2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260" w:type="dxa"/>
            <w:vAlign w:val="bottom"/>
          </w:tcPr>
          <w:p>
            <w:pPr>
              <w:ind w:left="20"/>
              <w:spacing w:after="0"/>
              <w:rPr>
                <w:sz w:val="20"/>
                <w:szCs w:val="20"/>
                <w:color w:val="auto"/>
              </w:rPr>
            </w:pPr>
            <w:r>
              <w:rPr>
                <w:rFonts w:ascii="Arial" w:cs="Arial" w:eastAsia="Arial" w:hAnsi="Arial"/>
                <w:sz w:val="18"/>
                <w:szCs w:val="18"/>
                <w:color w:val="auto"/>
              </w:rPr>
              <w:t>Purchased Puts</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Barrels per day</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4"/>
        </w:trPr>
        <w:tc>
          <w:tcPr>
            <w:tcW w:w="2260" w:type="dxa"/>
            <w:vAlign w:val="bottom"/>
          </w:tcPr>
          <w:p>
            <w:pPr>
              <w:ind w:left="140"/>
              <w:spacing w:after="0" w:line="183" w:lineRule="exact"/>
              <w:rPr>
                <w:sz w:val="20"/>
                <w:szCs w:val="20"/>
                <w:color w:val="auto"/>
              </w:rPr>
            </w:pPr>
            <w:r>
              <w:rPr>
                <w:rFonts w:ascii="Arial" w:cs="Arial" w:eastAsia="Arial" w:hAnsi="Arial"/>
                <w:sz w:val="18"/>
                <w:szCs w:val="18"/>
                <w:color w:val="auto"/>
              </w:rPr>
              <w:t>Weighted-average price</w:t>
            </w: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65.17</w:t>
            </w:r>
          </w:p>
        </w:tc>
        <w:tc>
          <w:tcPr>
            <w:tcW w:w="100" w:type="dxa"/>
            <w:vAlign w:val="bottom"/>
          </w:tcPr>
          <w:p>
            <w:pPr>
              <w:spacing w:after="0"/>
              <w:rPr>
                <w:sz w:val="15"/>
                <w:szCs w:val="15"/>
                <w:color w:val="auto"/>
              </w:rPr>
            </w:pP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61.67</w:t>
            </w:r>
          </w:p>
        </w:tc>
        <w:tc>
          <w:tcPr>
            <w:tcW w:w="100" w:type="dxa"/>
            <w:vAlign w:val="bottom"/>
          </w:tcPr>
          <w:p>
            <w:pPr>
              <w:spacing w:after="0"/>
              <w:rPr>
                <w:sz w:val="15"/>
                <w:szCs w:val="15"/>
                <w:color w:val="auto"/>
              </w:rPr>
            </w:pP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61.67</w:t>
            </w:r>
          </w:p>
        </w:tc>
        <w:tc>
          <w:tcPr>
            <w:tcW w:w="100" w:type="dxa"/>
            <w:vAlign w:val="bottom"/>
          </w:tcPr>
          <w:p>
            <w:pPr>
              <w:spacing w:after="0"/>
              <w:rPr>
                <w:sz w:val="15"/>
                <w:szCs w:val="15"/>
                <w:color w:val="auto"/>
              </w:rPr>
            </w:pP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61.67</w:t>
            </w:r>
          </w:p>
        </w:tc>
        <w:tc>
          <w:tcPr>
            <w:tcW w:w="100" w:type="dxa"/>
            <w:vAlign w:val="bottom"/>
          </w:tcPr>
          <w:p>
            <w:pPr>
              <w:spacing w:after="0"/>
              <w:rPr>
                <w:sz w:val="15"/>
                <w:szCs w:val="15"/>
                <w:color w:val="auto"/>
              </w:rPr>
            </w:pP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61.72</w:t>
            </w:r>
          </w:p>
        </w:tc>
        <w:tc>
          <w:tcPr>
            <w:tcW w:w="100" w:type="dxa"/>
            <w:vAlign w:val="bottom"/>
          </w:tcPr>
          <w:p>
            <w:pPr>
              <w:spacing w:after="0"/>
              <w:rPr>
                <w:sz w:val="15"/>
                <w:szCs w:val="15"/>
                <w:color w:val="auto"/>
              </w:rPr>
            </w:pP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60.00</w:t>
            </w:r>
          </w:p>
        </w:tc>
        <w:tc>
          <w:tcPr>
            <w:tcW w:w="80" w:type="dxa"/>
            <w:vAlign w:val="bottom"/>
          </w:tcPr>
          <w:p>
            <w:pPr>
              <w:spacing w:after="0"/>
              <w:rPr>
                <w:sz w:val="15"/>
                <w:szCs w:val="15"/>
                <w:color w:val="auto"/>
              </w:rPr>
            </w:pP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2260" w:type="dxa"/>
            <w:vAlign w:val="bottom"/>
          </w:tcPr>
          <w:p>
            <w:pPr>
              <w:ind w:left="140"/>
              <w:spacing w:after="0"/>
              <w:rPr>
                <w:sz w:val="20"/>
                <w:szCs w:val="20"/>
                <w:color w:val="auto"/>
              </w:rPr>
            </w:pPr>
            <w:r>
              <w:rPr>
                <w:rFonts w:ascii="Arial" w:cs="Arial" w:eastAsia="Arial" w:hAnsi="Arial"/>
                <w:sz w:val="18"/>
                <w:szCs w:val="18"/>
                <w:color w:val="auto"/>
              </w:rPr>
              <w:t>per barrel</w:t>
            </w:r>
          </w:p>
        </w:tc>
        <w:tc>
          <w:tcPr>
            <w:tcW w:w="220" w:type="dxa"/>
            <w:vAlign w:val="bottom"/>
            <w:vMerge w:val="continue"/>
          </w:tcPr>
          <w:p>
            <w:pPr>
              <w:spacing w:after="0"/>
              <w:rPr>
                <w:sz w:val="20"/>
                <w:szCs w:val="20"/>
                <w:color w:val="auto"/>
              </w:rPr>
            </w:pPr>
          </w:p>
        </w:tc>
        <w:tc>
          <w:tcPr>
            <w:tcW w:w="8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vMerge w:val="continue"/>
          </w:tcPr>
          <w:p>
            <w:pPr>
              <w:spacing w:after="0"/>
              <w:rPr>
                <w:sz w:val="20"/>
                <w:szCs w:val="20"/>
                <w:color w:val="auto"/>
              </w:rPr>
            </w:pPr>
          </w:p>
        </w:tc>
        <w:tc>
          <w:tcPr>
            <w:tcW w:w="8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vMerge w:val="continue"/>
          </w:tcPr>
          <w:p>
            <w:pPr>
              <w:spacing w:after="0"/>
              <w:rPr>
                <w:sz w:val="20"/>
                <w:szCs w:val="20"/>
                <w:color w:val="auto"/>
              </w:rPr>
            </w:pPr>
          </w:p>
        </w:tc>
        <w:tc>
          <w:tcPr>
            <w:tcW w:w="8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vMerge w:val="continue"/>
          </w:tcPr>
          <w:p>
            <w:pPr>
              <w:spacing w:after="0"/>
              <w:rPr>
                <w:sz w:val="20"/>
                <w:szCs w:val="20"/>
                <w:color w:val="auto"/>
              </w:rPr>
            </w:pPr>
          </w:p>
        </w:tc>
        <w:tc>
          <w:tcPr>
            <w:tcW w:w="8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vMerge w:val="continue"/>
          </w:tcPr>
          <w:p>
            <w:pPr>
              <w:spacing w:after="0"/>
              <w:rPr>
                <w:sz w:val="20"/>
                <w:szCs w:val="20"/>
                <w:color w:val="auto"/>
              </w:rPr>
            </w:pPr>
          </w:p>
        </w:tc>
        <w:tc>
          <w:tcPr>
            <w:tcW w:w="8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vMerge w:val="continue"/>
          </w:tcPr>
          <w:p>
            <w:pPr>
              <w:spacing w:after="0"/>
              <w:rPr>
                <w:sz w:val="20"/>
                <w:szCs w:val="20"/>
                <w:color w:val="auto"/>
              </w:rPr>
            </w:pPr>
          </w:p>
        </w:tc>
        <w:tc>
          <w:tcPr>
            <w:tcW w:w="8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vMerge w:val="continue"/>
          </w:tcPr>
          <w:p>
            <w:pPr>
              <w:spacing w:after="0"/>
              <w:rPr>
                <w:sz w:val="20"/>
                <w:szCs w:val="20"/>
                <w:color w:val="auto"/>
              </w:rPr>
            </w:pPr>
          </w:p>
        </w:tc>
        <w:tc>
          <w:tcPr>
            <w:tcW w:w="920" w:type="dxa"/>
            <w:vAlign w:val="bottom"/>
            <w:gridSpan w:val="2"/>
            <w:vMerge w:val="continue"/>
          </w:tcPr>
          <w:p>
            <w:pPr>
              <w:spacing w:after="0"/>
              <w:rPr>
                <w:sz w:val="20"/>
                <w:szCs w:val="20"/>
                <w:color w:val="auto"/>
              </w:rPr>
            </w:pPr>
          </w:p>
        </w:tc>
        <w:tc>
          <w:tcPr>
            <w:tcW w:w="220" w:type="dxa"/>
            <w:vAlign w:val="bottom"/>
            <w:vMerge w:val="continue"/>
          </w:tcPr>
          <w:p>
            <w:pPr>
              <w:spacing w:after="0"/>
              <w:rPr>
                <w:sz w:val="20"/>
                <w:szCs w:val="20"/>
                <w:color w:val="auto"/>
              </w:rPr>
            </w:pPr>
          </w:p>
        </w:tc>
        <w:tc>
          <w:tcPr>
            <w:tcW w:w="8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2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260" w:type="dxa"/>
            <w:vAlign w:val="bottom"/>
          </w:tcPr>
          <w:p>
            <w:pPr>
              <w:ind w:left="20"/>
              <w:spacing w:after="0"/>
              <w:rPr>
                <w:sz w:val="20"/>
                <w:szCs w:val="20"/>
                <w:color w:val="auto"/>
              </w:rPr>
            </w:pPr>
            <w:r>
              <w:rPr>
                <w:rFonts w:ascii="Arial" w:cs="Arial" w:eastAsia="Arial" w:hAnsi="Arial"/>
                <w:sz w:val="18"/>
                <w:szCs w:val="18"/>
                <w:color w:val="auto"/>
              </w:rPr>
              <w:t>Swaps</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Barrels per day</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52,837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45,631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30,449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10,353</w:t>
            </w:r>
          </w:p>
        </w:tc>
        <w:tc>
          <w:tcPr>
            <w:tcW w:w="0" w:type="dxa"/>
            <w:vAlign w:val="bottom"/>
          </w:tcPr>
          <w:p>
            <w:pPr>
              <w:spacing w:after="0"/>
              <w:rPr>
                <w:sz w:val="1"/>
                <w:szCs w:val="1"/>
                <w:color w:val="auto"/>
              </w:rPr>
            </w:pPr>
          </w:p>
        </w:tc>
      </w:tr>
      <w:tr>
        <w:trPr>
          <w:trHeight w:val="184"/>
        </w:trPr>
        <w:tc>
          <w:tcPr>
            <w:tcW w:w="2260" w:type="dxa"/>
            <w:vAlign w:val="bottom"/>
          </w:tcPr>
          <w:p>
            <w:pPr>
              <w:ind w:left="140"/>
              <w:spacing w:after="0" w:line="183" w:lineRule="exact"/>
              <w:rPr>
                <w:sz w:val="20"/>
                <w:szCs w:val="20"/>
                <w:color w:val="auto"/>
              </w:rPr>
            </w:pPr>
            <w:r>
              <w:rPr>
                <w:rFonts w:ascii="Arial" w:cs="Arial" w:eastAsia="Arial" w:hAnsi="Arial"/>
                <w:sz w:val="18"/>
                <w:szCs w:val="18"/>
                <w:color w:val="auto"/>
              </w:rPr>
              <w:t>Weighted-average price</w:t>
            </w: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74.90</w:t>
            </w:r>
          </w:p>
        </w:tc>
        <w:tc>
          <w:tcPr>
            <w:tcW w:w="100" w:type="dxa"/>
            <w:vAlign w:val="bottom"/>
          </w:tcPr>
          <w:p>
            <w:pPr>
              <w:spacing w:after="0"/>
              <w:rPr>
                <w:sz w:val="15"/>
                <w:szCs w:val="15"/>
                <w:color w:val="auto"/>
              </w:rPr>
            </w:pP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72.48</w:t>
            </w:r>
          </w:p>
        </w:tc>
        <w:tc>
          <w:tcPr>
            <w:tcW w:w="100" w:type="dxa"/>
            <w:vAlign w:val="bottom"/>
          </w:tcPr>
          <w:p>
            <w:pPr>
              <w:spacing w:after="0"/>
              <w:rPr>
                <w:sz w:val="15"/>
                <w:szCs w:val="15"/>
                <w:color w:val="auto"/>
              </w:rPr>
            </w:pP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71.31</w:t>
            </w:r>
          </w:p>
        </w:tc>
        <w:tc>
          <w:tcPr>
            <w:tcW w:w="100" w:type="dxa"/>
            <w:vAlign w:val="bottom"/>
          </w:tcPr>
          <w:p>
            <w:pPr>
              <w:spacing w:after="0"/>
              <w:rPr>
                <w:sz w:val="15"/>
                <w:szCs w:val="15"/>
                <w:color w:val="auto"/>
              </w:rPr>
            </w:pP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70.62</w:t>
            </w:r>
          </w:p>
        </w:tc>
        <w:tc>
          <w:tcPr>
            <w:tcW w:w="100" w:type="dxa"/>
            <w:vAlign w:val="bottom"/>
          </w:tcPr>
          <w:p>
            <w:pPr>
              <w:spacing w:after="0"/>
              <w:rPr>
                <w:sz w:val="15"/>
                <w:szCs w:val="15"/>
                <w:color w:val="auto"/>
              </w:rPr>
            </w:pP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69.94</w:t>
            </w:r>
          </w:p>
        </w:tc>
        <w:tc>
          <w:tcPr>
            <w:tcW w:w="100" w:type="dxa"/>
            <w:vAlign w:val="bottom"/>
          </w:tcPr>
          <w:p>
            <w:pPr>
              <w:spacing w:after="0"/>
              <w:rPr>
                <w:sz w:val="15"/>
                <w:szCs w:val="15"/>
                <w:color w:val="auto"/>
              </w:rPr>
            </w:pP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67.95</w:t>
            </w:r>
          </w:p>
        </w:tc>
        <w:tc>
          <w:tcPr>
            <w:tcW w:w="80" w:type="dxa"/>
            <w:vAlign w:val="bottom"/>
          </w:tcPr>
          <w:p>
            <w:pPr>
              <w:spacing w:after="0"/>
              <w:rPr>
                <w:sz w:val="15"/>
                <w:szCs w:val="15"/>
                <w:color w:val="auto"/>
              </w:rPr>
            </w:pP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65.53</w:t>
            </w:r>
          </w:p>
        </w:tc>
        <w:tc>
          <w:tcPr>
            <w:tcW w:w="100" w:type="dxa"/>
            <w:vAlign w:val="bottom"/>
          </w:tcPr>
          <w:p>
            <w:pPr>
              <w:spacing w:after="0"/>
              <w:rPr>
                <w:sz w:val="15"/>
                <w:szCs w:val="15"/>
                <w:color w:val="auto"/>
              </w:rPr>
            </w:pP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65.00</w:t>
            </w:r>
          </w:p>
        </w:tc>
        <w:tc>
          <w:tcPr>
            <w:tcW w:w="0" w:type="dxa"/>
            <w:vAlign w:val="bottom"/>
          </w:tcPr>
          <w:p>
            <w:pPr>
              <w:spacing w:after="0"/>
              <w:rPr>
                <w:sz w:val="1"/>
                <w:szCs w:val="1"/>
                <w:color w:val="auto"/>
              </w:rPr>
            </w:pPr>
          </w:p>
        </w:tc>
      </w:tr>
      <w:tr>
        <w:trPr>
          <w:trHeight w:val="239"/>
        </w:trPr>
        <w:tc>
          <w:tcPr>
            <w:tcW w:w="2260" w:type="dxa"/>
            <w:vAlign w:val="bottom"/>
          </w:tcPr>
          <w:p>
            <w:pPr>
              <w:ind w:left="140"/>
              <w:spacing w:after="0"/>
              <w:rPr>
                <w:sz w:val="20"/>
                <w:szCs w:val="20"/>
                <w:color w:val="auto"/>
              </w:rPr>
            </w:pPr>
            <w:r>
              <w:rPr>
                <w:rFonts w:ascii="Arial" w:cs="Arial" w:eastAsia="Arial" w:hAnsi="Arial"/>
                <w:sz w:val="18"/>
                <w:szCs w:val="18"/>
                <w:color w:val="auto"/>
              </w:rPr>
              <w:t>per barrel</w:t>
            </w:r>
          </w:p>
        </w:tc>
        <w:tc>
          <w:tcPr>
            <w:tcW w:w="220" w:type="dxa"/>
            <w:vAlign w:val="bottom"/>
            <w:vMerge w:val="continue"/>
          </w:tcPr>
          <w:p>
            <w:pPr>
              <w:spacing w:after="0"/>
              <w:rPr>
                <w:sz w:val="20"/>
                <w:szCs w:val="20"/>
                <w:color w:val="auto"/>
              </w:rPr>
            </w:pPr>
          </w:p>
        </w:tc>
        <w:tc>
          <w:tcPr>
            <w:tcW w:w="8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vMerge w:val="continue"/>
          </w:tcPr>
          <w:p>
            <w:pPr>
              <w:spacing w:after="0"/>
              <w:rPr>
                <w:sz w:val="20"/>
                <w:szCs w:val="20"/>
                <w:color w:val="auto"/>
              </w:rPr>
            </w:pPr>
          </w:p>
        </w:tc>
        <w:tc>
          <w:tcPr>
            <w:tcW w:w="8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vMerge w:val="continue"/>
          </w:tcPr>
          <w:p>
            <w:pPr>
              <w:spacing w:after="0"/>
              <w:rPr>
                <w:sz w:val="20"/>
                <w:szCs w:val="20"/>
                <w:color w:val="auto"/>
              </w:rPr>
            </w:pPr>
          </w:p>
        </w:tc>
        <w:tc>
          <w:tcPr>
            <w:tcW w:w="8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vMerge w:val="continue"/>
          </w:tcPr>
          <w:p>
            <w:pPr>
              <w:spacing w:after="0"/>
              <w:rPr>
                <w:sz w:val="20"/>
                <w:szCs w:val="20"/>
                <w:color w:val="auto"/>
              </w:rPr>
            </w:pPr>
          </w:p>
        </w:tc>
        <w:tc>
          <w:tcPr>
            <w:tcW w:w="8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vMerge w:val="continue"/>
          </w:tcPr>
          <w:p>
            <w:pPr>
              <w:spacing w:after="0"/>
              <w:rPr>
                <w:sz w:val="20"/>
                <w:szCs w:val="20"/>
                <w:color w:val="auto"/>
              </w:rPr>
            </w:pPr>
          </w:p>
        </w:tc>
        <w:tc>
          <w:tcPr>
            <w:tcW w:w="8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vMerge w:val="continue"/>
          </w:tcPr>
          <w:p>
            <w:pPr>
              <w:spacing w:after="0"/>
              <w:rPr>
                <w:sz w:val="20"/>
                <w:szCs w:val="20"/>
                <w:color w:val="auto"/>
              </w:rPr>
            </w:pPr>
          </w:p>
        </w:tc>
        <w:tc>
          <w:tcPr>
            <w:tcW w:w="8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vMerge w:val="continue"/>
          </w:tcPr>
          <w:p>
            <w:pPr>
              <w:spacing w:after="0"/>
              <w:rPr>
                <w:sz w:val="20"/>
                <w:szCs w:val="20"/>
                <w:color w:val="auto"/>
              </w:rPr>
            </w:pPr>
          </w:p>
        </w:tc>
        <w:tc>
          <w:tcPr>
            <w:tcW w:w="8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vMerge w:val="continue"/>
          </w:tcPr>
          <w:p>
            <w:pPr>
              <w:spacing w:after="0"/>
              <w:rPr>
                <w:sz w:val="20"/>
                <w:szCs w:val="20"/>
                <w:color w:val="auto"/>
              </w:rPr>
            </w:pPr>
          </w:p>
        </w:tc>
        <w:tc>
          <w:tcPr>
            <w:tcW w:w="8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outcomes of the derivative positions are as follows:</w:t>
      </w:r>
    </w:p>
    <w:p>
      <w:pPr>
        <w:spacing w:after="0" w:line="239"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Sold calls – we make settlement payments for prices above the indicated weighted-average price per barrel.</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Purchased puts – we receive settlement payments for prices below the indicated weighted-average price per barrel.</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1" w:name="page22"/>
    <w:bookmarkEnd w:id="21"/>
    <w:p>
      <w:pPr>
        <w:ind w:left="660" w:right="420" w:hanging="328"/>
        <w:spacing w:after="0" w:line="286" w:lineRule="auto"/>
        <w:tabs>
          <w:tab w:leader="none" w:pos="655"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Swaps – we make settlement payments for prices above the indicated weighted-average price per barrel and receive settlement payments for prices below the indicated weighted-average price per barrel.</w:t>
      </w:r>
    </w:p>
    <w:p>
      <w:pPr>
        <w:spacing w:after="0" w:line="181" w:lineRule="exact"/>
        <w:rPr>
          <w:sz w:val="20"/>
          <w:szCs w:val="20"/>
          <w:color w:val="auto"/>
        </w:rPr>
      </w:pPr>
    </w:p>
    <w:p>
      <w:pPr>
        <w:ind w:right="200" w:firstLine="324"/>
        <w:spacing w:after="0" w:line="271" w:lineRule="auto"/>
        <w:rPr>
          <w:sz w:val="20"/>
          <w:szCs w:val="20"/>
          <w:color w:val="auto"/>
        </w:rPr>
      </w:pPr>
      <w:r>
        <w:rPr>
          <w:rFonts w:ascii="Arial" w:cs="Arial" w:eastAsia="Arial" w:hAnsi="Arial"/>
          <w:sz w:val="18"/>
          <w:szCs w:val="18"/>
          <w:color w:val="auto"/>
        </w:rPr>
        <w:t>At September 30, 2024, we also held the following swaps to hedge purchased natural gas used in our operations as shown in the table below.</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Q4</w:t>
            </w:r>
          </w:p>
        </w:tc>
        <w:tc>
          <w:tcPr>
            <w:tcW w:w="220" w:type="dxa"/>
            <w:vAlign w:val="bottom"/>
          </w:tcPr>
          <w:p>
            <w:pPr>
              <w:spacing w:after="0"/>
              <w:rPr>
                <w:sz w:val="17"/>
                <w:szCs w:val="17"/>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Q1</w:t>
            </w:r>
          </w:p>
        </w:tc>
        <w:tc>
          <w:tcPr>
            <w:tcW w:w="200" w:type="dxa"/>
            <w:vAlign w:val="bottom"/>
          </w:tcPr>
          <w:p>
            <w:pPr>
              <w:spacing w:after="0"/>
              <w:rPr>
                <w:sz w:val="17"/>
                <w:szCs w:val="17"/>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Q2</w:t>
            </w:r>
          </w:p>
        </w:tc>
        <w:tc>
          <w:tcPr>
            <w:tcW w:w="220" w:type="dxa"/>
            <w:vAlign w:val="bottom"/>
          </w:tcPr>
          <w:p>
            <w:pPr>
              <w:spacing w:after="0"/>
              <w:rPr>
                <w:sz w:val="17"/>
                <w:szCs w:val="17"/>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Q3</w:t>
            </w:r>
          </w:p>
        </w:tc>
        <w:tc>
          <w:tcPr>
            <w:tcW w:w="220" w:type="dxa"/>
            <w:vAlign w:val="bottom"/>
          </w:tcPr>
          <w:p>
            <w:pPr>
              <w:spacing w:after="0"/>
              <w:rPr>
                <w:sz w:val="17"/>
                <w:szCs w:val="17"/>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Q4</w:t>
            </w:r>
          </w:p>
        </w:tc>
        <w:tc>
          <w:tcPr>
            <w:tcW w:w="220" w:type="dxa"/>
            <w:vAlign w:val="bottom"/>
          </w:tcPr>
          <w:p>
            <w:pPr>
              <w:spacing w:after="0"/>
              <w:rPr>
                <w:sz w:val="17"/>
                <w:szCs w:val="17"/>
                <w:color w:val="auto"/>
              </w:rPr>
            </w:pPr>
          </w:p>
        </w:tc>
        <w:tc>
          <w:tcPr>
            <w:tcW w:w="82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2026</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2027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2028</w:t>
            </w:r>
          </w:p>
        </w:tc>
        <w:tc>
          <w:tcPr>
            <w:tcW w:w="0" w:type="dxa"/>
            <w:vAlign w:val="bottom"/>
          </w:tcPr>
          <w:p>
            <w:pPr>
              <w:spacing w:after="0"/>
              <w:rPr>
                <w:sz w:val="1"/>
                <w:szCs w:val="1"/>
                <w:color w:val="auto"/>
              </w:rPr>
            </w:pPr>
          </w:p>
        </w:tc>
      </w:tr>
      <w:tr>
        <w:trPr>
          <w:trHeight w:val="243"/>
        </w:trPr>
        <w:tc>
          <w:tcPr>
            <w:tcW w:w="22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vMerge w:val="continue"/>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SoCal Border</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60" w:type="dxa"/>
            <w:vAlign w:val="bottom"/>
          </w:tcPr>
          <w:p>
            <w:pPr>
              <w:ind w:left="140"/>
              <w:spacing w:after="0"/>
              <w:rPr>
                <w:sz w:val="20"/>
                <w:szCs w:val="20"/>
                <w:color w:val="auto"/>
              </w:rPr>
            </w:pPr>
            <w:r>
              <w:rPr>
                <w:rFonts w:ascii="Arial" w:cs="Arial" w:eastAsia="Arial" w:hAnsi="Arial"/>
                <w:sz w:val="18"/>
                <w:szCs w:val="18"/>
                <w:color w:val="auto"/>
              </w:rPr>
              <w:t>MMBtu per day</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29,074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25,750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22,408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226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Weighted-average price</w:t>
            </w: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10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10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0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10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10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per MMBtu</w:t>
            </w:r>
          </w:p>
        </w:tc>
        <w:tc>
          <w:tcPr>
            <w:tcW w:w="220" w:type="dxa"/>
            <w:vAlign w:val="bottom"/>
            <w:vMerge w:val="continue"/>
            <w:shd w:val="clear" w:color="auto" w:fill="CCEEFF"/>
          </w:tcPr>
          <w:p>
            <w:pPr>
              <w:spacing w:after="0"/>
              <w:rPr>
                <w:sz w:val="21"/>
                <w:szCs w:val="21"/>
                <w:color w:val="auto"/>
              </w:rPr>
            </w:pPr>
          </w:p>
        </w:tc>
        <w:tc>
          <w:tcPr>
            <w:tcW w:w="8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vMerge w:val="continue"/>
            <w:shd w:val="clear" w:color="auto" w:fill="CCEEFF"/>
          </w:tcPr>
          <w:p>
            <w:pPr>
              <w:spacing w:after="0"/>
              <w:rPr>
                <w:sz w:val="21"/>
                <w:szCs w:val="21"/>
                <w:color w:val="auto"/>
              </w:rPr>
            </w:pPr>
          </w:p>
        </w:tc>
        <w:tc>
          <w:tcPr>
            <w:tcW w:w="8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vMerge w:val="continue"/>
            <w:shd w:val="clear" w:color="auto" w:fill="CCEEFF"/>
          </w:tcPr>
          <w:p>
            <w:pPr>
              <w:spacing w:after="0"/>
              <w:rPr>
                <w:sz w:val="21"/>
                <w:szCs w:val="21"/>
                <w:color w:val="auto"/>
              </w:rPr>
            </w:pPr>
          </w:p>
        </w:tc>
        <w:tc>
          <w:tcPr>
            <w:tcW w:w="8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vMerge w:val="continue"/>
            <w:shd w:val="clear" w:color="auto" w:fill="CCEEFF"/>
          </w:tcPr>
          <w:p>
            <w:pPr>
              <w:spacing w:after="0"/>
              <w:rPr>
                <w:sz w:val="21"/>
                <w:szCs w:val="21"/>
                <w:color w:val="auto"/>
              </w:rPr>
            </w:pPr>
          </w:p>
        </w:tc>
        <w:tc>
          <w:tcPr>
            <w:tcW w:w="8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vMerge w:val="continue"/>
            <w:shd w:val="clear" w:color="auto" w:fill="CCEEFF"/>
          </w:tcPr>
          <w:p>
            <w:pPr>
              <w:spacing w:after="0"/>
              <w:rPr>
                <w:sz w:val="21"/>
                <w:szCs w:val="21"/>
                <w:color w:val="auto"/>
              </w:rPr>
            </w:pPr>
          </w:p>
        </w:tc>
        <w:tc>
          <w:tcPr>
            <w:tcW w:w="8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vMerge w:val="continue"/>
            <w:shd w:val="clear" w:color="auto" w:fill="CCEEFF"/>
          </w:tcPr>
          <w:p>
            <w:pPr>
              <w:spacing w:after="0"/>
              <w:rPr>
                <w:sz w:val="21"/>
                <w:szCs w:val="21"/>
                <w:color w:val="auto"/>
              </w:rPr>
            </w:pPr>
          </w:p>
        </w:tc>
        <w:tc>
          <w:tcPr>
            <w:tcW w:w="900" w:type="dxa"/>
            <w:vAlign w:val="bottom"/>
            <w:gridSpan w:val="2"/>
            <w:vMerge w:val="continue"/>
            <w:shd w:val="clear" w:color="auto" w:fill="CCEEFF"/>
          </w:tcPr>
          <w:p>
            <w:pPr>
              <w:spacing w:after="0"/>
              <w:rPr>
                <w:sz w:val="21"/>
                <w:szCs w:val="21"/>
                <w:color w:val="auto"/>
              </w:rPr>
            </w:pPr>
          </w:p>
        </w:tc>
        <w:tc>
          <w:tcPr>
            <w:tcW w:w="220" w:type="dxa"/>
            <w:vAlign w:val="bottom"/>
            <w:vMerge w:val="continue"/>
            <w:shd w:val="clear" w:color="auto" w:fill="CCEEFF"/>
          </w:tcPr>
          <w:p>
            <w:pPr>
              <w:spacing w:after="0"/>
              <w:rPr>
                <w:sz w:val="21"/>
                <w:szCs w:val="21"/>
                <w:color w:val="auto"/>
              </w:rPr>
            </w:pPr>
          </w:p>
        </w:tc>
        <w:tc>
          <w:tcPr>
            <w:tcW w:w="920" w:type="dxa"/>
            <w:vAlign w:val="bottom"/>
            <w:gridSpan w:val="2"/>
            <w:vMerge w:val="continue"/>
            <w:shd w:val="clear" w:color="auto" w:fill="CCEEFF"/>
          </w:tcPr>
          <w:p>
            <w:pPr>
              <w:spacing w:after="0"/>
              <w:rPr>
                <w:sz w:val="21"/>
                <w:szCs w:val="21"/>
                <w:color w:val="auto"/>
              </w:rPr>
            </w:pPr>
          </w:p>
        </w:tc>
        <w:tc>
          <w:tcPr>
            <w:tcW w:w="220" w:type="dxa"/>
            <w:vAlign w:val="bottom"/>
            <w:vMerge w:val="continue"/>
            <w:shd w:val="clear" w:color="auto" w:fill="CCEEFF"/>
          </w:tcPr>
          <w:p>
            <w:pPr>
              <w:spacing w:after="0"/>
              <w:rPr>
                <w:sz w:val="21"/>
                <w:szCs w:val="21"/>
                <w:color w:val="auto"/>
              </w:rPr>
            </w:pPr>
          </w:p>
        </w:tc>
        <w:tc>
          <w:tcPr>
            <w:tcW w:w="8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NWPL Rockies</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60" w:type="dxa"/>
            <w:vAlign w:val="bottom"/>
          </w:tcPr>
          <w:p>
            <w:pPr>
              <w:ind w:left="140"/>
              <w:spacing w:after="0"/>
              <w:rPr>
                <w:sz w:val="20"/>
                <w:szCs w:val="20"/>
                <w:color w:val="auto"/>
              </w:rPr>
            </w:pPr>
            <w:r>
              <w:rPr>
                <w:rFonts w:ascii="Arial" w:cs="Arial" w:eastAsia="Arial" w:hAnsi="Arial"/>
                <w:sz w:val="18"/>
                <w:szCs w:val="18"/>
                <w:color w:val="auto"/>
              </w:rPr>
              <w:t>MMBtu per day</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50,999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50,999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51,750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51,750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51,750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35,336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12,616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9,613</w:t>
            </w:r>
          </w:p>
        </w:tc>
        <w:tc>
          <w:tcPr>
            <w:tcW w:w="0" w:type="dxa"/>
            <w:vAlign w:val="bottom"/>
          </w:tcPr>
          <w:p>
            <w:pPr>
              <w:spacing w:after="0"/>
              <w:rPr>
                <w:sz w:val="1"/>
                <w:szCs w:val="1"/>
                <w:color w:val="auto"/>
              </w:rPr>
            </w:pPr>
          </w:p>
        </w:tc>
      </w:tr>
      <w:tr>
        <w:trPr>
          <w:trHeight w:val="175"/>
        </w:trPr>
        <w:tc>
          <w:tcPr>
            <w:tcW w:w="226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Weighted-average price</w:t>
            </w: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10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10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0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0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10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8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0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43"/>
        </w:trPr>
        <w:tc>
          <w:tcPr>
            <w:tcW w:w="2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per MMBtu</w:t>
            </w:r>
          </w:p>
        </w:tc>
        <w:tc>
          <w:tcPr>
            <w:tcW w:w="220" w:type="dxa"/>
            <w:vAlign w:val="bottom"/>
            <w:vMerge w:val="continue"/>
            <w:shd w:val="clear" w:color="auto" w:fill="CCEEFF"/>
          </w:tcPr>
          <w:p>
            <w:pPr>
              <w:spacing w:after="0"/>
              <w:rPr>
                <w:sz w:val="21"/>
                <w:szCs w:val="21"/>
                <w:color w:val="auto"/>
              </w:rPr>
            </w:pPr>
          </w:p>
        </w:tc>
        <w:tc>
          <w:tcPr>
            <w:tcW w:w="8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vMerge w:val="continue"/>
            <w:shd w:val="clear" w:color="auto" w:fill="CCEEFF"/>
          </w:tcPr>
          <w:p>
            <w:pPr>
              <w:spacing w:after="0"/>
              <w:rPr>
                <w:sz w:val="21"/>
                <w:szCs w:val="21"/>
                <w:color w:val="auto"/>
              </w:rPr>
            </w:pPr>
          </w:p>
        </w:tc>
        <w:tc>
          <w:tcPr>
            <w:tcW w:w="8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vMerge w:val="continue"/>
            <w:shd w:val="clear" w:color="auto" w:fill="CCEEFF"/>
          </w:tcPr>
          <w:p>
            <w:pPr>
              <w:spacing w:after="0"/>
              <w:rPr>
                <w:sz w:val="21"/>
                <w:szCs w:val="21"/>
                <w:color w:val="auto"/>
              </w:rPr>
            </w:pPr>
          </w:p>
        </w:tc>
        <w:tc>
          <w:tcPr>
            <w:tcW w:w="8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vMerge w:val="continue"/>
            <w:shd w:val="clear" w:color="auto" w:fill="CCEEFF"/>
          </w:tcPr>
          <w:p>
            <w:pPr>
              <w:spacing w:after="0"/>
              <w:rPr>
                <w:sz w:val="21"/>
                <w:szCs w:val="21"/>
                <w:color w:val="auto"/>
              </w:rPr>
            </w:pPr>
          </w:p>
        </w:tc>
        <w:tc>
          <w:tcPr>
            <w:tcW w:w="8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vMerge w:val="continue"/>
            <w:shd w:val="clear" w:color="auto" w:fill="CCEEFF"/>
          </w:tcPr>
          <w:p>
            <w:pPr>
              <w:spacing w:after="0"/>
              <w:rPr>
                <w:sz w:val="21"/>
                <w:szCs w:val="21"/>
                <w:color w:val="auto"/>
              </w:rPr>
            </w:pPr>
          </w:p>
        </w:tc>
        <w:tc>
          <w:tcPr>
            <w:tcW w:w="8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vMerge w:val="continue"/>
            <w:shd w:val="clear" w:color="auto" w:fill="CCEEFF"/>
          </w:tcPr>
          <w:p>
            <w:pPr>
              <w:spacing w:after="0"/>
              <w:rPr>
                <w:sz w:val="21"/>
                <w:szCs w:val="21"/>
                <w:color w:val="auto"/>
              </w:rPr>
            </w:pPr>
          </w:p>
        </w:tc>
        <w:tc>
          <w:tcPr>
            <w:tcW w:w="82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vMerge w:val="continue"/>
            <w:shd w:val="clear" w:color="auto" w:fill="CCEEFF"/>
          </w:tcPr>
          <w:p>
            <w:pPr>
              <w:spacing w:after="0"/>
              <w:rPr>
                <w:sz w:val="21"/>
                <w:szCs w:val="21"/>
                <w:color w:val="auto"/>
              </w:rPr>
            </w:pPr>
          </w:p>
        </w:tc>
        <w:tc>
          <w:tcPr>
            <w:tcW w:w="8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vMerge w:val="continue"/>
            <w:shd w:val="clear" w:color="auto" w:fill="CCEEFF"/>
          </w:tcPr>
          <w:p>
            <w:pPr>
              <w:spacing w:after="0"/>
              <w:rPr>
                <w:sz w:val="21"/>
                <w:szCs w:val="21"/>
                <w:color w:val="auto"/>
              </w:rPr>
            </w:pPr>
          </w:p>
        </w:tc>
        <w:tc>
          <w:tcPr>
            <w:tcW w:w="8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PG&amp;E Citygate</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60" w:type="dxa"/>
            <w:vAlign w:val="bottom"/>
          </w:tcPr>
          <w:p>
            <w:pPr>
              <w:ind w:left="140"/>
              <w:spacing w:after="0"/>
              <w:rPr>
                <w:sz w:val="20"/>
                <w:szCs w:val="20"/>
                <w:color w:val="auto"/>
              </w:rPr>
            </w:pPr>
            <w:r>
              <w:rPr>
                <w:rFonts w:ascii="Arial" w:cs="Arial" w:eastAsia="Arial" w:hAnsi="Arial"/>
                <w:sz w:val="18"/>
                <w:szCs w:val="18"/>
                <w:color w:val="auto"/>
              </w:rPr>
              <w:t>MMBtu per day</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226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Weighted-average price</w:t>
            </w: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10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10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per MMBtu</w:t>
            </w:r>
          </w:p>
        </w:tc>
        <w:tc>
          <w:tcPr>
            <w:tcW w:w="220" w:type="dxa"/>
            <w:vAlign w:val="bottom"/>
            <w:vMerge w:val="continue"/>
            <w:shd w:val="clear" w:color="auto" w:fill="CCEEFF"/>
          </w:tcPr>
          <w:p>
            <w:pPr>
              <w:spacing w:after="0"/>
              <w:rPr>
                <w:sz w:val="21"/>
                <w:szCs w:val="21"/>
                <w:color w:val="auto"/>
              </w:rPr>
            </w:pPr>
          </w:p>
        </w:tc>
        <w:tc>
          <w:tcPr>
            <w:tcW w:w="8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vMerge w:val="continue"/>
            <w:shd w:val="clear" w:color="auto" w:fill="CCEEFF"/>
          </w:tcPr>
          <w:p>
            <w:pPr>
              <w:spacing w:after="0"/>
              <w:rPr>
                <w:sz w:val="21"/>
                <w:szCs w:val="21"/>
                <w:color w:val="auto"/>
              </w:rPr>
            </w:pPr>
          </w:p>
        </w:tc>
        <w:tc>
          <w:tcPr>
            <w:tcW w:w="8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vMerge w:val="continue"/>
            <w:shd w:val="clear" w:color="auto" w:fill="CCEEFF"/>
          </w:tcPr>
          <w:p>
            <w:pPr>
              <w:spacing w:after="0"/>
              <w:rPr>
                <w:sz w:val="21"/>
                <w:szCs w:val="21"/>
                <w:color w:val="auto"/>
              </w:rPr>
            </w:pPr>
          </w:p>
        </w:tc>
        <w:tc>
          <w:tcPr>
            <w:tcW w:w="920" w:type="dxa"/>
            <w:vAlign w:val="bottom"/>
            <w:gridSpan w:val="2"/>
            <w:vMerge w:val="continue"/>
            <w:shd w:val="clear" w:color="auto" w:fill="CCEEFF"/>
          </w:tcPr>
          <w:p>
            <w:pPr>
              <w:spacing w:after="0"/>
              <w:rPr>
                <w:sz w:val="21"/>
                <w:szCs w:val="21"/>
                <w:color w:val="auto"/>
              </w:rPr>
            </w:pPr>
          </w:p>
        </w:tc>
        <w:tc>
          <w:tcPr>
            <w:tcW w:w="220" w:type="dxa"/>
            <w:vAlign w:val="bottom"/>
            <w:vMerge w:val="continue"/>
            <w:shd w:val="clear" w:color="auto" w:fill="CCEEFF"/>
          </w:tcPr>
          <w:p>
            <w:pPr>
              <w:spacing w:after="0"/>
              <w:rPr>
                <w:sz w:val="21"/>
                <w:szCs w:val="21"/>
                <w:color w:val="auto"/>
              </w:rPr>
            </w:pPr>
          </w:p>
        </w:tc>
        <w:tc>
          <w:tcPr>
            <w:tcW w:w="920" w:type="dxa"/>
            <w:vAlign w:val="bottom"/>
            <w:gridSpan w:val="2"/>
            <w:vMerge w:val="continue"/>
            <w:shd w:val="clear" w:color="auto" w:fill="CCEEFF"/>
          </w:tcPr>
          <w:p>
            <w:pPr>
              <w:spacing w:after="0"/>
              <w:rPr>
                <w:sz w:val="21"/>
                <w:szCs w:val="21"/>
                <w:color w:val="auto"/>
              </w:rPr>
            </w:pPr>
          </w:p>
        </w:tc>
        <w:tc>
          <w:tcPr>
            <w:tcW w:w="220" w:type="dxa"/>
            <w:vAlign w:val="bottom"/>
            <w:vMerge w:val="continue"/>
            <w:shd w:val="clear" w:color="auto" w:fill="CCEEFF"/>
          </w:tcPr>
          <w:p>
            <w:pPr>
              <w:spacing w:after="0"/>
              <w:rPr>
                <w:sz w:val="21"/>
                <w:szCs w:val="21"/>
                <w:color w:val="auto"/>
              </w:rPr>
            </w:pPr>
          </w:p>
        </w:tc>
        <w:tc>
          <w:tcPr>
            <w:tcW w:w="920" w:type="dxa"/>
            <w:vAlign w:val="bottom"/>
            <w:gridSpan w:val="2"/>
            <w:vMerge w:val="continue"/>
            <w:shd w:val="clear" w:color="auto" w:fill="CCEEFF"/>
          </w:tcPr>
          <w:p>
            <w:pPr>
              <w:spacing w:after="0"/>
              <w:rPr>
                <w:sz w:val="21"/>
                <w:szCs w:val="21"/>
                <w:color w:val="auto"/>
              </w:rPr>
            </w:pPr>
          </w:p>
        </w:tc>
        <w:tc>
          <w:tcPr>
            <w:tcW w:w="220" w:type="dxa"/>
            <w:vAlign w:val="bottom"/>
            <w:vMerge w:val="continue"/>
            <w:shd w:val="clear" w:color="auto" w:fill="CCEEFF"/>
          </w:tcPr>
          <w:p>
            <w:pPr>
              <w:spacing w:after="0"/>
              <w:rPr>
                <w:sz w:val="21"/>
                <w:szCs w:val="21"/>
                <w:color w:val="auto"/>
              </w:rPr>
            </w:pPr>
          </w:p>
        </w:tc>
        <w:tc>
          <w:tcPr>
            <w:tcW w:w="900" w:type="dxa"/>
            <w:vAlign w:val="bottom"/>
            <w:gridSpan w:val="2"/>
            <w:vMerge w:val="continue"/>
            <w:shd w:val="clear" w:color="auto" w:fill="CCEEFF"/>
          </w:tcPr>
          <w:p>
            <w:pPr>
              <w:spacing w:after="0"/>
              <w:rPr>
                <w:sz w:val="21"/>
                <w:szCs w:val="21"/>
                <w:color w:val="auto"/>
              </w:rPr>
            </w:pPr>
          </w:p>
        </w:tc>
        <w:tc>
          <w:tcPr>
            <w:tcW w:w="220" w:type="dxa"/>
            <w:vAlign w:val="bottom"/>
            <w:vMerge w:val="continue"/>
            <w:shd w:val="clear" w:color="auto" w:fill="CCEEFF"/>
          </w:tcPr>
          <w:p>
            <w:pPr>
              <w:spacing w:after="0"/>
              <w:rPr>
                <w:sz w:val="21"/>
                <w:szCs w:val="21"/>
                <w:color w:val="auto"/>
              </w:rPr>
            </w:pPr>
          </w:p>
        </w:tc>
        <w:tc>
          <w:tcPr>
            <w:tcW w:w="920" w:type="dxa"/>
            <w:vAlign w:val="bottom"/>
            <w:gridSpan w:val="2"/>
            <w:vMerge w:val="continue"/>
            <w:shd w:val="clear" w:color="auto" w:fill="CCEEFF"/>
          </w:tcPr>
          <w:p>
            <w:pPr>
              <w:spacing w:after="0"/>
              <w:rPr>
                <w:sz w:val="21"/>
                <w:szCs w:val="21"/>
                <w:color w:val="auto"/>
              </w:rPr>
            </w:pPr>
          </w:p>
        </w:tc>
        <w:tc>
          <w:tcPr>
            <w:tcW w:w="220" w:type="dxa"/>
            <w:vAlign w:val="bottom"/>
            <w:vMerge w:val="continue"/>
            <w:shd w:val="clear" w:color="auto" w:fill="CCEEFF"/>
          </w:tcPr>
          <w:p>
            <w:pPr>
              <w:spacing w:after="0"/>
              <w:rPr>
                <w:sz w:val="21"/>
                <w:szCs w:val="21"/>
                <w:color w:val="auto"/>
              </w:rPr>
            </w:pPr>
          </w:p>
        </w:tc>
        <w:tc>
          <w:tcPr>
            <w:tcW w:w="8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ind w:right="40" w:firstLine="324"/>
        <w:spacing w:after="0" w:line="287" w:lineRule="auto"/>
        <w:rPr>
          <w:sz w:val="20"/>
          <w:szCs w:val="20"/>
          <w:color w:val="auto"/>
        </w:rPr>
      </w:pPr>
      <w:r>
        <w:rPr>
          <w:rFonts w:ascii="Arial" w:cs="Arial" w:eastAsia="Arial" w:hAnsi="Arial"/>
          <w:sz w:val="18"/>
          <w:szCs w:val="18"/>
          <w:color w:val="auto"/>
        </w:rPr>
        <w:t>We also have a limited number of derivative contracts related to our natural gas marketing activities that are intended to lock in locational price spreads. These derivative contracts are not significant to our results of operations or financial statements taken as a whole.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Derivatives</w:t>
      </w:r>
    </w:p>
    <w:p>
      <w:pPr>
        <w:spacing w:after="0" w:line="250" w:lineRule="exact"/>
        <w:rPr>
          <w:sz w:val="20"/>
          <w:szCs w:val="20"/>
          <w:color w:val="auto"/>
        </w:rPr>
      </w:pPr>
    </w:p>
    <w:p>
      <w:pPr>
        <w:ind w:right="160" w:firstLine="324"/>
        <w:spacing w:after="0" w:line="268" w:lineRule="auto"/>
        <w:rPr>
          <w:sz w:val="20"/>
          <w:szCs w:val="20"/>
          <w:color w:val="auto"/>
        </w:rPr>
      </w:pPr>
      <w:r>
        <w:rPr>
          <w:rFonts w:ascii="Arial" w:cs="Arial" w:eastAsia="Arial" w:hAnsi="Arial"/>
          <w:sz w:val="18"/>
          <w:szCs w:val="18"/>
          <w:color w:val="auto"/>
        </w:rPr>
        <w:t>Derivative instruments not designated as hedging instruments are required to be recorded on the balance sheet at fair value. We report gains and losses on our derivative contracts which hedge commodity price risk related to our oil production and our marketing activities in operating revenue on our consolidated statements of operations as shown in the table below:</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660" w:type="dxa"/>
            <w:vAlign w:val="bottom"/>
          </w:tcPr>
          <w:p>
            <w:pPr>
              <w:spacing w:after="0"/>
              <w:rPr>
                <w:sz w:val="18"/>
                <w:szCs w:val="18"/>
                <w:color w:val="auto"/>
              </w:rPr>
            </w:pPr>
          </w:p>
        </w:tc>
        <w:tc>
          <w:tcPr>
            <w:tcW w:w="2300" w:type="dxa"/>
            <w:vAlign w:val="bottom"/>
            <w:gridSpan w:val="4"/>
          </w:tcPr>
          <w:p>
            <w:pPr>
              <w:jc w:val="center"/>
              <w:ind w:left="390"/>
              <w:spacing w:after="0"/>
              <w:rPr>
                <w:sz w:val="20"/>
                <w:szCs w:val="20"/>
                <w:color w:val="auto"/>
              </w:rPr>
            </w:pPr>
            <w:r>
              <w:rPr>
                <w:rFonts w:ascii="Arial" w:cs="Arial" w:eastAsia="Arial" w:hAnsi="Arial"/>
                <w:sz w:val="18"/>
                <w:szCs w:val="18"/>
                <w:b w:val="1"/>
                <w:bCs w:val="1"/>
                <w:color w:val="auto"/>
              </w:rPr>
              <w:t>Three months ended</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60" w:type="dxa"/>
            <w:vAlign w:val="bottom"/>
            <w:gridSpan w:val="4"/>
          </w:tcPr>
          <w:p>
            <w:pPr>
              <w:jc w:val="center"/>
              <w:ind w:right="190"/>
              <w:spacing w:after="0"/>
              <w:rPr>
                <w:sz w:val="20"/>
                <w:szCs w:val="20"/>
                <w:color w:val="auto"/>
              </w:rPr>
            </w:pPr>
            <w:r>
              <w:rPr>
                <w:rFonts w:ascii="Arial" w:cs="Arial" w:eastAsia="Arial" w:hAnsi="Arial"/>
                <w:sz w:val="18"/>
                <w:szCs w:val="18"/>
                <w:b w:val="1"/>
                <w:bCs w:val="1"/>
                <w:color w:val="auto"/>
              </w:rPr>
              <w:t>Nine months ended</w:t>
            </w:r>
          </w:p>
        </w:tc>
      </w:tr>
      <w:tr>
        <w:trPr>
          <w:trHeight w:val="235"/>
        </w:trPr>
        <w:tc>
          <w:tcPr>
            <w:tcW w:w="5660" w:type="dxa"/>
            <w:vAlign w:val="bottom"/>
          </w:tcPr>
          <w:p>
            <w:pPr>
              <w:spacing w:after="0"/>
              <w:rPr>
                <w:sz w:val="20"/>
                <w:szCs w:val="20"/>
                <w:color w:val="auto"/>
              </w:rPr>
            </w:pPr>
          </w:p>
        </w:tc>
        <w:tc>
          <w:tcPr>
            <w:tcW w:w="2300" w:type="dxa"/>
            <w:vAlign w:val="bottom"/>
            <w:tcBorders>
              <w:bottom w:val="single" w:sz="8" w:color="auto"/>
            </w:tcBorders>
            <w:gridSpan w:val="4"/>
          </w:tcPr>
          <w:p>
            <w:pPr>
              <w:jc w:val="center"/>
              <w:ind w:left="390"/>
              <w:spacing w:after="0"/>
              <w:rPr>
                <w:sz w:val="20"/>
                <w:szCs w:val="20"/>
                <w:color w:val="auto"/>
              </w:rPr>
            </w:pPr>
            <w:r>
              <w:rPr>
                <w:rFonts w:ascii="Arial" w:cs="Arial" w:eastAsia="Arial" w:hAnsi="Arial"/>
                <w:sz w:val="18"/>
                <w:szCs w:val="18"/>
                <w:b w:val="1"/>
                <w:bCs w:val="1"/>
                <w:color w:val="auto"/>
                <w:w w:val="99"/>
              </w:rPr>
              <w:t>September 30,</w:t>
            </w:r>
          </w:p>
        </w:tc>
        <w:tc>
          <w:tcPr>
            <w:tcW w:w="5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4"/>
          </w:tcPr>
          <w:p>
            <w:pPr>
              <w:jc w:val="center"/>
              <w:ind w:right="19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566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2024</w:t>
            </w:r>
          </w:p>
        </w:tc>
        <w:tc>
          <w:tcPr>
            <w:tcW w:w="4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Borders>
              <w:bottom w:val="single" w:sz="8" w:color="auto"/>
            </w:tcBorders>
            <w:gridSpan w:val="2"/>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53"/>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r>
      <w:tr>
        <w:trPr>
          <w:trHeight w:val="233"/>
        </w:trPr>
        <w:tc>
          <w:tcPr>
            <w:tcW w:w="56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340" w:type="dxa"/>
            <w:vAlign w:val="bottom"/>
            <w:gridSpan w:val="3"/>
          </w:tcPr>
          <w:p>
            <w:pPr>
              <w:jc w:val="center"/>
              <w:ind w:right="390"/>
              <w:spacing w:after="0"/>
              <w:rPr>
                <w:sz w:val="20"/>
                <w:szCs w:val="20"/>
                <w:color w:val="auto"/>
              </w:rPr>
            </w:pPr>
            <w:r>
              <w:rPr>
                <w:rFonts w:ascii="Arial" w:cs="Arial" w:eastAsia="Arial" w:hAnsi="Arial"/>
                <w:sz w:val="14"/>
                <w:szCs w:val="14"/>
                <w:color w:val="auto"/>
              </w:rPr>
              <w:t>(in millions)</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gridSpan w:val="3"/>
          </w:tcPr>
          <w:p>
            <w:pPr>
              <w:jc w:val="center"/>
              <w:ind w:left="533"/>
              <w:spacing w:after="0"/>
              <w:rPr>
                <w:sz w:val="20"/>
                <w:szCs w:val="20"/>
                <w:color w:val="auto"/>
              </w:rPr>
            </w:pPr>
            <w:r>
              <w:rPr>
                <w:rFonts w:ascii="Arial" w:cs="Arial" w:eastAsia="Arial" w:hAnsi="Arial"/>
                <w:sz w:val="14"/>
                <w:szCs w:val="14"/>
                <w:color w:val="auto"/>
              </w:rPr>
              <w:t>(in millions)</w:t>
            </w:r>
          </w:p>
        </w:tc>
        <w:tc>
          <w:tcPr>
            <w:tcW w:w="900" w:type="dxa"/>
            <w:vAlign w:val="bottom"/>
          </w:tcPr>
          <w:p>
            <w:pPr>
              <w:spacing w:after="0"/>
              <w:rPr>
                <w:sz w:val="20"/>
                <w:szCs w:val="20"/>
                <w:color w:val="auto"/>
              </w:rPr>
            </w:pPr>
          </w:p>
        </w:tc>
      </w:tr>
      <w:tr>
        <w:trPr>
          <w:trHeight w:val="233"/>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Non-cash commodity derivative gain (loss)</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r>
      <w:tr>
        <w:trPr>
          <w:trHeight w:val="230"/>
        </w:trPr>
        <w:tc>
          <w:tcPr>
            <w:tcW w:w="5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Settlements and premiums</w:t>
            </w:r>
          </w:p>
        </w:tc>
        <w:tc>
          <w:tcPr>
            <w:tcW w:w="9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w:t>
            </w:r>
          </w:p>
        </w:tc>
      </w:tr>
      <w:tr>
        <w:trPr>
          <w:trHeight w:val="248"/>
        </w:trPr>
        <w:tc>
          <w:tcPr>
            <w:tcW w:w="5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gain (loss) from commodity derivatives</w:t>
            </w:r>
          </w:p>
        </w:tc>
        <w:tc>
          <w:tcPr>
            <w:tcW w:w="960" w:type="dxa"/>
            <w:vAlign w:val="bottom"/>
            <w:tcBorders>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We report gains and losses on our derivative contracts for purchased natural gas used to generate steam for our steamflood operations as a component of operating expense on our consolidated statement of operations. For the three and nine months ended September 30, 2024, we recognized a net loss of $9 million (which includes a non-cash gain of $3 million and $12 million of settlement payments) and a net loss of $11 million (which includes a non-cash gain of $7 million and $18 million of settlement payments) in other operating expenses, net on our condensed consolidated statement of operations. We did not have derivative contracts related to purchased natural gas for our marketing activities during the three and nine months ended September 30, 2023.</w:t>
      </w:r>
    </w:p>
    <w:p>
      <w:pPr>
        <w:spacing w:after="0" w:line="209" w:lineRule="exact"/>
        <w:rPr>
          <w:sz w:val="20"/>
          <w:szCs w:val="20"/>
          <w:color w:val="auto"/>
        </w:rPr>
      </w:pPr>
    </w:p>
    <w:p>
      <w:pPr>
        <w:ind w:right="140" w:firstLine="324"/>
        <w:spacing w:after="0" w:line="287" w:lineRule="auto"/>
        <w:rPr>
          <w:sz w:val="20"/>
          <w:szCs w:val="20"/>
          <w:color w:val="auto"/>
        </w:rPr>
      </w:pPr>
      <w:r>
        <w:rPr>
          <w:rFonts w:ascii="Arial" w:cs="Arial" w:eastAsia="Arial" w:hAnsi="Arial"/>
          <w:sz w:val="18"/>
          <w:szCs w:val="18"/>
          <w:color w:val="auto"/>
        </w:rPr>
        <w:t>Our derivative contracts are measured at fair value using industry-standard models with various inputs, including quoted forward prices, and are classified as Level 2 in the required fair value hierarchy for the periods presented.</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2" w:name="page23"/>
    <w:bookmarkEnd w:id="22"/>
    <w:p>
      <w:pPr>
        <w:ind w:left="340"/>
        <w:spacing w:after="0"/>
        <w:rPr>
          <w:sz w:val="20"/>
          <w:szCs w:val="20"/>
          <w:color w:val="auto"/>
        </w:rPr>
      </w:pPr>
      <w:r>
        <w:rPr>
          <w:rFonts w:ascii="Arial" w:cs="Arial" w:eastAsia="Arial" w:hAnsi="Arial"/>
          <w:sz w:val="17"/>
          <w:szCs w:val="17"/>
          <w:color w:val="auto"/>
        </w:rPr>
        <w:t>The following tables present the fair values of our outstanding commodity derivatives as of September 30, 2024 and December 31, 2023.</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Note 2 Aera Merger</w:t>
      </w:r>
      <w:r>
        <w:rPr>
          <w:rFonts w:ascii="Arial" w:cs="Arial" w:eastAsia="Arial" w:hAnsi="Arial"/>
          <w:sz w:val="18"/>
          <w:szCs w:val="18"/>
          <w:color w:val="auto"/>
        </w:rPr>
        <w:t xml:space="preserve"> for the fair value of Aera's acquired derivative contracts on July 1, 2024.</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2024</w:t>
      </w:r>
    </w:p>
    <w:p>
      <w:pPr>
        <w:spacing w:after="0" w:line="28" w:lineRule="exact"/>
        <w:rPr>
          <w:sz w:val="20"/>
          <w:szCs w:val="20"/>
          <w:color w:val="auto"/>
        </w:rPr>
      </w:pPr>
    </w:p>
    <w:tbl>
      <w:tblPr>
        <w:tblLayout w:type="fixed"/>
        <w:tblInd w:w="40" w:type="dxa"/>
        <w:tblCellMar>
          <w:top w:w="0" w:type="dxa"/>
          <w:left w:w="0" w:type="dxa"/>
          <w:bottom w:w="0" w:type="dxa"/>
          <w:right w:w="0" w:type="dxa"/>
        </w:tblCellMar>
      </w:tblPr>
      <w:tr>
        <w:trPr>
          <w:trHeight w:val="169"/>
        </w:trPr>
        <w:tc>
          <w:tcPr>
            <w:tcW w:w="2140" w:type="dxa"/>
            <w:vAlign w:val="bottom"/>
            <w:tcBorders>
              <w:top w:val="single" w:sz="8" w:color="auto"/>
            </w:tcBorders>
          </w:tcPr>
          <w:p>
            <w:pPr>
              <w:spacing w:after="0"/>
              <w:rPr>
                <w:sz w:val="14"/>
                <w:szCs w:val="14"/>
                <w:color w:val="auto"/>
              </w:rPr>
            </w:pPr>
          </w:p>
        </w:tc>
        <w:tc>
          <w:tcPr>
            <w:tcW w:w="36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800" w:type="dxa"/>
            <w:vAlign w:val="bottom"/>
            <w:tcBorders>
              <w:top w:val="single" w:sz="8" w:color="auto"/>
            </w:tcBorders>
            <w:gridSpan w:val="3"/>
          </w:tcPr>
          <w:p>
            <w:pPr>
              <w:jc w:val="right"/>
              <w:ind w:right="180"/>
              <w:spacing w:after="0" w:line="169" w:lineRule="exact"/>
              <w:rPr>
                <w:sz w:val="20"/>
                <w:szCs w:val="20"/>
                <w:color w:val="auto"/>
              </w:rPr>
            </w:pPr>
            <w:r>
              <w:rPr>
                <w:rFonts w:ascii="Arial" w:cs="Arial" w:eastAsia="Arial" w:hAnsi="Arial"/>
                <w:sz w:val="18"/>
                <w:szCs w:val="18"/>
                <w:b w:val="1"/>
                <w:bCs w:val="1"/>
                <w:color w:val="auto"/>
              </w:rPr>
              <w:t>Gross Amounts at</w:t>
            </w:r>
          </w:p>
        </w:tc>
        <w:tc>
          <w:tcPr>
            <w:tcW w:w="30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vMerge w:val="restart"/>
          </w:tcPr>
          <w:p>
            <w:pPr>
              <w:jc w:val="center"/>
              <w:ind w:right="213"/>
              <w:spacing w:after="0"/>
              <w:rPr>
                <w:sz w:val="20"/>
                <w:szCs w:val="20"/>
                <w:color w:val="auto"/>
              </w:rPr>
            </w:pPr>
            <w:r>
              <w:rPr>
                <w:rFonts w:ascii="Arial" w:cs="Arial" w:eastAsia="Arial" w:hAnsi="Arial"/>
                <w:sz w:val="18"/>
                <w:szCs w:val="18"/>
                <w:b w:val="1"/>
                <w:bCs w:val="1"/>
                <w:color w:val="auto"/>
                <w:w w:val="99"/>
              </w:rPr>
              <w:t>Netting</w:t>
            </w:r>
          </w:p>
        </w:tc>
        <w:tc>
          <w:tcPr>
            <w:tcW w:w="120" w:type="dxa"/>
            <w:vAlign w:val="bottom"/>
            <w:tcBorders>
              <w:top w:val="single" w:sz="8" w:color="auto"/>
            </w:tcBorders>
            <w:vMerge w:val="restart"/>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vMerge w:val="restart"/>
          </w:tcPr>
          <w:p>
            <w:pPr>
              <w:jc w:val="right"/>
              <w:ind w:right="170"/>
              <w:spacing w:after="0"/>
              <w:rPr>
                <w:sz w:val="20"/>
                <w:szCs w:val="20"/>
                <w:color w:val="auto"/>
              </w:rPr>
            </w:pPr>
            <w:r>
              <w:rPr>
                <w:rFonts w:ascii="Arial" w:cs="Arial" w:eastAsia="Arial" w:hAnsi="Arial"/>
                <w:sz w:val="18"/>
                <w:szCs w:val="18"/>
                <w:b w:val="1"/>
                <w:bCs w:val="1"/>
                <w:color w:val="auto"/>
              </w:rPr>
              <w:t>Net Fair Value</w:t>
            </w:r>
          </w:p>
        </w:tc>
        <w:tc>
          <w:tcPr>
            <w:tcW w:w="0" w:type="dxa"/>
            <w:vAlign w:val="bottom"/>
          </w:tcPr>
          <w:p>
            <w:pPr>
              <w:spacing w:after="0"/>
              <w:rPr>
                <w:sz w:val="1"/>
                <w:szCs w:val="1"/>
                <w:color w:val="auto"/>
              </w:rPr>
            </w:pPr>
          </w:p>
        </w:tc>
      </w:tr>
      <w:tr>
        <w:trPr>
          <w:trHeight w:val="243"/>
        </w:trPr>
        <w:tc>
          <w:tcPr>
            <w:tcW w:w="2140" w:type="dxa"/>
            <w:vAlign w:val="bottom"/>
            <w:tcBorders>
              <w:bottom w:val="single" w:sz="8" w:color="auto"/>
            </w:tcBorders>
          </w:tcPr>
          <w:p>
            <w:pPr>
              <w:spacing w:after="0"/>
              <w:rPr>
                <w:sz w:val="21"/>
                <w:szCs w:val="21"/>
                <w:color w:val="auto"/>
              </w:rPr>
            </w:pPr>
          </w:p>
        </w:tc>
        <w:tc>
          <w:tcPr>
            <w:tcW w:w="362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Classification</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Fair Value</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vMerge w:val="continue"/>
          </w:tcPr>
          <w:p>
            <w:pPr>
              <w:spacing w:after="0"/>
              <w:rPr>
                <w:sz w:val="21"/>
                <w:szCs w:val="21"/>
                <w:color w:val="auto"/>
              </w:rPr>
            </w:pPr>
          </w:p>
        </w:tc>
        <w:tc>
          <w:tcPr>
            <w:tcW w:w="120" w:type="dxa"/>
            <w:vAlign w:val="bottom"/>
            <w:vMerge w:val="continue"/>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214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20" w:type="dxa"/>
            <w:vAlign w:val="bottom"/>
            <w:gridSpan w:val="2"/>
          </w:tcPr>
          <w:p>
            <w:pPr>
              <w:jc w:val="center"/>
              <w:ind w:right="420"/>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2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assets, net</w:t>
            </w:r>
          </w:p>
        </w:tc>
        <w:tc>
          <w:tcPr>
            <w:tcW w:w="398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30"/>
        </w:trPr>
        <w:tc>
          <w:tcPr>
            <w:tcW w:w="2140" w:type="dxa"/>
            <w:vAlign w:val="bottom"/>
          </w:tcPr>
          <w:p>
            <w:pPr>
              <w:ind w:left="20"/>
              <w:spacing w:after="0"/>
              <w:rPr>
                <w:sz w:val="20"/>
                <w:szCs w:val="20"/>
                <w:color w:val="auto"/>
              </w:rPr>
            </w:pPr>
            <w:r>
              <w:rPr>
                <w:rFonts w:ascii="Arial" w:cs="Arial" w:eastAsia="Arial" w:hAnsi="Arial"/>
                <w:sz w:val="18"/>
                <w:szCs w:val="18"/>
                <w:color w:val="auto"/>
              </w:rPr>
              <w:t>Other noncurrent assets</w:t>
            </w:r>
          </w:p>
        </w:tc>
        <w:tc>
          <w:tcPr>
            <w:tcW w:w="3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56"/>
        </w:trPr>
        <w:tc>
          <w:tcPr>
            <w:tcW w:w="2140" w:type="dxa"/>
            <w:vAlign w:val="bottom"/>
            <w:shd w:val="clear" w:color="auto" w:fill="CCEEFF"/>
          </w:tcPr>
          <w:p>
            <w:pPr>
              <w:spacing w:after="0"/>
              <w:rPr>
                <w:sz w:val="22"/>
                <w:szCs w:val="22"/>
                <w:color w:val="auto"/>
              </w:rPr>
            </w:pPr>
          </w:p>
        </w:tc>
        <w:tc>
          <w:tcPr>
            <w:tcW w:w="3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1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9"/>
        </w:trPr>
        <w:tc>
          <w:tcPr>
            <w:tcW w:w="2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liabilities</w:t>
            </w:r>
          </w:p>
        </w:tc>
        <w:tc>
          <w:tcPr>
            <w:tcW w:w="3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3"/>
        </w:trPr>
        <w:tc>
          <w:tcPr>
            <w:tcW w:w="214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2023</w:t>
      </w:r>
    </w:p>
    <w:p>
      <w:pPr>
        <w:spacing w:after="0" w:line="28" w:lineRule="exact"/>
        <w:rPr>
          <w:sz w:val="20"/>
          <w:szCs w:val="20"/>
          <w:color w:val="auto"/>
        </w:rPr>
      </w:pPr>
    </w:p>
    <w:tbl>
      <w:tblPr>
        <w:tblLayout w:type="fixed"/>
        <w:tblInd w:w="40" w:type="dxa"/>
        <w:tblCellMar>
          <w:top w:w="0" w:type="dxa"/>
          <w:left w:w="0" w:type="dxa"/>
          <w:bottom w:w="0" w:type="dxa"/>
          <w:right w:w="0" w:type="dxa"/>
        </w:tblCellMar>
      </w:tblPr>
      <w:tr>
        <w:trPr>
          <w:trHeight w:val="169"/>
        </w:trPr>
        <w:tc>
          <w:tcPr>
            <w:tcW w:w="2140" w:type="dxa"/>
            <w:vAlign w:val="bottom"/>
            <w:tcBorders>
              <w:top w:val="single" w:sz="8" w:color="auto"/>
            </w:tcBorders>
          </w:tcPr>
          <w:p>
            <w:pPr>
              <w:spacing w:after="0"/>
              <w:rPr>
                <w:sz w:val="14"/>
                <w:szCs w:val="14"/>
                <w:color w:val="auto"/>
              </w:rPr>
            </w:pPr>
          </w:p>
        </w:tc>
        <w:tc>
          <w:tcPr>
            <w:tcW w:w="36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800" w:type="dxa"/>
            <w:vAlign w:val="bottom"/>
            <w:tcBorders>
              <w:top w:val="single" w:sz="8" w:color="auto"/>
            </w:tcBorders>
            <w:gridSpan w:val="3"/>
          </w:tcPr>
          <w:p>
            <w:pPr>
              <w:jc w:val="center"/>
              <w:ind w:right="120"/>
              <w:spacing w:after="0" w:line="169" w:lineRule="exact"/>
              <w:rPr>
                <w:sz w:val="20"/>
                <w:szCs w:val="20"/>
                <w:color w:val="auto"/>
              </w:rPr>
            </w:pPr>
            <w:r>
              <w:rPr>
                <w:rFonts w:ascii="Arial" w:cs="Arial" w:eastAsia="Arial" w:hAnsi="Arial"/>
                <w:sz w:val="18"/>
                <w:szCs w:val="18"/>
                <w:b w:val="1"/>
                <w:bCs w:val="1"/>
                <w:color w:val="auto"/>
                <w:w w:val="99"/>
              </w:rPr>
              <w:t>Gross Amounts at</w:t>
            </w:r>
          </w:p>
        </w:tc>
        <w:tc>
          <w:tcPr>
            <w:tcW w:w="30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vMerge w:val="restart"/>
          </w:tcPr>
          <w:p>
            <w:pPr>
              <w:jc w:val="center"/>
              <w:ind w:right="213"/>
              <w:spacing w:after="0"/>
              <w:rPr>
                <w:sz w:val="20"/>
                <w:szCs w:val="20"/>
                <w:color w:val="auto"/>
              </w:rPr>
            </w:pPr>
            <w:r>
              <w:rPr>
                <w:rFonts w:ascii="Arial" w:cs="Arial" w:eastAsia="Arial" w:hAnsi="Arial"/>
                <w:sz w:val="18"/>
                <w:szCs w:val="18"/>
                <w:b w:val="1"/>
                <w:bCs w:val="1"/>
                <w:color w:val="auto"/>
                <w:w w:val="99"/>
              </w:rPr>
              <w:t>Netting</w:t>
            </w:r>
          </w:p>
        </w:tc>
        <w:tc>
          <w:tcPr>
            <w:tcW w:w="120" w:type="dxa"/>
            <w:vAlign w:val="bottom"/>
            <w:tcBorders>
              <w:top w:val="single" w:sz="8" w:color="auto"/>
            </w:tcBorders>
            <w:vMerge w:val="restart"/>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vMerge w:val="restart"/>
          </w:tcPr>
          <w:p>
            <w:pPr>
              <w:jc w:val="right"/>
              <w:ind w:right="150"/>
              <w:spacing w:after="0"/>
              <w:rPr>
                <w:sz w:val="20"/>
                <w:szCs w:val="20"/>
                <w:color w:val="auto"/>
              </w:rPr>
            </w:pPr>
            <w:r>
              <w:rPr>
                <w:rFonts w:ascii="Arial" w:cs="Arial" w:eastAsia="Arial" w:hAnsi="Arial"/>
                <w:sz w:val="18"/>
                <w:szCs w:val="18"/>
                <w:b w:val="1"/>
                <w:bCs w:val="1"/>
                <w:color w:val="auto"/>
              </w:rPr>
              <w:t>Net Fair Value</w:t>
            </w:r>
          </w:p>
        </w:tc>
        <w:tc>
          <w:tcPr>
            <w:tcW w:w="0" w:type="dxa"/>
            <w:vAlign w:val="bottom"/>
          </w:tcPr>
          <w:p>
            <w:pPr>
              <w:spacing w:after="0"/>
              <w:rPr>
                <w:sz w:val="1"/>
                <w:szCs w:val="1"/>
                <w:color w:val="auto"/>
              </w:rPr>
            </w:pPr>
          </w:p>
        </w:tc>
      </w:tr>
      <w:tr>
        <w:trPr>
          <w:trHeight w:val="243"/>
        </w:trPr>
        <w:tc>
          <w:tcPr>
            <w:tcW w:w="2140" w:type="dxa"/>
            <w:vAlign w:val="bottom"/>
            <w:tcBorders>
              <w:bottom w:val="single" w:sz="8" w:color="auto"/>
            </w:tcBorders>
          </w:tcPr>
          <w:p>
            <w:pPr>
              <w:spacing w:after="0"/>
              <w:rPr>
                <w:sz w:val="21"/>
                <w:szCs w:val="21"/>
                <w:color w:val="auto"/>
              </w:rPr>
            </w:pPr>
          </w:p>
        </w:tc>
        <w:tc>
          <w:tcPr>
            <w:tcW w:w="364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Classification</w:t>
            </w:r>
          </w:p>
        </w:tc>
        <w:tc>
          <w:tcPr>
            <w:tcW w:w="1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97"/>
              </w:rPr>
              <w:t>Fair Value</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vMerge w:val="continue"/>
          </w:tcPr>
          <w:p>
            <w:pPr>
              <w:spacing w:after="0"/>
              <w:rPr>
                <w:sz w:val="21"/>
                <w:szCs w:val="21"/>
                <w:color w:val="auto"/>
              </w:rPr>
            </w:pPr>
          </w:p>
        </w:tc>
        <w:tc>
          <w:tcPr>
            <w:tcW w:w="120" w:type="dxa"/>
            <w:vAlign w:val="bottom"/>
            <w:vMerge w:val="continue"/>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214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20" w:type="dxa"/>
            <w:vAlign w:val="bottom"/>
            <w:gridSpan w:val="2"/>
          </w:tcPr>
          <w:p>
            <w:pPr>
              <w:jc w:val="center"/>
              <w:ind w:right="440"/>
              <w:spacing w:after="0"/>
              <w:rPr>
                <w:sz w:val="20"/>
                <w:szCs w:val="20"/>
                <w:color w:val="auto"/>
              </w:rPr>
            </w:pPr>
            <w:r>
              <w:rPr>
                <w:rFonts w:ascii="Arial" w:cs="Arial" w:eastAsia="Arial" w:hAnsi="Arial"/>
                <w:sz w:val="14"/>
                <w:szCs w:val="14"/>
                <w:color w:val="auto"/>
              </w:rPr>
              <w:t>(in millions)</w:t>
            </w:r>
          </w:p>
        </w:tc>
        <w:tc>
          <w:tcPr>
            <w:tcW w:w="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 net</w:t>
            </w:r>
          </w:p>
        </w:tc>
        <w:tc>
          <w:tcPr>
            <w:tcW w:w="402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center"/>
              <w:ind w:left="990"/>
              <w:spacing w:after="0"/>
              <w:rPr>
                <w:sz w:val="20"/>
                <w:szCs w:val="20"/>
                <w:color w:val="auto"/>
              </w:rPr>
            </w:pPr>
            <w:r>
              <w:rPr>
                <w:rFonts w:ascii="Arial" w:cs="Arial" w:eastAsia="Arial" w:hAnsi="Arial"/>
                <w:sz w:val="18"/>
                <w:szCs w:val="18"/>
                <w:color w:val="auto"/>
                <w:w w:val="99"/>
              </w:rPr>
              <w:t>39</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9"/>
        </w:trPr>
        <w:tc>
          <w:tcPr>
            <w:tcW w:w="214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3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jc w:val="center"/>
              <w:ind w:left="990"/>
              <w:spacing w:after="0"/>
              <w:rPr>
                <w:sz w:val="20"/>
                <w:szCs w:val="20"/>
                <w:color w:val="auto"/>
              </w:rPr>
            </w:pPr>
            <w:r>
              <w:rPr>
                <w:rFonts w:ascii="Arial" w:cs="Arial" w:eastAsia="Arial" w:hAnsi="Arial"/>
                <w:sz w:val="18"/>
                <w:szCs w:val="18"/>
                <w:color w:val="auto"/>
                <w:w w:val="99"/>
              </w:rPr>
              <w:t>38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57"/>
        </w:trPr>
        <w:tc>
          <w:tcPr>
            <w:tcW w:w="2140" w:type="dxa"/>
            <w:vAlign w:val="bottom"/>
            <w:shd w:val="clear" w:color="auto" w:fill="CCEEFF"/>
          </w:tcPr>
          <w:p>
            <w:pPr>
              <w:spacing w:after="0"/>
              <w:rPr>
                <w:sz w:val="22"/>
                <w:szCs w:val="22"/>
                <w:color w:val="auto"/>
              </w:rPr>
            </w:pPr>
          </w:p>
        </w:tc>
        <w:tc>
          <w:tcPr>
            <w:tcW w:w="36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140" w:type="dxa"/>
            <w:vAlign w:val="bottom"/>
          </w:tcPr>
          <w:p>
            <w:pPr>
              <w:spacing w:after="0"/>
              <w:rPr>
                <w:sz w:val="20"/>
                <w:szCs w:val="20"/>
                <w:color w:val="auto"/>
              </w:rPr>
            </w:pPr>
            <w:r>
              <w:rPr>
                <w:rFonts w:ascii="Arial" w:cs="Arial" w:eastAsia="Arial" w:hAnsi="Arial"/>
                <w:sz w:val="18"/>
                <w:szCs w:val="18"/>
                <w:color w:val="auto"/>
              </w:rPr>
              <w:t>Current liabilities</w:t>
            </w:r>
          </w:p>
        </w:tc>
        <w:tc>
          <w:tcPr>
            <w:tcW w:w="3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jc w:val="center"/>
              <w:ind w:left="950"/>
              <w:spacing w:after="0"/>
              <w:rPr>
                <w:sz w:val="20"/>
                <w:szCs w:val="20"/>
                <w:color w:val="auto"/>
              </w:rPr>
            </w:pPr>
            <w:r>
              <w:rPr>
                <w:rFonts w:ascii="Arial" w:cs="Arial" w:eastAsia="Arial" w:hAnsi="Arial"/>
                <w:sz w:val="18"/>
                <w:szCs w:val="18"/>
                <w:color w:val="auto"/>
                <w:w w:val="99"/>
              </w:rPr>
              <w:t>(26)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3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center"/>
              <w:ind w:left="950"/>
              <w:spacing w:after="0"/>
              <w:rPr>
                <w:sz w:val="20"/>
                <w:szCs w:val="20"/>
                <w:color w:val="auto"/>
              </w:rPr>
            </w:pPr>
            <w:r>
              <w:rPr>
                <w:rFonts w:ascii="Arial" w:cs="Arial" w:eastAsia="Arial" w:hAnsi="Arial"/>
                <w:sz w:val="18"/>
                <w:szCs w:val="18"/>
                <w:color w:val="auto"/>
                <w:w w:val="99"/>
              </w:rPr>
              <w:t>(34)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214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center"/>
              <w:ind w:left="990"/>
              <w:spacing w:after="0"/>
              <w:rPr>
                <w:sz w:val="20"/>
                <w:szCs w:val="20"/>
                <w:color w:val="auto"/>
              </w:rPr>
            </w:pPr>
            <w:r>
              <w:rPr>
                <w:rFonts w:ascii="Arial" w:cs="Arial" w:eastAsia="Arial" w:hAnsi="Arial"/>
                <w:sz w:val="18"/>
                <w:szCs w:val="18"/>
                <w:color w:val="auto"/>
                <w:w w:val="99"/>
              </w:rPr>
              <w:t>17</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7"/>
          <w:szCs w:val="17"/>
          <w:b w:val="1"/>
          <w:bCs w:val="1"/>
          <w:color w:val="auto"/>
        </w:rPr>
        <w:t>INCOME TAXES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components of our total income tax provision (benefit) and effective tax rate:</w:t>
      </w:r>
    </w:p>
    <w:p>
      <w:pPr>
        <w:sectPr>
          <w:pgSz w:w="11900" w:h="16838" w:orient="portrait"/>
          <w:cols w:equalWidth="0" w:num="1">
            <w:col w:w="11240"/>
          </w:cols>
          <w:pgMar w:left="320" w:top="890" w:right="339" w:bottom="1440" w:gutter="0" w:footer="0" w:header="0"/>
        </w:sectPr>
      </w:pPr>
    </w:p>
    <w:p>
      <w:pPr>
        <w:spacing w:after="0" w:line="293" w:lineRule="exact"/>
        <w:rPr>
          <w:sz w:val="20"/>
          <w:szCs w:val="20"/>
          <w:color w:val="auto"/>
        </w:rPr>
      </w:pPr>
    </w:p>
    <w:p>
      <w:pPr>
        <w:jc w:val="center"/>
        <w:ind w:left="4900"/>
        <w:spacing w:after="0"/>
        <w:rPr>
          <w:sz w:val="20"/>
          <w:szCs w:val="20"/>
          <w:color w:val="auto"/>
        </w:rPr>
      </w:pPr>
      <w:r>
        <w:rPr>
          <w:rFonts w:ascii="Arial" w:cs="Arial" w:eastAsia="Arial" w:hAnsi="Arial"/>
          <w:sz w:val="18"/>
          <w:szCs w:val="18"/>
          <w:b w:val="1"/>
          <w:bCs w:val="1"/>
          <w:color w:val="auto"/>
        </w:rPr>
        <w:t>Three months ended</w:t>
      </w:r>
    </w:p>
    <w:p>
      <w:pPr>
        <w:jc w:val="center"/>
        <w:ind w:left="4900"/>
        <w:spacing w:after="0"/>
        <w:rPr>
          <w:sz w:val="20"/>
          <w:szCs w:val="20"/>
          <w:color w:val="auto"/>
        </w:rPr>
      </w:pPr>
      <w:r>
        <w:rPr>
          <w:rFonts w:ascii="Arial" w:cs="Arial" w:eastAsia="Arial" w:hAnsi="Arial"/>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3065145</wp:posOffset>
            </wp:positionH>
            <wp:positionV relativeFrom="paragraph">
              <wp:posOffset>6350</wp:posOffset>
            </wp:positionV>
            <wp:extent cx="199707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997075" cy="8255"/>
                    </a:xfrm>
                    <a:prstGeom prst="rect">
                      <a:avLst/>
                    </a:prstGeom>
                    <a:noFill/>
                  </pic:spPr>
                </pic:pic>
              </a:graphicData>
            </a:graphic>
          </wp:anchor>
        </w:drawing>
      </w:r>
    </w:p>
    <w:p>
      <w:pPr>
        <w:spacing w:after="0" w:line="2" w:lineRule="exact"/>
        <w:rPr>
          <w:sz w:val="20"/>
          <w:szCs w:val="20"/>
          <w:color w:val="auto"/>
        </w:rPr>
      </w:pPr>
    </w:p>
    <w:p>
      <w:pPr>
        <w:ind w:left="5400"/>
        <w:spacing w:after="0"/>
        <w:tabs>
          <w:tab w:leader="none" w:pos="7000" w:val="left"/>
        </w:tabs>
        <w:rPr>
          <w:sz w:val="20"/>
          <w:szCs w:val="20"/>
          <w:color w:val="auto"/>
        </w:rPr>
      </w:pPr>
      <w:r>
        <w:rPr>
          <w:rFonts w:ascii="Arial" w:cs="Arial" w:eastAsia="Arial" w:hAnsi="Arial"/>
          <w:sz w:val="17"/>
          <w:szCs w:val="17"/>
          <w:b w:val="1"/>
          <w:bCs w:val="1"/>
          <w:color w:val="auto"/>
        </w:rPr>
        <w:t>2024</w:t>
      </w:r>
      <w:r>
        <w:rPr>
          <w:sz w:val="20"/>
          <w:szCs w:val="20"/>
          <w:color w:val="auto"/>
        </w:rPr>
        <w:tab/>
      </w:r>
      <w:r>
        <w:rPr>
          <w:rFonts w:ascii="Arial" w:cs="Arial" w:eastAsia="Arial" w:hAnsi="Arial"/>
          <w:sz w:val="17"/>
          <w:szCs w:val="17"/>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3065145</wp:posOffset>
            </wp:positionH>
            <wp:positionV relativeFrom="paragraph">
              <wp:posOffset>22860</wp:posOffset>
            </wp:positionV>
            <wp:extent cx="199707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997075" cy="8890"/>
                    </a:xfrm>
                    <a:prstGeom prst="rect">
                      <a:avLst/>
                    </a:prstGeom>
                    <a:noFill/>
                  </pic:spPr>
                </pic:pic>
              </a:graphicData>
            </a:graphic>
          </wp:anchor>
        </w:drawing>
      </w:r>
    </w:p>
    <w:p>
      <w:pPr>
        <w:spacing w:after="0" w:line="33" w:lineRule="exact"/>
        <w:rPr>
          <w:sz w:val="20"/>
          <w:szCs w:val="20"/>
          <w:color w:val="auto"/>
        </w:rPr>
      </w:pPr>
    </w:p>
    <w:p>
      <w:pPr>
        <w:ind w:left="6040"/>
        <w:spacing w:after="0"/>
        <w:rPr>
          <w:sz w:val="20"/>
          <w:szCs w:val="20"/>
          <w:color w:val="auto"/>
        </w:rPr>
      </w:pPr>
      <w:r>
        <w:rPr>
          <w:rFonts w:ascii="Arial" w:cs="Arial" w:eastAsia="Arial" w:hAnsi="Arial"/>
          <w:sz w:val="14"/>
          <w:szCs w:val="14"/>
          <w:color w:val="auto"/>
        </w:rPr>
        <w:t>(in millions)</w:t>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jc w:val="center"/>
        <w:ind w:right="560"/>
        <w:spacing w:after="0"/>
        <w:rPr>
          <w:sz w:val="20"/>
          <w:szCs w:val="20"/>
          <w:color w:val="auto"/>
        </w:rPr>
      </w:pPr>
      <w:r>
        <w:rPr>
          <w:rFonts w:ascii="Arial" w:cs="Arial" w:eastAsia="Arial" w:hAnsi="Arial"/>
          <w:sz w:val="18"/>
          <w:szCs w:val="18"/>
          <w:b w:val="1"/>
          <w:bCs w:val="1"/>
          <w:color w:val="auto"/>
        </w:rPr>
        <w:t>Nine months ended</w:t>
      </w:r>
    </w:p>
    <w:p>
      <w:pPr>
        <w:jc w:val="center"/>
        <w:ind w:right="560"/>
        <w:spacing w:after="0"/>
        <w:rPr>
          <w:sz w:val="20"/>
          <w:szCs w:val="20"/>
          <w:color w:val="auto"/>
        </w:rPr>
      </w:pPr>
      <w:r>
        <w:rPr>
          <w:rFonts w:ascii="Arial" w:cs="Arial" w:eastAsia="Arial" w:hAnsi="Arial"/>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6350</wp:posOffset>
            </wp:positionV>
            <wp:extent cx="201485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014855" cy="8255"/>
                    </a:xfrm>
                    <a:prstGeom prst="rect">
                      <a:avLst/>
                    </a:prstGeom>
                    <a:noFill/>
                  </pic:spPr>
                </pic:pic>
              </a:graphicData>
            </a:graphic>
          </wp:anchor>
        </w:drawing>
      </w:r>
    </w:p>
    <w:p>
      <w:pPr>
        <w:spacing w:after="0" w:line="2" w:lineRule="exact"/>
        <w:rPr>
          <w:sz w:val="20"/>
          <w:szCs w:val="20"/>
          <w:color w:val="auto"/>
        </w:rPr>
      </w:pPr>
    </w:p>
    <w:p>
      <w:pPr>
        <w:spacing w:after="0"/>
        <w:tabs>
          <w:tab w:leader="none" w:pos="1620" w:val="left"/>
        </w:tabs>
        <w:rPr>
          <w:sz w:val="20"/>
          <w:szCs w:val="20"/>
          <w:color w:val="auto"/>
        </w:rPr>
      </w:pPr>
      <w:r>
        <w:rPr>
          <w:rFonts w:ascii="Arial" w:cs="Arial" w:eastAsia="Arial" w:hAnsi="Arial"/>
          <w:sz w:val="17"/>
          <w:szCs w:val="17"/>
          <w:b w:val="1"/>
          <w:bCs w:val="1"/>
          <w:color w:val="auto"/>
        </w:rPr>
        <w:t>2024</w:t>
      </w:r>
      <w:r>
        <w:rPr>
          <w:sz w:val="20"/>
          <w:szCs w:val="20"/>
          <w:color w:val="auto"/>
        </w:rPr>
        <w:tab/>
      </w:r>
      <w:r>
        <w:rPr>
          <w:rFonts w:ascii="Arial" w:cs="Arial" w:eastAsia="Arial" w:hAnsi="Arial"/>
          <w:sz w:val="17"/>
          <w:szCs w:val="17"/>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22860</wp:posOffset>
            </wp:positionV>
            <wp:extent cx="201485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014855" cy="8890"/>
                    </a:xfrm>
                    <a:prstGeom prst="rect">
                      <a:avLst/>
                    </a:prstGeom>
                    <a:noFill/>
                  </pic:spPr>
                </pic:pic>
              </a:graphicData>
            </a:graphic>
          </wp:anchor>
        </w:drawing>
      </w:r>
    </w:p>
    <w:p>
      <w:pPr>
        <w:spacing w:after="0" w:line="33" w:lineRule="exact"/>
        <w:rPr>
          <w:sz w:val="20"/>
          <w:szCs w:val="20"/>
          <w:color w:val="auto"/>
        </w:rPr>
      </w:pPr>
    </w:p>
    <w:p>
      <w:pPr>
        <w:ind w:left="660"/>
        <w:spacing w:after="0"/>
        <w:rPr>
          <w:sz w:val="20"/>
          <w:szCs w:val="20"/>
          <w:color w:val="auto"/>
        </w:rPr>
      </w:pPr>
      <w:r>
        <w:rPr>
          <w:rFonts w:ascii="Arial" w:cs="Arial" w:eastAsia="Arial" w:hAnsi="Arial"/>
          <w:sz w:val="14"/>
          <w:szCs w:val="14"/>
          <w:color w:val="auto"/>
        </w:rPr>
        <w:t>(in millions)</w:t>
      </w:r>
    </w:p>
    <w:p>
      <w:pPr>
        <w:spacing w:after="0" w:line="29" w:lineRule="exact"/>
        <w:rPr>
          <w:sz w:val="20"/>
          <w:szCs w:val="20"/>
          <w:color w:val="auto"/>
        </w:rPr>
      </w:pPr>
    </w:p>
    <w:p>
      <w:pPr>
        <w:sectPr>
          <w:pgSz w:w="11900" w:h="16838" w:orient="portrait"/>
          <w:cols w:equalWidth="0" w:num="2">
            <w:col w:w="7920" w:space="720"/>
            <w:col w:w="2600"/>
          </w:cols>
          <w:pgMar w:left="320" w:top="890" w:right="339" w:bottom="1440" w:gutter="0" w:footer="0" w:header="0"/>
          <w:type w:val="continuous"/>
        </w:sectPr>
      </w:pPr>
    </w:p>
    <w:tbl>
      <w:tblPr>
        <w:tblLayout w:type="fixed"/>
        <w:tblInd w:w="0" w:type="dxa"/>
        <w:tblCellMar>
          <w:top w:w="0" w:type="dxa"/>
          <w:left w:w="0" w:type="dxa"/>
          <w:bottom w:w="0" w:type="dxa"/>
          <w:right w:w="0" w:type="dxa"/>
        </w:tblCellMar>
      </w:tblPr>
      <w:tr>
        <w:trPr>
          <w:trHeight w:val="231"/>
        </w:trPr>
        <w:tc>
          <w:tcPr>
            <w:tcW w:w="4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56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483</w:t>
            </w:r>
          </w:p>
        </w:tc>
        <w:tc>
          <w:tcPr>
            <w:tcW w:w="80" w:type="dxa"/>
            <w:vAlign w:val="bottom"/>
            <w:tcBorders>
              <w:top w:val="single" w:sz="8" w:color="auto"/>
            </w:tcBorders>
            <w:shd w:val="clear" w:color="auto" w:fill="CCEEFF"/>
          </w:tcPr>
          <w:p>
            <w:pPr>
              <w:spacing w:after="0"/>
              <w:rPr>
                <w:sz w:val="20"/>
                <w:szCs w:val="20"/>
                <w:color w:val="auto"/>
              </w:rPr>
            </w:pPr>
          </w:p>
        </w:tc>
        <w:tc>
          <w:tcPr>
            <w:tcW w:w="58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(30)</w:t>
            </w:r>
          </w:p>
        </w:tc>
        <w:tc>
          <w:tcPr>
            <w:tcW w:w="80" w:type="dxa"/>
            <w:vAlign w:val="bottom"/>
            <w:tcBorders>
              <w:top w:val="single" w:sz="8" w:color="CCEEFF"/>
            </w:tcBorders>
            <w:shd w:val="clear" w:color="auto" w:fill="CCEEFF"/>
          </w:tcPr>
          <w:p>
            <w:pPr>
              <w:spacing w:after="0"/>
              <w:rPr>
                <w:sz w:val="20"/>
                <w:szCs w:val="20"/>
                <w:color w:val="auto"/>
              </w:rPr>
            </w:pPr>
          </w:p>
        </w:tc>
        <w:tc>
          <w:tcPr>
            <w:tcW w:w="56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475</w:t>
            </w:r>
          </w:p>
        </w:tc>
        <w:tc>
          <w:tcPr>
            <w:tcW w:w="100" w:type="dxa"/>
            <w:vAlign w:val="bottom"/>
            <w:tcBorders>
              <w:top w:val="single" w:sz="8" w:color="auto"/>
            </w:tcBorders>
            <w:shd w:val="clear" w:color="auto" w:fill="CCEEFF"/>
          </w:tcPr>
          <w:p>
            <w:pPr>
              <w:spacing w:after="0"/>
              <w:rPr>
                <w:sz w:val="20"/>
                <w:szCs w:val="20"/>
                <w:color w:val="auto"/>
              </w:rPr>
            </w:pPr>
          </w:p>
        </w:tc>
        <w:tc>
          <w:tcPr>
            <w:tcW w:w="56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481</w:t>
            </w:r>
          </w:p>
        </w:tc>
      </w:tr>
      <w:tr>
        <w:trPr>
          <w:trHeight w:val="236"/>
        </w:trPr>
        <w:tc>
          <w:tcPr>
            <w:tcW w:w="48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income tax provision</w:t>
            </w:r>
          </w:p>
        </w:tc>
        <w:tc>
          <w:tcPr>
            <w:tcW w:w="5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48</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32</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89</w:t>
            </w:r>
          </w:p>
        </w:tc>
      </w:tr>
      <w:tr>
        <w:trPr>
          <w:trHeight w:val="230"/>
        </w:trPr>
        <w:tc>
          <w:tcPr>
            <w:tcW w:w="4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income tax provision (benefit)</w:t>
            </w:r>
          </w:p>
        </w:tc>
        <w:tc>
          <w:tcPr>
            <w:tcW w:w="5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90</w:t>
            </w:r>
          </w:p>
        </w:tc>
        <w:tc>
          <w:tcPr>
            <w:tcW w:w="8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(40)</w:t>
            </w:r>
          </w:p>
        </w:tc>
        <w:tc>
          <w:tcPr>
            <w:tcW w:w="8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16</w:t>
            </w:r>
          </w:p>
        </w:tc>
      </w:tr>
      <w:tr>
        <w:trPr>
          <w:trHeight w:val="248"/>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income tax provision (benefit)</w:t>
            </w: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138</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(8)</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105</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8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Effective tax rate</w:t>
            </w:r>
          </w:p>
        </w:tc>
        <w:tc>
          <w:tcPr>
            <w:tcW w:w="5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27 %</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22 %</w:t>
            </w:r>
          </w:p>
        </w:tc>
      </w:tr>
    </w:tbl>
    <w:p>
      <w:pPr>
        <w:spacing w:after="0" w:line="319"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 xml:space="preserve">The difference between our annual effective tax rate as shown in the table above and the U.S. federal statutory tax rate of 21% is primarily due to state taxes where the state statutory tax rate is 7% (net of the federal tax deduction). Our annual effective rate of 22% differed from the U.S. federal statutory rate of 21% for the nine months ended September 30, 2023 primarily due to state taxes and the recognition of a tax benefit for the release of a valuation allowance, which was recognized in 2022. See </w:t>
      </w:r>
      <w:r>
        <w:rPr>
          <w:rFonts w:ascii="Arial" w:cs="Arial" w:eastAsia="Arial" w:hAnsi="Arial"/>
          <w:sz w:val="18"/>
          <w:szCs w:val="18"/>
          <w:i w:val="1"/>
          <w:iCs w:val="1"/>
          <w:color w:val="auto"/>
        </w:rPr>
        <w:t>Part II, Item 8 – Financial Statements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Supplementary Data, Note 7 Income Taxes </w:t>
      </w:r>
      <w:r>
        <w:rPr>
          <w:rFonts w:ascii="Arial" w:cs="Arial" w:eastAsia="Arial" w:hAnsi="Arial"/>
          <w:sz w:val="18"/>
          <w:szCs w:val="18"/>
          <w:color w:val="auto"/>
        </w:rPr>
        <w:t>in our 2023 Annual Report for additional information on the release of the valuation</w:t>
      </w:r>
      <w:r>
        <w:rPr>
          <w:rFonts w:ascii="Arial" w:cs="Arial" w:eastAsia="Arial" w:hAnsi="Arial"/>
          <w:sz w:val="18"/>
          <w:szCs w:val="18"/>
          <w:i w:val="1"/>
          <w:iCs w:val="1"/>
          <w:color w:val="auto"/>
        </w:rPr>
        <w:t xml:space="preserve"> </w:t>
      </w:r>
      <w:r>
        <w:rPr>
          <w:rFonts w:ascii="Arial" w:cs="Arial" w:eastAsia="Arial" w:hAnsi="Arial"/>
          <w:sz w:val="18"/>
          <w:szCs w:val="18"/>
          <w:color w:val="auto"/>
        </w:rPr>
        <w:t>allowance.</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type w:val="continuous"/>
        </w:sectPr>
      </w:pPr>
    </w:p>
    <w:bookmarkStart w:id="23" w:name="page24"/>
    <w:bookmarkEnd w:id="23"/>
    <w:p>
      <w:pPr>
        <w:ind w:firstLine="324"/>
        <w:spacing w:after="0" w:line="256" w:lineRule="auto"/>
        <w:rPr>
          <w:sz w:val="20"/>
          <w:szCs w:val="20"/>
          <w:color w:val="auto"/>
        </w:rPr>
      </w:pPr>
      <w:r>
        <w:rPr>
          <w:rFonts w:ascii="Arial" w:cs="Arial" w:eastAsia="Arial" w:hAnsi="Arial"/>
          <w:sz w:val="18"/>
          <w:szCs w:val="18"/>
          <w:color w:val="auto"/>
        </w:rPr>
        <w:t xml:space="preserve">We had net deferred tax assets of $50 million and net deferred tax liabilities of $124 million as of September 30, 2024. As of December 31, 2023, we had a net deferred tax asset of $132 million. The change of $206 million primarily relates to the assumption of a deferred tax liability estimated at $120 million upon the acquisition of Aera on July 1, 2024. For further information on the acquisition of Aera, see </w:t>
      </w:r>
      <w:r>
        <w:rPr>
          <w:rFonts w:ascii="Arial" w:cs="Arial" w:eastAsia="Arial" w:hAnsi="Arial"/>
          <w:sz w:val="18"/>
          <w:szCs w:val="18"/>
          <w:i w:val="1"/>
          <w:iCs w:val="1"/>
          <w:color w:val="auto"/>
        </w:rPr>
        <w:t>Note 2</w:t>
      </w:r>
      <w:r>
        <w:rPr>
          <w:rFonts w:ascii="Arial" w:cs="Arial" w:eastAsia="Arial" w:hAnsi="Arial"/>
          <w:sz w:val="18"/>
          <w:szCs w:val="18"/>
          <w:color w:val="auto"/>
        </w:rPr>
        <w:t xml:space="preserve"> </w:t>
      </w:r>
      <w:r>
        <w:rPr>
          <w:rFonts w:ascii="Arial" w:cs="Arial" w:eastAsia="Arial" w:hAnsi="Arial"/>
          <w:sz w:val="18"/>
          <w:szCs w:val="18"/>
          <w:i w:val="1"/>
          <w:iCs w:val="1"/>
          <w:color w:val="auto"/>
        </w:rPr>
        <w:t>Aera Merger</w:t>
      </w:r>
      <w:r>
        <w:rPr>
          <w:rFonts w:ascii="Arial" w:cs="Arial" w:eastAsia="Arial" w:hAnsi="Arial"/>
          <w:sz w:val="18"/>
          <w:szCs w:val="18"/>
          <w:color w:val="auto"/>
        </w:rPr>
        <w:t>. The remaining increase in our deferred tax liability primarily relates to Aera’s unrealized gains on derivative contracts during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September 30, 2024 which are not recognized for tax purposes until settlement. Management expects to realize the deferred tax assets primarily through future income and reversal of taxable temporary differences. Realization of our existing deferred tax assets is not assured and depends on a number of factors including our ability to generate sufficient taxable income in future periods.</w:t>
      </w:r>
    </w:p>
    <w:p>
      <w:pPr>
        <w:spacing w:after="0" w:line="210" w:lineRule="exact"/>
        <w:rPr>
          <w:sz w:val="20"/>
          <w:szCs w:val="20"/>
          <w:color w:val="auto"/>
        </w:rPr>
      </w:pPr>
    </w:p>
    <w:p>
      <w:pPr>
        <w:ind w:right="240" w:firstLine="324"/>
        <w:spacing w:after="0" w:line="262" w:lineRule="auto"/>
        <w:rPr>
          <w:sz w:val="20"/>
          <w:szCs w:val="20"/>
          <w:color w:val="auto"/>
        </w:rPr>
      </w:pPr>
      <w:r>
        <w:rPr>
          <w:rFonts w:ascii="Arial" w:cs="Arial" w:eastAsia="Arial" w:hAnsi="Arial"/>
          <w:sz w:val="18"/>
          <w:szCs w:val="18"/>
          <w:color w:val="auto"/>
        </w:rPr>
        <w:t>There are no ongoing examinations related to CRC or Aera. As the surviving entity after the Aera Merger, we are responsible for managing Aera's examinations, if any, for years that remain subject to examination. For Aera, years ending December 31, 2021 through December 31, 2023 remain subject to examination for U.S. federal tax purposes and years ending December 31, 2020 through December 31, 2023 remain subject to examination for California tax purposes.</w:t>
      </w:r>
    </w:p>
    <w:p>
      <w:pPr>
        <w:spacing w:after="0" w:line="203"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7"/>
          <w:szCs w:val="17"/>
          <w:b w:val="1"/>
          <w:bCs w:val="1"/>
          <w:color w:val="auto"/>
        </w:rPr>
        <w:t>DIVESTITURES, ACQUISITIONS AND ASSETS HELD FOR SALE</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Divestitures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Fort Apache in Huntington Beach</w:t>
      </w:r>
    </w:p>
    <w:p>
      <w:pPr>
        <w:spacing w:after="0" w:line="250" w:lineRule="exact"/>
        <w:rPr>
          <w:sz w:val="20"/>
          <w:szCs w:val="20"/>
          <w:color w:val="auto"/>
        </w:rPr>
      </w:pPr>
    </w:p>
    <w:p>
      <w:pPr>
        <w:ind w:right="240" w:firstLine="324"/>
        <w:spacing w:after="0" w:line="287" w:lineRule="auto"/>
        <w:rPr>
          <w:sz w:val="20"/>
          <w:szCs w:val="20"/>
          <w:color w:val="auto"/>
        </w:rPr>
      </w:pPr>
      <w:r>
        <w:rPr>
          <w:rFonts w:ascii="Arial" w:cs="Arial" w:eastAsia="Arial" w:hAnsi="Arial"/>
          <w:sz w:val="18"/>
          <w:szCs w:val="18"/>
          <w:color w:val="auto"/>
        </w:rPr>
        <w:t>In March 2024, we sold our 0.9-acre Fort Apache real estate property in Huntington Beach, California for purchase price of $10 million and recognized a $6 million gain.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w:t>
      </w:r>
    </w:p>
    <w:p>
      <w:pPr>
        <w:spacing w:after="0" w:line="250" w:lineRule="exact"/>
        <w:rPr>
          <w:sz w:val="20"/>
          <w:szCs w:val="20"/>
          <w:color w:val="auto"/>
        </w:rPr>
      </w:pPr>
    </w:p>
    <w:p>
      <w:pPr>
        <w:ind w:right="40" w:firstLine="324"/>
        <w:spacing w:after="0" w:line="268" w:lineRule="auto"/>
        <w:rPr>
          <w:sz w:val="20"/>
          <w:szCs w:val="20"/>
          <w:color w:val="auto"/>
        </w:rPr>
      </w:pPr>
      <w:r>
        <w:rPr>
          <w:rFonts w:ascii="Arial" w:cs="Arial" w:eastAsia="Arial" w:hAnsi="Arial"/>
          <w:sz w:val="18"/>
          <w:szCs w:val="18"/>
          <w:color w:val="auto"/>
        </w:rPr>
        <w:t>During the nine months ended September 30, 2024, we sold non-core assets recognizing a $1 million gain. During the nine months ended September 30, 2023, we sold a non-producing asset in exchange for the assumption of liabilities, recognizing a $7 million gain related to the liability reduction.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250" w:lineRule="exact"/>
        <w:rPr>
          <w:sz w:val="20"/>
          <w:szCs w:val="20"/>
          <w:color w:val="auto"/>
        </w:rPr>
      </w:pPr>
    </w:p>
    <w:p>
      <w:pPr>
        <w:ind w:right="200" w:firstLine="324"/>
        <w:spacing w:after="0" w:line="287" w:lineRule="auto"/>
        <w:rPr>
          <w:sz w:val="20"/>
          <w:szCs w:val="20"/>
          <w:color w:val="auto"/>
        </w:rPr>
      </w:pPr>
      <w:r>
        <w:rPr>
          <w:rFonts w:ascii="Arial" w:cs="Arial" w:eastAsia="Arial" w:hAnsi="Arial"/>
          <w:sz w:val="18"/>
          <w:szCs w:val="18"/>
          <w:color w:val="auto"/>
        </w:rPr>
        <w:t>In the nine months ended September 30, 2024, we acquired land for our carbon management business for approximately $6 million. In the nine months ended September 30, 2023, we acquired land for our carbon management business for approximately $1 million.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Held for Sale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Ventura Basin Transactions</w:t>
      </w:r>
    </w:p>
    <w:p>
      <w:pPr>
        <w:spacing w:after="0" w:line="250"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 xml:space="preserve">During 2021 and 2022, we entered into transactions to sell our Ventura basin assets. The transaction contemplates multiple closings that are subject to customary closing conditions. The transfer of the remaining assets in the Ventura basin was approved in June 2024 by the State Lands Commission. We completed the sale of these assets in October 2024. These remaining assets, consisting of property, plant and equipment and associated asset retirement obligations, are classified as held for sale on our condensed consolidated balance sheets at September 30, 2024 and December 31, 2023. See </w:t>
      </w:r>
      <w:r>
        <w:rPr>
          <w:rFonts w:ascii="Arial" w:cs="Arial" w:eastAsia="Arial" w:hAnsi="Arial"/>
          <w:sz w:val="18"/>
          <w:szCs w:val="18"/>
          <w:i w:val="1"/>
          <w:iCs w:val="1"/>
          <w:color w:val="auto"/>
        </w:rPr>
        <w:t>Part II, Item 8 – Financial Statements and Supplementary Data, Note 8 Divestitures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Acquisitions </w:t>
      </w:r>
      <w:r>
        <w:rPr>
          <w:rFonts w:ascii="Arial" w:cs="Arial" w:eastAsia="Arial" w:hAnsi="Arial"/>
          <w:sz w:val="18"/>
          <w:szCs w:val="18"/>
          <w:color w:val="auto"/>
        </w:rPr>
        <w:t>in our 2023 Annual Report for additional information on the Ventura basin transactions. See</w:t>
      </w:r>
      <w:r>
        <w:rPr>
          <w:rFonts w:ascii="Arial" w:cs="Arial" w:eastAsia="Arial" w:hAnsi="Arial"/>
          <w:sz w:val="18"/>
          <w:szCs w:val="18"/>
          <w:i w:val="1"/>
          <w:iCs w:val="1"/>
          <w:color w:val="auto"/>
        </w:rPr>
        <w:t xml:space="preserve"> Note 15 Subsequent Events </w:t>
      </w:r>
      <w:r>
        <w:rPr>
          <w:rFonts w:ascii="Arial" w:cs="Arial" w:eastAsia="Arial" w:hAnsi="Arial"/>
          <w:sz w:val="18"/>
          <w:szCs w:val="18"/>
          <w:color w:val="auto"/>
        </w:rPr>
        <w:t>for</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on the closing of the sale that occurred in October 2024.</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24" w:name="page25"/>
    <w:bookmarkEnd w:id="24"/>
    <w:p>
      <w:pPr>
        <w:spacing w:after="0"/>
        <w:rPr>
          <w:sz w:val="20"/>
          <w:szCs w:val="20"/>
          <w:color w:val="auto"/>
        </w:rPr>
      </w:pPr>
      <w:r>
        <w:rPr>
          <w:rFonts w:ascii="Arial" w:cs="Arial" w:eastAsia="Arial" w:hAnsi="Arial"/>
          <w:sz w:val="18"/>
          <w:szCs w:val="18"/>
          <w:i w:val="1"/>
          <w:iCs w:val="1"/>
          <w:u w:val="single" w:color="auto"/>
          <w:color w:val="auto"/>
        </w:rPr>
        <w:t>Other</w:t>
      </w:r>
    </w:p>
    <w:p>
      <w:pPr>
        <w:spacing w:after="0" w:line="250"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In 2022, we acquired properties for carbon management activities for approximately $17 million, with the intent to divest a portion of these assets. We recorded these assets at fair value recognizing an impairment of $3 million in the first quarter of 2023. The fair value, using Level 3 inputs in the fair value hierarchy, declined during the first quarter of 2023 due to market conditions (including inflation and rising interest rates). The assets being divested are classified as held for sale as of September 30, 2024 on our condensed consolidated balance sheet.</w:t>
      </w:r>
    </w:p>
    <w:p>
      <w:pPr>
        <w:sectPr>
          <w:pgSz w:w="11900" w:h="16838" w:orient="portrait"/>
          <w:cols w:equalWidth="0" w:num="1">
            <w:col w:w="11240"/>
          </w:cols>
          <w:pgMar w:left="320" w:top="892" w:right="339" w:bottom="1440" w:gutter="0" w:footer="0" w:header="0"/>
        </w:sectPr>
      </w:pPr>
    </w:p>
    <w:p>
      <w:pPr>
        <w:spacing w:after="0" w:line="206"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7"/>
          <w:szCs w:val="17"/>
          <w:b w:val="1"/>
          <w:bCs w:val="1"/>
          <w:color w:val="auto"/>
        </w:rPr>
        <w:t>STOCKHOLDERS' EQUITY</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is a summary of common stock issuances:</w:t>
      </w: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at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Issued as part of the Aera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46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Shares repurchased</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Shares issued for exercised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454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Other shares issued, net</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at September 30, 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-457200</wp:posOffset>
            </wp:positionH>
            <wp:positionV relativeFrom="paragraph">
              <wp:posOffset>17780</wp:posOffset>
            </wp:positionV>
            <wp:extent cx="173990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739900" cy="8255"/>
                    </a:xfrm>
                    <a:prstGeom prst="rect">
                      <a:avLst/>
                    </a:prstGeom>
                    <a:noFill/>
                  </pic:spPr>
                </pic:pic>
              </a:graphicData>
            </a:graphic>
          </wp:anchor>
        </w:drawing>
      </w:r>
    </w:p>
    <w:p>
      <w:pPr>
        <w:spacing w:after="0" w:line="57"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68,693,885</w:t>
      </w:r>
    </w:p>
    <w:p>
      <w:pPr>
        <w:spacing w:after="0" w:line="32"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21,315,707</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(2,604,922)</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1,139,163</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917,840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-457200</wp:posOffset>
            </wp:positionH>
            <wp:positionV relativeFrom="paragraph">
              <wp:posOffset>12065</wp:posOffset>
            </wp:positionV>
            <wp:extent cx="17399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739900" cy="8890"/>
                    </a:xfrm>
                    <a:prstGeom prst="rect">
                      <a:avLst/>
                    </a:prstGeom>
                    <a:noFill/>
                  </pic:spPr>
                </pic:pic>
              </a:graphicData>
            </a:graphic>
          </wp:anchor>
        </w:drawing>
      </w:r>
    </w:p>
    <w:p>
      <w:pPr>
        <w:spacing w:after="0" w:line="7"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89,461,673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-457200</wp:posOffset>
            </wp:positionH>
            <wp:positionV relativeFrom="paragraph">
              <wp:posOffset>17780</wp:posOffset>
            </wp:positionV>
            <wp:extent cx="173990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739900" cy="8255"/>
                    </a:xfrm>
                    <a:prstGeom prst="rect">
                      <a:avLst/>
                    </a:prstGeom>
                    <a:noFill/>
                  </pic:spPr>
                </pic:pic>
              </a:graphicData>
            </a:graphic>
          </wp:anchor>
        </w:drawing>
        <w:drawing>
          <wp:anchor simplePos="0" relativeHeight="251657728" behindDoc="1" locked="0" layoutInCell="0" allowOverlap="1">
            <wp:simplePos x="0" y="0"/>
            <wp:positionH relativeFrom="column">
              <wp:posOffset>-457200</wp:posOffset>
            </wp:positionH>
            <wp:positionV relativeFrom="paragraph">
              <wp:posOffset>43180</wp:posOffset>
            </wp:positionV>
            <wp:extent cx="173990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739900" cy="8255"/>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2">
            <w:col w:w="8500" w:space="720"/>
            <w:col w:w="2020"/>
          </w:cols>
          <w:pgMar w:left="320" w:top="892" w:right="339" w:bottom="1440" w:gutter="0" w:footer="0" w:header="0"/>
          <w:type w:val="continuous"/>
        </w:sectPr>
      </w:pP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250"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Our Board of Directors has authorized a Share Repurchase Program to acquire up to $1.35 billion of our common stock through December 31, 2025. The repurchases may be effected from time-to-time through open market purchases, privately negotiated transactions, Rule 10b5-1 plans, accelerated stock repurchases, derivative contracts or otherwise in compliance with Rule 10b-18, subject to market conditions. The Share Repurchase Program does not obligate us to repurchase any dollar amount or number of shares and our Board of Directors may modify, suspend or discontinue authorization of the program at any time. The following is a summary of our share repurchases, which are held as treasury stock, for the periods presented: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40" w:type="dxa"/>
            <w:vAlign w:val="bottom"/>
          </w:tcPr>
          <w:p>
            <w:pPr>
              <w:spacing w:after="0"/>
              <w:rPr>
                <w:sz w:val="18"/>
                <w:szCs w:val="18"/>
                <w:color w:val="auto"/>
              </w:rPr>
            </w:pPr>
          </w:p>
        </w:tc>
        <w:tc>
          <w:tcPr>
            <w:tcW w:w="22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9"/>
              </w:rPr>
              <w:t>Total Number of Shares</w:t>
            </w:r>
          </w:p>
        </w:tc>
        <w:tc>
          <w:tcPr>
            <w:tcW w:w="140" w:type="dxa"/>
            <w:vAlign w:val="bottom"/>
          </w:tcPr>
          <w:p>
            <w:pPr>
              <w:spacing w:after="0"/>
              <w:rPr>
                <w:sz w:val="18"/>
                <w:szCs w:val="18"/>
                <w:color w:val="auto"/>
              </w:rPr>
            </w:pPr>
          </w:p>
        </w:tc>
        <w:tc>
          <w:tcPr>
            <w:tcW w:w="2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8"/>
              </w:rPr>
              <w:t>Total Value of Shares</w:t>
            </w:r>
          </w:p>
        </w:tc>
        <w:tc>
          <w:tcPr>
            <w:tcW w:w="2180" w:type="dxa"/>
            <w:vAlign w:val="bottom"/>
            <w:gridSpan w:val="2"/>
          </w:tcPr>
          <w:p>
            <w:pPr>
              <w:jc w:val="right"/>
              <w:ind w:right="13"/>
              <w:spacing w:after="0"/>
              <w:rPr>
                <w:sz w:val="20"/>
                <w:szCs w:val="20"/>
                <w:color w:val="auto"/>
              </w:rPr>
            </w:pPr>
            <w:r>
              <w:rPr>
                <w:rFonts w:ascii="Arial" w:cs="Arial" w:eastAsia="Arial" w:hAnsi="Arial"/>
                <w:sz w:val="18"/>
                <w:szCs w:val="18"/>
                <w:b w:val="1"/>
                <w:bCs w:val="1"/>
                <w:color w:val="auto"/>
              </w:rPr>
              <w:t>Average Price Paid per</w:t>
            </w:r>
          </w:p>
        </w:tc>
        <w:tc>
          <w:tcPr>
            <w:tcW w:w="0" w:type="dxa"/>
            <w:vAlign w:val="bottom"/>
          </w:tcPr>
          <w:p>
            <w:pPr>
              <w:spacing w:after="0"/>
              <w:rPr>
                <w:sz w:val="1"/>
                <w:szCs w:val="1"/>
                <w:color w:val="auto"/>
              </w:rPr>
            </w:pPr>
          </w:p>
        </w:tc>
      </w:tr>
      <w:tr>
        <w:trPr>
          <w:trHeight w:val="243"/>
        </w:trPr>
        <w:tc>
          <w:tcPr>
            <w:tcW w:w="4540" w:type="dxa"/>
            <w:vAlign w:val="bottom"/>
          </w:tcPr>
          <w:p>
            <w:pPr>
              <w:spacing w:after="0"/>
              <w:rPr>
                <w:sz w:val="21"/>
                <w:szCs w:val="21"/>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Purchased</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b w:val="1"/>
                <w:bCs w:val="1"/>
                <w:color w:val="auto"/>
                <w:w w:val="99"/>
              </w:rPr>
              <w:t>Purchased</w:t>
            </w:r>
          </w:p>
        </w:tc>
        <w:tc>
          <w:tcPr>
            <w:tcW w:w="80" w:type="dxa"/>
            <w:vAlign w:val="bottom"/>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Share</w:t>
            </w:r>
          </w:p>
        </w:tc>
        <w:tc>
          <w:tcPr>
            <w:tcW w:w="0" w:type="dxa"/>
            <w:vAlign w:val="bottom"/>
          </w:tcPr>
          <w:p>
            <w:pPr>
              <w:spacing w:after="0"/>
              <w:rPr>
                <w:sz w:val="1"/>
                <w:szCs w:val="1"/>
                <w:color w:val="auto"/>
              </w:rPr>
            </w:pPr>
          </w:p>
        </w:tc>
      </w:tr>
      <w:tr>
        <w:trPr>
          <w:trHeight w:val="228"/>
        </w:trPr>
        <w:tc>
          <w:tcPr>
            <w:tcW w:w="4540" w:type="dxa"/>
            <w:vAlign w:val="bottom"/>
          </w:tcPr>
          <w:p>
            <w:pPr>
              <w:spacing w:after="0"/>
              <w:rPr>
                <w:sz w:val="19"/>
                <w:szCs w:val="19"/>
                <w:color w:val="auto"/>
              </w:rPr>
            </w:pPr>
          </w:p>
        </w:tc>
        <w:tc>
          <w:tcPr>
            <w:tcW w:w="2260" w:type="dxa"/>
            <w:vAlign w:val="bottom"/>
            <w:gridSpan w:val="2"/>
          </w:tcPr>
          <w:p>
            <w:pPr>
              <w:jc w:val="center"/>
              <w:ind w:right="80"/>
              <w:spacing w:after="0"/>
              <w:rPr>
                <w:sz w:val="20"/>
                <w:szCs w:val="20"/>
                <w:color w:val="auto"/>
              </w:rPr>
            </w:pPr>
            <w:r>
              <w:rPr>
                <w:rFonts w:ascii="Arial" w:cs="Arial" w:eastAsia="Arial" w:hAnsi="Arial"/>
                <w:sz w:val="14"/>
                <w:szCs w:val="14"/>
                <w:color w:val="auto"/>
              </w:rPr>
              <w:t>(number of shares)</w:t>
            </w:r>
          </w:p>
        </w:tc>
        <w:tc>
          <w:tcPr>
            <w:tcW w:w="140" w:type="dxa"/>
            <w:vAlign w:val="bottom"/>
          </w:tcPr>
          <w:p>
            <w:pPr>
              <w:spacing w:after="0"/>
              <w:rPr>
                <w:sz w:val="19"/>
                <w:szCs w:val="19"/>
                <w:color w:val="auto"/>
              </w:rPr>
            </w:pPr>
          </w:p>
        </w:tc>
        <w:tc>
          <w:tcPr>
            <w:tcW w:w="2120" w:type="dxa"/>
            <w:vAlign w:val="bottom"/>
            <w:gridSpan w:val="2"/>
          </w:tcPr>
          <w:p>
            <w:pPr>
              <w:jc w:val="center"/>
              <w:ind w:right="240"/>
              <w:spacing w:after="0"/>
              <w:rPr>
                <w:sz w:val="20"/>
                <w:szCs w:val="20"/>
                <w:color w:val="auto"/>
              </w:rPr>
            </w:pPr>
            <w:r>
              <w:rPr>
                <w:rFonts w:ascii="Arial" w:cs="Arial" w:eastAsia="Arial" w:hAnsi="Arial"/>
                <w:sz w:val="14"/>
                <w:szCs w:val="14"/>
                <w:color w:val="auto"/>
              </w:rPr>
              <w:t>(in millions)</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360" w:type="dxa"/>
            <w:vAlign w:val="bottom"/>
          </w:tcPr>
          <w:p>
            <w:pPr>
              <w:ind w:left="20"/>
              <w:spacing w:after="0"/>
              <w:rPr>
                <w:sz w:val="20"/>
                <w:szCs w:val="20"/>
                <w:color w:val="auto"/>
              </w:rPr>
            </w:pPr>
            <w:r>
              <w:rPr>
                <w:rFonts w:ascii="Arial" w:cs="Arial" w:eastAsia="Arial" w:hAnsi="Arial"/>
                <w:sz w:val="14"/>
                <w:szCs w:val="14"/>
                <w:color w:val="auto"/>
              </w:rPr>
              <w:t>per share)</w:t>
            </w:r>
          </w:p>
        </w:tc>
        <w:tc>
          <w:tcPr>
            <w:tcW w:w="0" w:type="dxa"/>
            <w:vAlign w:val="bottom"/>
          </w:tcPr>
          <w:p>
            <w:pPr>
              <w:spacing w:after="0"/>
              <w:rPr>
                <w:sz w:val="1"/>
                <w:szCs w:val="1"/>
                <w:color w:val="auto"/>
              </w:rPr>
            </w:pPr>
          </w:p>
        </w:tc>
      </w:tr>
      <w:tr>
        <w:trPr>
          <w:trHeight w:val="62"/>
        </w:trPr>
        <w:tc>
          <w:tcPr>
            <w:tcW w:w="4540" w:type="dxa"/>
            <w:vAlign w:val="bottom"/>
          </w:tcPr>
          <w:p>
            <w:pPr>
              <w:spacing w:after="0"/>
              <w:rPr>
                <w:sz w:val="5"/>
                <w:szCs w:val="5"/>
                <w:color w:val="auto"/>
              </w:rPr>
            </w:pPr>
          </w:p>
        </w:tc>
        <w:tc>
          <w:tcPr>
            <w:tcW w:w="2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4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Three months ended September 30, 2023</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365,145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13"/>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54.75</w:t>
            </w:r>
          </w:p>
        </w:tc>
        <w:tc>
          <w:tcPr>
            <w:tcW w:w="0" w:type="dxa"/>
            <w:vAlign w:val="bottom"/>
          </w:tcPr>
          <w:p>
            <w:pPr>
              <w:spacing w:after="0"/>
              <w:rPr>
                <w:sz w:val="1"/>
                <w:szCs w:val="1"/>
                <w:color w:val="auto"/>
              </w:rPr>
            </w:pPr>
          </w:p>
        </w:tc>
      </w:tr>
      <w:tr>
        <w:trPr>
          <w:trHeight w:val="230"/>
        </w:trPr>
        <w:tc>
          <w:tcPr>
            <w:tcW w:w="4540" w:type="dxa"/>
            <w:vAlign w:val="bottom"/>
          </w:tcPr>
          <w:p>
            <w:pPr>
              <w:ind w:left="20"/>
              <w:spacing w:after="0"/>
              <w:rPr>
                <w:sz w:val="20"/>
                <w:szCs w:val="20"/>
                <w:color w:val="auto"/>
              </w:rPr>
            </w:pPr>
            <w:r>
              <w:rPr>
                <w:rFonts w:ascii="Arial" w:cs="Arial" w:eastAsia="Arial" w:hAnsi="Arial"/>
                <w:sz w:val="18"/>
                <w:szCs w:val="18"/>
                <w:color w:val="auto"/>
              </w:rPr>
              <w:t>Three months ended September 30, 2024</w:t>
            </w:r>
          </w:p>
        </w:tc>
        <w:tc>
          <w:tcPr>
            <w:tcW w:w="2160" w:type="dxa"/>
            <w:vAlign w:val="bottom"/>
          </w:tcPr>
          <w:p>
            <w:pPr>
              <w:jc w:val="right"/>
              <w:spacing w:after="0"/>
              <w:rPr>
                <w:sz w:val="20"/>
                <w:szCs w:val="20"/>
                <w:color w:val="auto"/>
              </w:rPr>
            </w:pPr>
            <w:r>
              <w:rPr>
                <w:rFonts w:ascii="Arial" w:cs="Arial" w:eastAsia="Arial" w:hAnsi="Arial"/>
                <w:sz w:val="18"/>
                <w:szCs w:val="18"/>
                <w:color w:val="auto"/>
              </w:rPr>
              <w:t>835,319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19"/>
                <w:szCs w:val="19"/>
                <w:color w:val="auto"/>
              </w:rPr>
            </w:pPr>
          </w:p>
        </w:tc>
        <w:tc>
          <w:tcPr>
            <w:tcW w:w="820" w:type="dxa"/>
            <w:vAlign w:val="bottom"/>
          </w:tcPr>
          <w:p>
            <w:pPr>
              <w:jc w:val="right"/>
              <w:ind w:right="613"/>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50.23</w:t>
            </w:r>
          </w:p>
        </w:tc>
        <w:tc>
          <w:tcPr>
            <w:tcW w:w="0" w:type="dxa"/>
            <w:vAlign w:val="bottom"/>
          </w:tcPr>
          <w:p>
            <w:pPr>
              <w:spacing w:after="0"/>
              <w:rPr>
                <w:sz w:val="1"/>
                <w:szCs w:val="1"/>
                <w:color w:val="auto"/>
              </w:rPr>
            </w:pPr>
          </w:p>
        </w:tc>
      </w:tr>
      <w:tr>
        <w:trPr>
          <w:trHeight w:val="257"/>
        </w:trPr>
        <w:tc>
          <w:tcPr>
            <w:tcW w:w="4540" w:type="dxa"/>
            <w:vAlign w:val="bottom"/>
            <w:shd w:val="clear" w:color="auto" w:fill="CCEEFF"/>
          </w:tcPr>
          <w:p>
            <w:pPr>
              <w:spacing w:after="0"/>
              <w:rPr>
                <w:sz w:val="22"/>
                <w:szCs w:val="22"/>
                <w:color w:val="auto"/>
              </w:rPr>
            </w:pPr>
          </w:p>
        </w:tc>
        <w:tc>
          <w:tcPr>
            <w:tcW w:w="2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0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540" w:type="dxa"/>
            <w:vAlign w:val="bottom"/>
          </w:tcPr>
          <w:p>
            <w:pPr>
              <w:ind w:left="20"/>
              <w:spacing w:after="0"/>
              <w:rPr>
                <w:sz w:val="20"/>
                <w:szCs w:val="20"/>
                <w:color w:val="auto"/>
              </w:rPr>
            </w:pPr>
            <w:r>
              <w:rPr>
                <w:rFonts w:ascii="Arial" w:cs="Arial" w:eastAsia="Arial" w:hAnsi="Arial"/>
                <w:sz w:val="18"/>
                <w:szCs w:val="18"/>
                <w:color w:val="auto"/>
              </w:rPr>
              <w:t>Nine months ended September 30, 2023</w:t>
            </w:r>
          </w:p>
        </w:tc>
        <w:tc>
          <w:tcPr>
            <w:tcW w:w="2160" w:type="dxa"/>
            <w:vAlign w:val="bottom"/>
          </w:tcPr>
          <w:p>
            <w:pPr>
              <w:jc w:val="right"/>
              <w:spacing w:after="0"/>
              <w:rPr>
                <w:sz w:val="20"/>
                <w:szCs w:val="20"/>
                <w:color w:val="auto"/>
              </w:rPr>
            </w:pPr>
            <w:r>
              <w:rPr>
                <w:rFonts w:ascii="Arial" w:cs="Arial" w:eastAsia="Arial" w:hAnsi="Arial"/>
                <w:sz w:val="18"/>
                <w:szCs w:val="18"/>
                <w:color w:val="auto"/>
              </w:rPr>
              <w:t>3,407,655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143</w:t>
            </w:r>
          </w:p>
        </w:tc>
        <w:tc>
          <w:tcPr>
            <w:tcW w:w="80" w:type="dxa"/>
            <w:vAlign w:val="bottom"/>
          </w:tcPr>
          <w:p>
            <w:pPr>
              <w:spacing w:after="0"/>
              <w:rPr>
                <w:sz w:val="19"/>
                <w:szCs w:val="19"/>
                <w:color w:val="auto"/>
              </w:rPr>
            </w:pPr>
          </w:p>
        </w:tc>
        <w:tc>
          <w:tcPr>
            <w:tcW w:w="820" w:type="dxa"/>
            <w:vAlign w:val="bottom"/>
          </w:tcPr>
          <w:p>
            <w:pPr>
              <w:jc w:val="right"/>
              <w:ind w:right="613"/>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41.69</w:t>
            </w: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Nine months ended September 30, 2024</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2,604,922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13"/>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51.33</w:t>
            </w:r>
          </w:p>
        </w:tc>
        <w:tc>
          <w:tcPr>
            <w:tcW w:w="0" w:type="dxa"/>
            <w:vAlign w:val="bottom"/>
          </w:tcPr>
          <w:p>
            <w:pPr>
              <w:spacing w:after="0"/>
              <w:rPr>
                <w:sz w:val="1"/>
                <w:szCs w:val="1"/>
                <w:color w:val="auto"/>
              </w:rPr>
            </w:pPr>
          </w:p>
        </w:tc>
      </w:tr>
      <w:tr>
        <w:trPr>
          <w:trHeight w:val="270"/>
        </w:trPr>
        <w:tc>
          <w:tcPr>
            <w:tcW w:w="4540" w:type="dxa"/>
            <w:vAlign w:val="bottom"/>
          </w:tcPr>
          <w:p>
            <w:pPr>
              <w:spacing w:after="0"/>
              <w:rPr>
                <w:sz w:val="23"/>
                <w:szCs w:val="23"/>
                <w:color w:val="auto"/>
              </w:rPr>
            </w:pPr>
          </w:p>
        </w:tc>
        <w:tc>
          <w:tcPr>
            <w:tcW w:w="2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45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Inception of Program (May 2021) through</w:t>
            </w:r>
          </w:p>
        </w:tc>
        <w:tc>
          <w:tcPr>
            <w:tcW w:w="2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17,468,837</w:t>
            </w:r>
          </w:p>
        </w:tc>
        <w:tc>
          <w:tcPr>
            <w:tcW w:w="10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8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ind w:right="613"/>
              <w:spacing w:after="0"/>
              <w:rPr>
                <w:sz w:val="20"/>
                <w:szCs w:val="20"/>
                <w:color w:val="auto"/>
              </w:rPr>
            </w:pPr>
            <w:r>
              <w:rPr>
                <w:rFonts w:ascii="Arial" w:cs="Arial" w:eastAsia="Arial" w:hAnsi="Arial"/>
                <w:sz w:val="18"/>
                <w:szCs w:val="18"/>
                <w:color w:val="auto"/>
                <w:w w:val="99"/>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42.14</w:t>
            </w:r>
          </w:p>
        </w:tc>
        <w:tc>
          <w:tcPr>
            <w:tcW w:w="0" w:type="dxa"/>
            <w:vAlign w:val="bottom"/>
          </w:tcPr>
          <w:p>
            <w:pPr>
              <w:spacing w:after="0"/>
              <w:rPr>
                <w:sz w:val="1"/>
                <w:szCs w:val="1"/>
                <w:color w:val="auto"/>
              </w:rPr>
            </w:pPr>
          </w:p>
        </w:tc>
      </w:tr>
      <w:tr>
        <w:trPr>
          <w:trHeight w:val="243"/>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September 30, 2024</w:t>
            </w:r>
          </w:p>
        </w:tc>
        <w:tc>
          <w:tcPr>
            <w:tcW w:w="21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vMerge w:val="continue"/>
            <w:shd w:val="clear" w:color="auto" w:fill="CCEEFF"/>
          </w:tcPr>
          <w:p>
            <w:pPr>
              <w:spacing w:after="0"/>
              <w:rPr>
                <w:sz w:val="21"/>
                <w:szCs w:val="21"/>
                <w:color w:val="auto"/>
              </w:rPr>
            </w:pPr>
          </w:p>
        </w:tc>
        <w:tc>
          <w:tcPr>
            <w:tcW w:w="20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20" w:type="dxa"/>
            <w:vAlign w:val="bottom"/>
            <w:vMerge w:val="continue"/>
            <w:shd w:val="clear" w:color="auto" w:fill="CCEEFF"/>
          </w:tcPr>
          <w:p>
            <w:pPr>
              <w:spacing w:after="0"/>
              <w:rPr>
                <w:sz w:val="21"/>
                <w:szCs w:val="21"/>
                <w:color w:val="auto"/>
              </w:rPr>
            </w:pPr>
          </w:p>
        </w:tc>
        <w:tc>
          <w:tcPr>
            <w:tcW w:w="13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right="380"/>
        <w:spacing w:after="0" w:line="305" w:lineRule="auto"/>
        <w:rPr>
          <w:sz w:val="20"/>
          <w:szCs w:val="20"/>
          <w:color w:val="auto"/>
        </w:rPr>
      </w:pPr>
      <w:r>
        <w:rPr>
          <w:rFonts w:ascii="Arial" w:cs="Arial" w:eastAsia="Arial" w:hAnsi="Arial"/>
          <w:sz w:val="14"/>
          <w:szCs w:val="14"/>
          <w:color w:val="auto"/>
        </w:rPr>
        <w:t>Note: The total value of shares purchased includes approximately $1 million in both the nine months ended September 30, 2024 and 2023 related to excise taxes on share repurchases, which was effective beginning on January 1, 2023. Commissions paid on share repurchases were not significant in all periods presented.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50" w:lineRule="exact"/>
        <w:rPr>
          <w:sz w:val="20"/>
          <w:szCs w:val="20"/>
          <w:color w:val="auto"/>
        </w:rPr>
      </w:pPr>
    </w:p>
    <w:p>
      <w:pPr>
        <w:ind w:right="180" w:firstLine="324"/>
        <w:spacing w:after="0" w:line="287" w:lineRule="auto"/>
        <w:rPr>
          <w:sz w:val="20"/>
          <w:szCs w:val="20"/>
          <w:color w:val="auto"/>
        </w:rPr>
      </w:pPr>
      <w:r>
        <w:rPr>
          <w:rFonts w:ascii="Arial" w:cs="Arial" w:eastAsia="Arial" w:hAnsi="Arial"/>
          <w:sz w:val="18"/>
          <w:szCs w:val="18"/>
          <w:color w:val="auto"/>
        </w:rPr>
        <w:t>On August 2, 2024, our Board of Directors increased the cash dividend policy to anticipate a total annual dividend of $1.55 per share of common stock, payable to shareholders in quarterly increments of $0.3875 per share of common stock.</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type w:val="continuous"/>
        </w:sectPr>
      </w:pPr>
    </w:p>
    <w:bookmarkStart w:id="25" w:name="page26"/>
    <w:bookmarkEnd w:id="25"/>
    <w:p>
      <w:pPr>
        <w:ind w:left="340"/>
        <w:spacing w:after="0"/>
        <w:rPr>
          <w:sz w:val="20"/>
          <w:szCs w:val="20"/>
          <w:color w:val="auto"/>
        </w:rPr>
      </w:pPr>
      <w:r>
        <w:rPr>
          <w:rFonts w:ascii="Arial" w:cs="Arial" w:eastAsia="Arial" w:hAnsi="Arial"/>
          <w:sz w:val="18"/>
          <w:szCs w:val="18"/>
          <w:color w:val="auto"/>
        </w:rPr>
        <w:t>Our Board of Directors declared the following cash dividends for each of the periods presented.</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420" w:type="dxa"/>
            <w:vAlign w:val="bottom"/>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Total Dividend</w:t>
            </w:r>
          </w:p>
        </w:tc>
        <w:tc>
          <w:tcPr>
            <w:tcW w:w="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60" w:type="dxa"/>
            <w:vAlign w:val="bottom"/>
            <w:tcBorders>
              <w:bottom w:val="single" w:sz="8" w:color="auto"/>
            </w:tcBorders>
            <w:gridSpan w:val="2"/>
          </w:tcPr>
          <w:p>
            <w:pPr>
              <w:jc w:val="right"/>
              <w:ind w:right="213"/>
              <w:spacing w:after="0"/>
              <w:rPr>
                <w:sz w:val="20"/>
                <w:szCs w:val="20"/>
                <w:color w:val="auto"/>
              </w:rPr>
            </w:pPr>
            <w:r>
              <w:rPr>
                <w:rFonts w:ascii="Arial" w:cs="Arial" w:eastAsia="Arial" w:hAnsi="Arial"/>
                <w:sz w:val="18"/>
                <w:szCs w:val="18"/>
                <w:b w:val="1"/>
                <w:bCs w:val="1"/>
                <w:color w:val="auto"/>
              </w:rPr>
              <w:t>Rate Per Share</w:t>
            </w:r>
          </w:p>
        </w:tc>
      </w:tr>
      <w:tr>
        <w:trPr>
          <w:trHeight w:val="188"/>
        </w:trPr>
        <w:tc>
          <w:tcPr>
            <w:tcW w:w="7420" w:type="dxa"/>
            <w:vAlign w:val="bottom"/>
          </w:tcPr>
          <w:p>
            <w:pPr>
              <w:spacing w:after="0"/>
              <w:rPr>
                <w:sz w:val="16"/>
                <w:szCs w:val="16"/>
                <w:color w:val="auto"/>
              </w:rPr>
            </w:pPr>
          </w:p>
        </w:tc>
        <w:tc>
          <w:tcPr>
            <w:tcW w:w="1560" w:type="dxa"/>
            <w:vAlign w:val="bottom"/>
          </w:tcPr>
          <w:p>
            <w:pPr>
              <w:jc w:val="right"/>
              <w:ind w:right="173"/>
              <w:spacing w:after="0"/>
              <w:rPr>
                <w:sz w:val="20"/>
                <w:szCs w:val="20"/>
                <w:color w:val="auto"/>
              </w:rPr>
            </w:pPr>
            <w:r>
              <w:rPr>
                <w:rFonts w:ascii="Arial" w:cs="Arial" w:eastAsia="Arial" w:hAnsi="Arial"/>
                <w:sz w:val="14"/>
                <w:szCs w:val="14"/>
                <w:color w:val="auto"/>
              </w:rPr>
              <w:t>(in millions)</w:t>
            </w:r>
          </w:p>
        </w:tc>
        <w:tc>
          <w:tcPr>
            <w:tcW w:w="300" w:type="dxa"/>
            <w:vAlign w:val="bottom"/>
          </w:tcPr>
          <w:p>
            <w:pPr>
              <w:spacing w:after="0"/>
              <w:rPr>
                <w:sz w:val="16"/>
                <w:szCs w:val="16"/>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433"/>
              <w:spacing w:after="0"/>
              <w:rPr>
                <w:sz w:val="20"/>
                <w:szCs w:val="20"/>
                <w:color w:val="auto"/>
              </w:rPr>
            </w:pPr>
            <w:r>
              <w:rPr>
                <w:rFonts w:ascii="Arial" w:cs="Arial" w:eastAsia="Arial" w:hAnsi="Arial"/>
                <w:sz w:val="14"/>
                <w:szCs w:val="14"/>
                <w:color w:val="auto"/>
              </w:rPr>
              <w:t>per share)</w:t>
            </w:r>
          </w:p>
        </w:tc>
      </w:tr>
      <w:tr>
        <w:trPr>
          <w:trHeight w:val="238"/>
        </w:trPr>
        <w:tc>
          <w:tcPr>
            <w:tcW w:w="7420" w:type="dxa"/>
            <w:vAlign w:val="bottom"/>
          </w:tcPr>
          <w:p>
            <w:pPr>
              <w:ind w:left="20"/>
              <w:spacing w:after="0"/>
              <w:rPr>
                <w:sz w:val="20"/>
                <w:szCs w:val="20"/>
                <w:color w:val="auto"/>
              </w:rPr>
            </w:pPr>
            <w:r>
              <w:rPr>
                <w:rFonts w:ascii="Arial" w:cs="Arial" w:eastAsia="Arial" w:hAnsi="Arial"/>
                <w:sz w:val="18"/>
                <w:szCs w:val="18"/>
                <w:b w:val="1"/>
                <w:bCs w:val="1"/>
                <w:color w:val="auto"/>
              </w:rPr>
              <w:t>2024</w:t>
            </w:r>
          </w:p>
        </w:tc>
        <w:tc>
          <w:tcPr>
            <w:tcW w:w="1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30"/>
        </w:trPr>
        <w:tc>
          <w:tcPr>
            <w:tcW w:w="7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Three months ended March 31, 2024</w:t>
            </w:r>
          </w:p>
        </w:tc>
        <w:tc>
          <w:tcPr>
            <w:tcW w:w="1560" w:type="dxa"/>
            <w:vAlign w:val="bottom"/>
            <w:shd w:val="clear" w:color="auto" w:fill="CCEEFF"/>
          </w:tcPr>
          <w:p>
            <w:pPr>
              <w:jc w:val="right"/>
              <w:ind w:right="1353"/>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21</w:t>
            </w:r>
          </w:p>
        </w:tc>
        <w:tc>
          <w:tcPr>
            <w:tcW w:w="760" w:type="dxa"/>
            <w:vAlign w:val="bottom"/>
            <w:gridSpan w:val="2"/>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w:t>
            </w:r>
          </w:p>
        </w:tc>
      </w:tr>
      <w:tr>
        <w:trPr>
          <w:trHeight w:val="229"/>
        </w:trPr>
        <w:tc>
          <w:tcPr>
            <w:tcW w:w="7420" w:type="dxa"/>
            <w:vAlign w:val="bottom"/>
          </w:tcPr>
          <w:p>
            <w:pPr>
              <w:ind w:left="240"/>
              <w:spacing w:after="0"/>
              <w:rPr>
                <w:sz w:val="20"/>
                <w:szCs w:val="20"/>
                <w:color w:val="auto"/>
              </w:rPr>
            </w:pPr>
            <w:r>
              <w:rPr>
                <w:rFonts w:ascii="Arial" w:cs="Arial" w:eastAsia="Arial" w:hAnsi="Arial"/>
                <w:sz w:val="18"/>
                <w:szCs w:val="18"/>
                <w:color w:val="auto"/>
              </w:rPr>
              <w:t>Three months ended June 30, 2024</w:t>
            </w:r>
          </w:p>
        </w:tc>
        <w:tc>
          <w:tcPr>
            <w:tcW w:w="156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99"/>
              </w:rPr>
              <w:t>22</w:t>
            </w:r>
          </w:p>
        </w:tc>
        <w:tc>
          <w:tcPr>
            <w:tcW w:w="760" w:type="dxa"/>
            <w:vAlign w:val="bottom"/>
            <w:gridSpan w:val="2"/>
          </w:tcPr>
          <w:p>
            <w:pPr>
              <w:jc w:val="right"/>
              <w:ind w:right="45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0.31</w:t>
            </w:r>
          </w:p>
        </w:tc>
      </w:tr>
      <w:tr>
        <w:trPr>
          <w:trHeight w:val="229"/>
        </w:trPr>
        <w:tc>
          <w:tcPr>
            <w:tcW w:w="7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Three months ended September 30, 2024</w:t>
            </w:r>
          </w:p>
        </w:tc>
        <w:tc>
          <w:tcPr>
            <w:tcW w:w="156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34</w:t>
            </w:r>
          </w:p>
        </w:tc>
        <w:tc>
          <w:tcPr>
            <w:tcW w:w="760" w:type="dxa"/>
            <w:vAlign w:val="bottom"/>
            <w:gridSpan w:val="2"/>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0.3875</w:t>
            </w:r>
          </w:p>
        </w:tc>
      </w:tr>
      <w:tr>
        <w:trPr>
          <w:trHeight w:val="223"/>
        </w:trPr>
        <w:tc>
          <w:tcPr>
            <w:tcW w:w="7420" w:type="dxa"/>
            <w:vAlign w:val="bottom"/>
          </w:tcPr>
          <w:p>
            <w:pPr>
              <w:ind w:left="240"/>
              <w:spacing w:after="0"/>
              <w:rPr>
                <w:sz w:val="20"/>
                <w:szCs w:val="20"/>
                <w:color w:val="auto"/>
              </w:rPr>
            </w:pPr>
            <w:r>
              <w:rPr>
                <w:rFonts w:ascii="Arial" w:cs="Arial" w:eastAsia="Arial" w:hAnsi="Arial"/>
                <w:sz w:val="18"/>
                <w:szCs w:val="18"/>
                <w:color w:val="auto"/>
              </w:rPr>
              <w:t>Nine months ended September 30, 2024</w:t>
            </w:r>
          </w:p>
        </w:tc>
        <w:tc>
          <w:tcPr>
            <w:tcW w:w="1560" w:type="dxa"/>
            <w:vAlign w:val="bottom"/>
            <w:tcBorders>
              <w:bottom w:val="single" w:sz="8" w:color="auto"/>
            </w:tcBorders>
          </w:tcPr>
          <w:p>
            <w:pPr>
              <w:jc w:val="right"/>
              <w:ind w:right="1353"/>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77</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0"/>
        </w:trPr>
        <w:tc>
          <w:tcPr>
            <w:tcW w:w="742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r>
      <w:tr>
        <w:trPr>
          <w:trHeight w:val="197"/>
        </w:trPr>
        <w:tc>
          <w:tcPr>
            <w:tcW w:w="74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2023</w:t>
            </w:r>
          </w:p>
        </w:tc>
        <w:tc>
          <w:tcPr>
            <w:tcW w:w="1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29"/>
        </w:trPr>
        <w:tc>
          <w:tcPr>
            <w:tcW w:w="7420" w:type="dxa"/>
            <w:vAlign w:val="bottom"/>
          </w:tcPr>
          <w:p>
            <w:pPr>
              <w:ind w:left="240"/>
              <w:spacing w:after="0"/>
              <w:rPr>
                <w:sz w:val="20"/>
                <w:szCs w:val="20"/>
                <w:color w:val="auto"/>
              </w:rPr>
            </w:pPr>
            <w:r>
              <w:rPr>
                <w:rFonts w:ascii="Arial" w:cs="Arial" w:eastAsia="Arial" w:hAnsi="Arial"/>
                <w:sz w:val="18"/>
                <w:szCs w:val="18"/>
                <w:color w:val="auto"/>
              </w:rPr>
              <w:t>Three months ended March 31, 2023</w:t>
            </w:r>
          </w:p>
        </w:tc>
        <w:tc>
          <w:tcPr>
            <w:tcW w:w="1560" w:type="dxa"/>
            <w:vAlign w:val="bottom"/>
          </w:tcPr>
          <w:p>
            <w:pPr>
              <w:jc w:val="right"/>
              <w:ind w:right="1353"/>
              <w:spacing w:after="0"/>
              <w:rPr>
                <w:sz w:val="20"/>
                <w:szCs w:val="20"/>
                <w:color w:val="auto"/>
              </w:rPr>
            </w:pPr>
            <w:r>
              <w:rPr>
                <w:rFonts w:ascii="Arial" w:cs="Arial" w:eastAsia="Arial" w:hAnsi="Arial"/>
                <w:sz w:val="18"/>
                <w:szCs w:val="18"/>
                <w:color w:val="auto"/>
                <w:w w:val="99"/>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99"/>
              </w:rPr>
              <w:t>20</w:t>
            </w:r>
          </w:p>
        </w:tc>
        <w:tc>
          <w:tcPr>
            <w:tcW w:w="760" w:type="dxa"/>
            <w:vAlign w:val="bottom"/>
            <w:gridSpan w:val="2"/>
          </w:tcPr>
          <w:p>
            <w:pPr>
              <w:jc w:val="right"/>
              <w:ind w:right="45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0.2825</w:t>
            </w:r>
          </w:p>
        </w:tc>
      </w:tr>
      <w:tr>
        <w:trPr>
          <w:trHeight w:val="230"/>
        </w:trPr>
        <w:tc>
          <w:tcPr>
            <w:tcW w:w="7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Three months ended June 30, 2023</w:t>
            </w:r>
          </w:p>
        </w:tc>
        <w:tc>
          <w:tcPr>
            <w:tcW w:w="156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w:t>
            </w:r>
          </w:p>
        </w:tc>
        <w:tc>
          <w:tcPr>
            <w:tcW w:w="760" w:type="dxa"/>
            <w:vAlign w:val="bottom"/>
            <w:gridSpan w:val="2"/>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0.2825</w:t>
            </w:r>
          </w:p>
        </w:tc>
      </w:tr>
      <w:tr>
        <w:trPr>
          <w:trHeight w:val="229"/>
        </w:trPr>
        <w:tc>
          <w:tcPr>
            <w:tcW w:w="74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Three months ended September 30, 2023</w:t>
            </w:r>
          </w:p>
        </w:tc>
        <w:tc>
          <w:tcPr>
            <w:tcW w:w="15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19</w:t>
            </w:r>
          </w:p>
        </w:tc>
        <w:tc>
          <w:tcPr>
            <w:tcW w:w="760" w:type="dxa"/>
            <w:vAlign w:val="bottom"/>
            <w:tcBorders>
              <w:bottom w:val="single" w:sz="8" w:color="CCEEFF"/>
            </w:tcBorders>
            <w:gridSpan w:val="2"/>
          </w:tcPr>
          <w:p>
            <w:pPr>
              <w:jc w:val="right"/>
              <w:ind w:right="4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0.2825</w:t>
            </w:r>
          </w:p>
        </w:tc>
      </w:tr>
      <w:tr>
        <w:trPr>
          <w:trHeight w:val="248"/>
        </w:trPr>
        <w:tc>
          <w:tcPr>
            <w:tcW w:w="74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Nine months ended September 30, 2023</w:t>
            </w:r>
          </w:p>
        </w:tc>
        <w:tc>
          <w:tcPr>
            <w:tcW w:w="1560" w:type="dxa"/>
            <w:vAlign w:val="bottom"/>
            <w:tcBorders>
              <w:bottom w:val="single" w:sz="8" w:color="auto"/>
            </w:tcBorders>
            <w:shd w:val="clear" w:color="auto" w:fill="CCEEFF"/>
          </w:tcPr>
          <w:p>
            <w:pPr>
              <w:jc w:val="right"/>
              <w:ind w:right="1353"/>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59</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r>
    </w:tbl>
    <w:p>
      <w:pPr>
        <w:spacing w:after="0" w:line="319" w:lineRule="exact"/>
        <w:rPr>
          <w:sz w:val="20"/>
          <w:szCs w:val="20"/>
          <w:color w:val="auto"/>
        </w:rPr>
      </w:pPr>
    </w:p>
    <w:p>
      <w:pPr>
        <w:ind w:right="240" w:firstLine="324"/>
        <w:spacing w:after="0" w:line="262" w:lineRule="auto"/>
        <w:rPr>
          <w:sz w:val="20"/>
          <w:szCs w:val="20"/>
          <w:color w:val="auto"/>
        </w:rPr>
      </w:pPr>
      <w:r>
        <w:rPr>
          <w:rFonts w:ascii="Arial" w:cs="Arial" w:eastAsia="Arial" w:hAnsi="Arial"/>
          <w:sz w:val="18"/>
          <w:szCs w:val="18"/>
          <w:color w:val="auto"/>
        </w:rPr>
        <w:t xml:space="preserve">In addition to dividends on our common stock shown in the table above, we paid $4 million of dividend equivalents on equity-settled stock-based compensation awards in the nine months ended September 30, 2024. Future cash dividends, and the establishment of record and payment dates, are subject to final determination by our Board of Directors each quarter after reviewing our financial performance and position. See </w:t>
      </w:r>
      <w:r>
        <w:rPr>
          <w:rFonts w:ascii="Arial" w:cs="Arial" w:eastAsia="Arial" w:hAnsi="Arial"/>
          <w:sz w:val="18"/>
          <w:szCs w:val="18"/>
          <w:i w:val="1"/>
          <w:iCs w:val="1"/>
          <w:color w:val="auto"/>
        </w:rPr>
        <w:t>Note 15 Subsequent Events</w:t>
      </w:r>
      <w:r>
        <w:rPr>
          <w:rFonts w:ascii="Arial" w:cs="Arial" w:eastAsia="Arial" w:hAnsi="Arial"/>
          <w:sz w:val="18"/>
          <w:szCs w:val="18"/>
          <w:color w:val="auto"/>
        </w:rPr>
        <w:t xml:space="preserve"> for information on future cash dividends.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250" w:lineRule="exact"/>
        <w:rPr>
          <w:sz w:val="20"/>
          <w:szCs w:val="20"/>
          <w:color w:val="auto"/>
        </w:rPr>
      </w:pPr>
    </w:p>
    <w:p>
      <w:pPr>
        <w:ind w:right="280" w:firstLine="324"/>
        <w:spacing w:after="0" w:line="287" w:lineRule="auto"/>
        <w:rPr>
          <w:sz w:val="20"/>
          <w:szCs w:val="20"/>
          <w:color w:val="auto"/>
        </w:rPr>
      </w:pPr>
      <w:r>
        <w:rPr>
          <w:rFonts w:ascii="Arial" w:cs="Arial" w:eastAsia="Arial" w:hAnsi="Arial"/>
          <w:sz w:val="18"/>
          <w:szCs w:val="18"/>
          <w:color w:val="auto"/>
        </w:rPr>
        <w:t>In October 2020, we reserved an aggregate 4,384,182 shares of our common stock for issuance upon the exercise of warrants, which were exercisable at $36 per share through October 28, 2024.</w:t>
      </w:r>
    </w:p>
    <w:p>
      <w:pPr>
        <w:spacing w:after="0" w:line="180" w:lineRule="exact"/>
        <w:rPr>
          <w:sz w:val="20"/>
          <w:szCs w:val="20"/>
          <w:color w:val="auto"/>
        </w:rPr>
      </w:pPr>
    </w:p>
    <w:p>
      <w:pPr>
        <w:ind w:right="20" w:firstLine="324"/>
        <w:spacing w:after="0" w:line="262" w:lineRule="auto"/>
        <w:rPr>
          <w:sz w:val="20"/>
          <w:szCs w:val="20"/>
          <w:color w:val="auto"/>
        </w:rPr>
      </w:pPr>
      <w:r>
        <w:rPr>
          <w:rFonts w:ascii="Arial" w:cs="Arial" w:eastAsia="Arial" w:hAnsi="Arial"/>
          <w:sz w:val="18"/>
          <w:szCs w:val="18"/>
          <w:color w:val="auto"/>
        </w:rPr>
        <w:t>As of September 30, 2024, we had outstanding warrants exercisable into 2,812,754 shares of our common stock (subject to adjustments pursuant to the terms of the warrants). During the three and nine months ended September 30, 2024, we issued 1,085,838 and 1,139,163 shares of our common stock in exchange for warrants, respectively. During the three and nine months ended September 30, 2023, we issued 1,958 and 2,179 shares of our common stock in exchange for warrants, respectively.</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Note 15 Subsequent Events</w:t>
      </w:r>
      <w:r>
        <w:rPr>
          <w:rFonts w:ascii="Arial" w:cs="Arial" w:eastAsia="Arial" w:hAnsi="Arial"/>
          <w:sz w:val="18"/>
          <w:szCs w:val="18"/>
          <w:color w:val="auto"/>
        </w:rPr>
        <w:t xml:space="preserve"> for warrant exercises during October 2024.</w:t>
      </w:r>
    </w:p>
    <w:p>
      <w:pPr>
        <w:spacing w:after="0" w:line="252" w:lineRule="exact"/>
        <w:rPr>
          <w:sz w:val="20"/>
          <w:szCs w:val="20"/>
          <w:color w:val="auto"/>
        </w:rPr>
      </w:pPr>
    </w:p>
    <w:p>
      <w:pPr>
        <w:ind w:right="720" w:firstLine="324"/>
        <w:spacing w:after="0" w:line="287"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Part II, Item 8 – Financial Statements and Supplementary Data, Note 10 Stockholders' Equity</w:t>
      </w:r>
      <w:r>
        <w:rPr>
          <w:rFonts w:ascii="Arial" w:cs="Arial" w:eastAsia="Arial" w:hAnsi="Arial"/>
          <w:sz w:val="18"/>
          <w:szCs w:val="18"/>
          <w:color w:val="auto"/>
        </w:rPr>
        <w:t xml:space="preserve"> in our 2023 Annual Report for additional information on the terms of our warrants.</w:t>
      </w:r>
    </w:p>
    <w:p>
      <w:pPr>
        <w:spacing w:after="0" w:line="180"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7"/>
          <w:szCs w:val="17"/>
          <w:b w:val="1"/>
          <w:bCs w:val="1"/>
          <w:color w:val="auto"/>
        </w:rPr>
        <w:t>EARNINGS PER SHARE</w:t>
      </w:r>
    </w:p>
    <w:p>
      <w:pPr>
        <w:spacing w:after="0" w:line="252" w:lineRule="exact"/>
        <w:rPr>
          <w:sz w:val="20"/>
          <w:szCs w:val="20"/>
          <w:color w:val="auto"/>
        </w:rPr>
      </w:pPr>
    </w:p>
    <w:p>
      <w:pPr>
        <w:ind w:right="300" w:firstLine="324"/>
        <w:spacing w:after="0" w:line="268" w:lineRule="auto"/>
        <w:rPr>
          <w:sz w:val="20"/>
          <w:szCs w:val="20"/>
          <w:color w:val="auto"/>
        </w:rPr>
      </w:pPr>
      <w:r>
        <w:rPr>
          <w:rFonts w:ascii="Arial" w:cs="Arial" w:eastAsia="Arial" w:hAnsi="Arial"/>
          <w:sz w:val="18"/>
          <w:szCs w:val="18"/>
          <w:color w:val="auto"/>
        </w:rPr>
        <w:t>Basic and diluted earnings per share (EPS) were calculated using the treasury stock method for the three and nine months ended September 30, 2024 and 2023. Our restricted stock unit (RSU) and performance stock unit (PSU) awards are not considered participating securities since the dividend rights on unvested shares are forfeitable.</w:t>
      </w:r>
    </w:p>
    <w:p>
      <w:pPr>
        <w:spacing w:after="0" w:line="198" w:lineRule="exact"/>
        <w:rPr>
          <w:sz w:val="20"/>
          <w:szCs w:val="20"/>
          <w:color w:val="auto"/>
        </w:rPr>
      </w:pPr>
    </w:p>
    <w:p>
      <w:pPr>
        <w:ind w:right="120" w:firstLine="324"/>
        <w:spacing w:after="0" w:line="287" w:lineRule="auto"/>
        <w:rPr>
          <w:sz w:val="20"/>
          <w:szCs w:val="20"/>
          <w:color w:val="auto"/>
        </w:rPr>
      </w:pPr>
      <w:r>
        <w:rPr>
          <w:rFonts w:ascii="Arial" w:cs="Arial" w:eastAsia="Arial" w:hAnsi="Arial"/>
          <w:sz w:val="18"/>
          <w:szCs w:val="18"/>
          <w:color w:val="auto"/>
        </w:rPr>
        <w:t>For basic EPS, the weighted-average number of common shares outstanding excludes shares underlying our equity-settled awards and warrants. For diluted EPS, the basic shares outstanding are adjusted by adding potential common shares, if dilutive.</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6" w:name="page27"/>
    <w:bookmarkEnd w:id="26"/>
    <w:p>
      <w:pPr>
        <w:ind w:right="420" w:firstLine="324"/>
        <w:spacing w:after="0" w:line="287" w:lineRule="auto"/>
        <w:rPr>
          <w:sz w:val="20"/>
          <w:szCs w:val="20"/>
          <w:color w:val="auto"/>
        </w:rPr>
      </w:pPr>
      <w:r>
        <w:rPr>
          <w:rFonts w:ascii="Arial" w:cs="Arial" w:eastAsia="Arial" w:hAnsi="Arial"/>
          <w:sz w:val="18"/>
          <w:szCs w:val="18"/>
          <w:color w:val="auto"/>
        </w:rPr>
        <w:t>The following table presents the calculation of basic and diluted EPS, for the three and nine months ended September 30, 2024 and 2023:</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80" w:type="dxa"/>
            <w:vAlign w:val="bottom"/>
          </w:tcPr>
          <w:p>
            <w:pPr>
              <w:spacing w:after="0"/>
              <w:rPr>
                <w:sz w:val="17"/>
                <w:szCs w:val="17"/>
                <w:color w:val="auto"/>
              </w:rPr>
            </w:pPr>
          </w:p>
        </w:tc>
        <w:tc>
          <w:tcPr>
            <w:tcW w:w="2480" w:type="dxa"/>
            <w:vAlign w:val="bottom"/>
            <w:gridSpan w:val="4"/>
          </w:tcPr>
          <w:p>
            <w:pPr>
              <w:jc w:val="right"/>
              <w:ind w:right="14"/>
              <w:spacing w:after="0"/>
              <w:rPr>
                <w:sz w:val="20"/>
                <w:szCs w:val="20"/>
                <w:color w:val="auto"/>
              </w:rPr>
            </w:pPr>
            <w:r>
              <w:rPr>
                <w:rFonts w:ascii="Arial" w:cs="Arial" w:eastAsia="Arial" w:hAnsi="Arial"/>
                <w:sz w:val="18"/>
                <w:szCs w:val="18"/>
                <w:b w:val="1"/>
                <w:bCs w:val="1"/>
                <w:color w:val="auto"/>
              </w:rPr>
              <w:t>Three months ended</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6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Nine months ended</w:t>
            </w:r>
          </w:p>
        </w:tc>
      </w:tr>
      <w:tr>
        <w:trPr>
          <w:trHeight w:val="243"/>
        </w:trPr>
        <w:tc>
          <w:tcPr>
            <w:tcW w:w="5180" w:type="dxa"/>
            <w:vAlign w:val="bottom"/>
          </w:tcPr>
          <w:p>
            <w:pPr>
              <w:spacing w:after="0"/>
              <w:rPr>
                <w:sz w:val="21"/>
                <w:szCs w:val="21"/>
                <w:color w:val="auto"/>
              </w:rPr>
            </w:pPr>
          </w:p>
        </w:tc>
        <w:tc>
          <w:tcPr>
            <w:tcW w:w="2480" w:type="dxa"/>
            <w:vAlign w:val="bottom"/>
            <w:tcBorders>
              <w:bottom w:val="single" w:sz="8" w:color="auto"/>
            </w:tcBorders>
            <w:gridSpan w:val="4"/>
          </w:tcPr>
          <w:p>
            <w:pPr>
              <w:jc w:val="right"/>
              <w:ind w:right="294"/>
              <w:spacing w:after="0"/>
              <w:rPr>
                <w:sz w:val="20"/>
                <w:szCs w:val="20"/>
                <w:color w:val="auto"/>
              </w:rPr>
            </w:pPr>
            <w:r>
              <w:rPr>
                <w:rFonts w:ascii="Arial" w:cs="Arial" w:eastAsia="Arial" w:hAnsi="Arial"/>
                <w:sz w:val="18"/>
                <w:szCs w:val="18"/>
                <w:b w:val="1"/>
                <w:bCs w:val="1"/>
                <w:color w:val="auto"/>
              </w:rPr>
              <w:t>September 30,</w:t>
            </w:r>
          </w:p>
        </w:tc>
        <w:tc>
          <w:tcPr>
            <w:tcW w:w="5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660" w:type="dxa"/>
            <w:vAlign w:val="bottom"/>
            <w:tcBorders>
              <w:bottom w:val="single" w:sz="8" w:color="auto"/>
            </w:tcBorders>
            <w:gridSpan w:val="4"/>
          </w:tcPr>
          <w:p>
            <w:pPr>
              <w:jc w:val="right"/>
              <w:ind w:right="79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518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2024</w:t>
            </w:r>
          </w:p>
        </w:tc>
        <w:tc>
          <w:tcPr>
            <w:tcW w:w="4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5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r>
      <w:tr>
        <w:trPr>
          <w:trHeight w:val="228"/>
        </w:trPr>
        <w:tc>
          <w:tcPr>
            <w:tcW w:w="5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80" w:type="dxa"/>
            <w:vAlign w:val="bottom"/>
            <w:gridSpan w:val="6"/>
          </w:tcPr>
          <w:p>
            <w:pPr>
              <w:ind w:left="260"/>
              <w:spacing w:after="0"/>
              <w:rPr>
                <w:sz w:val="20"/>
                <w:szCs w:val="20"/>
                <w:color w:val="auto"/>
              </w:rPr>
            </w:pPr>
            <w:r>
              <w:rPr>
                <w:rFonts w:ascii="Arial" w:cs="Arial" w:eastAsia="Arial" w:hAnsi="Arial"/>
                <w:sz w:val="14"/>
                <w:szCs w:val="14"/>
                <w:color w:val="auto"/>
              </w:rPr>
              <w:t>(in millions, except per-share amounts)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8"/>
        </w:trPr>
        <w:tc>
          <w:tcPr>
            <w:tcW w:w="5180" w:type="dxa"/>
            <w:vAlign w:val="bottom"/>
          </w:tcPr>
          <w:p>
            <w:pPr>
              <w:ind w:left="20"/>
              <w:spacing w:after="0"/>
              <w:rPr>
                <w:sz w:val="20"/>
                <w:szCs w:val="20"/>
                <w:color w:val="auto"/>
              </w:rPr>
            </w:pPr>
            <w:r>
              <w:rPr>
                <w:rFonts w:ascii="Arial" w:cs="Arial" w:eastAsia="Arial" w:hAnsi="Arial"/>
                <w:sz w:val="18"/>
                <w:szCs w:val="18"/>
                <w:b w:val="1"/>
                <w:bCs w:val="1"/>
                <w:color w:val="auto"/>
              </w:rPr>
              <w:t>Numerator for Basic and Diluted EPS</w:t>
            </w:r>
          </w:p>
        </w:tc>
        <w:tc>
          <w:tcPr>
            <w:tcW w:w="9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30"/>
        </w:trPr>
        <w:tc>
          <w:tcPr>
            <w:tcW w:w="5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 (loss)</w:t>
            </w:r>
          </w:p>
        </w:tc>
        <w:tc>
          <w:tcPr>
            <w:tcW w:w="96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34"/>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r>
      <w:tr>
        <w:trPr>
          <w:trHeight w:val="270"/>
        </w:trPr>
        <w:tc>
          <w:tcPr>
            <w:tcW w:w="5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Denominator for Basic EPS</w:t>
            </w:r>
          </w:p>
        </w:tc>
        <w:tc>
          <w:tcPr>
            <w:tcW w:w="9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r>
      <w:tr>
        <w:trPr>
          <w:trHeight w:val="223"/>
        </w:trPr>
        <w:tc>
          <w:tcPr>
            <w:tcW w:w="51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Weighted-average shares</w:t>
            </w:r>
          </w:p>
        </w:tc>
        <w:tc>
          <w:tcPr>
            <w:tcW w:w="9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89.4</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w:t>
            </w:r>
          </w:p>
        </w:tc>
      </w:tr>
      <w:tr>
        <w:trPr>
          <w:trHeight w:val="250"/>
        </w:trPr>
        <w:tc>
          <w:tcPr>
            <w:tcW w:w="5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29"/>
        </w:trPr>
        <w:tc>
          <w:tcPr>
            <w:tcW w:w="5180" w:type="dxa"/>
            <w:vAlign w:val="bottom"/>
          </w:tcPr>
          <w:p>
            <w:pPr>
              <w:ind w:left="20"/>
              <w:spacing w:after="0"/>
              <w:rPr>
                <w:sz w:val="20"/>
                <w:szCs w:val="20"/>
                <w:color w:val="auto"/>
              </w:rPr>
            </w:pPr>
            <w:r>
              <w:rPr>
                <w:rFonts w:ascii="Arial" w:cs="Arial" w:eastAsia="Arial" w:hAnsi="Arial"/>
                <w:sz w:val="18"/>
                <w:szCs w:val="18"/>
                <w:color w:val="auto"/>
              </w:rPr>
              <w:t>Potential common shares, if dilutive:</w:t>
            </w:r>
          </w:p>
        </w:tc>
        <w:tc>
          <w:tcPr>
            <w:tcW w:w="9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5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Warrants</w:t>
            </w: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29"/>
        </w:trPr>
        <w:tc>
          <w:tcPr>
            <w:tcW w:w="5180" w:type="dxa"/>
            <w:vAlign w:val="bottom"/>
          </w:tcPr>
          <w:p>
            <w:pPr>
              <w:ind w:left="360"/>
              <w:spacing w:after="0"/>
              <w:rPr>
                <w:sz w:val="20"/>
                <w:szCs w:val="20"/>
                <w:color w:val="auto"/>
              </w:rPr>
            </w:pPr>
            <w:r>
              <w:rPr>
                <w:rFonts w:ascii="Arial" w:cs="Arial" w:eastAsia="Arial" w:hAnsi="Arial"/>
                <w:sz w:val="18"/>
                <w:szCs w:val="18"/>
                <w:color w:val="auto"/>
              </w:rPr>
              <w:t>Restricted stock units</w:t>
            </w: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5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Performance stock units</w:t>
            </w: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70"/>
        </w:trPr>
        <w:tc>
          <w:tcPr>
            <w:tcW w:w="5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Denominator for Diluted EPS</w:t>
            </w:r>
          </w:p>
        </w:tc>
        <w:tc>
          <w:tcPr>
            <w:tcW w:w="9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r>
      <w:tr>
        <w:trPr>
          <w:trHeight w:val="223"/>
        </w:trPr>
        <w:tc>
          <w:tcPr>
            <w:tcW w:w="5180" w:type="dxa"/>
            <w:vAlign w:val="bottom"/>
          </w:tcPr>
          <w:p>
            <w:pPr>
              <w:ind w:left="140"/>
              <w:spacing w:after="0"/>
              <w:rPr>
                <w:sz w:val="20"/>
                <w:szCs w:val="20"/>
                <w:color w:val="auto"/>
              </w:rPr>
            </w:pPr>
            <w:r>
              <w:rPr>
                <w:rFonts w:ascii="Arial" w:cs="Arial" w:eastAsia="Arial" w:hAnsi="Arial"/>
                <w:sz w:val="18"/>
                <w:szCs w:val="18"/>
                <w:color w:val="auto"/>
              </w:rPr>
              <w:t>Weighted-average shares</w:t>
            </w:r>
          </w:p>
        </w:tc>
        <w:tc>
          <w:tcPr>
            <w:tcW w:w="9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91.2</w:t>
            </w:r>
          </w:p>
        </w:tc>
        <w:tc>
          <w:tcPr>
            <w:tcW w:w="10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77.6</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w:t>
            </w: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7"/>
        </w:trPr>
        <w:tc>
          <w:tcPr>
            <w:tcW w:w="5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29"/>
        </w:trPr>
        <w:tc>
          <w:tcPr>
            <w:tcW w:w="5180" w:type="dxa"/>
            <w:vAlign w:val="bottom"/>
          </w:tcPr>
          <w:p>
            <w:pPr>
              <w:ind w:left="20"/>
              <w:spacing w:after="0"/>
              <w:rPr>
                <w:sz w:val="20"/>
                <w:szCs w:val="20"/>
                <w:color w:val="auto"/>
              </w:rPr>
            </w:pPr>
            <w:r>
              <w:rPr>
                <w:rFonts w:ascii="Arial" w:cs="Arial" w:eastAsia="Arial" w:hAnsi="Arial"/>
                <w:sz w:val="18"/>
                <w:szCs w:val="18"/>
                <w:b w:val="1"/>
                <w:bCs w:val="1"/>
                <w:color w:val="auto"/>
              </w:rPr>
              <w:t>EPS</w:t>
            </w:r>
          </w:p>
        </w:tc>
        <w:tc>
          <w:tcPr>
            <w:tcW w:w="9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5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96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34"/>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(0.32)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w:t>
            </w:r>
          </w:p>
        </w:tc>
      </w:tr>
      <w:tr>
        <w:trPr>
          <w:trHeight w:val="239"/>
        </w:trPr>
        <w:tc>
          <w:tcPr>
            <w:tcW w:w="5180" w:type="dxa"/>
            <w:vAlign w:val="bottom"/>
          </w:tcPr>
          <w:p>
            <w:pPr>
              <w:ind w:left="140"/>
              <w:spacing w:after="0"/>
              <w:rPr>
                <w:sz w:val="20"/>
                <w:szCs w:val="20"/>
                <w:color w:val="auto"/>
              </w:rPr>
            </w:pPr>
            <w:r>
              <w:rPr>
                <w:rFonts w:ascii="Arial" w:cs="Arial" w:eastAsia="Arial" w:hAnsi="Arial"/>
                <w:sz w:val="18"/>
                <w:szCs w:val="18"/>
                <w:color w:val="auto"/>
              </w:rPr>
              <w:t>Diluted</w:t>
            </w: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3.78</w:t>
            </w:r>
          </w:p>
        </w:tc>
        <w:tc>
          <w:tcPr>
            <w:tcW w:w="100" w:type="dxa"/>
            <w:vAlign w:val="bottom"/>
          </w:tcPr>
          <w:p>
            <w:pPr>
              <w:spacing w:after="0"/>
              <w:rPr>
                <w:sz w:val="20"/>
                <w:szCs w:val="20"/>
                <w:color w:val="auto"/>
              </w:rPr>
            </w:pPr>
          </w:p>
        </w:tc>
        <w:tc>
          <w:tcPr>
            <w:tcW w:w="940" w:type="dxa"/>
            <w:vAlign w:val="bottom"/>
          </w:tcPr>
          <w:p>
            <w:pPr>
              <w:jc w:val="right"/>
              <w:ind w:right="734"/>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7"/>
              </w:rPr>
              <w:t>(0.32)</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4.42</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5.18</w:t>
            </w:r>
          </w:p>
        </w:tc>
      </w:tr>
    </w:tbl>
    <w:p>
      <w:pPr>
        <w:spacing w:after="0" w:line="30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potentially dilutive weighted-average common shares which were excluded from the denominator for diluted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EPS in periods of losses: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0" w:type="dxa"/>
            <w:vAlign w:val="bottom"/>
          </w:tcPr>
          <w:p>
            <w:pPr>
              <w:spacing w:after="0"/>
              <w:rPr>
                <w:sz w:val="18"/>
                <w:szCs w:val="18"/>
                <w:color w:val="auto"/>
              </w:rPr>
            </w:pPr>
          </w:p>
        </w:tc>
        <w:tc>
          <w:tcPr>
            <w:tcW w:w="2540" w:type="dxa"/>
            <w:vAlign w:val="bottom"/>
            <w:gridSpan w:val="4"/>
          </w:tcPr>
          <w:p>
            <w:pPr>
              <w:jc w:val="center"/>
              <w:ind w:left="330"/>
              <w:spacing w:after="0"/>
              <w:rPr>
                <w:sz w:val="20"/>
                <w:szCs w:val="20"/>
                <w:color w:val="auto"/>
              </w:rPr>
            </w:pPr>
            <w:r>
              <w:rPr>
                <w:rFonts w:ascii="Arial" w:cs="Arial" w:eastAsia="Arial" w:hAnsi="Arial"/>
                <w:sz w:val="18"/>
                <w:szCs w:val="18"/>
                <w:b w:val="1"/>
                <w:bCs w:val="1"/>
                <w:color w:val="auto"/>
                <w:w w:val="99"/>
              </w:rPr>
              <w:t>Three months ended</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80" w:type="dxa"/>
            <w:vAlign w:val="bottom"/>
            <w:gridSpan w:val="4"/>
          </w:tcPr>
          <w:p>
            <w:pPr>
              <w:jc w:val="center"/>
              <w:spacing w:after="0"/>
              <w:rPr>
                <w:sz w:val="20"/>
                <w:szCs w:val="20"/>
                <w:color w:val="auto"/>
              </w:rPr>
            </w:pPr>
            <w:r>
              <w:rPr>
                <w:rFonts w:ascii="Arial" w:cs="Arial" w:eastAsia="Arial" w:hAnsi="Arial"/>
                <w:sz w:val="18"/>
                <w:szCs w:val="18"/>
                <w:b w:val="1"/>
                <w:bCs w:val="1"/>
                <w:color w:val="auto"/>
                <w:w w:val="99"/>
              </w:rPr>
              <w:t>Nine months ended</w:t>
            </w:r>
          </w:p>
        </w:tc>
      </w:tr>
      <w:tr>
        <w:trPr>
          <w:trHeight w:val="243"/>
        </w:trPr>
        <w:tc>
          <w:tcPr>
            <w:tcW w:w="5200" w:type="dxa"/>
            <w:vAlign w:val="bottom"/>
          </w:tcPr>
          <w:p>
            <w:pPr>
              <w:spacing w:after="0"/>
              <w:rPr>
                <w:sz w:val="21"/>
                <w:szCs w:val="21"/>
                <w:color w:val="auto"/>
              </w:rPr>
            </w:pPr>
          </w:p>
        </w:tc>
        <w:tc>
          <w:tcPr>
            <w:tcW w:w="2540" w:type="dxa"/>
            <w:vAlign w:val="bottom"/>
            <w:tcBorders>
              <w:bottom w:val="single" w:sz="8" w:color="auto"/>
            </w:tcBorders>
            <w:gridSpan w:val="4"/>
          </w:tcPr>
          <w:p>
            <w:pPr>
              <w:jc w:val="center"/>
              <w:ind w:left="330"/>
              <w:spacing w:after="0"/>
              <w:rPr>
                <w:sz w:val="20"/>
                <w:szCs w:val="20"/>
                <w:color w:val="auto"/>
              </w:rPr>
            </w:pPr>
            <w:r>
              <w:rPr>
                <w:rFonts w:ascii="Arial" w:cs="Arial" w:eastAsia="Arial" w:hAnsi="Arial"/>
                <w:sz w:val="18"/>
                <w:szCs w:val="18"/>
                <w:b w:val="1"/>
                <w:bCs w:val="1"/>
                <w:color w:val="auto"/>
              </w:rPr>
              <w:t>September 30,</w:t>
            </w:r>
          </w:p>
        </w:tc>
        <w:tc>
          <w:tcPr>
            <w:tcW w:w="4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98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9"/>
              </w:rPr>
              <w:t>September 30,</w:t>
            </w:r>
          </w:p>
        </w:tc>
      </w:tr>
      <w:tr>
        <w:trPr>
          <w:trHeight w:val="223"/>
        </w:trPr>
        <w:tc>
          <w:tcPr>
            <w:tcW w:w="5200" w:type="dxa"/>
            <w:vAlign w:val="bottom"/>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2024</w:t>
            </w:r>
          </w:p>
        </w:tc>
        <w:tc>
          <w:tcPr>
            <w:tcW w:w="4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2023</w:t>
            </w:r>
          </w:p>
        </w:tc>
        <w:tc>
          <w:tcPr>
            <w:tcW w:w="4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Borders>
              <w:bottom w:val="single" w:sz="8" w:color="auto"/>
            </w:tcBorders>
          </w:tcPr>
          <w:p>
            <w:pPr>
              <w:ind w:left="520"/>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2023</w:t>
            </w:r>
          </w:p>
        </w:tc>
      </w:tr>
      <w:tr>
        <w:trPr>
          <w:trHeight w:val="233"/>
        </w:trPr>
        <w:tc>
          <w:tcPr>
            <w:tcW w:w="5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520" w:type="dxa"/>
            <w:vAlign w:val="bottom"/>
            <w:gridSpan w:val="3"/>
          </w:tcPr>
          <w:p>
            <w:pPr>
              <w:jc w:val="center"/>
              <w:ind w:right="510"/>
              <w:spacing w:after="0"/>
              <w:rPr>
                <w:sz w:val="20"/>
                <w:szCs w:val="20"/>
                <w:color w:val="auto"/>
              </w:rPr>
            </w:pPr>
            <w:r>
              <w:rPr>
                <w:rFonts w:ascii="Arial" w:cs="Arial" w:eastAsia="Arial" w:hAnsi="Arial"/>
                <w:sz w:val="14"/>
                <w:szCs w:val="14"/>
                <w:color w:val="auto"/>
              </w:rPr>
              <w:t>(in millions)</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60" w:type="dxa"/>
            <w:vAlign w:val="bottom"/>
            <w:gridSpan w:val="3"/>
          </w:tcPr>
          <w:p>
            <w:pPr>
              <w:jc w:val="center"/>
              <w:ind w:left="932"/>
              <w:spacing w:after="0"/>
              <w:rPr>
                <w:sz w:val="20"/>
                <w:szCs w:val="20"/>
                <w:color w:val="auto"/>
              </w:rPr>
            </w:pPr>
            <w:r>
              <w:rPr>
                <w:rFonts w:ascii="Arial" w:cs="Arial" w:eastAsia="Arial" w:hAnsi="Arial"/>
                <w:sz w:val="14"/>
                <w:szCs w:val="14"/>
                <w:color w:val="auto"/>
              </w:rPr>
              <w:t>(in millions)</w:t>
            </w:r>
          </w:p>
        </w:tc>
        <w:tc>
          <w:tcPr>
            <w:tcW w:w="1020" w:type="dxa"/>
            <w:vAlign w:val="bottom"/>
          </w:tcPr>
          <w:p>
            <w:pPr>
              <w:spacing w:after="0"/>
              <w:rPr>
                <w:sz w:val="20"/>
                <w:szCs w:val="20"/>
                <w:color w:val="auto"/>
              </w:rPr>
            </w:pPr>
          </w:p>
        </w:tc>
      </w:tr>
      <w:tr>
        <w:trPr>
          <w:trHeight w:val="234"/>
        </w:trPr>
        <w:tc>
          <w:tcPr>
            <w:tcW w:w="6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Shares issuable upon exercise of warrants</w:t>
            </w:r>
          </w:p>
        </w:tc>
        <w:tc>
          <w:tcPr>
            <w:tcW w:w="15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20"/>
                <w:szCs w:val="20"/>
                <w:color w:val="auto"/>
              </w:rPr>
            </w:pPr>
          </w:p>
        </w:tc>
        <w:tc>
          <w:tcPr>
            <w:tcW w:w="1960" w:type="dxa"/>
            <w:vAlign w:val="bottom"/>
            <w:gridSpan w:val="3"/>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r>
      <w:tr>
        <w:trPr>
          <w:trHeight w:val="229"/>
        </w:trPr>
        <w:tc>
          <w:tcPr>
            <w:tcW w:w="6220" w:type="dxa"/>
            <w:vAlign w:val="bottom"/>
            <w:gridSpan w:val="2"/>
          </w:tcPr>
          <w:p>
            <w:pPr>
              <w:ind w:left="20"/>
              <w:spacing w:after="0"/>
              <w:rPr>
                <w:sz w:val="20"/>
                <w:szCs w:val="20"/>
                <w:color w:val="auto"/>
              </w:rPr>
            </w:pPr>
            <w:r>
              <w:rPr>
                <w:rFonts w:ascii="Arial" w:cs="Arial" w:eastAsia="Arial" w:hAnsi="Arial"/>
                <w:sz w:val="18"/>
                <w:szCs w:val="18"/>
                <w:color w:val="auto"/>
              </w:rPr>
              <w:t>Shares issuable upon settlement of RSUs</w:t>
            </w:r>
          </w:p>
        </w:tc>
        <w:tc>
          <w:tcPr>
            <w:tcW w:w="152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1960" w:type="dxa"/>
            <w:vAlign w:val="bottom"/>
            <w:gridSpan w:val="3"/>
          </w:tcPr>
          <w:p>
            <w:pPr>
              <w:ind w:left="1180"/>
              <w:spacing w:after="0"/>
              <w:rPr>
                <w:sz w:val="20"/>
                <w:szCs w:val="20"/>
                <w:color w:val="auto"/>
              </w:rPr>
            </w:pPr>
            <w:r>
              <w:rPr>
                <w:rFonts w:ascii="Arial" w:cs="Arial" w:eastAsia="Arial" w:hAnsi="Arial"/>
                <w:sz w:val="18"/>
                <w:szCs w:val="18"/>
                <w:color w:val="auto"/>
              </w:rPr>
              <w:t>—</w:t>
            </w:r>
          </w:p>
        </w:tc>
        <w:tc>
          <w:tcPr>
            <w:tcW w:w="1020" w:type="dxa"/>
            <w:vAlign w:val="bottom"/>
          </w:tcPr>
          <w:p>
            <w:pPr>
              <w:ind w:left="760"/>
              <w:spacing w:after="0"/>
              <w:rPr>
                <w:sz w:val="20"/>
                <w:szCs w:val="20"/>
                <w:color w:val="auto"/>
              </w:rPr>
            </w:pPr>
            <w:r>
              <w:rPr>
                <w:rFonts w:ascii="Arial" w:cs="Arial" w:eastAsia="Arial" w:hAnsi="Arial"/>
                <w:sz w:val="18"/>
                <w:szCs w:val="18"/>
                <w:color w:val="auto"/>
              </w:rPr>
              <w:t>—</w:t>
            </w: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issuable upon settlement of PSUs</w:t>
            </w:r>
          </w:p>
        </w:tc>
        <w:tc>
          <w:tcPr>
            <w:tcW w:w="10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rPr>
              <w:t>—</w:t>
            </w:r>
          </w:p>
        </w:tc>
      </w:tr>
      <w:tr>
        <w:trPr>
          <w:trHeight w:val="223"/>
        </w:trPr>
        <w:tc>
          <w:tcPr>
            <w:tcW w:w="6220" w:type="dxa"/>
            <w:vAlign w:val="bottom"/>
            <w:gridSpan w:val="2"/>
          </w:tcPr>
          <w:p>
            <w:pPr>
              <w:ind w:left="240"/>
              <w:spacing w:after="0"/>
              <w:rPr>
                <w:sz w:val="20"/>
                <w:szCs w:val="20"/>
                <w:color w:val="auto"/>
              </w:rPr>
            </w:pPr>
            <w:r>
              <w:rPr>
                <w:rFonts w:ascii="Arial" w:cs="Arial" w:eastAsia="Arial" w:hAnsi="Arial"/>
                <w:sz w:val="18"/>
                <w:szCs w:val="18"/>
                <w:color w:val="auto"/>
              </w:rPr>
              <w:t>Total antidilutive shares</w:t>
            </w: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9"/>
                <w:szCs w:val="19"/>
                <w:color w:val="auto"/>
              </w:rPr>
            </w:pPr>
          </w:p>
        </w:tc>
        <w:tc>
          <w:tcPr>
            <w:tcW w:w="1440" w:type="dxa"/>
            <w:vAlign w:val="bottom"/>
          </w:tcPr>
          <w:p>
            <w:pPr>
              <w:ind w:left="1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ind w:left="760"/>
              <w:spacing w:after="0"/>
              <w:rPr>
                <w:sz w:val="20"/>
                <w:szCs w:val="20"/>
                <w:color w:val="auto"/>
              </w:rPr>
            </w:pPr>
            <w:r>
              <w:rPr>
                <w:rFonts w:ascii="Arial" w:cs="Arial" w:eastAsia="Arial" w:hAnsi="Arial"/>
                <w:sz w:val="18"/>
                <w:szCs w:val="18"/>
                <w:color w:val="auto"/>
              </w:rPr>
              <w:t>—</w:t>
            </w:r>
          </w:p>
        </w:tc>
      </w:tr>
      <w:tr>
        <w:trPr>
          <w:trHeight w:val="21"/>
        </w:trPr>
        <w:tc>
          <w:tcPr>
            <w:tcW w:w="52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7" w:name="page28"/>
    <w:bookmarkEnd w:id="27"/>
    <w:p>
      <w:pPr>
        <w:spacing w:after="0"/>
        <w:tabs>
          <w:tab w:leader="none" w:pos="92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7"/>
          <w:szCs w:val="17"/>
          <w:b w:val="1"/>
          <w:bCs w:val="1"/>
          <w:color w:val="auto"/>
        </w:rPr>
        <w:t>PENSION AND POSTRETIREMENT BENEFIT PLANS</w:t>
      </w:r>
    </w:p>
    <w:p>
      <w:pPr>
        <w:spacing w:after="0" w:line="252"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Prior to the Aera Merger, we had two qualified defined benefit pension plans covering union employees and a postretirement health care plan for certain retired employees. In connection with the Aera Merger, we acquired two defined benefit pension plans, a qualified retirement plan and a supplemental retirement plan. We also acquired two plans that provide health care benefits for certain retired employees. Certain of the postretirement benefit obligations are funded through 401(h) accounts under the defined benefit plans. Aera's pension and postretirement obligations were remeasured as of the July 1, 2024 acquisition date. At that time, we recognized a net benefit asset of</w:t>
      </w:r>
    </w:p>
    <w:p>
      <w:pPr>
        <w:spacing w:after="0" w:line="3" w:lineRule="exact"/>
        <w:rPr>
          <w:sz w:val="20"/>
          <w:szCs w:val="20"/>
          <w:color w:val="auto"/>
        </w:rPr>
      </w:pPr>
    </w:p>
    <w:p>
      <w:pPr>
        <w:ind w:right="300"/>
        <w:spacing w:after="0" w:line="258" w:lineRule="auto"/>
        <w:rPr>
          <w:sz w:val="20"/>
          <w:szCs w:val="20"/>
          <w:color w:val="auto"/>
        </w:rPr>
      </w:pPr>
      <w:r>
        <w:rPr>
          <w:rFonts w:ascii="Arial" w:cs="Arial" w:eastAsia="Arial" w:hAnsi="Arial"/>
          <w:sz w:val="18"/>
          <w:szCs w:val="18"/>
          <w:color w:val="auto"/>
        </w:rPr>
        <w:t>$73 million, included in other noncurrent assets, and a net benefit liability of $35 million, included in other long-term liabilities, on our condensed consolidated statement of financial position. Accumulated other comprehensive income balances were eliminated in purchase accounting.</w:t>
      </w:r>
    </w:p>
    <w:p>
      <w:pPr>
        <w:spacing w:after="0" w:line="20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In August 2024, we amended Aera's pension and postretirement benefit plans. For Aera’s defined benefit pension plans and post age 65 postretirement benefit plan, participants no longer earn benefits for service after September 30, 2024. However, future service will count towards vesting of benefits accumulated based on past service. For Aera’s postretirement benefit plans, we expanded the eligibility provisions in the event of an involuntary layoff. Following the Aera Merger, we recognized a curtailment gain of $4 million and a one-time cost of special termination benefits of $4 million included in net periodic benefit costs for the three and nine months ended September 30, 2024 as shown in the table below.</w:t>
      </w:r>
    </w:p>
    <w:p>
      <w:pPr>
        <w:spacing w:after="0" w:line="209" w:lineRule="exact"/>
        <w:rPr>
          <w:sz w:val="20"/>
          <w:szCs w:val="20"/>
          <w:color w:val="auto"/>
        </w:rPr>
      </w:pPr>
    </w:p>
    <w:p>
      <w:pPr>
        <w:ind w:right="120" w:firstLine="324"/>
        <w:spacing w:after="0" w:line="287" w:lineRule="auto"/>
        <w:rPr>
          <w:sz w:val="20"/>
          <w:szCs w:val="20"/>
          <w:color w:val="auto"/>
        </w:rPr>
      </w:pPr>
      <w:r>
        <w:rPr>
          <w:rFonts w:ascii="Arial" w:cs="Arial" w:eastAsia="Arial" w:hAnsi="Arial"/>
          <w:sz w:val="18"/>
          <w:szCs w:val="18"/>
          <w:color w:val="auto"/>
        </w:rPr>
        <w:t>The following table sets forth the components of the net periodic benefit costs for our defined benefit pension and postretirement benefit plans for the three and nine months ended September 30, 2024 and 2023:</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340" w:type="dxa"/>
            <w:vAlign w:val="bottom"/>
          </w:tcPr>
          <w:p>
            <w:pPr>
              <w:spacing w:after="0"/>
              <w:rPr>
                <w:sz w:val="20"/>
                <w:szCs w:val="20"/>
                <w:color w:val="auto"/>
              </w:rPr>
            </w:pPr>
          </w:p>
        </w:tc>
        <w:tc>
          <w:tcPr>
            <w:tcW w:w="3600" w:type="dxa"/>
            <w:vAlign w:val="bottom"/>
            <w:tcBorders>
              <w:bottom w:val="single" w:sz="8" w:color="auto"/>
            </w:tcBorders>
            <w:gridSpan w:val="4"/>
          </w:tcPr>
          <w:p>
            <w:pPr>
              <w:jc w:val="center"/>
              <w:ind w:left="190"/>
              <w:spacing w:after="0"/>
              <w:rPr>
                <w:sz w:val="20"/>
                <w:szCs w:val="20"/>
                <w:color w:val="auto"/>
              </w:rPr>
            </w:pPr>
            <w:r>
              <w:rPr>
                <w:rFonts w:ascii="Arial" w:cs="Arial" w:eastAsia="Arial" w:hAnsi="Arial"/>
                <w:sz w:val="18"/>
                <w:szCs w:val="18"/>
                <w:b w:val="1"/>
                <w:bCs w:val="1"/>
                <w:color w:val="auto"/>
                <w:w w:val="99"/>
              </w:rPr>
              <w:t>Three months ended September 30,</w:t>
            </w:r>
          </w:p>
        </w:tc>
        <w:tc>
          <w:tcPr>
            <w:tcW w:w="2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620" w:type="dxa"/>
            <w:vAlign w:val="bottom"/>
            <w:tcBorders>
              <w:bottom w:val="single" w:sz="8" w:color="auto"/>
            </w:tcBorders>
            <w:gridSpan w:val="4"/>
          </w:tcPr>
          <w:p>
            <w:pPr>
              <w:jc w:val="center"/>
              <w:ind w:right="170"/>
              <w:spacing w:after="0"/>
              <w:rPr>
                <w:sz w:val="20"/>
                <w:szCs w:val="20"/>
                <w:color w:val="auto"/>
              </w:rPr>
            </w:pPr>
            <w:r>
              <w:rPr>
                <w:rFonts w:ascii="Arial" w:cs="Arial" w:eastAsia="Arial" w:hAnsi="Arial"/>
                <w:sz w:val="18"/>
                <w:szCs w:val="18"/>
                <w:b w:val="1"/>
                <w:bCs w:val="1"/>
                <w:color w:val="auto"/>
                <w:w w:val="99"/>
              </w:rPr>
              <w:t>Three months ended September 30,</w:t>
            </w:r>
          </w:p>
        </w:tc>
        <w:tc>
          <w:tcPr>
            <w:tcW w:w="0" w:type="dxa"/>
            <w:vAlign w:val="bottom"/>
          </w:tcPr>
          <w:p>
            <w:pPr>
              <w:spacing w:after="0"/>
              <w:rPr>
                <w:sz w:val="1"/>
                <w:szCs w:val="1"/>
                <w:color w:val="auto"/>
              </w:rPr>
            </w:pPr>
          </w:p>
        </w:tc>
      </w:tr>
      <w:tr>
        <w:trPr>
          <w:trHeight w:val="223"/>
        </w:trPr>
        <w:tc>
          <w:tcPr>
            <w:tcW w:w="3340" w:type="dxa"/>
            <w:vAlign w:val="bottom"/>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3"/>
          </w:tcPr>
          <w:p>
            <w:pPr>
              <w:jc w:val="center"/>
              <w:ind w:right="1070"/>
              <w:spacing w:after="0"/>
              <w:rPr>
                <w:sz w:val="20"/>
                <w:szCs w:val="20"/>
                <w:color w:val="auto"/>
              </w:rPr>
            </w:pPr>
            <w:r>
              <w:rPr>
                <w:rFonts w:ascii="Arial" w:cs="Arial" w:eastAsia="Arial" w:hAnsi="Arial"/>
                <w:sz w:val="18"/>
                <w:szCs w:val="18"/>
                <w:b w:val="1"/>
                <w:bCs w:val="1"/>
                <w:color w:val="auto"/>
                <w:w w:val="99"/>
              </w:rPr>
              <w:t>2024</w:t>
            </w:r>
          </w:p>
        </w:tc>
        <w:tc>
          <w:tcPr>
            <w:tcW w:w="2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3"/>
          </w:tcPr>
          <w:p>
            <w:pPr>
              <w:jc w:val="center"/>
              <w:ind w:left="1312"/>
              <w:spacing w:after="0"/>
              <w:rPr>
                <w:sz w:val="20"/>
                <w:szCs w:val="20"/>
                <w:color w:val="auto"/>
              </w:rPr>
            </w:pPr>
            <w:r>
              <w:rPr>
                <w:rFonts w:ascii="Arial" w:cs="Arial" w:eastAsia="Arial" w:hAnsi="Arial"/>
                <w:sz w:val="18"/>
                <w:szCs w:val="18"/>
                <w:b w:val="1"/>
                <w:bCs w:val="1"/>
                <w:color w:val="auto"/>
                <w:w w:val="99"/>
              </w:rPr>
              <w:t>2023</w:t>
            </w:r>
          </w:p>
        </w:tc>
        <w:tc>
          <w:tcPr>
            <w:tcW w:w="16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340" w:type="dxa"/>
            <w:vAlign w:val="bottom"/>
          </w:tcPr>
          <w:p>
            <w:pPr>
              <w:spacing w:after="0"/>
              <w:rPr>
                <w:sz w:val="14"/>
                <w:szCs w:val="14"/>
                <w:color w:val="auto"/>
              </w:rPr>
            </w:pPr>
          </w:p>
        </w:tc>
        <w:tc>
          <w:tcPr>
            <w:tcW w:w="1440" w:type="dxa"/>
            <w:vAlign w:val="bottom"/>
          </w:tcPr>
          <w:p>
            <w:pPr>
              <w:jc w:val="right"/>
              <w:ind w:right="50"/>
              <w:spacing w:after="0" w:line="169" w:lineRule="exact"/>
              <w:rPr>
                <w:sz w:val="20"/>
                <w:szCs w:val="20"/>
                <w:color w:val="auto"/>
              </w:rPr>
            </w:pPr>
            <w:r>
              <w:rPr>
                <w:rFonts w:ascii="Arial" w:cs="Arial" w:eastAsia="Arial" w:hAnsi="Arial"/>
                <w:sz w:val="18"/>
                <w:szCs w:val="18"/>
                <w:b w:val="1"/>
                <w:bCs w:val="1"/>
                <w:color w:val="auto"/>
              </w:rPr>
              <w:t>Pension</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Pr>
          <w:p>
            <w:pPr>
              <w:jc w:val="right"/>
              <w:spacing w:after="0" w:line="169" w:lineRule="exact"/>
              <w:rPr>
                <w:sz w:val="20"/>
                <w:szCs w:val="20"/>
                <w:color w:val="auto"/>
              </w:rPr>
            </w:pPr>
            <w:r>
              <w:rPr>
                <w:rFonts w:ascii="Arial" w:cs="Arial" w:eastAsia="Arial" w:hAnsi="Arial"/>
                <w:sz w:val="18"/>
                <w:szCs w:val="18"/>
                <w:b w:val="1"/>
                <w:bCs w:val="1"/>
                <w:color w:val="auto"/>
              </w:rPr>
              <w:t>Postretirement</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20" w:type="dxa"/>
            <w:vAlign w:val="bottom"/>
            <w:gridSpan w:val="2"/>
          </w:tcPr>
          <w:p>
            <w:pPr>
              <w:ind w:left="320"/>
              <w:spacing w:after="0" w:line="169" w:lineRule="exact"/>
              <w:rPr>
                <w:sz w:val="20"/>
                <w:szCs w:val="20"/>
                <w:color w:val="auto"/>
              </w:rPr>
            </w:pPr>
            <w:r>
              <w:rPr>
                <w:rFonts w:ascii="Arial" w:cs="Arial" w:eastAsia="Arial" w:hAnsi="Arial"/>
                <w:sz w:val="18"/>
                <w:szCs w:val="18"/>
                <w:b w:val="1"/>
                <w:bCs w:val="1"/>
                <w:color w:val="auto"/>
              </w:rPr>
              <w:t>Pension</w:t>
            </w:r>
          </w:p>
        </w:tc>
        <w:tc>
          <w:tcPr>
            <w:tcW w:w="240" w:type="dxa"/>
            <w:vAlign w:val="bottom"/>
          </w:tcPr>
          <w:p>
            <w:pPr>
              <w:spacing w:after="0"/>
              <w:rPr>
                <w:sz w:val="14"/>
                <w:szCs w:val="14"/>
                <w:color w:val="auto"/>
              </w:rPr>
            </w:pPr>
          </w:p>
        </w:tc>
        <w:tc>
          <w:tcPr>
            <w:tcW w:w="1660" w:type="dxa"/>
            <w:vAlign w:val="bottom"/>
          </w:tcPr>
          <w:p>
            <w:pPr>
              <w:ind w:left="80"/>
              <w:spacing w:after="0" w:line="169" w:lineRule="exact"/>
              <w:rPr>
                <w:sz w:val="20"/>
                <w:szCs w:val="20"/>
                <w:color w:val="auto"/>
              </w:rPr>
            </w:pPr>
            <w:r>
              <w:rPr>
                <w:rFonts w:ascii="Arial" w:cs="Arial" w:eastAsia="Arial" w:hAnsi="Arial"/>
                <w:sz w:val="18"/>
                <w:szCs w:val="18"/>
                <w:b w:val="1"/>
                <w:bCs w:val="1"/>
                <w:color w:val="auto"/>
              </w:rPr>
              <w:t>Postretirement</w:t>
            </w:r>
          </w:p>
        </w:tc>
        <w:tc>
          <w:tcPr>
            <w:tcW w:w="0" w:type="dxa"/>
            <w:vAlign w:val="bottom"/>
          </w:tcPr>
          <w:p>
            <w:pPr>
              <w:spacing w:after="0"/>
              <w:rPr>
                <w:sz w:val="1"/>
                <w:szCs w:val="1"/>
                <w:color w:val="auto"/>
              </w:rPr>
            </w:pPr>
          </w:p>
        </w:tc>
      </w:tr>
      <w:tr>
        <w:trPr>
          <w:trHeight w:val="243"/>
        </w:trPr>
        <w:tc>
          <w:tcPr>
            <w:tcW w:w="3340" w:type="dxa"/>
            <w:vAlign w:val="bottom"/>
          </w:tcPr>
          <w:p>
            <w:pPr>
              <w:spacing w:after="0"/>
              <w:rPr>
                <w:sz w:val="21"/>
                <w:szCs w:val="21"/>
                <w:color w:val="auto"/>
              </w:rPr>
            </w:pPr>
          </w:p>
        </w:tc>
        <w:tc>
          <w:tcPr>
            <w:tcW w:w="14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Benefit</w:t>
            </w:r>
          </w:p>
        </w:tc>
        <w:tc>
          <w:tcPr>
            <w:tcW w:w="4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Benefit</w:t>
            </w:r>
          </w:p>
        </w:tc>
        <w:tc>
          <w:tcPr>
            <w:tcW w:w="28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Benefit</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Benefit</w:t>
            </w:r>
          </w:p>
        </w:tc>
        <w:tc>
          <w:tcPr>
            <w:tcW w:w="0" w:type="dxa"/>
            <w:vAlign w:val="bottom"/>
          </w:tcPr>
          <w:p>
            <w:pPr>
              <w:spacing w:after="0"/>
              <w:rPr>
                <w:sz w:val="1"/>
                <w:szCs w:val="1"/>
                <w:color w:val="auto"/>
              </w:rPr>
            </w:pPr>
          </w:p>
        </w:tc>
      </w:tr>
      <w:tr>
        <w:trPr>
          <w:trHeight w:val="233"/>
        </w:trPr>
        <w:tc>
          <w:tcPr>
            <w:tcW w:w="33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160" w:type="dxa"/>
            <w:vAlign w:val="bottom"/>
            <w:gridSpan w:val="3"/>
          </w:tcPr>
          <w:p>
            <w:pPr>
              <w:jc w:val="center"/>
              <w:ind w:right="1070"/>
              <w:spacing w:after="0"/>
              <w:rPr>
                <w:sz w:val="20"/>
                <w:szCs w:val="20"/>
                <w:color w:val="auto"/>
              </w:rPr>
            </w:pPr>
            <w:r>
              <w:rPr>
                <w:rFonts w:ascii="Arial" w:cs="Arial" w:eastAsia="Arial" w:hAnsi="Arial"/>
                <w:sz w:val="14"/>
                <w:szCs w:val="14"/>
                <w:color w:val="auto"/>
              </w:rPr>
              <w:t>(in millions)</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20" w:type="dxa"/>
            <w:vAlign w:val="bottom"/>
            <w:gridSpan w:val="4"/>
          </w:tcPr>
          <w:p>
            <w:pPr>
              <w:jc w:val="center"/>
              <w:ind w:right="170"/>
              <w:spacing w:after="0"/>
              <w:rPr>
                <w:sz w:val="20"/>
                <w:szCs w:val="20"/>
                <w:color w:val="auto"/>
              </w:rPr>
            </w:pPr>
            <w:r>
              <w:rPr>
                <w:rFonts w:ascii="Arial" w:cs="Arial" w:eastAsia="Arial" w:hAnsi="Arial"/>
                <w:sz w:val="14"/>
                <w:szCs w:val="14"/>
                <w:color w:val="auto"/>
              </w:rPr>
              <w:t>(in millions)</w:t>
            </w:r>
          </w:p>
        </w:tc>
        <w:tc>
          <w:tcPr>
            <w:tcW w:w="0" w:type="dxa"/>
            <w:vAlign w:val="bottom"/>
          </w:tcPr>
          <w:p>
            <w:pPr>
              <w:spacing w:after="0"/>
              <w:rPr>
                <w:sz w:val="1"/>
                <w:szCs w:val="1"/>
                <w:color w:val="auto"/>
              </w:rPr>
            </w:pPr>
          </w:p>
        </w:tc>
      </w:tr>
      <w:tr>
        <w:trPr>
          <w:trHeight w:val="180"/>
        </w:trPr>
        <w:tc>
          <w:tcPr>
            <w:tcW w:w="3340" w:type="dxa"/>
            <w:vAlign w:val="bottom"/>
            <w:shd w:val="clear" w:color="auto" w:fill="CCEEFF"/>
          </w:tcPr>
          <w:p>
            <w:pPr>
              <w:ind w:left="20"/>
              <w:spacing w:after="0" w:line="180" w:lineRule="exact"/>
              <w:rPr>
                <w:sz w:val="20"/>
                <w:szCs w:val="20"/>
                <w:color w:val="auto"/>
              </w:rPr>
            </w:pPr>
            <w:r>
              <w:rPr>
                <w:rFonts w:ascii="Arial" w:cs="Arial" w:eastAsia="Arial" w:hAnsi="Arial"/>
                <w:sz w:val="18"/>
                <w:szCs w:val="18"/>
                <w:color w:val="auto"/>
              </w:rPr>
              <w:t>Service cost - benefits earned during the</w:t>
            </w:r>
          </w:p>
        </w:tc>
        <w:tc>
          <w:tcPr>
            <w:tcW w:w="1440" w:type="dxa"/>
            <w:vAlign w:val="bottom"/>
            <w:vMerge w:val="restart"/>
            <w:shd w:val="clear" w:color="auto" w:fill="CCEEFF"/>
          </w:tcPr>
          <w:p>
            <w:pPr>
              <w:jc w:val="right"/>
              <w:ind w:right="1230"/>
              <w:spacing w:after="0"/>
              <w:rPr>
                <w:sz w:val="20"/>
                <w:szCs w:val="20"/>
                <w:color w:val="auto"/>
              </w:rPr>
            </w:pPr>
            <w:r>
              <w:rPr>
                <w:rFonts w:ascii="Arial" w:cs="Arial" w:eastAsia="Arial" w:hAnsi="Arial"/>
                <w:sz w:val="18"/>
                <w:szCs w:val="18"/>
                <w:color w:val="auto"/>
                <w:w w:val="99"/>
              </w:rPr>
              <w:t>$</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5"/>
                <w:szCs w:val="15"/>
                <w:color w:val="auto"/>
              </w:rPr>
            </w:pPr>
          </w:p>
        </w:tc>
        <w:tc>
          <w:tcPr>
            <w:tcW w:w="1620" w:type="dxa"/>
            <w:vAlign w:val="bottom"/>
            <w:vMerge w:val="restart"/>
            <w:shd w:val="clear" w:color="auto" w:fill="CCEEFF"/>
          </w:tcPr>
          <w:p>
            <w:pPr>
              <w:jc w:val="right"/>
              <w:ind w:right="1410"/>
              <w:spacing w:after="0"/>
              <w:rPr>
                <w:sz w:val="20"/>
                <w:szCs w:val="20"/>
                <w:color w:val="auto"/>
              </w:rPr>
            </w:pPr>
            <w:r>
              <w:rPr>
                <w:rFonts w:ascii="Arial" w:cs="Arial" w:eastAsia="Arial" w:hAnsi="Arial"/>
                <w:sz w:val="18"/>
                <w:szCs w:val="18"/>
                <w:color w:val="auto"/>
                <w:w w:val="99"/>
              </w:rPr>
              <w:t>$</w:t>
            </w: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20" w:type="dxa"/>
            <w:vAlign w:val="bottom"/>
            <w:gridSpan w:val="2"/>
            <w:vMerge w:val="restart"/>
            <w:shd w:val="clear" w:color="auto" w:fill="CCEEFF"/>
          </w:tcPr>
          <w:p>
            <w:pPr>
              <w:ind w:left="1360"/>
              <w:spacing w:after="0"/>
              <w:rPr>
                <w:sz w:val="20"/>
                <w:szCs w:val="20"/>
                <w:color w:val="auto"/>
              </w:rPr>
            </w:pPr>
            <w:r>
              <w:rPr>
                <w:rFonts w:ascii="Arial" w:cs="Arial" w:eastAsia="Arial" w:hAnsi="Arial"/>
                <w:sz w:val="18"/>
                <w:szCs w:val="18"/>
                <w:color w:val="auto"/>
              </w:rPr>
              <w:t>—</w:t>
            </w: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60" w:type="dxa"/>
            <w:vAlign w:val="bottom"/>
            <w:vMerge w:val="restart"/>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period</w:t>
            </w:r>
          </w:p>
        </w:tc>
        <w:tc>
          <w:tcPr>
            <w:tcW w:w="1440" w:type="dxa"/>
            <w:vAlign w:val="bottom"/>
            <w:vMerge w:val="continue"/>
            <w:shd w:val="clear" w:color="auto" w:fill="CCEEFF"/>
          </w:tcPr>
          <w:p>
            <w:pPr>
              <w:spacing w:after="0"/>
              <w:rPr>
                <w:sz w:val="21"/>
                <w:szCs w:val="21"/>
                <w:color w:val="auto"/>
              </w:rPr>
            </w:pPr>
          </w:p>
        </w:tc>
        <w:tc>
          <w:tcPr>
            <w:tcW w:w="4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20" w:type="dxa"/>
            <w:vAlign w:val="bottom"/>
            <w:vMerge w:val="continue"/>
            <w:shd w:val="clear" w:color="auto" w:fill="CCEEFF"/>
          </w:tcPr>
          <w:p>
            <w:pPr>
              <w:spacing w:after="0"/>
              <w:rPr>
                <w:sz w:val="21"/>
                <w:szCs w:val="21"/>
                <w:color w:val="auto"/>
              </w:rPr>
            </w:pPr>
          </w:p>
        </w:tc>
        <w:tc>
          <w:tcPr>
            <w:tcW w:w="28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60" w:type="dxa"/>
            <w:vAlign w:val="bottom"/>
            <w:vMerge w:val="continue"/>
            <w:shd w:val="clear" w:color="auto" w:fill="CCEEFF"/>
          </w:tcPr>
          <w:p>
            <w:pPr>
              <w:spacing w:after="0"/>
              <w:rPr>
                <w:sz w:val="21"/>
                <w:szCs w:val="21"/>
                <w:color w:val="auto"/>
              </w:rPr>
            </w:pPr>
          </w:p>
        </w:tc>
        <w:tc>
          <w:tcPr>
            <w:tcW w:w="1720" w:type="dxa"/>
            <w:vAlign w:val="bottom"/>
            <w:gridSpan w:val="2"/>
            <w:vMerge w:val="continue"/>
            <w:shd w:val="clear" w:color="auto" w:fill="CCEEFF"/>
          </w:tcPr>
          <w:p>
            <w:pPr>
              <w:spacing w:after="0"/>
              <w:rPr>
                <w:sz w:val="21"/>
                <w:szCs w:val="21"/>
                <w:color w:val="auto"/>
              </w:rPr>
            </w:pPr>
          </w:p>
        </w:tc>
        <w:tc>
          <w:tcPr>
            <w:tcW w:w="240" w:type="dxa"/>
            <w:vAlign w:val="bottom"/>
            <w:vMerge w:val="continue"/>
            <w:shd w:val="clear" w:color="auto" w:fill="CCEEFF"/>
          </w:tcPr>
          <w:p>
            <w:pPr>
              <w:spacing w:after="0"/>
              <w:rPr>
                <w:sz w:val="21"/>
                <w:szCs w:val="21"/>
                <w:color w:val="auto"/>
              </w:rPr>
            </w:pPr>
          </w:p>
        </w:tc>
        <w:tc>
          <w:tcPr>
            <w:tcW w:w="16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3340" w:type="dxa"/>
            <w:vAlign w:val="bottom"/>
          </w:tcPr>
          <w:p>
            <w:pPr>
              <w:ind w:left="20"/>
              <w:spacing w:after="0" w:line="176" w:lineRule="exact"/>
              <w:rPr>
                <w:sz w:val="20"/>
                <w:szCs w:val="20"/>
                <w:color w:val="auto"/>
              </w:rPr>
            </w:pPr>
            <w:r>
              <w:rPr>
                <w:rFonts w:ascii="Arial" w:cs="Arial" w:eastAsia="Arial" w:hAnsi="Arial"/>
                <w:sz w:val="18"/>
                <w:szCs w:val="18"/>
                <w:color w:val="auto"/>
              </w:rPr>
              <w:t>Interest cost on projected benefit</w:t>
            </w:r>
          </w:p>
        </w:tc>
        <w:tc>
          <w:tcPr>
            <w:tcW w:w="1440" w:type="dxa"/>
            <w:vAlign w:val="bottom"/>
          </w:tcPr>
          <w:p>
            <w:pPr>
              <w:spacing w:after="0"/>
              <w:rPr>
                <w:sz w:val="15"/>
                <w:szCs w:val="15"/>
                <w:color w:val="auto"/>
              </w:rPr>
            </w:pP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8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20" w:type="dxa"/>
            <w:vAlign w:val="bottom"/>
            <w:gridSpan w:val="2"/>
            <w:vMerge w:val="restart"/>
          </w:tcPr>
          <w:p>
            <w:pPr>
              <w:ind w:left="1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1660" w:type="dxa"/>
            <w:vAlign w:val="bottom"/>
            <w:vMerge w:val="restart"/>
          </w:tcPr>
          <w:p>
            <w:pPr>
              <w:ind w:left="1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40" w:type="dxa"/>
            <w:vAlign w:val="bottom"/>
          </w:tcPr>
          <w:p>
            <w:pPr>
              <w:ind w:left="20"/>
              <w:spacing w:after="0"/>
              <w:rPr>
                <w:sz w:val="20"/>
                <w:szCs w:val="20"/>
                <w:color w:val="auto"/>
              </w:rPr>
            </w:pPr>
            <w:r>
              <w:rPr>
                <w:rFonts w:ascii="Arial" w:cs="Arial" w:eastAsia="Arial" w:hAnsi="Arial"/>
                <w:sz w:val="18"/>
                <w:szCs w:val="18"/>
                <w:color w:val="auto"/>
              </w:rPr>
              <w:t>obligation</w:t>
            </w:r>
          </w:p>
        </w:tc>
        <w:tc>
          <w:tcPr>
            <w:tcW w:w="1440" w:type="dxa"/>
            <w:vAlign w:val="bottom"/>
          </w:tcPr>
          <w:p>
            <w:pPr>
              <w:spacing w:after="0"/>
              <w:rPr>
                <w:sz w:val="21"/>
                <w:szCs w:val="21"/>
                <w:color w:val="auto"/>
              </w:rPr>
            </w:pPr>
          </w:p>
        </w:tc>
        <w:tc>
          <w:tcPr>
            <w:tcW w:w="4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8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20" w:type="dxa"/>
            <w:vAlign w:val="bottom"/>
            <w:gridSpan w:val="2"/>
            <w:vMerge w:val="continue"/>
          </w:tcPr>
          <w:p>
            <w:pPr>
              <w:spacing w:after="0"/>
              <w:rPr>
                <w:sz w:val="21"/>
                <w:szCs w:val="21"/>
                <w:color w:val="auto"/>
              </w:rPr>
            </w:pPr>
          </w:p>
        </w:tc>
        <w:tc>
          <w:tcPr>
            <w:tcW w:w="240" w:type="dxa"/>
            <w:vAlign w:val="bottom"/>
          </w:tcPr>
          <w:p>
            <w:pPr>
              <w:spacing w:after="0"/>
              <w:rPr>
                <w:sz w:val="21"/>
                <w:szCs w:val="21"/>
                <w:color w:val="auto"/>
              </w:rPr>
            </w:pPr>
          </w:p>
        </w:tc>
        <w:tc>
          <w:tcPr>
            <w:tcW w:w="16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14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ind w:left="1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340" w:type="dxa"/>
            <w:vAlign w:val="bottom"/>
          </w:tcPr>
          <w:p>
            <w:pPr>
              <w:ind w:left="20"/>
              <w:spacing w:after="0"/>
              <w:rPr>
                <w:sz w:val="20"/>
                <w:szCs w:val="20"/>
                <w:color w:val="auto"/>
              </w:rPr>
            </w:pPr>
            <w:r>
              <w:rPr>
                <w:rFonts w:ascii="Arial" w:cs="Arial" w:eastAsia="Arial" w:hAnsi="Arial"/>
                <w:sz w:val="18"/>
                <w:szCs w:val="18"/>
                <w:color w:val="auto"/>
              </w:rPr>
              <w:t>Curtailment gain</w:t>
            </w:r>
          </w:p>
        </w:tc>
        <w:tc>
          <w:tcPr>
            <w:tcW w:w="144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tcPr>
          <w:p>
            <w:pPr>
              <w:ind w:left="1420"/>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special termination benefits</w:t>
            </w:r>
          </w:p>
        </w:tc>
        <w:tc>
          <w:tcPr>
            <w:tcW w:w="144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ind w:left="1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340" w:type="dxa"/>
            <w:vAlign w:val="bottom"/>
          </w:tcPr>
          <w:p>
            <w:pPr>
              <w:ind w:left="20"/>
              <w:spacing w:after="0"/>
              <w:rPr>
                <w:sz w:val="20"/>
                <w:szCs w:val="20"/>
                <w:color w:val="auto"/>
              </w:rPr>
            </w:pPr>
            <w:r>
              <w:rPr>
                <w:rFonts w:ascii="Arial" w:cs="Arial" w:eastAsia="Arial" w:hAnsi="Arial"/>
                <w:sz w:val="18"/>
                <w:szCs w:val="18"/>
                <w:color w:val="auto"/>
              </w:rPr>
              <w:t>Amortization of prior service cost credit</w:t>
            </w:r>
          </w:p>
        </w:tc>
        <w:tc>
          <w:tcPr>
            <w:tcW w:w="144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gridSpan w:val="2"/>
          </w:tcPr>
          <w:p>
            <w:pPr>
              <w:ind w:left="1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60" w:type="dxa"/>
            <w:vAlign w:val="bottom"/>
          </w:tcPr>
          <w:p>
            <w:pPr>
              <w:ind w:left="1420"/>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48"/>
        </w:trPr>
        <w:tc>
          <w:tcPr>
            <w:tcW w:w="3340" w:type="dxa"/>
            <w:vAlign w:val="bottom"/>
            <w:tcBorders>
              <w:top w:val="single" w:sz="8" w:color="CCEEFF"/>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Net periodic benefit costs</w:t>
            </w:r>
          </w:p>
        </w:tc>
        <w:tc>
          <w:tcPr>
            <w:tcW w:w="1440" w:type="dxa"/>
            <w:vAlign w:val="bottom"/>
            <w:tcBorders>
              <w:top w:val="single" w:sz="8" w:color="auto"/>
              <w:bottom w:val="single" w:sz="8" w:color="auto"/>
            </w:tcBorders>
            <w:shd w:val="clear" w:color="auto" w:fill="CCEEFF"/>
          </w:tcPr>
          <w:p>
            <w:pPr>
              <w:jc w:val="right"/>
              <w:ind w:right="1230"/>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20" w:type="dxa"/>
            <w:vAlign w:val="bottom"/>
            <w:tcBorders>
              <w:top w:val="single" w:sz="8" w:color="auto"/>
              <w:bottom w:val="single" w:sz="8" w:color="auto"/>
            </w:tcBorders>
            <w:shd w:val="clear" w:color="auto" w:fill="CCEEFF"/>
          </w:tcPr>
          <w:p>
            <w:pPr>
              <w:jc w:val="right"/>
              <w:ind w:right="1410"/>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shd w:val="clear" w:color="auto" w:fill="CCEEFF"/>
          </w:tcPr>
          <w:p>
            <w:pPr>
              <w:ind w:left="136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auto"/>
            </w:tcBorders>
            <w:shd w:val="clear" w:color="auto" w:fill="CCEEFF"/>
          </w:tcPr>
          <w:p>
            <w:pPr>
              <w:ind w:left="1420"/>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8" w:name="page29"/>
    <w:bookmarkEnd w:id="28"/>
    <w:p>
      <w:pPr>
        <w:ind w:left="3800"/>
        <w:spacing w:after="0"/>
        <w:rPr>
          <w:sz w:val="20"/>
          <w:szCs w:val="20"/>
          <w:color w:val="auto"/>
        </w:rPr>
      </w:pPr>
      <w:r>
        <w:rPr>
          <w:rFonts w:ascii="Arial" w:cs="Arial" w:eastAsia="Arial" w:hAnsi="Arial"/>
          <w:sz w:val="18"/>
          <w:szCs w:val="18"/>
          <w:b w:val="1"/>
          <w:bCs w:val="1"/>
          <w:color w:val="auto"/>
        </w:rPr>
        <w:t>Nine months ended September 30,</w:t>
      </w:r>
    </w:p>
    <w:p>
      <w:pPr>
        <w:spacing w:after="0" w:line="28" w:lineRule="exact"/>
        <w:rPr>
          <w:sz w:val="20"/>
          <w:szCs w:val="20"/>
          <w:color w:val="auto"/>
        </w:rPr>
      </w:pPr>
    </w:p>
    <w:tbl>
      <w:tblPr>
        <w:tblLayout w:type="fixed"/>
        <w:tblInd w:w="3340" w:type="dxa"/>
        <w:tblCellMar>
          <w:top w:w="0" w:type="dxa"/>
          <w:left w:w="0" w:type="dxa"/>
          <w:bottom w:w="0" w:type="dxa"/>
          <w:right w:w="0" w:type="dxa"/>
        </w:tblCellMar>
      </w:tblPr>
      <w:tr>
        <w:trPr>
          <w:trHeight w:val="223"/>
        </w:trPr>
        <w:tc>
          <w:tcPr>
            <w:tcW w:w="1440" w:type="dxa"/>
            <w:vAlign w:val="bottom"/>
            <w:tcBorders>
              <w:top w:val="single" w:sz="8" w:color="auto"/>
              <w:bottom w:val="single" w:sz="8" w:color="auto"/>
            </w:tcBorders>
          </w:tcPr>
          <w:p>
            <w:pPr>
              <w:spacing w:after="0"/>
              <w:rPr>
                <w:sz w:val="19"/>
                <w:szCs w:val="19"/>
                <w:color w:val="auto"/>
              </w:rPr>
            </w:pPr>
          </w:p>
        </w:tc>
        <w:tc>
          <w:tcPr>
            <w:tcW w:w="2440" w:type="dxa"/>
            <w:vAlign w:val="bottom"/>
            <w:tcBorders>
              <w:top w:val="single" w:sz="8" w:color="auto"/>
              <w:bottom w:val="single" w:sz="8" w:color="auto"/>
            </w:tcBorders>
            <w:gridSpan w:val="3"/>
          </w:tcPr>
          <w:p>
            <w:pPr>
              <w:jc w:val="right"/>
              <w:ind w:right="1650"/>
              <w:spacing w:after="0"/>
              <w:rPr>
                <w:sz w:val="20"/>
                <w:szCs w:val="20"/>
                <w:color w:val="auto"/>
              </w:rPr>
            </w:pPr>
            <w:r>
              <w:rPr>
                <w:rFonts w:ascii="Arial" w:cs="Arial" w:eastAsia="Arial" w:hAnsi="Arial"/>
                <w:sz w:val="18"/>
                <w:szCs w:val="18"/>
                <w:b w:val="1"/>
                <w:bCs w:val="1"/>
                <w:color w:val="auto"/>
              </w:rPr>
              <w:t>2024</w:t>
            </w:r>
          </w:p>
        </w:tc>
      </w:tr>
      <w:tr>
        <w:trPr>
          <w:trHeight w:val="169"/>
        </w:trPr>
        <w:tc>
          <w:tcPr>
            <w:tcW w:w="1440" w:type="dxa"/>
            <w:vAlign w:val="bottom"/>
          </w:tcPr>
          <w:p>
            <w:pPr>
              <w:jc w:val="center"/>
              <w:ind w:left="370"/>
              <w:spacing w:after="0" w:line="169" w:lineRule="exact"/>
              <w:rPr>
                <w:sz w:val="20"/>
                <w:szCs w:val="20"/>
                <w:color w:val="auto"/>
              </w:rPr>
            </w:pPr>
            <w:r>
              <w:rPr>
                <w:rFonts w:ascii="Arial" w:cs="Arial" w:eastAsia="Arial" w:hAnsi="Arial"/>
                <w:sz w:val="18"/>
                <w:szCs w:val="18"/>
                <w:b w:val="1"/>
                <w:bCs w:val="1"/>
                <w:color w:val="auto"/>
                <w:w w:val="99"/>
              </w:rPr>
              <w:t>Pension</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w w:val="99"/>
              </w:rPr>
              <w:t>Postretirement</w:t>
            </w:r>
          </w:p>
        </w:tc>
      </w:tr>
      <w:tr>
        <w:trPr>
          <w:trHeight w:val="243"/>
        </w:trPr>
        <w:tc>
          <w:tcPr>
            <w:tcW w:w="1440" w:type="dxa"/>
            <w:vAlign w:val="bottom"/>
            <w:tcBorders>
              <w:bottom w:val="single" w:sz="8" w:color="auto"/>
            </w:tcBorders>
          </w:tcPr>
          <w:p>
            <w:pPr>
              <w:jc w:val="center"/>
              <w:ind w:left="350"/>
              <w:spacing w:after="0"/>
              <w:rPr>
                <w:sz w:val="20"/>
                <w:szCs w:val="20"/>
                <w:color w:val="auto"/>
              </w:rPr>
            </w:pPr>
            <w:r>
              <w:rPr>
                <w:rFonts w:ascii="Arial" w:cs="Arial" w:eastAsia="Arial" w:hAnsi="Arial"/>
                <w:sz w:val="18"/>
                <w:szCs w:val="18"/>
                <w:b w:val="1"/>
                <w:bCs w:val="1"/>
                <w:color w:val="auto"/>
                <w:w w:val="98"/>
              </w:rPr>
              <w:t>Benefit</w:t>
            </w:r>
          </w:p>
        </w:tc>
        <w:tc>
          <w:tcPr>
            <w:tcW w:w="4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Benefit</w:t>
            </w:r>
          </w:p>
        </w:tc>
      </w:tr>
      <w:tr>
        <w:trPr>
          <w:trHeight w:val="228"/>
        </w:trPr>
        <w:tc>
          <w:tcPr>
            <w:tcW w:w="1440" w:type="dxa"/>
            <w:vAlign w:val="bottom"/>
          </w:tcPr>
          <w:p>
            <w:pPr>
              <w:spacing w:after="0"/>
              <w:rPr>
                <w:sz w:val="19"/>
                <w:szCs w:val="19"/>
                <w:color w:val="auto"/>
              </w:rPr>
            </w:pPr>
          </w:p>
        </w:tc>
        <w:tc>
          <w:tcPr>
            <w:tcW w:w="2440" w:type="dxa"/>
            <w:vAlign w:val="bottom"/>
            <w:gridSpan w:val="3"/>
          </w:tcPr>
          <w:p>
            <w:pPr>
              <w:jc w:val="center"/>
              <w:ind w:right="1350"/>
              <w:spacing w:after="0"/>
              <w:rPr>
                <w:sz w:val="20"/>
                <w:szCs w:val="20"/>
                <w:color w:val="auto"/>
              </w:rPr>
            </w:pPr>
            <w:r>
              <w:rPr>
                <w:rFonts w:ascii="Arial" w:cs="Arial" w:eastAsia="Arial" w:hAnsi="Arial"/>
                <w:sz w:val="14"/>
                <w:szCs w:val="14"/>
                <w:color w:val="auto"/>
              </w:rPr>
              <w:t>(in millions)</w:t>
            </w:r>
          </w:p>
        </w:tc>
      </w:tr>
    </w:tbl>
    <w:p>
      <w:pPr>
        <w:spacing w:after="0" w:line="20" w:lineRule="exact"/>
        <w:rPr>
          <w:sz w:val="20"/>
          <w:szCs w:val="20"/>
          <w:color w:val="auto"/>
        </w:rPr>
      </w:pPr>
      <w:r>
        <w:rPr>
          <w:sz w:val="20"/>
          <w:szCs w:val="20"/>
          <w:color w:val="auto"/>
        </w:rPr>
        <w:br w:type="column"/>
      </w:r>
    </w:p>
    <w:p>
      <w:pPr>
        <w:ind w:left="460"/>
        <w:spacing w:after="0"/>
        <w:rPr>
          <w:sz w:val="20"/>
          <w:szCs w:val="20"/>
          <w:color w:val="auto"/>
        </w:rPr>
      </w:pPr>
      <w:r>
        <w:rPr>
          <w:rFonts w:ascii="Arial" w:cs="Arial" w:eastAsia="Arial" w:hAnsi="Arial"/>
          <w:sz w:val="18"/>
          <w:szCs w:val="18"/>
          <w:b w:val="1"/>
          <w:bCs w:val="1"/>
          <w:color w:val="auto"/>
        </w:rPr>
        <w:t>Nine months ended September 30,</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420" w:type="dxa"/>
            <w:vAlign w:val="bottom"/>
            <w:tcBorders>
              <w:top w:val="single" w:sz="8" w:color="auto"/>
              <w:bottom w:val="single" w:sz="8" w:color="auto"/>
            </w:tcBorders>
          </w:tcPr>
          <w:p>
            <w:pPr>
              <w:spacing w:after="0"/>
              <w:rPr>
                <w:sz w:val="19"/>
                <w:szCs w:val="19"/>
                <w:color w:val="auto"/>
              </w:rPr>
            </w:pPr>
          </w:p>
        </w:tc>
        <w:tc>
          <w:tcPr>
            <w:tcW w:w="2460" w:type="dxa"/>
            <w:vAlign w:val="bottom"/>
            <w:tcBorders>
              <w:top w:val="single" w:sz="8" w:color="auto"/>
              <w:bottom w:val="single" w:sz="8" w:color="auto"/>
            </w:tcBorders>
            <w:gridSpan w:val="3"/>
          </w:tcPr>
          <w:p>
            <w:pPr>
              <w:jc w:val="right"/>
              <w:ind w:right="1650"/>
              <w:spacing w:after="0"/>
              <w:rPr>
                <w:sz w:val="20"/>
                <w:szCs w:val="20"/>
                <w:color w:val="auto"/>
              </w:rPr>
            </w:pPr>
            <w:r>
              <w:rPr>
                <w:rFonts w:ascii="Arial" w:cs="Arial" w:eastAsia="Arial" w:hAnsi="Arial"/>
                <w:sz w:val="18"/>
                <w:szCs w:val="18"/>
                <w:b w:val="1"/>
                <w:bCs w:val="1"/>
                <w:color w:val="auto"/>
              </w:rPr>
              <w:t>2023</w:t>
            </w:r>
          </w:p>
        </w:tc>
      </w:tr>
      <w:tr>
        <w:trPr>
          <w:trHeight w:val="169"/>
        </w:trPr>
        <w:tc>
          <w:tcPr>
            <w:tcW w:w="1420" w:type="dxa"/>
            <w:vAlign w:val="bottom"/>
          </w:tcPr>
          <w:p>
            <w:pPr>
              <w:jc w:val="center"/>
              <w:ind w:left="350"/>
              <w:spacing w:after="0" w:line="169" w:lineRule="exact"/>
              <w:rPr>
                <w:sz w:val="20"/>
                <w:szCs w:val="20"/>
                <w:color w:val="auto"/>
              </w:rPr>
            </w:pPr>
            <w:r>
              <w:rPr>
                <w:rFonts w:ascii="Arial" w:cs="Arial" w:eastAsia="Arial" w:hAnsi="Arial"/>
                <w:sz w:val="18"/>
                <w:szCs w:val="18"/>
                <w:b w:val="1"/>
                <w:bCs w:val="1"/>
                <w:color w:val="auto"/>
                <w:w w:val="99"/>
              </w:rPr>
              <w:t>Pension</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w w:val="99"/>
              </w:rPr>
              <w:t>Postretirement</w:t>
            </w:r>
          </w:p>
        </w:tc>
      </w:tr>
      <w:tr>
        <w:trPr>
          <w:trHeight w:val="243"/>
        </w:trPr>
        <w:tc>
          <w:tcPr>
            <w:tcW w:w="1420" w:type="dxa"/>
            <w:vAlign w:val="bottom"/>
            <w:tcBorders>
              <w:bottom w:val="single" w:sz="8" w:color="auto"/>
            </w:tcBorders>
          </w:tcPr>
          <w:p>
            <w:pPr>
              <w:jc w:val="center"/>
              <w:ind w:left="350"/>
              <w:spacing w:after="0"/>
              <w:rPr>
                <w:sz w:val="20"/>
                <w:szCs w:val="20"/>
                <w:color w:val="auto"/>
              </w:rPr>
            </w:pPr>
            <w:r>
              <w:rPr>
                <w:rFonts w:ascii="Arial" w:cs="Arial" w:eastAsia="Arial" w:hAnsi="Arial"/>
                <w:sz w:val="18"/>
                <w:szCs w:val="18"/>
                <w:b w:val="1"/>
                <w:bCs w:val="1"/>
                <w:color w:val="auto"/>
              </w:rPr>
              <w:t>Benefit</w:t>
            </w:r>
          </w:p>
        </w:tc>
        <w:tc>
          <w:tcPr>
            <w:tcW w:w="4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Benefit</w:t>
            </w:r>
          </w:p>
        </w:tc>
      </w:tr>
      <w:tr>
        <w:trPr>
          <w:trHeight w:val="228"/>
        </w:trPr>
        <w:tc>
          <w:tcPr>
            <w:tcW w:w="1420" w:type="dxa"/>
            <w:vAlign w:val="bottom"/>
          </w:tcPr>
          <w:p>
            <w:pPr>
              <w:spacing w:after="0"/>
              <w:rPr>
                <w:sz w:val="19"/>
                <w:szCs w:val="19"/>
                <w:color w:val="auto"/>
              </w:rPr>
            </w:pPr>
          </w:p>
        </w:tc>
        <w:tc>
          <w:tcPr>
            <w:tcW w:w="2460" w:type="dxa"/>
            <w:vAlign w:val="bottom"/>
            <w:gridSpan w:val="3"/>
          </w:tcPr>
          <w:p>
            <w:pPr>
              <w:jc w:val="center"/>
              <w:ind w:right="1330"/>
              <w:spacing w:after="0"/>
              <w:rPr>
                <w:sz w:val="20"/>
                <w:szCs w:val="20"/>
                <w:color w:val="auto"/>
              </w:rPr>
            </w:pPr>
            <w:r>
              <w:rPr>
                <w:rFonts w:ascii="Arial" w:cs="Arial" w:eastAsia="Arial" w:hAnsi="Arial"/>
                <w:sz w:val="14"/>
                <w:szCs w:val="14"/>
                <w:color w:val="auto"/>
              </w:rPr>
              <w:t>(in millions)</w:t>
            </w:r>
          </w:p>
        </w:tc>
      </w:tr>
    </w:tbl>
    <w:p>
      <w:pPr>
        <w:spacing w:after="0" w:line="1" w:lineRule="exact"/>
        <w:rPr>
          <w:sz w:val="20"/>
          <w:szCs w:val="20"/>
          <w:color w:val="auto"/>
        </w:rPr>
      </w:pPr>
    </w:p>
    <w:p>
      <w:pPr>
        <w:sectPr>
          <w:pgSz w:w="11900" w:h="16838" w:orient="portrait"/>
          <w:cols w:equalWidth="0" w:num="2">
            <w:col w:w="7220" w:space="140"/>
            <w:col w:w="3880"/>
          </w:cols>
          <w:pgMar w:left="320" w:top="1025" w:right="339" w:bottom="1440" w:gutter="0" w:footer="0" w:header="0"/>
        </w:sectPr>
      </w:pPr>
    </w:p>
    <w:tbl>
      <w:tblPr>
        <w:tblLayout w:type="fixed"/>
        <w:tblInd w:w="0" w:type="dxa"/>
        <w:tblCellMar>
          <w:top w:w="0" w:type="dxa"/>
          <w:left w:w="0" w:type="dxa"/>
          <w:bottom w:w="0" w:type="dxa"/>
          <w:right w:w="0" w:type="dxa"/>
        </w:tblCellMar>
      </w:tblPr>
      <w:tr>
        <w:trPr>
          <w:trHeight w:val="184"/>
        </w:trPr>
        <w:tc>
          <w:tcPr>
            <w:tcW w:w="334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Service cost - benefits earned during the</w:t>
            </w:r>
          </w:p>
        </w:tc>
        <w:tc>
          <w:tcPr>
            <w:tcW w:w="880" w:type="dxa"/>
            <w:vAlign w:val="bottom"/>
            <w:vMerge w:val="restart"/>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center"/>
              <w:ind w:left="670"/>
              <w:spacing w:after="0"/>
              <w:rPr>
                <w:sz w:val="20"/>
                <w:szCs w:val="20"/>
                <w:color w:val="auto"/>
              </w:rPr>
            </w:pPr>
            <w:r>
              <w:rPr>
                <w:rFonts w:ascii="Arial" w:cs="Arial" w:eastAsia="Arial" w:hAnsi="Arial"/>
                <w:sz w:val="18"/>
                <w:szCs w:val="18"/>
                <w:color w:val="auto"/>
                <w:w w:val="99"/>
              </w:rPr>
              <w:t>2</w:t>
            </w:r>
          </w:p>
        </w:tc>
        <w:tc>
          <w:tcPr>
            <w:tcW w:w="14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1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vMerge w:val="restart"/>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period</w:t>
            </w:r>
          </w:p>
        </w:tc>
        <w:tc>
          <w:tcPr>
            <w:tcW w:w="880" w:type="dxa"/>
            <w:vAlign w:val="bottom"/>
            <w:vMerge w:val="continue"/>
            <w:shd w:val="clear" w:color="auto" w:fill="CCEEFF"/>
          </w:tcPr>
          <w:p>
            <w:pPr>
              <w:spacing w:after="0"/>
              <w:rPr>
                <w:sz w:val="21"/>
                <w:szCs w:val="21"/>
                <w:color w:val="auto"/>
              </w:rPr>
            </w:pPr>
          </w:p>
        </w:tc>
        <w:tc>
          <w:tcPr>
            <w:tcW w:w="10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vMerge w:val="continue"/>
            <w:shd w:val="clear" w:color="auto" w:fill="CCEEFF"/>
          </w:tcPr>
          <w:p>
            <w:pPr>
              <w:spacing w:after="0"/>
              <w:rPr>
                <w:sz w:val="21"/>
                <w:szCs w:val="21"/>
                <w:color w:val="auto"/>
              </w:rPr>
            </w:pPr>
          </w:p>
        </w:tc>
        <w:tc>
          <w:tcPr>
            <w:tcW w:w="102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vMerge w:val="continue"/>
            <w:shd w:val="clear" w:color="auto" w:fill="CCEEFF"/>
          </w:tcPr>
          <w:p>
            <w:pPr>
              <w:spacing w:after="0"/>
              <w:rPr>
                <w:sz w:val="21"/>
                <w:szCs w:val="21"/>
                <w:color w:val="auto"/>
              </w:rPr>
            </w:pPr>
          </w:p>
        </w:tc>
        <w:tc>
          <w:tcPr>
            <w:tcW w:w="1120" w:type="dxa"/>
            <w:vAlign w:val="bottom"/>
            <w:gridSpan w:val="2"/>
            <w:vMerge w:val="continue"/>
            <w:shd w:val="clear" w:color="auto" w:fill="CCEEFF"/>
          </w:tcPr>
          <w:p>
            <w:pPr>
              <w:spacing w:after="0"/>
              <w:rPr>
                <w:sz w:val="21"/>
                <w:szCs w:val="21"/>
                <w:color w:val="auto"/>
              </w:rPr>
            </w:pPr>
          </w:p>
        </w:tc>
        <w:tc>
          <w:tcPr>
            <w:tcW w:w="880" w:type="dxa"/>
            <w:vAlign w:val="bottom"/>
            <w:vMerge w:val="continue"/>
            <w:shd w:val="clear" w:color="auto" w:fill="CCEEFF"/>
          </w:tcPr>
          <w:p>
            <w:pPr>
              <w:spacing w:after="0"/>
              <w:rPr>
                <w:sz w:val="21"/>
                <w:szCs w:val="21"/>
                <w:color w:val="auto"/>
              </w:rPr>
            </w:pPr>
          </w:p>
        </w:tc>
        <w:tc>
          <w:tcPr>
            <w:tcW w:w="10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3340" w:type="dxa"/>
            <w:vAlign w:val="bottom"/>
          </w:tcPr>
          <w:p>
            <w:pPr>
              <w:ind w:left="20"/>
              <w:spacing w:after="0" w:line="176" w:lineRule="exact"/>
              <w:rPr>
                <w:sz w:val="20"/>
                <w:szCs w:val="20"/>
                <w:color w:val="auto"/>
              </w:rPr>
            </w:pPr>
            <w:r>
              <w:rPr>
                <w:rFonts w:ascii="Arial" w:cs="Arial" w:eastAsia="Arial" w:hAnsi="Arial"/>
                <w:sz w:val="18"/>
                <w:szCs w:val="18"/>
                <w:color w:val="auto"/>
              </w:rPr>
              <w:t>Interest cost on projected benefit</w:t>
            </w:r>
          </w:p>
        </w:tc>
        <w:tc>
          <w:tcPr>
            <w:tcW w:w="88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20" w:type="dxa"/>
            <w:vAlign w:val="bottom"/>
            <w:vMerge w:val="restart"/>
          </w:tcPr>
          <w:p>
            <w:pPr>
              <w:jc w:val="center"/>
              <w:ind w:left="670"/>
              <w:spacing w:after="0"/>
              <w:rPr>
                <w:sz w:val="20"/>
                <w:szCs w:val="20"/>
                <w:color w:val="auto"/>
              </w:rPr>
            </w:pPr>
            <w:r>
              <w:rPr>
                <w:rFonts w:ascii="Arial" w:cs="Arial" w:eastAsia="Arial" w:hAnsi="Arial"/>
                <w:sz w:val="18"/>
                <w:szCs w:val="18"/>
                <w:color w:val="auto"/>
                <w:w w:val="99"/>
              </w:rPr>
              <w:t>2</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3340" w:type="dxa"/>
            <w:vAlign w:val="bottom"/>
          </w:tcPr>
          <w:p>
            <w:pPr>
              <w:ind w:left="20"/>
              <w:spacing w:after="0"/>
              <w:rPr>
                <w:sz w:val="20"/>
                <w:szCs w:val="20"/>
                <w:color w:val="auto"/>
              </w:rPr>
            </w:pPr>
            <w:r>
              <w:rPr>
                <w:rFonts w:ascii="Arial" w:cs="Arial" w:eastAsia="Arial" w:hAnsi="Arial"/>
                <w:sz w:val="18"/>
                <w:szCs w:val="18"/>
                <w:color w:val="auto"/>
              </w:rPr>
              <w:t>obligation</w:t>
            </w:r>
          </w:p>
        </w:tc>
        <w:tc>
          <w:tcPr>
            <w:tcW w:w="880" w:type="dxa"/>
            <w:vAlign w:val="bottom"/>
          </w:tcPr>
          <w:p>
            <w:pPr>
              <w:spacing w:after="0"/>
              <w:rPr>
                <w:sz w:val="21"/>
                <w:szCs w:val="21"/>
                <w:color w:val="auto"/>
              </w:rPr>
            </w:pPr>
          </w:p>
        </w:tc>
        <w:tc>
          <w:tcPr>
            <w:tcW w:w="10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8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20" w:type="dxa"/>
            <w:vAlign w:val="bottom"/>
            <w:shd w:val="clear" w:color="auto" w:fill="CCEEFF"/>
          </w:tcPr>
          <w:p>
            <w:pPr>
              <w:jc w:val="center"/>
              <w:ind w:left="670"/>
              <w:spacing w:after="0"/>
              <w:rPr>
                <w:sz w:val="20"/>
                <w:szCs w:val="20"/>
                <w:color w:val="auto"/>
              </w:rPr>
            </w:pPr>
            <w:r>
              <w:rPr>
                <w:rFonts w:ascii="Arial" w:cs="Arial" w:eastAsia="Arial" w:hAnsi="Arial"/>
                <w:sz w:val="18"/>
                <w:szCs w:val="18"/>
                <w:color w:val="auto"/>
                <w:w w:val="99"/>
              </w:rPr>
              <w:t>(1)</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340" w:type="dxa"/>
            <w:vAlign w:val="bottom"/>
          </w:tcPr>
          <w:p>
            <w:pPr>
              <w:ind w:left="20"/>
              <w:spacing w:after="0"/>
              <w:rPr>
                <w:sz w:val="20"/>
                <w:szCs w:val="20"/>
                <w:color w:val="auto"/>
              </w:rPr>
            </w:pPr>
            <w:r>
              <w:rPr>
                <w:rFonts w:ascii="Arial" w:cs="Arial" w:eastAsia="Arial" w:hAnsi="Arial"/>
                <w:sz w:val="18"/>
                <w:szCs w:val="18"/>
                <w:color w:val="auto"/>
              </w:rPr>
              <w:t>Curtailment gain</w:t>
            </w:r>
          </w:p>
        </w:tc>
        <w:tc>
          <w:tcPr>
            <w:tcW w:w="8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1020" w:type="dxa"/>
            <w:vAlign w:val="bottom"/>
          </w:tcPr>
          <w:p>
            <w:pPr>
              <w:jc w:val="center"/>
              <w:ind w:left="670"/>
              <w:spacing w:after="0"/>
              <w:rPr>
                <w:sz w:val="20"/>
                <w:szCs w:val="20"/>
                <w:color w:val="auto"/>
              </w:rPr>
            </w:pPr>
            <w:r>
              <w:rPr>
                <w:rFonts w:ascii="Arial" w:cs="Arial" w:eastAsia="Arial" w:hAnsi="Arial"/>
                <w:sz w:val="18"/>
                <w:szCs w:val="18"/>
                <w:color w:val="auto"/>
                <w:w w:val="99"/>
              </w:rPr>
              <w:t>(4)</w:t>
            </w: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Recognized actuarial gain</w:t>
            </w:r>
          </w:p>
        </w:tc>
        <w:tc>
          <w:tcPr>
            <w:tcW w:w="8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9"/>
                <w:szCs w:val="19"/>
                <w:color w:val="auto"/>
              </w:rPr>
            </w:pPr>
          </w:p>
        </w:tc>
        <w:tc>
          <w:tcPr>
            <w:tcW w:w="1020" w:type="dxa"/>
            <w:vAlign w:val="bottom"/>
            <w:shd w:val="clear" w:color="auto" w:fill="CCEEFF"/>
          </w:tcPr>
          <w:p>
            <w:pPr>
              <w:jc w:val="center"/>
              <w:ind w:left="670"/>
              <w:spacing w:after="0"/>
              <w:rPr>
                <w:sz w:val="20"/>
                <w:szCs w:val="20"/>
                <w:color w:val="auto"/>
              </w:rPr>
            </w:pPr>
            <w:r>
              <w:rPr>
                <w:rFonts w:ascii="Arial" w:cs="Arial" w:eastAsia="Arial" w:hAnsi="Arial"/>
                <w:sz w:val="18"/>
                <w:szCs w:val="18"/>
                <w:color w:val="auto"/>
                <w:w w:val="99"/>
              </w:rPr>
              <w:t>(1)</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3340" w:type="dxa"/>
            <w:vAlign w:val="bottom"/>
          </w:tcPr>
          <w:p>
            <w:pPr>
              <w:ind w:left="20"/>
              <w:spacing w:after="0"/>
              <w:rPr>
                <w:sz w:val="20"/>
                <w:szCs w:val="20"/>
                <w:color w:val="auto"/>
              </w:rPr>
            </w:pPr>
            <w:r>
              <w:rPr>
                <w:rFonts w:ascii="Arial" w:cs="Arial" w:eastAsia="Arial" w:hAnsi="Arial"/>
                <w:sz w:val="18"/>
                <w:szCs w:val="18"/>
                <w:color w:val="auto"/>
              </w:rPr>
              <w:t>Cost of special termination benefits</w:t>
            </w:r>
          </w:p>
        </w:tc>
        <w:tc>
          <w:tcPr>
            <w:tcW w:w="8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1020" w:type="dxa"/>
            <w:vAlign w:val="bottom"/>
          </w:tcPr>
          <w:p>
            <w:pPr>
              <w:jc w:val="center"/>
              <w:ind w:left="670"/>
              <w:spacing w:after="0"/>
              <w:rPr>
                <w:sz w:val="20"/>
                <w:szCs w:val="20"/>
                <w:color w:val="auto"/>
              </w:rPr>
            </w:pPr>
            <w:r>
              <w:rPr>
                <w:rFonts w:ascii="Arial" w:cs="Arial" w:eastAsia="Arial" w:hAnsi="Arial"/>
                <w:sz w:val="18"/>
                <w:szCs w:val="18"/>
                <w:color w:val="auto"/>
                <w:w w:val="99"/>
              </w:rPr>
              <w:t>4</w:t>
            </w: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prior service cost credit</w:t>
            </w:r>
          </w:p>
        </w:tc>
        <w:tc>
          <w:tcPr>
            <w:tcW w:w="8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9"/>
                <w:szCs w:val="19"/>
                <w:color w:val="auto"/>
              </w:rPr>
            </w:pPr>
          </w:p>
        </w:tc>
        <w:tc>
          <w:tcPr>
            <w:tcW w:w="1020" w:type="dxa"/>
            <w:vAlign w:val="bottom"/>
            <w:shd w:val="clear" w:color="auto" w:fill="CCEEFF"/>
          </w:tcPr>
          <w:p>
            <w:pPr>
              <w:jc w:val="center"/>
              <w:ind w:left="670"/>
              <w:spacing w:after="0"/>
              <w:rPr>
                <w:sz w:val="20"/>
                <w:szCs w:val="20"/>
                <w:color w:val="auto"/>
              </w:rPr>
            </w:pPr>
            <w:r>
              <w:rPr>
                <w:rFonts w:ascii="Arial" w:cs="Arial" w:eastAsia="Arial" w:hAnsi="Arial"/>
                <w:sz w:val="18"/>
                <w:szCs w:val="18"/>
                <w:color w:val="auto"/>
                <w:w w:val="99"/>
              </w:rPr>
              <w:t>(4)</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3340" w:type="dxa"/>
            <w:vAlign w:val="bottom"/>
          </w:tcPr>
          <w:p>
            <w:pPr>
              <w:ind w:left="300"/>
              <w:spacing w:after="0"/>
              <w:rPr>
                <w:sz w:val="20"/>
                <w:szCs w:val="20"/>
                <w:color w:val="auto"/>
              </w:rPr>
            </w:pPr>
            <w:r>
              <w:rPr>
                <w:rFonts w:ascii="Arial" w:cs="Arial" w:eastAsia="Arial" w:hAnsi="Arial"/>
                <w:sz w:val="18"/>
                <w:szCs w:val="18"/>
                <w:color w:val="auto"/>
              </w:rPr>
              <w:t>Net periodic benefit costs</w:t>
            </w:r>
          </w:p>
        </w:tc>
        <w:tc>
          <w:tcPr>
            <w:tcW w:w="88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center"/>
              <w:ind w:left="670"/>
              <w:spacing w:after="0"/>
              <w:rPr>
                <w:sz w:val="20"/>
                <w:szCs w:val="20"/>
                <w:color w:val="auto"/>
              </w:rPr>
            </w:pPr>
            <w:r>
              <w:rPr>
                <w:rFonts w:ascii="Arial" w:cs="Arial" w:eastAsia="Arial" w:hAnsi="Arial"/>
                <w:sz w:val="18"/>
                <w:szCs w:val="18"/>
                <w:color w:val="auto"/>
                <w:w w:val="99"/>
              </w:rPr>
              <w:t>(2)</w:t>
            </w:r>
          </w:p>
        </w:tc>
        <w:tc>
          <w:tcPr>
            <w:tcW w:w="14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
        </w:trPr>
        <w:tc>
          <w:tcPr>
            <w:tcW w:w="33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ind w:right="120" w:firstLine="324"/>
        <w:spacing w:after="0" w:line="262" w:lineRule="auto"/>
        <w:rPr>
          <w:sz w:val="20"/>
          <w:szCs w:val="20"/>
          <w:color w:val="auto"/>
        </w:rPr>
      </w:pPr>
      <w:r>
        <w:rPr>
          <w:rFonts w:ascii="Arial" w:cs="Arial" w:eastAsia="Arial" w:hAnsi="Arial"/>
          <w:sz w:val="18"/>
          <w:szCs w:val="18"/>
          <w:color w:val="auto"/>
        </w:rPr>
        <w:t>We made no contributions to our defined benefit pension plans during the three months ended September 30, 2024 and contributed $2 million to our defined benefit plans during the nine months ended September 30, 2024. We made no contributions during the three and nine months ended September 30, 2023. We do not expect to make any significant contributions to our defined benefit pension plans during the remainder of 2024.</w:t>
      </w:r>
    </w:p>
    <w:p>
      <w:pPr>
        <w:spacing w:after="0" w:line="203"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7"/>
          <w:szCs w:val="17"/>
          <w:b w:val="1"/>
          <w:bCs w:val="1"/>
          <w:color w:val="auto"/>
        </w:rPr>
        <w:t>SUPPLEMENTAL ACCOUNT BALANCES</w:t>
      </w:r>
    </w:p>
    <w:p>
      <w:pPr>
        <w:spacing w:after="0" w:line="252"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b w:val="1"/>
          <w:bCs w:val="1"/>
          <w:i w:val="1"/>
          <w:iCs w:val="1"/>
          <w:color w:val="auto"/>
        </w:rPr>
        <w:t xml:space="preserve">Restricted cash </w:t>
      </w:r>
      <w:r>
        <w:rPr>
          <w:rFonts w:ascii="Arial" w:cs="Arial" w:eastAsia="Arial" w:hAnsi="Arial"/>
          <w:sz w:val="18"/>
          <w:szCs w:val="18"/>
          <w:color w:val="auto"/>
        </w:rPr>
        <w:t>— Restricted cash of $28 million at September 30, 2024 primarily includes funds held in an escrow account established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secure oil field well and infrastructure abandonment and habitat restoration at an oil and gas field previously owned by Aera. Funds will be released from the escrow account as work is completed. The Merger Agreement provides that 50% of the amount by which released funds exceeds the cumulative abandonment and restoration expenditures from January 1, 2024 onward is payable to the Sellers. We do not expect this amount to be significant. Restricted cash included an insignificant amount that was restricted under oil and natural gas liens in favor of one of our suppliers. We had no restricted cash at December 31, 2023.</w:t>
      </w:r>
    </w:p>
    <w:p>
      <w:pPr>
        <w:spacing w:after="0" w:line="196" w:lineRule="exact"/>
        <w:rPr>
          <w:sz w:val="20"/>
          <w:szCs w:val="20"/>
          <w:color w:val="auto"/>
        </w:rPr>
      </w:pPr>
    </w:p>
    <w:p>
      <w:pPr>
        <w:ind w:right="320" w:firstLine="324"/>
        <w:spacing w:after="0" w:line="253" w:lineRule="auto"/>
        <w:rPr>
          <w:sz w:val="20"/>
          <w:szCs w:val="20"/>
          <w:color w:val="auto"/>
        </w:rPr>
      </w:pPr>
      <w:r>
        <w:rPr>
          <w:rFonts w:ascii="Arial" w:cs="Arial" w:eastAsia="Arial" w:hAnsi="Arial"/>
          <w:sz w:val="18"/>
          <w:szCs w:val="18"/>
          <w:b w:val="1"/>
          <w:bCs w:val="1"/>
          <w:i w:val="1"/>
          <w:iCs w:val="1"/>
          <w:color w:val="auto"/>
        </w:rPr>
        <w:t xml:space="preserve">Revenues </w:t>
      </w:r>
      <w:r>
        <w:rPr>
          <w:rFonts w:ascii="Arial" w:cs="Arial" w:eastAsia="Arial" w:hAnsi="Arial"/>
          <w:sz w:val="18"/>
          <w:szCs w:val="18"/>
          <w:color w:val="auto"/>
        </w:rPr>
        <w:t>— We derive most of our revenue from sales of oil, natural gas and NGLs, with the remaining revenue primarily generated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sales of electricity and marketing activities related to storage and managing excess pipeline capacity. The following table provides disaggregated revenue for sales of produced oil, natural gas and NGLs to customers: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80" w:type="dxa"/>
            <w:vAlign w:val="bottom"/>
          </w:tcPr>
          <w:p>
            <w:pPr>
              <w:spacing w:after="0"/>
              <w:rPr>
                <w:sz w:val="18"/>
                <w:szCs w:val="18"/>
                <w:color w:val="auto"/>
              </w:rPr>
            </w:pPr>
          </w:p>
        </w:tc>
        <w:tc>
          <w:tcPr>
            <w:tcW w:w="2540" w:type="dxa"/>
            <w:vAlign w:val="bottom"/>
            <w:gridSpan w:val="4"/>
          </w:tcPr>
          <w:p>
            <w:pPr>
              <w:jc w:val="center"/>
              <w:ind w:left="350"/>
              <w:spacing w:after="0"/>
              <w:rPr>
                <w:sz w:val="20"/>
                <w:szCs w:val="20"/>
                <w:color w:val="auto"/>
              </w:rPr>
            </w:pPr>
            <w:r>
              <w:rPr>
                <w:rFonts w:ascii="Arial" w:cs="Arial" w:eastAsia="Arial" w:hAnsi="Arial"/>
                <w:sz w:val="18"/>
                <w:szCs w:val="18"/>
                <w:b w:val="1"/>
                <w:bCs w:val="1"/>
                <w:color w:val="auto"/>
              </w:rPr>
              <w:t>Three months ended</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60" w:type="dxa"/>
            <w:vAlign w:val="bottom"/>
            <w:gridSpan w:val="4"/>
          </w:tcPr>
          <w:p>
            <w:pPr>
              <w:jc w:val="center"/>
              <w:ind w:right="230"/>
              <w:spacing w:after="0"/>
              <w:rPr>
                <w:sz w:val="20"/>
                <w:szCs w:val="20"/>
                <w:color w:val="auto"/>
              </w:rPr>
            </w:pPr>
            <w:r>
              <w:rPr>
                <w:rFonts w:ascii="Arial" w:cs="Arial" w:eastAsia="Arial" w:hAnsi="Arial"/>
                <w:sz w:val="18"/>
                <w:szCs w:val="18"/>
                <w:b w:val="1"/>
                <w:bCs w:val="1"/>
                <w:color w:val="auto"/>
                <w:w w:val="99"/>
              </w:rPr>
              <w:t>Nine months ended</w:t>
            </w:r>
          </w:p>
        </w:tc>
      </w:tr>
      <w:tr>
        <w:trPr>
          <w:trHeight w:val="243"/>
        </w:trPr>
        <w:tc>
          <w:tcPr>
            <w:tcW w:w="5180" w:type="dxa"/>
            <w:vAlign w:val="bottom"/>
          </w:tcPr>
          <w:p>
            <w:pPr>
              <w:spacing w:after="0"/>
              <w:rPr>
                <w:sz w:val="21"/>
                <w:szCs w:val="21"/>
                <w:color w:val="auto"/>
              </w:rPr>
            </w:pPr>
          </w:p>
        </w:tc>
        <w:tc>
          <w:tcPr>
            <w:tcW w:w="2540" w:type="dxa"/>
            <w:vAlign w:val="bottom"/>
            <w:tcBorders>
              <w:bottom w:val="single" w:sz="8" w:color="auto"/>
            </w:tcBorders>
            <w:gridSpan w:val="4"/>
          </w:tcPr>
          <w:p>
            <w:pPr>
              <w:jc w:val="center"/>
              <w:ind w:left="350"/>
              <w:spacing w:after="0"/>
              <w:rPr>
                <w:sz w:val="20"/>
                <w:szCs w:val="20"/>
                <w:color w:val="auto"/>
              </w:rPr>
            </w:pPr>
            <w:r>
              <w:rPr>
                <w:rFonts w:ascii="Arial" w:cs="Arial" w:eastAsia="Arial" w:hAnsi="Arial"/>
                <w:sz w:val="18"/>
                <w:szCs w:val="18"/>
                <w:b w:val="1"/>
                <w:bCs w:val="1"/>
                <w:color w:val="auto"/>
                <w:w w:val="99"/>
              </w:rPr>
              <w:t>September 30,</w:t>
            </w:r>
          </w:p>
        </w:tc>
        <w:tc>
          <w:tcPr>
            <w:tcW w:w="4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660" w:type="dxa"/>
            <w:vAlign w:val="bottom"/>
            <w:tcBorders>
              <w:bottom w:val="single" w:sz="8" w:color="auto"/>
            </w:tcBorders>
            <w:gridSpan w:val="4"/>
          </w:tcPr>
          <w:p>
            <w:pPr>
              <w:jc w:val="center"/>
              <w:ind w:right="230"/>
              <w:spacing w:after="0"/>
              <w:rPr>
                <w:sz w:val="20"/>
                <w:szCs w:val="20"/>
                <w:color w:val="auto"/>
              </w:rPr>
            </w:pPr>
            <w:r>
              <w:rPr>
                <w:rFonts w:ascii="Arial" w:cs="Arial" w:eastAsia="Arial" w:hAnsi="Arial"/>
                <w:sz w:val="18"/>
                <w:szCs w:val="18"/>
                <w:b w:val="1"/>
                <w:bCs w:val="1"/>
                <w:color w:val="auto"/>
                <w:w w:val="99"/>
              </w:rPr>
              <w:t>September 30,</w:t>
            </w:r>
          </w:p>
        </w:tc>
      </w:tr>
      <w:tr>
        <w:trPr>
          <w:trHeight w:val="223"/>
        </w:trPr>
        <w:tc>
          <w:tcPr>
            <w:tcW w:w="518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2024</w:t>
            </w:r>
          </w:p>
        </w:tc>
        <w:tc>
          <w:tcPr>
            <w:tcW w:w="4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4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r>
      <w:tr>
        <w:trPr>
          <w:trHeight w:val="233"/>
        </w:trPr>
        <w:tc>
          <w:tcPr>
            <w:tcW w:w="5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540" w:type="dxa"/>
            <w:vAlign w:val="bottom"/>
            <w:gridSpan w:val="3"/>
          </w:tcPr>
          <w:p>
            <w:pPr>
              <w:jc w:val="center"/>
              <w:ind w:right="470"/>
              <w:spacing w:after="0"/>
              <w:rPr>
                <w:sz w:val="20"/>
                <w:szCs w:val="20"/>
                <w:color w:val="auto"/>
              </w:rPr>
            </w:pPr>
            <w:r>
              <w:rPr>
                <w:rFonts w:ascii="Arial" w:cs="Arial" w:eastAsia="Arial" w:hAnsi="Arial"/>
                <w:sz w:val="14"/>
                <w:szCs w:val="14"/>
                <w:color w:val="auto"/>
              </w:rPr>
              <w:t>(in millions)</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40" w:type="dxa"/>
            <w:vAlign w:val="bottom"/>
            <w:gridSpan w:val="3"/>
          </w:tcPr>
          <w:p>
            <w:pPr>
              <w:jc w:val="center"/>
              <w:ind w:left="612"/>
              <w:spacing w:after="0"/>
              <w:rPr>
                <w:sz w:val="20"/>
                <w:szCs w:val="20"/>
                <w:color w:val="auto"/>
              </w:rPr>
            </w:pPr>
            <w:r>
              <w:rPr>
                <w:rFonts w:ascii="Arial" w:cs="Arial" w:eastAsia="Arial" w:hAnsi="Arial"/>
                <w:sz w:val="14"/>
                <w:szCs w:val="14"/>
                <w:color w:val="auto"/>
              </w:rPr>
              <w:t>(in millions)</w:t>
            </w:r>
          </w:p>
        </w:tc>
        <w:tc>
          <w:tcPr>
            <w:tcW w:w="1020" w:type="dxa"/>
            <w:vAlign w:val="bottom"/>
          </w:tcPr>
          <w:p>
            <w:pPr>
              <w:spacing w:after="0"/>
              <w:rPr>
                <w:sz w:val="20"/>
                <w:szCs w:val="20"/>
                <w:color w:val="auto"/>
              </w:rPr>
            </w:pPr>
          </w:p>
        </w:tc>
      </w:tr>
      <w:tr>
        <w:trPr>
          <w:trHeight w:val="233"/>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Oil</w:t>
            </w:r>
          </w:p>
        </w:tc>
        <w:tc>
          <w:tcPr>
            <w:tcW w:w="100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1,505</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w:t>
            </w: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Natural gas</w:t>
            </w: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367</w:t>
            </w:r>
          </w:p>
        </w:tc>
      </w:tr>
      <w:tr>
        <w:trPr>
          <w:trHeight w:val="23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NGLs</w:t>
            </w:r>
          </w:p>
        </w:tc>
        <w:tc>
          <w:tcPr>
            <w:tcW w:w="10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r>
      <w:tr>
        <w:trPr>
          <w:trHeight w:val="223"/>
        </w:trPr>
        <w:tc>
          <w:tcPr>
            <w:tcW w:w="5180" w:type="dxa"/>
            <w:vAlign w:val="bottom"/>
          </w:tcPr>
          <w:p>
            <w:pPr>
              <w:ind w:left="140"/>
              <w:spacing w:after="0"/>
              <w:rPr>
                <w:sz w:val="20"/>
                <w:szCs w:val="20"/>
                <w:color w:val="auto"/>
              </w:rPr>
            </w:pPr>
            <w:r>
              <w:rPr>
                <w:rFonts w:ascii="Arial" w:cs="Arial" w:eastAsia="Arial" w:hAnsi="Arial"/>
                <w:sz w:val="18"/>
                <w:szCs w:val="18"/>
                <w:color w:val="auto"/>
              </w:rPr>
              <w:t>Oil, natural gas and NGL sales</w:t>
            </w:r>
          </w:p>
        </w:tc>
        <w:tc>
          <w:tcPr>
            <w:tcW w:w="100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w:t>
            </w: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1,711</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1,672</w:t>
            </w:r>
          </w:p>
        </w:tc>
      </w:tr>
      <w:tr>
        <w:trPr>
          <w:trHeight w:val="20"/>
        </w:trPr>
        <w:tc>
          <w:tcPr>
            <w:tcW w:w="51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240" w:firstLine="324"/>
        <w:spacing w:after="0" w:line="268" w:lineRule="auto"/>
        <w:rPr>
          <w:sz w:val="20"/>
          <w:szCs w:val="20"/>
          <w:color w:val="auto"/>
        </w:rPr>
      </w:pPr>
      <w:r>
        <w:rPr>
          <w:rFonts w:ascii="Arial" w:cs="Arial" w:eastAsia="Arial" w:hAnsi="Arial"/>
          <w:sz w:val="18"/>
          <w:szCs w:val="18"/>
          <w:color w:val="auto"/>
        </w:rPr>
        <w:t>Since July 1, 2024, the closing date of the Aera Merger, the results of operations for Aera have been included in our consolidated financial statements. For the period from July 1, 2024 to September 30, 2024, $475 million of oil, natural gas and NGL sales attributable to Aera's business has been included in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5" w:right="339" w:bottom="1440" w:gutter="0" w:footer="0" w:header="0"/>
          <w:type w:val="continuous"/>
        </w:sectPr>
      </w:pPr>
    </w:p>
    <w:bookmarkStart w:id="29" w:name="page30"/>
    <w:bookmarkEnd w:id="29"/>
    <w:p>
      <w:pPr>
        <w:ind w:right="40" w:firstLine="324"/>
        <w:spacing w:after="0" w:line="259" w:lineRule="auto"/>
        <w:rPr>
          <w:sz w:val="20"/>
          <w:szCs w:val="20"/>
          <w:color w:val="auto"/>
        </w:rPr>
      </w:pPr>
      <w:r>
        <w:rPr>
          <w:rFonts w:ascii="Arial" w:cs="Arial" w:eastAsia="Arial" w:hAnsi="Arial"/>
          <w:sz w:val="18"/>
          <w:szCs w:val="18"/>
          <w:color w:val="auto"/>
        </w:rPr>
        <w:t>From time-to-time, we enter into transactions for third-party production, which we report as revenue from marketing of purchased commodities on our condensed consolidated statements of operations. Revenues from marketing of purchased commodities primarily results from the storage or transportation of natural gas to take advantage of differences in pricing or location, or marketing oil sales that have resulted from third-party purchases. The following table provides disaggregated revenue for sales to customers related to our marketing activities: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80" w:type="dxa"/>
            <w:vAlign w:val="bottom"/>
          </w:tcPr>
          <w:p>
            <w:pPr>
              <w:spacing w:after="0"/>
              <w:rPr>
                <w:sz w:val="17"/>
                <w:szCs w:val="17"/>
                <w:color w:val="auto"/>
              </w:rPr>
            </w:pPr>
          </w:p>
        </w:tc>
        <w:tc>
          <w:tcPr>
            <w:tcW w:w="2580" w:type="dxa"/>
            <w:vAlign w:val="bottom"/>
            <w:gridSpan w:val="4"/>
          </w:tcPr>
          <w:p>
            <w:pPr>
              <w:jc w:val="center"/>
              <w:ind w:left="310"/>
              <w:spacing w:after="0"/>
              <w:rPr>
                <w:sz w:val="20"/>
                <w:szCs w:val="20"/>
                <w:color w:val="auto"/>
              </w:rPr>
            </w:pPr>
            <w:r>
              <w:rPr>
                <w:rFonts w:ascii="Arial" w:cs="Arial" w:eastAsia="Arial" w:hAnsi="Arial"/>
                <w:sz w:val="18"/>
                <w:szCs w:val="18"/>
                <w:b w:val="1"/>
                <w:bCs w:val="1"/>
                <w:color w:val="auto"/>
              </w:rPr>
              <w:t>Three months ended</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60" w:type="dxa"/>
            <w:vAlign w:val="bottom"/>
            <w:gridSpan w:val="4"/>
          </w:tcPr>
          <w:p>
            <w:pPr>
              <w:jc w:val="center"/>
              <w:ind w:right="230"/>
              <w:spacing w:after="0"/>
              <w:rPr>
                <w:sz w:val="20"/>
                <w:szCs w:val="20"/>
                <w:color w:val="auto"/>
              </w:rPr>
            </w:pPr>
            <w:r>
              <w:rPr>
                <w:rFonts w:ascii="Arial" w:cs="Arial" w:eastAsia="Arial" w:hAnsi="Arial"/>
                <w:sz w:val="18"/>
                <w:szCs w:val="18"/>
                <w:b w:val="1"/>
                <w:bCs w:val="1"/>
                <w:color w:val="auto"/>
                <w:w w:val="99"/>
              </w:rPr>
              <w:t>Nine months ended</w:t>
            </w:r>
          </w:p>
        </w:tc>
      </w:tr>
      <w:tr>
        <w:trPr>
          <w:trHeight w:val="243"/>
        </w:trPr>
        <w:tc>
          <w:tcPr>
            <w:tcW w:w="5180" w:type="dxa"/>
            <w:vAlign w:val="bottom"/>
          </w:tcPr>
          <w:p>
            <w:pPr>
              <w:spacing w:after="0"/>
              <w:rPr>
                <w:sz w:val="21"/>
                <w:szCs w:val="21"/>
                <w:color w:val="auto"/>
              </w:rPr>
            </w:pPr>
          </w:p>
        </w:tc>
        <w:tc>
          <w:tcPr>
            <w:tcW w:w="2580" w:type="dxa"/>
            <w:vAlign w:val="bottom"/>
            <w:tcBorders>
              <w:bottom w:val="single" w:sz="8" w:color="auto"/>
            </w:tcBorders>
            <w:gridSpan w:val="4"/>
          </w:tcPr>
          <w:p>
            <w:pPr>
              <w:jc w:val="center"/>
              <w:ind w:left="310"/>
              <w:spacing w:after="0"/>
              <w:rPr>
                <w:sz w:val="20"/>
                <w:szCs w:val="20"/>
                <w:color w:val="auto"/>
              </w:rPr>
            </w:pPr>
            <w:r>
              <w:rPr>
                <w:rFonts w:ascii="Arial" w:cs="Arial" w:eastAsia="Arial" w:hAnsi="Arial"/>
                <w:sz w:val="18"/>
                <w:szCs w:val="18"/>
                <w:b w:val="1"/>
                <w:bCs w:val="1"/>
                <w:color w:val="auto"/>
                <w:w w:val="99"/>
              </w:rPr>
              <w:t>September 30,</w:t>
            </w:r>
          </w:p>
        </w:tc>
        <w:tc>
          <w:tcPr>
            <w:tcW w:w="4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660" w:type="dxa"/>
            <w:vAlign w:val="bottom"/>
            <w:tcBorders>
              <w:bottom w:val="single" w:sz="8" w:color="auto"/>
            </w:tcBorders>
            <w:gridSpan w:val="4"/>
          </w:tcPr>
          <w:p>
            <w:pPr>
              <w:jc w:val="center"/>
              <w:ind w:right="230"/>
              <w:spacing w:after="0"/>
              <w:rPr>
                <w:sz w:val="20"/>
                <w:szCs w:val="20"/>
                <w:color w:val="auto"/>
              </w:rPr>
            </w:pPr>
            <w:r>
              <w:rPr>
                <w:rFonts w:ascii="Arial" w:cs="Arial" w:eastAsia="Arial" w:hAnsi="Arial"/>
                <w:sz w:val="18"/>
                <w:szCs w:val="18"/>
                <w:b w:val="1"/>
                <w:bCs w:val="1"/>
                <w:color w:val="auto"/>
                <w:w w:val="99"/>
              </w:rPr>
              <w:t>September 30,</w:t>
            </w:r>
          </w:p>
        </w:tc>
      </w:tr>
      <w:tr>
        <w:trPr>
          <w:trHeight w:val="223"/>
        </w:trPr>
        <w:tc>
          <w:tcPr>
            <w:tcW w:w="5180" w:type="dxa"/>
            <w:vAlign w:val="bottom"/>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2024</w:t>
            </w:r>
          </w:p>
        </w:tc>
        <w:tc>
          <w:tcPr>
            <w:tcW w:w="4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2023</w:t>
            </w:r>
          </w:p>
        </w:tc>
        <w:tc>
          <w:tcPr>
            <w:tcW w:w="4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r>
      <w:tr>
        <w:trPr>
          <w:trHeight w:val="233"/>
        </w:trPr>
        <w:tc>
          <w:tcPr>
            <w:tcW w:w="5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560" w:type="dxa"/>
            <w:vAlign w:val="bottom"/>
            <w:gridSpan w:val="3"/>
          </w:tcPr>
          <w:p>
            <w:pPr>
              <w:jc w:val="center"/>
              <w:ind w:right="530"/>
              <w:spacing w:after="0"/>
              <w:rPr>
                <w:sz w:val="20"/>
                <w:szCs w:val="20"/>
                <w:color w:val="auto"/>
              </w:rPr>
            </w:pPr>
            <w:r>
              <w:rPr>
                <w:rFonts w:ascii="Arial" w:cs="Arial" w:eastAsia="Arial" w:hAnsi="Arial"/>
                <w:sz w:val="14"/>
                <w:szCs w:val="14"/>
                <w:color w:val="auto"/>
              </w:rPr>
              <w:t>(in millions)</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40" w:type="dxa"/>
            <w:vAlign w:val="bottom"/>
            <w:gridSpan w:val="3"/>
          </w:tcPr>
          <w:p>
            <w:pPr>
              <w:jc w:val="center"/>
              <w:ind w:left="612"/>
              <w:spacing w:after="0"/>
              <w:rPr>
                <w:sz w:val="20"/>
                <w:szCs w:val="20"/>
                <w:color w:val="auto"/>
              </w:rPr>
            </w:pPr>
            <w:r>
              <w:rPr>
                <w:rFonts w:ascii="Arial" w:cs="Arial" w:eastAsia="Arial" w:hAnsi="Arial"/>
                <w:sz w:val="14"/>
                <w:szCs w:val="14"/>
                <w:color w:val="auto"/>
              </w:rPr>
              <w:t>(in millions)</w:t>
            </w:r>
          </w:p>
        </w:tc>
        <w:tc>
          <w:tcPr>
            <w:tcW w:w="1020" w:type="dxa"/>
            <w:vAlign w:val="bottom"/>
          </w:tcPr>
          <w:p>
            <w:pPr>
              <w:spacing w:after="0"/>
              <w:rPr>
                <w:sz w:val="20"/>
                <w:szCs w:val="20"/>
                <w:color w:val="auto"/>
              </w:rPr>
            </w:pPr>
          </w:p>
        </w:tc>
      </w:tr>
      <w:tr>
        <w:trPr>
          <w:trHeight w:val="233"/>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Oil</w:t>
            </w:r>
          </w:p>
        </w:tc>
        <w:tc>
          <w:tcPr>
            <w:tcW w:w="102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180" w:type="dxa"/>
            <w:vAlign w:val="bottom"/>
          </w:tcPr>
          <w:p>
            <w:pPr>
              <w:ind w:left="20"/>
              <w:spacing w:after="0"/>
              <w:rPr>
                <w:sz w:val="20"/>
                <w:szCs w:val="20"/>
                <w:color w:val="auto"/>
              </w:rPr>
            </w:pPr>
            <w:r>
              <w:rPr>
                <w:rFonts w:ascii="Arial" w:cs="Arial" w:eastAsia="Arial" w:hAnsi="Arial"/>
                <w:sz w:val="18"/>
                <w:szCs w:val="18"/>
                <w:color w:val="auto"/>
              </w:rPr>
              <w:t>Natural gas</w:t>
            </w:r>
          </w:p>
        </w:tc>
        <w:tc>
          <w:tcPr>
            <w:tcW w:w="10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334</w:t>
            </w:r>
          </w:p>
        </w:tc>
      </w:tr>
      <w:tr>
        <w:trPr>
          <w:trHeight w:val="23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NGLs</w:t>
            </w:r>
          </w:p>
        </w:tc>
        <w:tc>
          <w:tcPr>
            <w:tcW w:w="102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5180" w:type="dxa"/>
            <w:vAlign w:val="bottom"/>
          </w:tcPr>
          <w:p>
            <w:pPr>
              <w:ind w:left="140"/>
              <w:spacing w:after="0"/>
              <w:rPr>
                <w:sz w:val="20"/>
                <w:szCs w:val="20"/>
                <w:color w:val="auto"/>
              </w:rPr>
            </w:pPr>
            <w:r>
              <w:rPr>
                <w:rFonts w:ascii="Arial" w:cs="Arial" w:eastAsia="Arial" w:hAnsi="Arial"/>
                <w:sz w:val="18"/>
                <w:szCs w:val="18"/>
                <w:color w:val="auto"/>
              </w:rPr>
              <w:t>Revenue from marketing of purchased commodities</w:t>
            </w:r>
          </w:p>
        </w:tc>
        <w:tc>
          <w:tcPr>
            <w:tcW w:w="1020" w:type="dxa"/>
            <w:vAlign w:val="bottom"/>
            <w:tcBorders>
              <w:top w:val="single" w:sz="8" w:color="auto"/>
              <w:bottom w:val="single" w:sz="8" w:color="auto"/>
            </w:tcBorders>
          </w:tcPr>
          <w:p>
            <w:pPr>
              <w:jc w:val="right"/>
              <w:ind w:right="810"/>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336</w:t>
            </w:r>
          </w:p>
        </w:tc>
      </w:tr>
      <w:tr>
        <w:trPr>
          <w:trHeight w:val="21"/>
        </w:trPr>
        <w:tc>
          <w:tcPr>
            <w:tcW w:w="51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280" w:firstLine="324"/>
        <w:spacing w:after="0" w:line="266" w:lineRule="auto"/>
        <w:rPr>
          <w:sz w:val="20"/>
          <w:szCs w:val="20"/>
          <w:color w:val="auto"/>
        </w:rPr>
      </w:pPr>
      <w:r>
        <w:rPr>
          <w:rFonts w:ascii="Arial" w:cs="Arial" w:eastAsia="Arial" w:hAnsi="Arial"/>
          <w:sz w:val="18"/>
          <w:szCs w:val="18"/>
          <w:b w:val="1"/>
          <w:bCs w:val="1"/>
          <w:i w:val="1"/>
          <w:iCs w:val="1"/>
          <w:color w:val="auto"/>
        </w:rPr>
        <w:t xml:space="preserve">Inventories </w:t>
      </w:r>
      <w:r>
        <w:rPr>
          <w:rFonts w:ascii="Arial" w:cs="Arial" w:eastAsia="Arial" w:hAnsi="Arial"/>
          <w:sz w:val="18"/>
          <w:szCs w:val="18"/>
          <w:color w:val="auto"/>
        </w:rPr>
        <w:t>— Materials and supplies, which primarily consist of well equipment and tubular goods used in our oil and natural gas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operations, are valued at weighted-average cost and are reviewed periodically for obsolescence. Finished goods include produced oil and NGLs in storage, which are valued at the lower of cost or net realizable value. Inventories, by category, are as follows:</w:t>
      </w:r>
    </w:p>
    <w:tbl>
      <w:tblPr>
        <w:tblLayout w:type="fixed"/>
        <w:tblInd w:w="0" w:type="dxa"/>
        <w:tblCellMar>
          <w:top w:w="0" w:type="dxa"/>
          <w:left w:w="0" w:type="dxa"/>
          <w:bottom w:w="0" w:type="dxa"/>
          <w:right w:w="0" w:type="dxa"/>
        </w:tblCellMar>
      </w:tblPr>
      <w:tr>
        <w:trPr>
          <w:trHeight w:val="229"/>
        </w:trPr>
        <w:tc>
          <w:tcPr>
            <w:tcW w:w="74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September 30,</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jc w:val="right"/>
              <w:ind w:right="250"/>
              <w:spacing w:after="0"/>
              <w:rPr>
                <w:sz w:val="20"/>
                <w:szCs w:val="20"/>
                <w:color w:val="auto"/>
              </w:rPr>
            </w:pPr>
            <w:r>
              <w:rPr>
                <w:rFonts w:ascii="Arial" w:cs="Arial" w:eastAsia="Arial" w:hAnsi="Arial"/>
                <w:sz w:val="18"/>
                <w:szCs w:val="18"/>
                <w:b w:val="1"/>
                <w:bCs w:val="1"/>
                <w:color w:val="auto"/>
              </w:rPr>
              <w:t>December 31,</w:t>
            </w:r>
          </w:p>
        </w:tc>
      </w:tr>
      <w:tr>
        <w:trPr>
          <w:trHeight w:val="235"/>
        </w:trPr>
        <w:tc>
          <w:tcPr>
            <w:tcW w:w="7420" w:type="dxa"/>
            <w:vAlign w:val="bottom"/>
          </w:tcPr>
          <w:p>
            <w:pPr>
              <w:spacing w:after="0"/>
              <w:rPr>
                <w:sz w:val="20"/>
                <w:szCs w:val="20"/>
                <w:color w:val="auto"/>
              </w:rPr>
            </w:pPr>
          </w:p>
        </w:tc>
        <w:tc>
          <w:tcPr>
            <w:tcW w:w="15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2024</w:t>
            </w:r>
          </w:p>
        </w:tc>
        <w:tc>
          <w:tcPr>
            <w:tcW w:w="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2023</w:t>
            </w:r>
          </w:p>
        </w:tc>
      </w:tr>
      <w:tr>
        <w:trPr>
          <w:trHeight w:val="232"/>
        </w:trPr>
        <w:tc>
          <w:tcPr>
            <w:tcW w:w="74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74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1540" w:type="dxa"/>
            <w:vAlign w:val="bottom"/>
          </w:tcPr>
          <w:p>
            <w:pPr>
              <w:spacing w:after="0"/>
              <w:rPr>
                <w:sz w:val="20"/>
                <w:szCs w:val="20"/>
                <w:color w:val="auto"/>
              </w:rPr>
            </w:pPr>
          </w:p>
        </w:tc>
      </w:tr>
      <w:tr>
        <w:trPr>
          <w:trHeight w:val="234"/>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Materials and supplies</w:t>
            </w:r>
          </w:p>
        </w:tc>
        <w:tc>
          <w:tcPr>
            <w:tcW w:w="1540" w:type="dxa"/>
            <w:vAlign w:val="bottom"/>
            <w:shd w:val="clear" w:color="auto" w:fill="CCEEFF"/>
          </w:tcPr>
          <w:p>
            <w:pPr>
              <w:jc w:val="right"/>
              <w:ind w:right="133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29"/>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Finished goods</w:t>
            </w:r>
          </w:p>
        </w:tc>
        <w:tc>
          <w:tcPr>
            <w:tcW w:w="15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48"/>
        </w:trPr>
        <w:tc>
          <w:tcPr>
            <w:tcW w:w="74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Inventories</w:t>
            </w:r>
          </w:p>
        </w:tc>
        <w:tc>
          <w:tcPr>
            <w:tcW w:w="1540" w:type="dxa"/>
            <w:vAlign w:val="bottom"/>
            <w:tcBorders>
              <w:bottom w:val="single" w:sz="8" w:color="auto"/>
            </w:tcBorders>
            <w:shd w:val="clear" w:color="auto" w:fill="CCEEFF"/>
          </w:tcPr>
          <w:p>
            <w:pPr>
              <w:jc w:val="right"/>
              <w:ind w:right="1330"/>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the nine months ended September 30, 2024, we recorded an impairment of excess and obsolete materials and supplies of $13 million.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impairment related to the write-down of obsolete materials and supplies to fair value using Level 3 inputs in the fair value hierarchy.</w:t>
      </w:r>
    </w:p>
    <w:p>
      <w:pPr>
        <w:spacing w:after="0" w:line="234" w:lineRule="exact"/>
        <w:rPr>
          <w:sz w:val="20"/>
          <w:szCs w:val="20"/>
          <w:color w:val="auto"/>
        </w:rPr>
      </w:pPr>
    </w:p>
    <w:p>
      <w:pPr>
        <w:ind w:right="580" w:firstLine="324"/>
        <w:spacing w:after="0" w:line="287" w:lineRule="auto"/>
        <w:rPr>
          <w:sz w:val="20"/>
          <w:szCs w:val="20"/>
          <w:color w:val="auto"/>
        </w:rPr>
      </w:pPr>
      <w:r>
        <w:rPr>
          <w:rFonts w:ascii="Arial" w:cs="Arial" w:eastAsia="Arial" w:hAnsi="Arial"/>
          <w:sz w:val="18"/>
          <w:szCs w:val="18"/>
          <w:color w:val="auto"/>
        </w:rPr>
        <w:t xml:space="preserve">We also acquired inventory with an estimated value of $18 million in connection with the Aera Merger. See </w:t>
      </w:r>
      <w:r>
        <w:rPr>
          <w:rFonts w:ascii="Arial" w:cs="Arial" w:eastAsia="Arial" w:hAnsi="Arial"/>
          <w:sz w:val="18"/>
          <w:szCs w:val="18"/>
          <w:i w:val="1"/>
          <w:iCs w:val="1"/>
          <w:color w:val="auto"/>
        </w:rPr>
        <w:t>Note 2 Aera Merger</w:t>
      </w:r>
      <w:r>
        <w:rPr>
          <w:rFonts w:ascii="Arial" w:cs="Arial" w:eastAsia="Arial" w:hAnsi="Arial"/>
          <w:sz w:val="18"/>
          <w:szCs w:val="18"/>
          <w:color w:val="auto"/>
        </w:rPr>
        <w:t xml:space="preserve"> for additional information.</w:t>
      </w:r>
    </w:p>
    <w:p>
      <w:pPr>
        <w:spacing w:after="0" w:line="180" w:lineRule="exact"/>
        <w:rPr>
          <w:sz w:val="20"/>
          <w:szCs w:val="20"/>
          <w:color w:val="auto"/>
        </w:rPr>
      </w:pPr>
    </w:p>
    <w:tbl>
      <w:tblPr>
        <w:tblLayout w:type="fixed"/>
        <w:tblInd w:w="20" w:type="dxa"/>
        <w:tblCellMar>
          <w:top w:w="0" w:type="dxa"/>
          <w:left w:w="0" w:type="dxa"/>
          <w:bottom w:w="0" w:type="dxa"/>
          <w:right w:w="0" w:type="dxa"/>
        </w:tblCellMar>
      </w:tblPr>
      <w:tr>
        <w:trPr>
          <w:trHeight w:val="247"/>
        </w:trPr>
        <w:tc>
          <w:tcPr>
            <w:tcW w:w="7420" w:type="dxa"/>
            <w:vAlign w:val="bottom"/>
          </w:tcPr>
          <w:p>
            <w:pPr>
              <w:ind w:left="320"/>
              <w:spacing w:after="0"/>
              <w:rPr>
                <w:sz w:val="20"/>
                <w:szCs w:val="20"/>
                <w:color w:val="auto"/>
              </w:rPr>
            </w:pPr>
            <w:r>
              <w:rPr>
                <w:rFonts w:ascii="Arial" w:cs="Arial" w:eastAsia="Arial" w:hAnsi="Arial"/>
                <w:sz w:val="18"/>
                <w:szCs w:val="18"/>
                <w:b w:val="1"/>
                <w:bCs w:val="1"/>
                <w:i w:val="1"/>
                <w:iCs w:val="1"/>
                <w:color w:val="auto"/>
              </w:rPr>
              <w:t xml:space="preserve">Other current assets, net </w:t>
            </w:r>
            <w:r>
              <w:rPr>
                <w:rFonts w:ascii="Arial" w:cs="Arial" w:eastAsia="Arial" w:hAnsi="Arial"/>
                <w:sz w:val="18"/>
                <w:szCs w:val="18"/>
                <w:color w:val="auto"/>
              </w:rPr>
              <w:t>— Other current assets, net include the following:</w:t>
            </w:r>
          </w:p>
        </w:tc>
        <w:tc>
          <w:tcPr>
            <w:tcW w:w="2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334"/>
        </w:trPr>
        <w:tc>
          <w:tcPr>
            <w:tcW w:w="7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gridSpan w:val="2"/>
          </w:tcPr>
          <w:p>
            <w:pPr>
              <w:ind w:left="100"/>
              <w:spacing w:after="0"/>
              <w:rPr>
                <w:sz w:val="20"/>
                <w:szCs w:val="20"/>
                <w:color w:val="auto"/>
              </w:rPr>
            </w:pPr>
            <w:r>
              <w:rPr>
                <w:rFonts w:ascii="Arial" w:cs="Arial" w:eastAsia="Arial" w:hAnsi="Arial"/>
                <w:sz w:val="18"/>
                <w:szCs w:val="18"/>
                <w:b w:val="1"/>
                <w:bCs w:val="1"/>
                <w:color w:val="auto"/>
              </w:rPr>
              <w:t>September 30,</w:t>
            </w:r>
          </w:p>
        </w:tc>
        <w:tc>
          <w:tcPr>
            <w:tcW w:w="320" w:type="dxa"/>
            <w:vAlign w:val="bottom"/>
          </w:tcPr>
          <w:p>
            <w:pPr>
              <w:spacing w:after="0"/>
              <w:rPr>
                <w:sz w:val="24"/>
                <w:szCs w:val="24"/>
                <w:color w:val="auto"/>
              </w:rPr>
            </w:pPr>
          </w:p>
        </w:tc>
        <w:tc>
          <w:tcPr>
            <w:tcW w:w="1520" w:type="dxa"/>
            <w:vAlign w:val="bottom"/>
          </w:tcPr>
          <w:p>
            <w:pPr>
              <w:jc w:val="right"/>
              <w:ind w:right="250"/>
              <w:spacing w:after="0"/>
              <w:rPr>
                <w:sz w:val="20"/>
                <w:szCs w:val="20"/>
                <w:color w:val="auto"/>
              </w:rPr>
            </w:pPr>
            <w:r>
              <w:rPr>
                <w:rFonts w:ascii="Arial" w:cs="Arial" w:eastAsia="Arial" w:hAnsi="Arial"/>
                <w:sz w:val="18"/>
                <w:szCs w:val="18"/>
                <w:b w:val="1"/>
                <w:bCs w:val="1"/>
                <w:color w:val="auto"/>
                <w:w w:val="99"/>
              </w:rPr>
              <w:t>December 31,</w:t>
            </w:r>
          </w:p>
        </w:tc>
      </w:tr>
      <w:tr>
        <w:trPr>
          <w:trHeight w:val="235"/>
        </w:trPr>
        <w:tc>
          <w:tcPr>
            <w:tcW w:w="74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632"/>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2023</w:t>
            </w:r>
          </w:p>
        </w:tc>
      </w:tr>
      <w:tr>
        <w:trPr>
          <w:trHeight w:val="233"/>
        </w:trPr>
        <w:tc>
          <w:tcPr>
            <w:tcW w:w="7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6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1520" w:type="dxa"/>
            <w:vAlign w:val="bottom"/>
          </w:tcPr>
          <w:p>
            <w:pPr>
              <w:spacing w:after="0"/>
              <w:rPr>
                <w:sz w:val="20"/>
                <w:szCs w:val="20"/>
                <w:color w:val="auto"/>
              </w:rPr>
            </w:pPr>
          </w:p>
        </w:tc>
      </w:tr>
      <w:tr>
        <w:trPr>
          <w:trHeight w:val="233"/>
        </w:trPr>
        <w:tc>
          <w:tcPr>
            <w:tcW w:w="7420" w:type="dxa"/>
            <w:vAlign w:val="bottom"/>
            <w:shd w:val="clear" w:color="auto" w:fill="CCEEFF"/>
          </w:tcPr>
          <w:p>
            <w:pPr>
              <w:ind w:left="20"/>
              <w:spacing w:after="0" w:line="233" w:lineRule="exact"/>
              <w:rPr>
                <w:sz w:val="20"/>
                <w:szCs w:val="20"/>
                <w:color w:val="auto"/>
              </w:rPr>
            </w:pPr>
            <w:r>
              <w:rPr>
                <w:rFonts w:ascii="Arial" w:cs="Arial" w:eastAsia="Arial" w:hAnsi="Arial"/>
                <w:sz w:val="18"/>
                <w:szCs w:val="18"/>
                <w:color w:val="auto"/>
              </w:rPr>
              <w:t>Net amounts due from joint interest partners</w:t>
            </w:r>
            <w:r>
              <w:rPr>
                <w:rFonts w:ascii="Arial" w:cs="Arial" w:eastAsia="Arial" w:hAnsi="Arial"/>
                <w:sz w:val="23"/>
                <w:szCs w:val="23"/>
                <w:color w:val="auto"/>
                <w:vertAlign w:val="superscript"/>
              </w:rPr>
              <w:t>(a)</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30"/>
        </w:trPr>
        <w:tc>
          <w:tcPr>
            <w:tcW w:w="7420" w:type="dxa"/>
            <w:vAlign w:val="bottom"/>
          </w:tcPr>
          <w:p>
            <w:pPr>
              <w:ind w:left="20"/>
              <w:spacing w:after="0"/>
              <w:rPr>
                <w:sz w:val="20"/>
                <w:szCs w:val="20"/>
                <w:color w:val="auto"/>
              </w:rPr>
            </w:pPr>
            <w:r>
              <w:rPr>
                <w:rFonts w:ascii="Arial" w:cs="Arial" w:eastAsia="Arial" w:hAnsi="Arial"/>
                <w:sz w:val="18"/>
                <w:szCs w:val="18"/>
                <w:color w:val="auto"/>
              </w:rPr>
              <w:t>Fair value of commodity derivative contracts</w:t>
            </w: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29"/>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expenses</w:t>
            </w:r>
          </w:p>
        </w:tc>
        <w:tc>
          <w:tcPr>
            <w:tcW w:w="2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7420" w:type="dxa"/>
            <w:vAlign w:val="bottom"/>
          </w:tcPr>
          <w:p>
            <w:pPr>
              <w:ind w:left="20"/>
              <w:spacing w:after="0"/>
              <w:rPr>
                <w:sz w:val="20"/>
                <w:szCs w:val="20"/>
                <w:color w:val="auto"/>
              </w:rPr>
            </w:pPr>
            <w:r>
              <w:rPr>
                <w:rFonts w:ascii="Arial" w:cs="Arial" w:eastAsia="Arial" w:hAnsi="Arial"/>
                <w:sz w:val="18"/>
                <w:szCs w:val="18"/>
                <w:color w:val="auto"/>
              </w:rPr>
              <w:t>Greenhouse gas allowances</w:t>
            </w: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23"/>
        </w:trPr>
        <w:tc>
          <w:tcPr>
            <w:tcW w:w="7420" w:type="dxa"/>
            <w:vAlign w:val="bottom"/>
          </w:tcPr>
          <w:p>
            <w:pPr>
              <w:ind w:left="140"/>
              <w:spacing w:after="0"/>
              <w:rPr>
                <w:sz w:val="20"/>
                <w:szCs w:val="20"/>
                <w:color w:val="auto"/>
              </w:rPr>
            </w:pPr>
            <w:r>
              <w:rPr>
                <w:rFonts w:ascii="Arial" w:cs="Arial" w:eastAsia="Arial" w:hAnsi="Arial"/>
                <w:sz w:val="18"/>
                <w:szCs w:val="18"/>
                <w:color w:val="auto"/>
              </w:rPr>
              <w:t>Other current assets, net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r>
      <w:tr>
        <w:trPr>
          <w:trHeight w:val="20"/>
        </w:trPr>
        <w:tc>
          <w:tcPr>
            <w:tcW w:w="7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(a)</w:t>
        <w:tab/>
        <w:t>Included in the September 30, 2024 and December 31, 2023 net amounts due from joint interest partners are allowances of $3 million.</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47"/>
        </w:trPr>
        <w:tc>
          <w:tcPr>
            <w:tcW w:w="40" w:type="dxa"/>
            <w:vAlign w:val="bottom"/>
          </w:tcPr>
          <w:p>
            <w:pPr>
              <w:spacing w:after="0"/>
              <w:rPr>
                <w:sz w:val="21"/>
                <w:szCs w:val="21"/>
                <w:color w:val="auto"/>
              </w:rPr>
            </w:pPr>
          </w:p>
        </w:tc>
        <w:tc>
          <w:tcPr>
            <w:tcW w:w="7360" w:type="dxa"/>
            <w:vAlign w:val="bottom"/>
          </w:tcPr>
          <w:p>
            <w:pPr>
              <w:ind w:left="300"/>
              <w:spacing w:after="0"/>
              <w:rPr>
                <w:sz w:val="20"/>
                <w:szCs w:val="20"/>
                <w:color w:val="auto"/>
              </w:rPr>
            </w:pPr>
            <w:r>
              <w:rPr>
                <w:rFonts w:ascii="Arial" w:cs="Arial" w:eastAsia="Arial" w:hAnsi="Arial"/>
                <w:sz w:val="18"/>
                <w:szCs w:val="18"/>
                <w:b w:val="1"/>
                <w:bCs w:val="1"/>
                <w:i w:val="1"/>
                <w:iCs w:val="1"/>
                <w:color w:val="auto"/>
              </w:rPr>
              <w:t xml:space="preserve">Other noncurrent assets </w:t>
            </w:r>
            <w:r>
              <w:rPr>
                <w:rFonts w:ascii="Arial" w:cs="Arial" w:eastAsia="Arial" w:hAnsi="Arial"/>
                <w:sz w:val="18"/>
                <w:szCs w:val="18"/>
                <w:color w:val="auto"/>
              </w:rPr>
              <w:t>— Other noncurrent assets include the following:</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4"/>
        </w:trPr>
        <w:tc>
          <w:tcPr>
            <w:tcW w:w="40" w:type="dxa"/>
            <w:vAlign w:val="bottom"/>
          </w:tcPr>
          <w:p>
            <w:pPr>
              <w:spacing w:after="0"/>
              <w:rPr>
                <w:sz w:val="24"/>
                <w:szCs w:val="24"/>
                <w:color w:val="auto"/>
              </w:rPr>
            </w:pPr>
          </w:p>
        </w:tc>
        <w:tc>
          <w:tcPr>
            <w:tcW w:w="7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9"/>
              </w:rPr>
              <w:t>September 30,</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20" w:type="dxa"/>
            <w:vAlign w:val="bottom"/>
          </w:tcPr>
          <w:p>
            <w:pPr>
              <w:jc w:val="center"/>
              <w:ind w:right="250"/>
              <w:spacing w:after="0"/>
              <w:rPr>
                <w:sz w:val="20"/>
                <w:szCs w:val="20"/>
                <w:color w:val="auto"/>
              </w:rPr>
            </w:pPr>
            <w:r>
              <w:rPr>
                <w:rFonts w:ascii="Arial" w:cs="Arial" w:eastAsia="Arial" w:hAnsi="Arial"/>
                <w:sz w:val="18"/>
                <w:szCs w:val="18"/>
                <w:b w:val="1"/>
                <w:bCs w:val="1"/>
                <w:color w:val="auto"/>
              </w:rPr>
              <w:t>December 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73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center"/>
              <w:ind w:right="111"/>
              <w:spacing w:after="0"/>
              <w:rPr>
                <w:sz w:val="20"/>
                <w:szCs w:val="20"/>
                <w:color w:val="auto"/>
              </w:rPr>
            </w:pPr>
            <w:r>
              <w:rPr>
                <w:rFonts w:ascii="Arial" w:cs="Arial" w:eastAsia="Arial" w:hAnsi="Arial"/>
                <w:sz w:val="18"/>
                <w:szCs w:val="18"/>
                <w:b w:val="1"/>
                <w:bCs w:val="1"/>
                <w:color w:val="auto"/>
                <w:w w:val="99"/>
              </w:rPr>
              <w:t>2024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b w:val="1"/>
                <w:bCs w:val="1"/>
                <w:color w:val="auto"/>
                <w:w w:val="99"/>
              </w:rPr>
              <w:t>2023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7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80" w:type="dxa"/>
            <w:vAlign w:val="bottom"/>
            <w:gridSpan w:val="5"/>
          </w:tcPr>
          <w:p>
            <w:pPr>
              <w:ind w:left="1320"/>
              <w:spacing w:after="0"/>
              <w:rPr>
                <w:sz w:val="20"/>
                <w:szCs w:val="20"/>
                <w:color w:val="auto"/>
              </w:rPr>
            </w:pPr>
            <w:r>
              <w:rPr>
                <w:rFonts w:ascii="Arial" w:cs="Arial" w:eastAsia="Arial" w:hAnsi="Arial"/>
                <w:sz w:val="14"/>
                <w:szCs w:val="14"/>
                <w:color w:val="auto"/>
              </w:rPr>
              <w:t>(in millions)</w:t>
            </w:r>
          </w:p>
        </w:tc>
        <w:tc>
          <w:tcPr>
            <w:tcW w:w="1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2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Deferred financing costs - Revolving Credit Facility</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Emission reduction credits</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Prepaid power plant maintenance</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Fair value of commodity derivative contracts</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Funded pension</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89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w:t>
            </w: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360" w:type="dxa"/>
            <w:vAlign w:val="bottom"/>
          </w:tcPr>
          <w:p>
            <w:pPr>
              <w:ind w:left="120"/>
              <w:spacing w:after="0"/>
              <w:rPr>
                <w:sz w:val="20"/>
                <w:szCs w:val="20"/>
                <w:color w:val="auto"/>
              </w:rPr>
            </w:pPr>
            <w:r>
              <w:rPr>
                <w:rFonts w:ascii="Arial" w:cs="Arial" w:eastAsia="Arial" w:hAnsi="Arial"/>
                <w:sz w:val="18"/>
                <w:szCs w:val="18"/>
                <w:color w:val="auto"/>
              </w:rPr>
              <w:t>Other noncurrent assets</w:t>
            </w:r>
          </w:p>
        </w:tc>
        <w:tc>
          <w:tcPr>
            <w:tcW w:w="2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360" w:type="dxa"/>
            <w:vAlign w:val="bottom"/>
            <w:vMerge w:val="restart"/>
          </w:tcPr>
          <w:p>
            <w:pPr>
              <w:ind w:left="300"/>
              <w:spacing w:after="0"/>
              <w:rPr>
                <w:sz w:val="20"/>
                <w:szCs w:val="20"/>
                <w:color w:val="auto"/>
              </w:rPr>
            </w:pPr>
            <w:r>
              <w:rPr>
                <w:rFonts w:ascii="Arial" w:cs="Arial" w:eastAsia="Arial" w:hAnsi="Arial"/>
                <w:sz w:val="18"/>
                <w:szCs w:val="18"/>
                <w:b w:val="1"/>
                <w:bCs w:val="1"/>
                <w:i w:val="1"/>
                <w:iCs w:val="1"/>
                <w:color w:val="auto"/>
              </w:rPr>
              <w:t xml:space="preserve">Accrued liabilities </w:t>
            </w:r>
            <w:r>
              <w:rPr>
                <w:rFonts w:ascii="Arial" w:cs="Arial" w:eastAsia="Arial" w:hAnsi="Arial"/>
                <w:sz w:val="18"/>
                <w:szCs w:val="18"/>
                <w:color w:val="auto"/>
              </w:rPr>
              <w:t>— Accrued liabilities include the following:</w:t>
            </w: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5"/>
        </w:trPr>
        <w:tc>
          <w:tcPr>
            <w:tcW w:w="40" w:type="dxa"/>
            <w:vAlign w:val="bottom"/>
          </w:tcPr>
          <w:p>
            <w:pPr>
              <w:spacing w:after="0"/>
              <w:rPr>
                <w:sz w:val="24"/>
                <w:szCs w:val="24"/>
                <w:color w:val="auto"/>
              </w:rPr>
            </w:pPr>
          </w:p>
        </w:tc>
        <w:tc>
          <w:tcPr>
            <w:tcW w:w="73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40" w:type="dxa"/>
            <w:vAlign w:val="bottom"/>
          </w:tcPr>
          <w:p>
            <w:pPr>
              <w:spacing w:after="0"/>
              <w:rPr>
                <w:sz w:val="24"/>
                <w:szCs w:val="24"/>
                <w:color w:val="auto"/>
              </w:rPr>
            </w:pPr>
          </w:p>
        </w:tc>
        <w:tc>
          <w:tcPr>
            <w:tcW w:w="7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9"/>
              </w:rPr>
              <w:t>September 30,</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20" w:type="dxa"/>
            <w:vAlign w:val="bottom"/>
          </w:tcPr>
          <w:p>
            <w:pPr>
              <w:jc w:val="center"/>
              <w:ind w:right="250"/>
              <w:spacing w:after="0"/>
              <w:rPr>
                <w:sz w:val="20"/>
                <w:szCs w:val="20"/>
                <w:color w:val="auto"/>
              </w:rPr>
            </w:pPr>
            <w:r>
              <w:rPr>
                <w:rFonts w:ascii="Arial" w:cs="Arial" w:eastAsia="Arial" w:hAnsi="Arial"/>
                <w:sz w:val="18"/>
                <w:szCs w:val="18"/>
                <w:b w:val="1"/>
                <w:bCs w:val="1"/>
                <w:color w:val="auto"/>
              </w:rPr>
              <w:t>December 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73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center"/>
              <w:ind w:right="111"/>
              <w:spacing w:after="0"/>
              <w:rPr>
                <w:sz w:val="20"/>
                <w:szCs w:val="20"/>
                <w:color w:val="auto"/>
              </w:rPr>
            </w:pPr>
            <w:r>
              <w:rPr>
                <w:rFonts w:ascii="Arial" w:cs="Arial" w:eastAsia="Arial" w:hAnsi="Arial"/>
                <w:sz w:val="18"/>
                <w:szCs w:val="18"/>
                <w:b w:val="1"/>
                <w:bCs w:val="1"/>
                <w:color w:val="auto"/>
                <w:w w:val="99"/>
              </w:rPr>
              <w:t>2024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b w:val="1"/>
                <w:bCs w:val="1"/>
                <w:color w:val="auto"/>
                <w:w w:val="99"/>
              </w:rPr>
              <w:t>2023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7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80" w:type="dxa"/>
            <w:vAlign w:val="bottom"/>
            <w:gridSpan w:val="5"/>
          </w:tcPr>
          <w:p>
            <w:pPr>
              <w:ind w:left="1320"/>
              <w:spacing w:after="0"/>
              <w:rPr>
                <w:sz w:val="20"/>
                <w:szCs w:val="20"/>
                <w:color w:val="auto"/>
              </w:rPr>
            </w:pPr>
            <w:r>
              <w:rPr>
                <w:rFonts w:ascii="Arial" w:cs="Arial" w:eastAsia="Arial" w:hAnsi="Arial"/>
                <w:sz w:val="14"/>
                <w:szCs w:val="14"/>
                <w:color w:val="auto"/>
              </w:rPr>
              <w:t>(in millions)</w:t>
            </w:r>
          </w:p>
        </w:tc>
        <w:tc>
          <w:tcPr>
            <w:tcW w:w="1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Employee-related costs</w:t>
            </w:r>
          </w:p>
        </w:tc>
        <w:tc>
          <w:tcPr>
            <w:tcW w:w="2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Taxes other than on income</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97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Asset retirement obligations</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Interest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liability</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Fair value of derivative contracts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Premiums due on commodity derivative contracts</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Liability for settlement payments on commodity derivative contracts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Amounts due under production-sharing contracts</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Signal Hill maintenance</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Income taxes payable</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73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Accrued liabilities</w:t>
            </w:r>
          </w:p>
        </w:tc>
        <w:tc>
          <w:tcPr>
            <w:tcW w:w="22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360" w:type="dxa"/>
            <w:vAlign w:val="bottom"/>
            <w:tcBorders>
              <w:top w:val="single" w:sz="8" w:color="CCEEFF"/>
              <w:bottom w:val="single" w:sz="8" w:color="CCEEFF"/>
            </w:tcBorders>
            <w:vMerge w:val="restart"/>
          </w:tcPr>
          <w:p>
            <w:pPr>
              <w:ind w:left="300"/>
              <w:spacing w:after="0"/>
              <w:rPr>
                <w:sz w:val="20"/>
                <w:szCs w:val="20"/>
                <w:color w:val="auto"/>
              </w:rPr>
            </w:pPr>
            <w:r>
              <w:rPr>
                <w:rFonts w:ascii="Arial" w:cs="Arial" w:eastAsia="Arial" w:hAnsi="Arial"/>
                <w:sz w:val="18"/>
                <w:szCs w:val="18"/>
                <w:b w:val="1"/>
                <w:bCs w:val="1"/>
                <w:i w:val="1"/>
                <w:iCs w:val="1"/>
                <w:color w:val="auto"/>
              </w:rPr>
              <w:t xml:space="preserve">Other long-term liabilities </w:t>
            </w:r>
            <w:r>
              <w:rPr>
                <w:rFonts w:ascii="Arial" w:cs="Arial" w:eastAsia="Arial" w:hAnsi="Arial"/>
                <w:sz w:val="18"/>
                <w:szCs w:val="18"/>
                <w:color w:val="auto"/>
              </w:rPr>
              <w:t>— Other long-term liabilities includes the following:</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9"/>
        </w:trPr>
        <w:tc>
          <w:tcPr>
            <w:tcW w:w="40" w:type="dxa"/>
            <w:vAlign w:val="bottom"/>
          </w:tcPr>
          <w:p>
            <w:pPr>
              <w:spacing w:after="0"/>
              <w:rPr>
                <w:sz w:val="24"/>
                <w:szCs w:val="24"/>
                <w:color w:val="auto"/>
              </w:rPr>
            </w:pPr>
          </w:p>
        </w:tc>
        <w:tc>
          <w:tcPr>
            <w:tcW w:w="73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2"/>
        </w:trPr>
        <w:tc>
          <w:tcPr>
            <w:tcW w:w="40" w:type="dxa"/>
            <w:vAlign w:val="bottom"/>
          </w:tcPr>
          <w:p>
            <w:pPr>
              <w:spacing w:after="0"/>
              <w:rPr>
                <w:sz w:val="24"/>
                <w:szCs w:val="24"/>
                <w:color w:val="auto"/>
              </w:rPr>
            </w:pPr>
          </w:p>
        </w:tc>
        <w:tc>
          <w:tcPr>
            <w:tcW w:w="7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9"/>
              </w:rPr>
              <w:t>September 30,</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20" w:type="dxa"/>
            <w:vAlign w:val="bottom"/>
          </w:tcPr>
          <w:p>
            <w:pPr>
              <w:jc w:val="center"/>
              <w:ind w:right="210"/>
              <w:spacing w:after="0"/>
              <w:rPr>
                <w:sz w:val="20"/>
                <w:szCs w:val="20"/>
                <w:color w:val="auto"/>
              </w:rPr>
            </w:pPr>
            <w:r>
              <w:rPr>
                <w:rFonts w:ascii="Arial" w:cs="Arial" w:eastAsia="Arial" w:hAnsi="Arial"/>
                <w:sz w:val="18"/>
                <w:szCs w:val="18"/>
                <w:b w:val="1"/>
                <w:bCs w:val="1"/>
                <w:color w:val="auto"/>
              </w:rPr>
              <w:t>December 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7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center"/>
              <w:ind w:right="71"/>
              <w:spacing w:after="0"/>
              <w:rPr>
                <w:sz w:val="20"/>
                <w:szCs w:val="20"/>
                <w:color w:val="auto"/>
              </w:rPr>
            </w:pPr>
            <w:r>
              <w:rPr>
                <w:rFonts w:ascii="Arial" w:cs="Arial" w:eastAsia="Arial" w:hAnsi="Arial"/>
                <w:sz w:val="18"/>
                <w:szCs w:val="18"/>
                <w:b w:val="1"/>
                <w:bCs w:val="1"/>
                <w:color w:val="auto"/>
                <w:w w:val="99"/>
              </w:rPr>
              <w:t>2024</w:t>
            </w:r>
          </w:p>
        </w:tc>
        <w:tc>
          <w:tcPr>
            <w:tcW w:w="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99"/>
              </w:rPr>
              <w:t>2023</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7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80" w:type="dxa"/>
            <w:vAlign w:val="bottom"/>
            <w:gridSpan w:val="5"/>
          </w:tcPr>
          <w:p>
            <w:pPr>
              <w:ind w:left="1340"/>
              <w:spacing w:after="0"/>
              <w:rPr>
                <w:sz w:val="20"/>
                <w:szCs w:val="20"/>
                <w:color w:val="auto"/>
              </w:rPr>
            </w:pPr>
            <w:r>
              <w:rPr>
                <w:rFonts w:ascii="Arial" w:cs="Arial" w:eastAsia="Arial" w:hAnsi="Arial"/>
                <w:sz w:val="14"/>
                <w:szCs w:val="14"/>
                <w:color w:val="auto"/>
              </w:rPr>
              <w:t>(in millions)</w:t>
            </w:r>
          </w:p>
        </w:tc>
        <w:tc>
          <w:tcPr>
            <w:tcW w:w="1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7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Compensation-related liabilities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400" w:type="dxa"/>
            <w:vAlign w:val="bottom"/>
            <w:gridSpan w:val="2"/>
          </w:tcPr>
          <w:p>
            <w:pPr>
              <w:ind w:left="20"/>
              <w:spacing w:after="0"/>
              <w:rPr>
                <w:sz w:val="20"/>
                <w:szCs w:val="20"/>
                <w:color w:val="auto"/>
              </w:rPr>
            </w:pPr>
            <w:r>
              <w:rPr>
                <w:rFonts w:ascii="Arial" w:cs="Arial" w:eastAsia="Arial" w:hAnsi="Arial"/>
                <w:sz w:val="18"/>
                <w:szCs w:val="18"/>
                <w:color w:val="auto"/>
              </w:rPr>
              <w:t>Postretirement and pension benefit plans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liability</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00" w:type="dxa"/>
            <w:vAlign w:val="bottom"/>
            <w:gridSpan w:val="2"/>
          </w:tcPr>
          <w:p>
            <w:pPr>
              <w:ind w:left="20"/>
              <w:spacing w:after="0"/>
              <w:rPr>
                <w:sz w:val="20"/>
                <w:szCs w:val="20"/>
                <w:color w:val="auto"/>
              </w:rPr>
            </w:pPr>
            <w:r>
              <w:rPr>
                <w:rFonts w:ascii="Arial" w:cs="Arial" w:eastAsia="Arial" w:hAnsi="Arial"/>
                <w:sz w:val="18"/>
                <w:szCs w:val="18"/>
                <w:color w:val="auto"/>
              </w:rPr>
              <w:t>Premiums due on commodity derivative contracts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Contingent liability (related to Carbon TerraVault JV put and call rights)</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w:t>
            </w: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Borders>
              <w:bottom w:val="single" w:sz="8" w:color="CCEEFF"/>
            </w:tcBorders>
            <w:shd w:val="clear" w:color="auto" w:fill="CCEEFF"/>
          </w:tcPr>
          <w:p>
            <w:pPr>
              <w:spacing w:after="0"/>
              <w:rPr>
                <w:sz w:val="21"/>
                <w:szCs w:val="21"/>
                <w:color w:val="auto"/>
              </w:rPr>
            </w:pPr>
          </w:p>
        </w:tc>
        <w:tc>
          <w:tcPr>
            <w:tcW w:w="73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Other long-term liabilities</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3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31" w:name="page32"/>
    <w:bookmarkEnd w:id="31"/>
    <w:p>
      <w:pPr>
        <w:ind w:right="40" w:firstLine="324"/>
        <w:spacing w:after="0" w:line="256" w:lineRule="auto"/>
        <w:rPr>
          <w:sz w:val="20"/>
          <w:szCs w:val="20"/>
          <w:color w:val="auto"/>
        </w:rPr>
      </w:pPr>
      <w:r>
        <w:rPr>
          <w:rFonts w:ascii="Arial" w:cs="Arial" w:eastAsia="Arial" w:hAnsi="Arial"/>
          <w:sz w:val="18"/>
          <w:szCs w:val="18"/>
          <w:b w:val="1"/>
          <w:bCs w:val="1"/>
          <w:i w:val="1"/>
          <w:iCs w:val="1"/>
          <w:color w:val="auto"/>
        </w:rPr>
        <w:t xml:space="preserve">General and administrative expenses </w:t>
      </w:r>
      <w:r>
        <w:rPr>
          <w:rFonts w:ascii="Arial" w:cs="Arial" w:eastAsia="Arial" w:hAnsi="Arial"/>
          <w:sz w:val="18"/>
          <w:szCs w:val="18"/>
          <w:color w:val="auto"/>
        </w:rPr>
        <w:t>— The table below shows G&amp;A expenses for our exploration and production business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unallocated corporate overhead and other) separately from our carbon management business. The amounts shown for our carbon management business are net of amounts invoiced by us under the MSA with the Carbon TerraVault JV. See </w:t>
      </w:r>
      <w:r>
        <w:rPr>
          <w:rFonts w:ascii="Arial" w:cs="Arial" w:eastAsia="Arial" w:hAnsi="Arial"/>
          <w:sz w:val="18"/>
          <w:szCs w:val="18"/>
          <w:i w:val="1"/>
          <w:iCs w:val="1"/>
          <w:color w:val="auto"/>
        </w:rPr>
        <w:t>Note 3 Investment in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Unconsolidated Subsidiary and Related Party Transactions </w:t>
      </w:r>
      <w:r>
        <w:rPr>
          <w:rFonts w:ascii="Arial" w:cs="Arial" w:eastAsia="Arial" w:hAnsi="Arial"/>
          <w:sz w:val="18"/>
          <w:szCs w:val="18"/>
          <w:color w:val="auto"/>
        </w:rPr>
        <w:t>for more information on the Carbon TerraVault JV. Since July 1, 2024, the closing</w:t>
      </w:r>
      <w:r>
        <w:rPr>
          <w:rFonts w:ascii="Arial" w:cs="Arial" w:eastAsia="Arial" w:hAnsi="Arial"/>
          <w:sz w:val="18"/>
          <w:szCs w:val="18"/>
          <w:i w:val="1"/>
          <w:iCs w:val="1"/>
          <w:color w:val="auto"/>
        </w:rPr>
        <w:t xml:space="preserve"> </w:t>
      </w:r>
      <w:r>
        <w:rPr>
          <w:rFonts w:ascii="Arial" w:cs="Arial" w:eastAsia="Arial" w:hAnsi="Arial"/>
          <w:sz w:val="18"/>
          <w:szCs w:val="18"/>
          <w:color w:val="auto"/>
        </w:rPr>
        <w:t>date of the Aera Merger, the results of operations for Aera have been included in our consolidated financial statements. The amounts shown for our exploration and production business includes $46 million related to Aera during the period of July 1, 2024 through September 30, 2024.</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80" w:type="dxa"/>
            <w:vAlign w:val="bottom"/>
          </w:tcPr>
          <w:p>
            <w:pPr>
              <w:spacing w:after="0"/>
              <w:rPr>
                <w:sz w:val="17"/>
                <w:szCs w:val="17"/>
                <w:color w:val="auto"/>
              </w:rPr>
            </w:pPr>
          </w:p>
        </w:tc>
        <w:tc>
          <w:tcPr>
            <w:tcW w:w="2580" w:type="dxa"/>
            <w:vAlign w:val="bottom"/>
            <w:gridSpan w:val="4"/>
          </w:tcPr>
          <w:p>
            <w:pPr>
              <w:jc w:val="center"/>
              <w:ind w:left="310"/>
              <w:spacing w:after="0"/>
              <w:rPr>
                <w:sz w:val="20"/>
                <w:szCs w:val="20"/>
                <w:color w:val="auto"/>
              </w:rPr>
            </w:pPr>
            <w:r>
              <w:rPr>
                <w:rFonts w:ascii="Arial" w:cs="Arial" w:eastAsia="Arial" w:hAnsi="Arial"/>
                <w:sz w:val="18"/>
                <w:szCs w:val="18"/>
                <w:b w:val="1"/>
                <w:bCs w:val="1"/>
                <w:color w:val="auto"/>
              </w:rPr>
              <w:t>Three months ended</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40" w:type="dxa"/>
            <w:vAlign w:val="bottom"/>
            <w:gridSpan w:val="4"/>
          </w:tcPr>
          <w:p>
            <w:pPr>
              <w:jc w:val="center"/>
              <w:ind w:left="350"/>
              <w:spacing w:after="0"/>
              <w:rPr>
                <w:sz w:val="20"/>
                <w:szCs w:val="20"/>
                <w:color w:val="auto"/>
              </w:rPr>
            </w:pPr>
            <w:r>
              <w:rPr>
                <w:rFonts w:ascii="Arial" w:cs="Arial" w:eastAsia="Arial" w:hAnsi="Arial"/>
                <w:sz w:val="18"/>
                <w:szCs w:val="18"/>
                <w:b w:val="1"/>
                <w:bCs w:val="1"/>
                <w:color w:val="auto"/>
                <w:w w:val="99"/>
              </w:rPr>
              <w:t>Nine months ended</w:t>
            </w:r>
          </w:p>
        </w:tc>
        <w:tc>
          <w:tcPr>
            <w:tcW w:w="440" w:type="dxa"/>
            <w:vAlign w:val="bottom"/>
          </w:tcPr>
          <w:p>
            <w:pPr>
              <w:spacing w:after="0"/>
              <w:rPr>
                <w:sz w:val="17"/>
                <w:szCs w:val="17"/>
                <w:color w:val="auto"/>
              </w:rPr>
            </w:pPr>
          </w:p>
        </w:tc>
      </w:tr>
      <w:tr>
        <w:trPr>
          <w:trHeight w:val="243"/>
        </w:trPr>
        <w:tc>
          <w:tcPr>
            <w:tcW w:w="5180" w:type="dxa"/>
            <w:vAlign w:val="bottom"/>
          </w:tcPr>
          <w:p>
            <w:pPr>
              <w:spacing w:after="0"/>
              <w:rPr>
                <w:sz w:val="21"/>
                <w:szCs w:val="21"/>
                <w:color w:val="auto"/>
              </w:rPr>
            </w:pPr>
          </w:p>
        </w:tc>
        <w:tc>
          <w:tcPr>
            <w:tcW w:w="2580" w:type="dxa"/>
            <w:vAlign w:val="bottom"/>
            <w:tcBorders>
              <w:bottom w:val="single" w:sz="8" w:color="auto"/>
            </w:tcBorders>
            <w:gridSpan w:val="4"/>
          </w:tcPr>
          <w:p>
            <w:pPr>
              <w:jc w:val="center"/>
              <w:ind w:left="310"/>
              <w:spacing w:after="0"/>
              <w:rPr>
                <w:sz w:val="20"/>
                <w:szCs w:val="20"/>
                <w:color w:val="auto"/>
              </w:rPr>
            </w:pPr>
            <w:r>
              <w:rPr>
                <w:rFonts w:ascii="Arial" w:cs="Arial" w:eastAsia="Arial" w:hAnsi="Arial"/>
                <w:sz w:val="18"/>
                <w:szCs w:val="18"/>
                <w:b w:val="1"/>
                <w:bCs w:val="1"/>
                <w:color w:val="auto"/>
                <w:w w:val="99"/>
              </w:rPr>
              <w:t>September 30,</w:t>
            </w:r>
          </w:p>
        </w:tc>
        <w:tc>
          <w:tcPr>
            <w:tcW w:w="4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540" w:type="dxa"/>
            <w:vAlign w:val="bottom"/>
            <w:tcBorders>
              <w:bottom w:val="single" w:sz="8" w:color="auto"/>
            </w:tcBorders>
            <w:gridSpan w:val="4"/>
          </w:tcPr>
          <w:p>
            <w:pPr>
              <w:jc w:val="center"/>
              <w:ind w:left="350"/>
              <w:spacing w:after="0"/>
              <w:rPr>
                <w:sz w:val="20"/>
                <w:szCs w:val="20"/>
                <w:color w:val="auto"/>
              </w:rPr>
            </w:pPr>
            <w:r>
              <w:rPr>
                <w:rFonts w:ascii="Arial" w:cs="Arial" w:eastAsia="Arial" w:hAnsi="Arial"/>
                <w:sz w:val="18"/>
                <w:szCs w:val="18"/>
                <w:b w:val="1"/>
                <w:bCs w:val="1"/>
                <w:color w:val="auto"/>
                <w:w w:val="99"/>
              </w:rPr>
              <w:t>September 30,</w:t>
            </w:r>
          </w:p>
        </w:tc>
        <w:tc>
          <w:tcPr>
            <w:tcW w:w="440" w:type="dxa"/>
            <w:vAlign w:val="bottom"/>
            <w:tcBorders>
              <w:bottom w:val="single" w:sz="8" w:color="auto"/>
            </w:tcBorders>
          </w:tcPr>
          <w:p>
            <w:pPr>
              <w:spacing w:after="0"/>
              <w:rPr>
                <w:sz w:val="21"/>
                <w:szCs w:val="21"/>
                <w:color w:val="auto"/>
              </w:rPr>
            </w:pPr>
          </w:p>
        </w:tc>
      </w:tr>
      <w:tr>
        <w:trPr>
          <w:trHeight w:val="223"/>
        </w:trPr>
        <w:tc>
          <w:tcPr>
            <w:tcW w:w="518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2024</w:t>
            </w:r>
          </w:p>
        </w:tc>
        <w:tc>
          <w:tcPr>
            <w:tcW w:w="4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2023</w:t>
            </w:r>
          </w:p>
        </w:tc>
        <w:tc>
          <w:tcPr>
            <w:tcW w:w="4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2024</w:t>
            </w:r>
          </w:p>
        </w:tc>
        <w:tc>
          <w:tcPr>
            <w:tcW w:w="4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440" w:type="dxa"/>
            <w:vAlign w:val="bottom"/>
            <w:tcBorders>
              <w:bottom w:val="single" w:sz="8" w:color="auto"/>
            </w:tcBorders>
          </w:tcPr>
          <w:p>
            <w:pPr>
              <w:spacing w:after="0"/>
              <w:rPr>
                <w:sz w:val="19"/>
                <w:szCs w:val="19"/>
                <w:color w:val="auto"/>
              </w:rPr>
            </w:pPr>
          </w:p>
        </w:tc>
      </w:tr>
      <w:tr>
        <w:trPr>
          <w:trHeight w:val="233"/>
        </w:trPr>
        <w:tc>
          <w:tcPr>
            <w:tcW w:w="5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580" w:type="dxa"/>
            <w:vAlign w:val="bottom"/>
            <w:gridSpan w:val="3"/>
          </w:tcPr>
          <w:p>
            <w:pPr>
              <w:jc w:val="center"/>
              <w:ind w:right="510"/>
              <w:spacing w:after="0"/>
              <w:rPr>
                <w:sz w:val="20"/>
                <w:szCs w:val="20"/>
                <w:color w:val="auto"/>
              </w:rPr>
            </w:pPr>
            <w:r>
              <w:rPr>
                <w:rFonts w:ascii="Arial" w:cs="Arial" w:eastAsia="Arial" w:hAnsi="Arial"/>
                <w:sz w:val="14"/>
                <w:szCs w:val="14"/>
                <w:color w:val="auto"/>
              </w:rPr>
              <w:t>(in millions)</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540" w:type="dxa"/>
            <w:vAlign w:val="bottom"/>
            <w:gridSpan w:val="3"/>
          </w:tcPr>
          <w:p>
            <w:pPr>
              <w:jc w:val="center"/>
              <w:ind w:right="470"/>
              <w:spacing w:after="0"/>
              <w:rPr>
                <w:sz w:val="20"/>
                <w:szCs w:val="20"/>
                <w:color w:val="auto"/>
              </w:rPr>
            </w:pPr>
            <w:r>
              <w:rPr>
                <w:rFonts w:ascii="Arial" w:cs="Arial" w:eastAsia="Arial" w:hAnsi="Arial"/>
                <w:sz w:val="14"/>
                <w:szCs w:val="14"/>
                <w:color w:val="auto"/>
              </w:rPr>
              <w:t>(in millions)</w:t>
            </w:r>
          </w:p>
        </w:tc>
        <w:tc>
          <w:tcPr>
            <w:tcW w:w="440" w:type="dxa"/>
            <w:vAlign w:val="bottom"/>
          </w:tcPr>
          <w:p>
            <w:pPr>
              <w:spacing w:after="0"/>
              <w:rPr>
                <w:sz w:val="20"/>
                <w:szCs w:val="20"/>
                <w:color w:val="auto"/>
              </w:rPr>
            </w:pPr>
          </w:p>
        </w:tc>
      </w:tr>
      <w:tr>
        <w:trPr>
          <w:trHeight w:val="234"/>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Exploration and production, corporate and other</w:t>
            </w:r>
          </w:p>
        </w:tc>
        <w:tc>
          <w:tcPr>
            <w:tcW w:w="100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r>
      <w:tr>
        <w:trPr>
          <w:trHeight w:val="229"/>
        </w:trPr>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Carbon management business</w:t>
            </w:r>
          </w:p>
        </w:tc>
        <w:tc>
          <w:tcPr>
            <w:tcW w:w="10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48"/>
        </w:trPr>
        <w:tc>
          <w:tcPr>
            <w:tcW w:w="5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general and administrative expenses</w:t>
            </w:r>
          </w:p>
        </w:tc>
        <w:tc>
          <w:tcPr>
            <w:tcW w:w="100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7"/>
          <w:szCs w:val="17"/>
          <w:b w:val="1"/>
          <w:bCs w:val="1"/>
          <w:color w:val="auto"/>
        </w:rPr>
        <w:t>SUPPLEMENTAL CASH FLOW INFORMATION</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Supplemental disclosures to our condensed consolidated statements of cash flows are presented below:</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74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rPr>
              <w:t>Three months ended</w:t>
            </w:r>
          </w:p>
        </w:tc>
        <w:tc>
          <w:tcPr>
            <w:tcW w:w="320" w:type="dxa"/>
            <w:vAlign w:val="bottom"/>
          </w:tcPr>
          <w:p>
            <w:pPr>
              <w:spacing w:after="0"/>
              <w:rPr>
                <w:sz w:val="17"/>
                <w:szCs w:val="17"/>
                <w:color w:val="auto"/>
              </w:rPr>
            </w:pPr>
          </w:p>
        </w:tc>
        <w:tc>
          <w:tcPr>
            <w:tcW w:w="2660" w:type="dxa"/>
            <w:vAlign w:val="bottom"/>
            <w:gridSpan w:val="4"/>
          </w:tcPr>
          <w:p>
            <w:pPr>
              <w:jc w:val="center"/>
              <w:ind w:right="230"/>
              <w:spacing w:after="0"/>
              <w:rPr>
                <w:sz w:val="20"/>
                <w:szCs w:val="20"/>
                <w:color w:val="auto"/>
              </w:rPr>
            </w:pPr>
            <w:r>
              <w:rPr>
                <w:rFonts w:ascii="Arial" w:cs="Arial" w:eastAsia="Arial" w:hAnsi="Arial"/>
                <w:sz w:val="18"/>
                <w:szCs w:val="18"/>
                <w:b w:val="1"/>
                <w:bCs w:val="1"/>
                <w:color w:val="auto"/>
                <w:w w:val="99"/>
              </w:rPr>
              <w:t>Nine months ended</w:t>
            </w:r>
          </w:p>
        </w:tc>
      </w:tr>
      <w:tr>
        <w:trPr>
          <w:trHeight w:val="243"/>
        </w:trPr>
        <w:tc>
          <w:tcPr>
            <w:tcW w:w="5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74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99"/>
              </w:rPr>
              <w:t>September 30,</w:t>
            </w:r>
          </w:p>
        </w:tc>
        <w:tc>
          <w:tcPr>
            <w:tcW w:w="320" w:type="dxa"/>
            <w:vAlign w:val="bottom"/>
          </w:tcPr>
          <w:p>
            <w:pPr>
              <w:spacing w:after="0"/>
              <w:rPr>
                <w:sz w:val="21"/>
                <w:szCs w:val="21"/>
                <w:color w:val="auto"/>
              </w:rPr>
            </w:pPr>
          </w:p>
        </w:tc>
        <w:tc>
          <w:tcPr>
            <w:tcW w:w="2660" w:type="dxa"/>
            <w:vAlign w:val="bottom"/>
            <w:gridSpan w:val="4"/>
          </w:tcPr>
          <w:p>
            <w:pPr>
              <w:jc w:val="center"/>
              <w:ind w:right="230"/>
              <w:spacing w:after="0"/>
              <w:rPr>
                <w:sz w:val="20"/>
                <w:szCs w:val="20"/>
                <w:color w:val="auto"/>
              </w:rPr>
            </w:pPr>
            <w:r>
              <w:rPr>
                <w:rFonts w:ascii="Arial" w:cs="Arial" w:eastAsia="Arial" w:hAnsi="Arial"/>
                <w:sz w:val="18"/>
                <w:szCs w:val="18"/>
                <w:b w:val="1"/>
                <w:bCs w:val="1"/>
                <w:color w:val="auto"/>
                <w:w w:val="99"/>
              </w:rPr>
              <w:t>September 30,</w:t>
            </w:r>
          </w:p>
        </w:tc>
      </w:tr>
      <w:tr>
        <w:trPr>
          <w:trHeight w:val="223"/>
        </w:trPr>
        <w:tc>
          <w:tcPr>
            <w:tcW w:w="52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r>
      <w:tr>
        <w:trPr>
          <w:trHeight w:val="233"/>
        </w:trPr>
        <w:tc>
          <w:tcPr>
            <w:tcW w:w="5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20" w:type="dxa"/>
            <w:vAlign w:val="bottom"/>
            <w:gridSpan w:val="3"/>
          </w:tcPr>
          <w:p>
            <w:pPr>
              <w:jc w:val="center"/>
              <w:ind w:left="632"/>
              <w:spacing w:after="0"/>
              <w:rPr>
                <w:sz w:val="20"/>
                <w:szCs w:val="20"/>
                <w:color w:val="auto"/>
              </w:rPr>
            </w:pPr>
            <w:r>
              <w:rPr>
                <w:rFonts w:ascii="Arial" w:cs="Arial" w:eastAsia="Arial" w:hAnsi="Arial"/>
                <w:sz w:val="14"/>
                <w:szCs w:val="14"/>
                <w:color w:val="auto"/>
              </w:rPr>
              <w:t>(in millions)</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40" w:type="dxa"/>
            <w:vAlign w:val="bottom"/>
            <w:gridSpan w:val="3"/>
          </w:tcPr>
          <w:p>
            <w:pPr>
              <w:jc w:val="center"/>
              <w:ind w:left="612"/>
              <w:spacing w:after="0"/>
              <w:rPr>
                <w:sz w:val="20"/>
                <w:szCs w:val="20"/>
                <w:color w:val="auto"/>
              </w:rPr>
            </w:pPr>
            <w:r>
              <w:rPr>
                <w:rFonts w:ascii="Arial" w:cs="Arial" w:eastAsia="Arial" w:hAnsi="Arial"/>
                <w:sz w:val="14"/>
                <w:szCs w:val="14"/>
                <w:color w:val="auto"/>
              </w:rPr>
              <w:t>(in millions)</w:t>
            </w:r>
          </w:p>
        </w:tc>
        <w:tc>
          <w:tcPr>
            <w:tcW w:w="1020" w:type="dxa"/>
            <w:vAlign w:val="bottom"/>
          </w:tcPr>
          <w:p>
            <w:pPr>
              <w:spacing w:after="0"/>
              <w:rPr>
                <w:sz w:val="20"/>
                <w:szCs w:val="20"/>
                <w:color w:val="auto"/>
              </w:rPr>
            </w:pPr>
          </w:p>
        </w:tc>
      </w:tr>
      <w:tr>
        <w:trPr>
          <w:trHeight w:val="233"/>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Cash Flow Information</w:t>
            </w:r>
          </w:p>
        </w:tc>
        <w:tc>
          <w:tcPr>
            <w:tcW w:w="3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30"/>
        </w:trPr>
        <w:tc>
          <w:tcPr>
            <w:tcW w:w="5220" w:type="dxa"/>
            <w:vAlign w:val="bottom"/>
          </w:tcPr>
          <w:p>
            <w:pPr>
              <w:ind w:left="140"/>
              <w:spacing w:after="0"/>
              <w:rPr>
                <w:sz w:val="20"/>
                <w:szCs w:val="20"/>
                <w:color w:val="auto"/>
              </w:rPr>
            </w:pPr>
            <w:r>
              <w:rPr>
                <w:rFonts w:ascii="Arial" w:cs="Arial" w:eastAsia="Arial" w:hAnsi="Arial"/>
                <w:sz w:val="18"/>
                <w:szCs w:val="18"/>
                <w:color w:val="auto"/>
              </w:rPr>
              <w:t>Interest paid, net of amount capitalized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30"/>
        </w:trPr>
        <w:tc>
          <w:tcPr>
            <w:tcW w:w="5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taxes paid</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29"/>
        </w:trPr>
        <w:tc>
          <w:tcPr>
            <w:tcW w:w="5220" w:type="dxa"/>
            <w:vAlign w:val="bottom"/>
          </w:tcPr>
          <w:p>
            <w:pPr>
              <w:ind w:left="140"/>
              <w:spacing w:after="0"/>
              <w:rPr>
                <w:sz w:val="20"/>
                <w:szCs w:val="20"/>
                <w:color w:val="auto"/>
              </w:rPr>
            </w:pPr>
            <w:r>
              <w:rPr>
                <w:rFonts w:ascii="Arial" w:cs="Arial" w:eastAsia="Arial" w:hAnsi="Arial"/>
                <w:sz w:val="18"/>
                <w:szCs w:val="18"/>
                <w:color w:val="auto"/>
              </w:rPr>
              <w:t>Interest income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57"/>
        </w:trPr>
        <w:tc>
          <w:tcPr>
            <w:tcW w:w="52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r>
      <w:tr>
        <w:trPr>
          <w:trHeight w:val="175"/>
        </w:trPr>
        <w:tc>
          <w:tcPr>
            <w:tcW w:w="522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Supplemental Disclosure of Non-cash Investing and</w:t>
            </w: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43"/>
        </w:trPr>
        <w:tc>
          <w:tcPr>
            <w:tcW w:w="5220" w:type="dxa"/>
            <w:vAlign w:val="bottom"/>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30"/>
        </w:trPr>
        <w:tc>
          <w:tcPr>
            <w:tcW w:w="5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Contribution to the Carbon TerraVault JV</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5220" w:type="dxa"/>
            <w:vAlign w:val="bottom"/>
          </w:tcPr>
          <w:p>
            <w:pPr>
              <w:ind w:left="140"/>
              <w:spacing w:after="0"/>
              <w:rPr>
                <w:sz w:val="20"/>
                <w:szCs w:val="20"/>
                <w:color w:val="auto"/>
              </w:rPr>
            </w:pPr>
            <w:r>
              <w:rPr>
                <w:rFonts w:ascii="Arial" w:cs="Arial" w:eastAsia="Arial" w:hAnsi="Arial"/>
                <w:sz w:val="18"/>
                <w:szCs w:val="18"/>
                <w:color w:val="auto"/>
              </w:rPr>
              <w:t>Issuance of shares for stock-based compensation awards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5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Dividends accrued for stock-based compensation awards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9"/>
        </w:trPr>
        <w:tc>
          <w:tcPr>
            <w:tcW w:w="5220" w:type="dxa"/>
            <w:vAlign w:val="bottom"/>
          </w:tcPr>
          <w:p>
            <w:pPr>
              <w:ind w:left="140"/>
              <w:spacing w:after="0"/>
              <w:rPr>
                <w:sz w:val="20"/>
                <w:szCs w:val="20"/>
                <w:color w:val="auto"/>
              </w:rPr>
            </w:pPr>
            <w:r>
              <w:rPr>
                <w:rFonts w:ascii="Arial" w:cs="Arial" w:eastAsia="Arial" w:hAnsi="Arial"/>
                <w:sz w:val="18"/>
                <w:szCs w:val="18"/>
                <w:color w:val="auto"/>
              </w:rPr>
              <w:t>Excise tax on share repurchases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r>
    </w:tbl>
    <w:p>
      <w:pPr>
        <w:spacing w:after="0" w:line="296"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7"/>
          <w:szCs w:val="17"/>
          <w:b w:val="1"/>
          <w:bCs w:val="1"/>
          <w:color w:val="auto"/>
        </w:rPr>
        <w:t>CONDENSED CONSOLIDATING FINANCIAL INFORMATION</w:t>
      </w:r>
    </w:p>
    <w:p>
      <w:pPr>
        <w:spacing w:after="0" w:line="252"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We have designated certain of our subsidiaries as Unrestricted Subsidiaries under the indenture governing our 2026 Senior Notes (2026 Senior Notes Indenture) and 2029 Senior Notes (2029 Senior Notes Indenture). Unrestricted Subsidiaries (as defined in the 2026 Senior Notes Indenture and 2029 Senior Notes Indenture) are subject to fewer restrictions under the indentures. We are required under the 2026 Senior Notes Indenture and 2029 Senior Notes Indenture to present the financial condition and results of operations of CRC and its Restricted Subsidiaries (as defined in the 2026 Senior Notes Indenture and 2029 Senior Notes Indenture) separate from the financial condition and results of operations of its Unrestricted Subsidiaries. The following condensed consolidating balance sheets as of September 30, 2024 and December 31, 2023 and the condensed consolidating statements of operations for the three and nine months ended September 30, 2024 and 2023, as applicable, reflect the condensed consolidating financial information of CRC (Parent), our combined Unrestricted Subsidiaries, our combined Restricted Subsidiaries and the elimination entries necessary to arrive at the information for the Company on a consolidated basis. The financial information may not necessarily be indicative of the financial condition and results of operations had the Unrestricted Subsidiaries operated as independent entities.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September 30, 2024 and December 31, 2023</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gridSpan w:val="6"/>
          </w:tcPr>
          <w:p>
            <w:pPr>
              <w:jc w:val="center"/>
              <w:ind w:left="1030"/>
              <w:spacing w:after="0"/>
              <w:rPr>
                <w:sz w:val="20"/>
                <w:szCs w:val="20"/>
                <w:color w:val="auto"/>
              </w:rPr>
            </w:pPr>
            <w:r>
              <w:rPr>
                <w:rFonts w:ascii="Arial" w:cs="Arial" w:eastAsia="Arial" w:hAnsi="Arial"/>
                <w:sz w:val="18"/>
                <w:szCs w:val="18"/>
                <w:b w:val="1"/>
                <w:bCs w:val="1"/>
                <w:color w:val="auto"/>
                <w:w w:val="99"/>
              </w:rPr>
              <w:t>As of September 30, 2024</w:t>
            </w:r>
          </w:p>
        </w:tc>
        <w:tc>
          <w:tcPr>
            <w:tcW w:w="1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2"/>
          </w:tcPr>
          <w:p>
            <w:pPr>
              <w:jc w:val="center"/>
              <w:ind w:right="280"/>
              <w:spacing w:after="0" w:line="169" w:lineRule="exact"/>
              <w:rPr>
                <w:sz w:val="20"/>
                <w:szCs w:val="20"/>
                <w:color w:val="auto"/>
              </w:rPr>
            </w:pPr>
            <w:r>
              <w:rPr>
                <w:rFonts w:ascii="Arial" w:cs="Arial" w:eastAsia="Arial" w:hAnsi="Arial"/>
                <w:sz w:val="18"/>
                <w:szCs w:val="18"/>
                <w:b w:val="1"/>
                <w:bCs w:val="1"/>
                <w:color w:val="auto"/>
                <w:w w:val="97"/>
              </w:rPr>
              <w:t>Combined</w:t>
            </w:r>
          </w:p>
        </w:tc>
        <w:tc>
          <w:tcPr>
            <w:tcW w:w="180" w:type="dxa"/>
            <w:vAlign w:val="bottom"/>
          </w:tcPr>
          <w:p>
            <w:pPr>
              <w:spacing w:after="0"/>
              <w:rPr>
                <w:sz w:val="14"/>
                <w:szCs w:val="14"/>
                <w:color w:val="auto"/>
              </w:rPr>
            </w:pPr>
          </w:p>
        </w:tc>
        <w:tc>
          <w:tcPr>
            <w:tcW w:w="1440" w:type="dxa"/>
            <w:vAlign w:val="bottom"/>
            <w:gridSpan w:val="2"/>
          </w:tcPr>
          <w:p>
            <w:pPr>
              <w:jc w:val="center"/>
              <w:ind w:right="280"/>
              <w:spacing w:after="0" w:line="169" w:lineRule="exact"/>
              <w:rPr>
                <w:sz w:val="20"/>
                <w:szCs w:val="20"/>
                <w:color w:val="auto"/>
              </w:rPr>
            </w:pPr>
            <w:r>
              <w:rPr>
                <w:rFonts w:ascii="Arial" w:cs="Arial" w:eastAsia="Arial" w:hAnsi="Arial"/>
                <w:sz w:val="18"/>
                <w:szCs w:val="18"/>
                <w:b w:val="1"/>
                <w:bCs w:val="1"/>
                <w:color w:val="auto"/>
                <w:w w:val="99"/>
              </w:rPr>
              <w:t>Combined</w:t>
            </w: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3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vMerge w:val="restart"/>
          </w:tcPr>
          <w:p>
            <w:pPr>
              <w:jc w:val="right"/>
              <w:ind w:right="410"/>
              <w:spacing w:after="0"/>
              <w:rPr>
                <w:sz w:val="20"/>
                <w:szCs w:val="20"/>
                <w:color w:val="auto"/>
              </w:rPr>
            </w:pPr>
            <w:r>
              <w:rPr>
                <w:rFonts w:ascii="Arial" w:cs="Arial" w:eastAsia="Arial" w:hAnsi="Arial"/>
                <w:sz w:val="18"/>
                <w:szCs w:val="18"/>
                <w:b w:val="1"/>
                <w:bCs w:val="1"/>
                <w:color w:val="auto"/>
              </w:rPr>
              <w:t>Parent</w:t>
            </w:r>
          </w:p>
        </w:tc>
        <w:tc>
          <w:tcPr>
            <w:tcW w:w="100" w:type="dxa"/>
            <w:vAlign w:val="bottom"/>
            <w:vMerge w:val="restart"/>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gridSpan w:val="2"/>
          </w:tcPr>
          <w:p>
            <w:pPr>
              <w:jc w:val="center"/>
              <w:ind w:right="280"/>
              <w:spacing w:after="0" w:line="183" w:lineRule="exact"/>
              <w:rPr>
                <w:sz w:val="20"/>
                <w:szCs w:val="20"/>
                <w:color w:val="auto"/>
              </w:rPr>
            </w:pPr>
            <w:r>
              <w:rPr>
                <w:rFonts w:ascii="Arial" w:cs="Arial" w:eastAsia="Arial" w:hAnsi="Arial"/>
                <w:sz w:val="18"/>
                <w:szCs w:val="18"/>
                <w:b w:val="1"/>
                <w:bCs w:val="1"/>
                <w:color w:val="auto"/>
                <w:w w:val="99"/>
              </w:rPr>
              <w:t>Unrestricted</w:t>
            </w:r>
          </w:p>
        </w:tc>
        <w:tc>
          <w:tcPr>
            <w:tcW w:w="180" w:type="dxa"/>
            <w:vAlign w:val="bottom"/>
          </w:tcPr>
          <w:p>
            <w:pPr>
              <w:spacing w:after="0"/>
              <w:rPr>
                <w:sz w:val="15"/>
                <w:szCs w:val="15"/>
                <w:color w:val="auto"/>
              </w:rPr>
            </w:pPr>
          </w:p>
        </w:tc>
        <w:tc>
          <w:tcPr>
            <w:tcW w:w="1440" w:type="dxa"/>
            <w:vAlign w:val="bottom"/>
            <w:gridSpan w:val="2"/>
          </w:tcPr>
          <w:p>
            <w:pPr>
              <w:jc w:val="center"/>
              <w:ind w:right="280"/>
              <w:spacing w:after="0" w:line="183" w:lineRule="exact"/>
              <w:rPr>
                <w:sz w:val="20"/>
                <w:szCs w:val="20"/>
                <w:color w:val="auto"/>
              </w:rPr>
            </w:pPr>
            <w:r>
              <w:rPr>
                <w:rFonts w:ascii="Arial" w:cs="Arial" w:eastAsia="Arial" w:hAnsi="Arial"/>
                <w:sz w:val="18"/>
                <w:szCs w:val="18"/>
                <w:b w:val="1"/>
                <w:bCs w:val="1"/>
                <w:color w:val="auto"/>
                <w:w w:val="99"/>
              </w:rPr>
              <w:t>Restricted</w:t>
            </w:r>
          </w:p>
        </w:tc>
        <w:tc>
          <w:tcPr>
            <w:tcW w:w="220" w:type="dxa"/>
            <w:vAlign w:val="bottom"/>
          </w:tcPr>
          <w:p>
            <w:pPr>
              <w:spacing w:after="0"/>
              <w:rPr>
                <w:sz w:val="15"/>
                <w:szCs w:val="15"/>
                <w:color w:val="auto"/>
              </w:rPr>
            </w:pPr>
          </w:p>
        </w:tc>
        <w:tc>
          <w:tcPr>
            <w:tcW w:w="1300" w:type="dxa"/>
            <w:vAlign w:val="bottom"/>
            <w:vMerge w:val="restart"/>
          </w:tcPr>
          <w:p>
            <w:pPr>
              <w:spacing w:after="0"/>
              <w:rPr>
                <w:sz w:val="20"/>
                <w:szCs w:val="20"/>
                <w:color w:val="auto"/>
              </w:rPr>
            </w:pPr>
            <w:r>
              <w:rPr>
                <w:rFonts w:ascii="Arial" w:cs="Arial" w:eastAsia="Arial" w:hAnsi="Arial"/>
                <w:sz w:val="18"/>
                <w:szCs w:val="18"/>
                <w:b w:val="1"/>
                <w:bCs w:val="1"/>
                <w:color w:val="auto"/>
              </w:rPr>
              <w:t>Eliminations</w:t>
            </w:r>
          </w:p>
        </w:tc>
        <w:tc>
          <w:tcPr>
            <w:tcW w:w="100" w:type="dxa"/>
            <w:vAlign w:val="bottom"/>
            <w:vMerge w:val="restart"/>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Consolidated</w:t>
            </w:r>
          </w:p>
        </w:tc>
        <w:tc>
          <w:tcPr>
            <w:tcW w:w="0" w:type="dxa"/>
            <w:vAlign w:val="bottom"/>
          </w:tcPr>
          <w:p>
            <w:pPr>
              <w:spacing w:after="0"/>
              <w:rPr>
                <w:sz w:val="1"/>
                <w:szCs w:val="1"/>
                <w:color w:val="auto"/>
              </w:rPr>
            </w:pPr>
          </w:p>
        </w:tc>
      </w:tr>
      <w:tr>
        <w:trPr>
          <w:trHeight w:val="235"/>
        </w:trPr>
        <w:tc>
          <w:tcPr>
            <w:tcW w:w="3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8"/>
              </w:rPr>
              <w:t>Subsidiaries</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91"/>
              <w:spacing w:after="0"/>
              <w:rPr>
                <w:sz w:val="20"/>
                <w:szCs w:val="20"/>
                <w:color w:val="auto"/>
              </w:rPr>
            </w:pPr>
            <w:r>
              <w:rPr>
                <w:rFonts w:ascii="Arial" w:cs="Arial" w:eastAsia="Arial" w:hAnsi="Arial"/>
                <w:sz w:val="18"/>
                <w:szCs w:val="18"/>
                <w:b w:val="1"/>
                <w:bCs w:val="1"/>
                <w:color w:val="auto"/>
              </w:rPr>
              <w:t>Subsidiaries</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4"/>
                <w:szCs w:val="14"/>
                <w:color w:val="auto"/>
              </w:rPr>
              <w:t>(in millions)</w:t>
            </w: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w:t>
            </w:r>
          </w:p>
        </w:tc>
        <w:tc>
          <w:tcPr>
            <w:tcW w:w="0" w:type="dxa"/>
            <w:vAlign w:val="bottom"/>
          </w:tcPr>
          <w:p>
            <w:pPr>
              <w:spacing w:after="0"/>
              <w:rPr>
                <w:sz w:val="1"/>
                <w:szCs w:val="1"/>
                <w:color w:val="auto"/>
              </w:rPr>
            </w:pPr>
          </w:p>
        </w:tc>
      </w:tr>
      <w:tr>
        <w:trPr>
          <w:trHeight w:val="176"/>
        </w:trPr>
        <w:tc>
          <w:tcPr>
            <w:tcW w:w="3120" w:type="dxa"/>
            <w:vAlign w:val="bottom"/>
          </w:tcPr>
          <w:p>
            <w:pPr>
              <w:ind w:left="20"/>
              <w:spacing w:after="0" w:line="176" w:lineRule="exact"/>
              <w:rPr>
                <w:sz w:val="20"/>
                <w:szCs w:val="20"/>
                <w:color w:val="auto"/>
              </w:rPr>
            </w:pPr>
            <w:r>
              <w:rPr>
                <w:rFonts w:ascii="Arial" w:cs="Arial" w:eastAsia="Arial" w:hAnsi="Arial"/>
                <w:sz w:val="18"/>
                <w:szCs w:val="18"/>
                <w:color w:val="auto"/>
              </w:rPr>
              <w:t>Total property, plant and equipment,</w:t>
            </w:r>
          </w:p>
        </w:tc>
        <w:tc>
          <w:tcPr>
            <w:tcW w:w="32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5,800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2"/>
            <w:vMerge w:val="restart"/>
          </w:tcPr>
          <w:p>
            <w:pPr>
              <w:ind w:left="10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5,836</w:t>
            </w:r>
          </w:p>
        </w:tc>
        <w:tc>
          <w:tcPr>
            <w:tcW w:w="0" w:type="dxa"/>
            <w:vAlign w:val="bottom"/>
          </w:tcPr>
          <w:p>
            <w:pPr>
              <w:spacing w:after="0"/>
              <w:rPr>
                <w:sz w:val="1"/>
                <w:szCs w:val="1"/>
                <w:color w:val="auto"/>
              </w:rPr>
            </w:pPr>
          </w:p>
        </w:tc>
      </w:tr>
      <w:tr>
        <w:trPr>
          <w:trHeight w:val="243"/>
        </w:trPr>
        <w:tc>
          <w:tcPr>
            <w:tcW w:w="3120" w:type="dxa"/>
            <w:vAlign w:val="bottom"/>
          </w:tcPr>
          <w:p>
            <w:pPr>
              <w:ind w:left="20"/>
              <w:spacing w:after="0"/>
              <w:rPr>
                <w:sz w:val="20"/>
                <w:szCs w:val="20"/>
                <w:color w:val="auto"/>
              </w:rPr>
            </w:pPr>
            <w:r>
              <w:rPr>
                <w:rFonts w:ascii="Arial" w:cs="Arial" w:eastAsia="Arial" w:hAnsi="Arial"/>
                <w:sz w:val="18"/>
                <w:szCs w:val="18"/>
                <w:color w:val="auto"/>
              </w:rPr>
              <w:t>net</w:t>
            </w:r>
          </w:p>
        </w:tc>
        <w:tc>
          <w:tcPr>
            <w:tcW w:w="320" w:type="dxa"/>
            <w:vAlign w:val="bottom"/>
          </w:tcPr>
          <w:p>
            <w:pPr>
              <w:spacing w:after="0"/>
              <w:rPr>
                <w:sz w:val="21"/>
                <w:szCs w:val="21"/>
                <w:color w:val="auto"/>
              </w:rPr>
            </w:pPr>
          </w:p>
        </w:tc>
        <w:tc>
          <w:tcPr>
            <w:tcW w:w="12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31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Investments in consolidated</w:t>
            </w:r>
          </w:p>
        </w:tc>
        <w:tc>
          <w:tcPr>
            <w:tcW w:w="32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5,031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14,638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(19,642)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subsidiaries</w:t>
            </w:r>
          </w:p>
        </w:tc>
        <w:tc>
          <w:tcPr>
            <w:tcW w:w="320" w:type="dxa"/>
            <w:vAlign w:val="bottom"/>
            <w:shd w:val="clear" w:color="auto" w:fill="CCEEFF"/>
          </w:tcPr>
          <w:p>
            <w:pPr>
              <w:spacing w:after="0"/>
              <w:rPr>
                <w:sz w:val="21"/>
                <w:szCs w:val="21"/>
                <w:color w:val="auto"/>
              </w:rPr>
            </w:pPr>
          </w:p>
        </w:tc>
        <w:tc>
          <w:tcPr>
            <w:tcW w:w="12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120" w:type="dxa"/>
            <w:vAlign w:val="bottom"/>
          </w:tcPr>
          <w:p>
            <w:pPr>
              <w:ind w:left="20"/>
              <w:spacing w:after="0"/>
              <w:rPr>
                <w:sz w:val="20"/>
                <w:szCs w:val="20"/>
                <w:color w:val="auto"/>
              </w:rPr>
            </w:pPr>
            <w:r>
              <w:rPr>
                <w:rFonts w:ascii="Arial" w:cs="Arial" w:eastAsia="Arial" w:hAnsi="Arial"/>
                <w:sz w:val="18"/>
                <w:szCs w:val="18"/>
                <w:color w:val="auto"/>
              </w:rPr>
              <w:t>Deferred tax asset</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76"/>
        </w:trPr>
        <w:tc>
          <w:tcPr>
            <w:tcW w:w="31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Investment in unconsolidated</w:t>
            </w:r>
          </w:p>
        </w:tc>
        <w:tc>
          <w:tcPr>
            <w:tcW w:w="320" w:type="dxa"/>
            <w:vAlign w:val="bottom"/>
            <w:shd w:val="clear" w:color="auto" w:fill="CCEEFF"/>
          </w:tcPr>
          <w:p>
            <w:pPr>
              <w:spacing w:after="0"/>
              <w:rPr>
                <w:sz w:val="15"/>
                <w:szCs w:val="15"/>
                <w:color w:val="auto"/>
              </w:rPr>
            </w:pPr>
          </w:p>
        </w:tc>
        <w:tc>
          <w:tcPr>
            <w:tcW w:w="13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0" w:type="dxa"/>
            <w:vAlign w:val="bottom"/>
            <w:gridSpan w:val="2"/>
            <w:vMerge w:val="restart"/>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43"/>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subsidiaries</w:t>
            </w:r>
          </w:p>
        </w:tc>
        <w:tc>
          <w:tcPr>
            <w:tcW w:w="320" w:type="dxa"/>
            <w:vAlign w:val="bottom"/>
            <w:shd w:val="clear" w:color="auto" w:fill="CCEEFF"/>
          </w:tcPr>
          <w:p>
            <w:pPr>
              <w:spacing w:after="0"/>
              <w:rPr>
                <w:sz w:val="21"/>
                <w:szCs w:val="21"/>
                <w:color w:val="auto"/>
              </w:rPr>
            </w:pPr>
          </w:p>
        </w:tc>
        <w:tc>
          <w:tcPr>
            <w:tcW w:w="1340" w:type="dxa"/>
            <w:vAlign w:val="bottom"/>
            <w:gridSpan w:val="2"/>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0" w:type="dxa"/>
            <w:vAlign w:val="bottom"/>
            <w:gridSpan w:val="2"/>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12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23"/>
        </w:trPr>
        <w:tc>
          <w:tcPr>
            <w:tcW w:w="3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21,284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(19,642)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7,128</w:t>
            </w:r>
          </w:p>
        </w:tc>
        <w:tc>
          <w:tcPr>
            <w:tcW w:w="0" w:type="dxa"/>
            <w:vAlign w:val="bottom"/>
          </w:tcPr>
          <w:p>
            <w:pPr>
              <w:spacing w:after="0"/>
              <w:rPr>
                <w:sz w:val="1"/>
                <w:szCs w:val="1"/>
                <w:color w:val="auto"/>
              </w:rPr>
            </w:pPr>
          </w:p>
        </w:tc>
      </w:tr>
      <w:tr>
        <w:trPr>
          <w:trHeight w:val="237"/>
        </w:trPr>
        <w:tc>
          <w:tcPr>
            <w:tcW w:w="3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w:t>
            </w:r>
          </w:p>
        </w:tc>
        <w:tc>
          <w:tcPr>
            <w:tcW w:w="0" w:type="dxa"/>
            <w:vAlign w:val="bottom"/>
          </w:tcPr>
          <w:p>
            <w:pPr>
              <w:spacing w:after="0"/>
              <w:rPr>
                <w:sz w:val="1"/>
                <w:szCs w:val="1"/>
                <w:color w:val="auto"/>
              </w:rPr>
            </w:pPr>
          </w:p>
        </w:tc>
      </w:tr>
      <w:tr>
        <w:trPr>
          <w:trHeight w:val="230"/>
        </w:trPr>
        <w:tc>
          <w:tcPr>
            <w:tcW w:w="312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1,131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1,131</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 retirement obligations</w:t>
            </w: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w:t>
            </w:r>
          </w:p>
        </w:tc>
        <w:tc>
          <w:tcPr>
            <w:tcW w:w="0" w:type="dxa"/>
            <w:vAlign w:val="bottom"/>
          </w:tcPr>
          <w:p>
            <w:pPr>
              <w:spacing w:after="0"/>
              <w:rPr>
                <w:sz w:val="1"/>
                <w:szCs w:val="1"/>
                <w:color w:val="auto"/>
              </w:rPr>
            </w:pPr>
          </w:p>
        </w:tc>
      </w:tr>
      <w:tr>
        <w:trPr>
          <w:trHeight w:val="229"/>
        </w:trPr>
        <w:tc>
          <w:tcPr>
            <w:tcW w:w="3120" w:type="dxa"/>
            <w:vAlign w:val="bottom"/>
          </w:tcPr>
          <w:p>
            <w:pPr>
              <w:ind w:left="20"/>
              <w:spacing w:after="0"/>
              <w:rPr>
                <w:sz w:val="20"/>
                <w:szCs w:val="20"/>
                <w:color w:val="auto"/>
              </w:rPr>
            </w:pPr>
            <w:r>
              <w:rPr>
                <w:rFonts w:ascii="Arial" w:cs="Arial" w:eastAsia="Arial" w:hAnsi="Arial"/>
                <w:sz w:val="18"/>
                <w:szCs w:val="18"/>
                <w:color w:val="auto"/>
              </w:rPr>
              <w:t>Other long-term liabilities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liability</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29"/>
        </w:trPr>
        <w:tc>
          <w:tcPr>
            <w:tcW w:w="3120" w:type="dxa"/>
            <w:vAlign w:val="bottom"/>
          </w:tcPr>
          <w:p>
            <w:pPr>
              <w:ind w:left="20"/>
              <w:spacing w:after="0"/>
              <w:rPr>
                <w:sz w:val="20"/>
                <w:szCs w:val="20"/>
                <w:color w:val="auto"/>
              </w:rPr>
            </w:pPr>
            <w:r>
              <w:rPr>
                <w:rFonts w:ascii="Arial" w:cs="Arial" w:eastAsia="Arial" w:hAnsi="Arial"/>
                <w:sz w:val="18"/>
                <w:szCs w:val="18"/>
                <w:color w:val="auto"/>
              </w:rPr>
              <w:t>Amounts due to (from) affiliates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(429)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equity</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19,683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(19,642)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3,501</w:t>
            </w:r>
          </w:p>
        </w:tc>
        <w:tc>
          <w:tcPr>
            <w:tcW w:w="0" w:type="dxa"/>
            <w:vAlign w:val="bottom"/>
          </w:tcPr>
          <w:p>
            <w:pPr>
              <w:spacing w:after="0"/>
              <w:rPr>
                <w:sz w:val="1"/>
                <w:szCs w:val="1"/>
                <w:color w:val="auto"/>
              </w:rPr>
            </w:pPr>
          </w:p>
        </w:tc>
      </w:tr>
      <w:tr>
        <w:trPr>
          <w:trHeight w:val="155"/>
        </w:trPr>
        <w:tc>
          <w:tcPr>
            <w:tcW w:w="3120" w:type="dxa"/>
            <w:vAlign w:val="bottom"/>
          </w:tcPr>
          <w:p>
            <w:pPr>
              <w:ind w:left="20"/>
              <w:spacing w:after="0" w:line="156" w:lineRule="exact"/>
              <w:rPr>
                <w:sz w:val="20"/>
                <w:szCs w:val="20"/>
                <w:color w:val="auto"/>
              </w:rPr>
            </w:pPr>
            <w:r>
              <w:rPr>
                <w:rFonts w:ascii="Arial" w:cs="Arial" w:eastAsia="Arial" w:hAnsi="Arial"/>
                <w:sz w:val="18"/>
                <w:szCs w:val="18"/>
                <w:b w:val="1"/>
                <w:bCs w:val="1"/>
                <w:color w:val="auto"/>
              </w:rPr>
              <w:t>TOTAL LIABILITIES AND</w:t>
            </w: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5,363</w:t>
            </w:r>
          </w:p>
        </w:tc>
        <w:tc>
          <w:tcPr>
            <w:tcW w:w="100" w:type="dxa"/>
            <w:vAlign w:val="bottom"/>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21,284</w:t>
            </w:r>
          </w:p>
        </w:tc>
        <w:tc>
          <w:tcPr>
            <w:tcW w:w="100" w:type="dxa"/>
            <w:vAlign w:val="bottom"/>
          </w:tcPr>
          <w:p>
            <w:pPr>
              <w:spacing w:after="0"/>
              <w:rPr>
                <w:sz w:val="13"/>
                <w:szCs w:val="13"/>
                <w:color w:val="auto"/>
              </w:rPr>
            </w:pP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(19,642)</w:t>
            </w:r>
          </w:p>
        </w:tc>
        <w:tc>
          <w:tcPr>
            <w:tcW w:w="10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7,128</w:t>
            </w:r>
          </w:p>
        </w:tc>
        <w:tc>
          <w:tcPr>
            <w:tcW w:w="0" w:type="dxa"/>
            <w:vAlign w:val="bottom"/>
          </w:tcPr>
          <w:p>
            <w:pPr>
              <w:spacing w:after="0"/>
              <w:rPr>
                <w:sz w:val="1"/>
                <w:szCs w:val="1"/>
                <w:color w:val="auto"/>
              </w:rPr>
            </w:pPr>
          </w:p>
        </w:tc>
      </w:tr>
      <w:tr>
        <w:trPr>
          <w:trHeight w:val="221"/>
        </w:trPr>
        <w:tc>
          <w:tcPr>
            <w:tcW w:w="3120" w:type="dxa"/>
            <w:vAlign w:val="bottom"/>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320" w:type="dxa"/>
            <w:vAlign w:val="bottom"/>
            <w:tcBorders>
              <w:bottom w:val="single" w:sz="8" w:color="auto"/>
            </w:tcBorders>
            <w:vMerge w:val="continue"/>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13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8"/>
        </w:trPr>
        <w:tc>
          <w:tcPr>
            <w:tcW w:w="3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6"/>
          </w:tcPr>
          <w:p>
            <w:pPr>
              <w:jc w:val="center"/>
              <w:ind w:left="1010"/>
              <w:spacing w:after="0"/>
              <w:rPr>
                <w:sz w:val="20"/>
                <w:szCs w:val="20"/>
                <w:color w:val="auto"/>
              </w:rPr>
            </w:pPr>
            <w:r>
              <w:rPr>
                <w:rFonts w:ascii="Arial" w:cs="Arial" w:eastAsia="Arial" w:hAnsi="Arial"/>
                <w:sz w:val="18"/>
                <w:szCs w:val="18"/>
                <w:b w:val="1"/>
                <w:bCs w:val="1"/>
                <w:color w:val="auto"/>
                <w:w w:val="99"/>
              </w:rPr>
              <w:t>As of December 31, 2023</w:t>
            </w: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2"/>
          </w:tcPr>
          <w:p>
            <w:pPr>
              <w:jc w:val="center"/>
              <w:ind w:right="280"/>
              <w:spacing w:after="0" w:line="169" w:lineRule="exact"/>
              <w:rPr>
                <w:sz w:val="20"/>
                <w:szCs w:val="20"/>
                <w:color w:val="auto"/>
              </w:rPr>
            </w:pPr>
            <w:r>
              <w:rPr>
                <w:rFonts w:ascii="Arial" w:cs="Arial" w:eastAsia="Arial" w:hAnsi="Arial"/>
                <w:sz w:val="18"/>
                <w:szCs w:val="18"/>
                <w:b w:val="1"/>
                <w:bCs w:val="1"/>
                <w:color w:val="auto"/>
                <w:w w:val="97"/>
              </w:rPr>
              <w:t>Combined</w:t>
            </w:r>
          </w:p>
        </w:tc>
        <w:tc>
          <w:tcPr>
            <w:tcW w:w="180" w:type="dxa"/>
            <w:vAlign w:val="bottom"/>
          </w:tcPr>
          <w:p>
            <w:pPr>
              <w:spacing w:after="0"/>
              <w:rPr>
                <w:sz w:val="14"/>
                <w:szCs w:val="14"/>
                <w:color w:val="auto"/>
              </w:rPr>
            </w:pPr>
          </w:p>
        </w:tc>
        <w:tc>
          <w:tcPr>
            <w:tcW w:w="1440" w:type="dxa"/>
            <w:vAlign w:val="bottom"/>
            <w:gridSpan w:val="2"/>
          </w:tcPr>
          <w:p>
            <w:pPr>
              <w:jc w:val="center"/>
              <w:ind w:right="280"/>
              <w:spacing w:after="0" w:line="169" w:lineRule="exact"/>
              <w:rPr>
                <w:sz w:val="20"/>
                <w:szCs w:val="20"/>
                <w:color w:val="auto"/>
              </w:rPr>
            </w:pPr>
            <w:r>
              <w:rPr>
                <w:rFonts w:ascii="Arial" w:cs="Arial" w:eastAsia="Arial" w:hAnsi="Arial"/>
                <w:sz w:val="18"/>
                <w:szCs w:val="18"/>
                <w:b w:val="1"/>
                <w:bCs w:val="1"/>
                <w:color w:val="auto"/>
                <w:w w:val="99"/>
              </w:rPr>
              <w:t>Combined</w:t>
            </w: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vMerge w:val="restart"/>
          </w:tcPr>
          <w:p>
            <w:pPr>
              <w:jc w:val="right"/>
              <w:ind w:right="410"/>
              <w:spacing w:after="0"/>
              <w:rPr>
                <w:sz w:val="20"/>
                <w:szCs w:val="20"/>
                <w:color w:val="auto"/>
              </w:rPr>
            </w:pPr>
            <w:r>
              <w:rPr>
                <w:rFonts w:ascii="Arial" w:cs="Arial" w:eastAsia="Arial" w:hAnsi="Arial"/>
                <w:sz w:val="18"/>
                <w:szCs w:val="18"/>
                <w:b w:val="1"/>
                <w:bCs w:val="1"/>
                <w:color w:val="auto"/>
              </w:rPr>
              <w:t>Parent</w:t>
            </w:r>
          </w:p>
        </w:tc>
        <w:tc>
          <w:tcPr>
            <w:tcW w:w="100" w:type="dxa"/>
            <w:vAlign w:val="bottom"/>
            <w:vMerge w:val="restart"/>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gridSpan w:val="2"/>
          </w:tcPr>
          <w:p>
            <w:pPr>
              <w:jc w:val="center"/>
              <w:ind w:right="280"/>
              <w:spacing w:after="0" w:line="176" w:lineRule="exact"/>
              <w:rPr>
                <w:sz w:val="20"/>
                <w:szCs w:val="20"/>
                <w:color w:val="auto"/>
              </w:rPr>
            </w:pPr>
            <w:r>
              <w:rPr>
                <w:rFonts w:ascii="Arial" w:cs="Arial" w:eastAsia="Arial" w:hAnsi="Arial"/>
                <w:sz w:val="18"/>
                <w:szCs w:val="18"/>
                <w:b w:val="1"/>
                <w:bCs w:val="1"/>
                <w:color w:val="auto"/>
                <w:w w:val="99"/>
              </w:rPr>
              <w:t>Unrestricted</w:t>
            </w:r>
          </w:p>
        </w:tc>
        <w:tc>
          <w:tcPr>
            <w:tcW w:w="180" w:type="dxa"/>
            <w:vAlign w:val="bottom"/>
          </w:tcPr>
          <w:p>
            <w:pPr>
              <w:spacing w:after="0"/>
              <w:rPr>
                <w:sz w:val="15"/>
                <w:szCs w:val="15"/>
                <w:color w:val="auto"/>
              </w:rPr>
            </w:pPr>
          </w:p>
        </w:tc>
        <w:tc>
          <w:tcPr>
            <w:tcW w:w="1440" w:type="dxa"/>
            <w:vAlign w:val="bottom"/>
            <w:gridSpan w:val="2"/>
          </w:tcPr>
          <w:p>
            <w:pPr>
              <w:jc w:val="center"/>
              <w:ind w:right="280"/>
              <w:spacing w:after="0" w:line="176" w:lineRule="exact"/>
              <w:rPr>
                <w:sz w:val="20"/>
                <w:szCs w:val="20"/>
                <w:color w:val="auto"/>
              </w:rPr>
            </w:pPr>
            <w:r>
              <w:rPr>
                <w:rFonts w:ascii="Arial" w:cs="Arial" w:eastAsia="Arial" w:hAnsi="Arial"/>
                <w:sz w:val="18"/>
                <w:szCs w:val="18"/>
                <w:b w:val="1"/>
                <w:bCs w:val="1"/>
                <w:color w:val="auto"/>
                <w:w w:val="99"/>
              </w:rPr>
              <w:t>Restricted</w:t>
            </w:r>
          </w:p>
        </w:tc>
        <w:tc>
          <w:tcPr>
            <w:tcW w:w="220" w:type="dxa"/>
            <w:vAlign w:val="bottom"/>
          </w:tcPr>
          <w:p>
            <w:pPr>
              <w:spacing w:after="0"/>
              <w:rPr>
                <w:sz w:val="15"/>
                <w:szCs w:val="15"/>
                <w:color w:val="auto"/>
              </w:rPr>
            </w:pPr>
          </w:p>
        </w:tc>
        <w:tc>
          <w:tcPr>
            <w:tcW w:w="1300" w:type="dxa"/>
            <w:vAlign w:val="bottom"/>
            <w:vMerge w:val="restart"/>
          </w:tcPr>
          <w:p>
            <w:pPr>
              <w:spacing w:after="0"/>
              <w:rPr>
                <w:sz w:val="20"/>
                <w:szCs w:val="20"/>
                <w:color w:val="auto"/>
              </w:rPr>
            </w:pPr>
            <w:r>
              <w:rPr>
                <w:rFonts w:ascii="Arial" w:cs="Arial" w:eastAsia="Arial" w:hAnsi="Arial"/>
                <w:sz w:val="18"/>
                <w:szCs w:val="18"/>
                <w:b w:val="1"/>
                <w:bCs w:val="1"/>
                <w:color w:val="auto"/>
              </w:rPr>
              <w:t>Eliminations</w:t>
            </w:r>
          </w:p>
        </w:tc>
        <w:tc>
          <w:tcPr>
            <w:tcW w:w="100" w:type="dxa"/>
            <w:vAlign w:val="bottom"/>
            <w:vMerge w:val="restart"/>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Consolidated</w:t>
            </w:r>
          </w:p>
        </w:tc>
        <w:tc>
          <w:tcPr>
            <w:tcW w:w="0" w:type="dxa"/>
            <w:vAlign w:val="bottom"/>
          </w:tcPr>
          <w:p>
            <w:pPr>
              <w:spacing w:after="0"/>
              <w:rPr>
                <w:sz w:val="1"/>
                <w:szCs w:val="1"/>
                <w:color w:val="auto"/>
              </w:rPr>
            </w:pPr>
          </w:p>
        </w:tc>
      </w:tr>
      <w:tr>
        <w:trPr>
          <w:trHeight w:val="243"/>
        </w:trPr>
        <w:tc>
          <w:tcPr>
            <w:tcW w:w="3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8"/>
              </w:rPr>
              <w:t>Subsidiaries</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center"/>
              <w:ind w:right="91"/>
              <w:spacing w:after="0"/>
              <w:rPr>
                <w:sz w:val="20"/>
                <w:szCs w:val="20"/>
                <w:color w:val="auto"/>
              </w:rPr>
            </w:pPr>
            <w:r>
              <w:rPr>
                <w:rFonts w:ascii="Arial" w:cs="Arial" w:eastAsia="Arial" w:hAnsi="Arial"/>
                <w:sz w:val="18"/>
                <w:szCs w:val="18"/>
                <w:b w:val="1"/>
                <w:bCs w:val="1"/>
                <w:color w:val="auto"/>
              </w:rPr>
              <w:t>Subsidiaries</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3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4"/>
                <w:szCs w:val="14"/>
                <w:color w:val="auto"/>
              </w:rPr>
              <w:t>(in millions)</w:t>
            </w: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0" w:type="dxa"/>
            <w:vAlign w:val="bottom"/>
          </w:tcPr>
          <w:p>
            <w:pPr>
              <w:spacing w:after="0"/>
              <w:rPr>
                <w:sz w:val="1"/>
                <w:szCs w:val="1"/>
                <w:color w:val="auto"/>
              </w:rPr>
            </w:pPr>
          </w:p>
        </w:tc>
      </w:tr>
      <w:tr>
        <w:trPr>
          <w:trHeight w:val="175"/>
        </w:trPr>
        <w:tc>
          <w:tcPr>
            <w:tcW w:w="3120" w:type="dxa"/>
            <w:vAlign w:val="bottom"/>
          </w:tcPr>
          <w:p>
            <w:pPr>
              <w:ind w:left="20"/>
              <w:spacing w:after="0" w:line="176" w:lineRule="exact"/>
              <w:rPr>
                <w:sz w:val="20"/>
                <w:szCs w:val="20"/>
                <w:color w:val="auto"/>
              </w:rPr>
            </w:pPr>
            <w:r>
              <w:rPr>
                <w:rFonts w:ascii="Arial" w:cs="Arial" w:eastAsia="Arial" w:hAnsi="Arial"/>
                <w:sz w:val="18"/>
                <w:szCs w:val="18"/>
                <w:color w:val="auto"/>
              </w:rPr>
              <w:t>Total property, plant and equipment,</w:t>
            </w:r>
          </w:p>
        </w:tc>
        <w:tc>
          <w:tcPr>
            <w:tcW w:w="32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2,744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2"/>
            <w:vMerge w:val="restart"/>
          </w:tcPr>
          <w:p>
            <w:pPr>
              <w:ind w:left="10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2,770</w:t>
            </w:r>
          </w:p>
        </w:tc>
        <w:tc>
          <w:tcPr>
            <w:tcW w:w="0" w:type="dxa"/>
            <w:vAlign w:val="bottom"/>
          </w:tcPr>
          <w:p>
            <w:pPr>
              <w:spacing w:after="0"/>
              <w:rPr>
                <w:sz w:val="1"/>
                <w:szCs w:val="1"/>
                <w:color w:val="auto"/>
              </w:rPr>
            </w:pPr>
          </w:p>
        </w:tc>
      </w:tr>
      <w:tr>
        <w:trPr>
          <w:trHeight w:val="243"/>
        </w:trPr>
        <w:tc>
          <w:tcPr>
            <w:tcW w:w="3120" w:type="dxa"/>
            <w:vAlign w:val="bottom"/>
          </w:tcPr>
          <w:p>
            <w:pPr>
              <w:ind w:left="20"/>
              <w:spacing w:after="0"/>
              <w:rPr>
                <w:sz w:val="20"/>
                <w:szCs w:val="20"/>
                <w:color w:val="auto"/>
              </w:rPr>
            </w:pPr>
            <w:r>
              <w:rPr>
                <w:rFonts w:ascii="Arial" w:cs="Arial" w:eastAsia="Arial" w:hAnsi="Arial"/>
                <w:sz w:val="18"/>
                <w:szCs w:val="18"/>
                <w:color w:val="auto"/>
              </w:rPr>
              <w:t>net</w:t>
            </w:r>
          </w:p>
        </w:tc>
        <w:tc>
          <w:tcPr>
            <w:tcW w:w="320" w:type="dxa"/>
            <w:vAlign w:val="bottom"/>
          </w:tcPr>
          <w:p>
            <w:pPr>
              <w:spacing w:after="0"/>
              <w:rPr>
                <w:sz w:val="21"/>
                <w:szCs w:val="21"/>
                <w:color w:val="auto"/>
              </w:rPr>
            </w:pPr>
          </w:p>
        </w:tc>
        <w:tc>
          <w:tcPr>
            <w:tcW w:w="12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31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Investments in consolidated</w:t>
            </w:r>
          </w:p>
        </w:tc>
        <w:tc>
          <w:tcPr>
            <w:tcW w:w="32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2,311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1,347</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(3,647)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subsidiaries</w:t>
            </w:r>
          </w:p>
        </w:tc>
        <w:tc>
          <w:tcPr>
            <w:tcW w:w="320" w:type="dxa"/>
            <w:vAlign w:val="bottom"/>
            <w:shd w:val="clear" w:color="auto" w:fill="CCEEFF"/>
          </w:tcPr>
          <w:p>
            <w:pPr>
              <w:spacing w:after="0"/>
              <w:rPr>
                <w:sz w:val="21"/>
                <w:szCs w:val="21"/>
                <w:color w:val="auto"/>
              </w:rPr>
            </w:pPr>
          </w:p>
        </w:tc>
        <w:tc>
          <w:tcPr>
            <w:tcW w:w="12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120" w:type="dxa"/>
            <w:vAlign w:val="bottom"/>
          </w:tcPr>
          <w:p>
            <w:pPr>
              <w:ind w:left="20"/>
              <w:spacing w:after="0"/>
              <w:rPr>
                <w:sz w:val="20"/>
                <w:szCs w:val="20"/>
                <w:color w:val="auto"/>
              </w:rPr>
            </w:pPr>
            <w:r>
              <w:rPr>
                <w:rFonts w:ascii="Arial" w:cs="Arial" w:eastAsia="Arial" w:hAnsi="Arial"/>
                <w:sz w:val="18"/>
                <w:szCs w:val="18"/>
                <w:color w:val="auto"/>
              </w:rPr>
              <w:t>Deferred tax asset</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175"/>
        </w:trPr>
        <w:tc>
          <w:tcPr>
            <w:tcW w:w="31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Investment in unconsolidated</w:t>
            </w:r>
          </w:p>
        </w:tc>
        <w:tc>
          <w:tcPr>
            <w:tcW w:w="320" w:type="dxa"/>
            <w:vAlign w:val="bottom"/>
            <w:shd w:val="clear" w:color="auto" w:fill="CCEEFF"/>
          </w:tcPr>
          <w:p>
            <w:pPr>
              <w:spacing w:after="0"/>
              <w:rPr>
                <w:sz w:val="15"/>
                <w:szCs w:val="15"/>
                <w:color w:val="auto"/>
              </w:rPr>
            </w:pPr>
          </w:p>
        </w:tc>
        <w:tc>
          <w:tcPr>
            <w:tcW w:w="13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1400" w:type="dxa"/>
            <w:vAlign w:val="bottom"/>
            <w:gridSpan w:val="2"/>
            <w:vMerge w:val="restart"/>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subsidiary</w:t>
            </w:r>
          </w:p>
        </w:tc>
        <w:tc>
          <w:tcPr>
            <w:tcW w:w="320" w:type="dxa"/>
            <w:vAlign w:val="bottom"/>
            <w:shd w:val="clear" w:color="auto" w:fill="CCEEFF"/>
          </w:tcPr>
          <w:p>
            <w:pPr>
              <w:spacing w:after="0"/>
              <w:rPr>
                <w:sz w:val="21"/>
                <w:szCs w:val="21"/>
                <w:color w:val="auto"/>
              </w:rPr>
            </w:pPr>
          </w:p>
        </w:tc>
        <w:tc>
          <w:tcPr>
            <w:tcW w:w="1340" w:type="dxa"/>
            <w:vAlign w:val="bottom"/>
            <w:gridSpan w:val="2"/>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40" w:type="dxa"/>
            <w:vAlign w:val="bottom"/>
            <w:gridSpan w:val="2"/>
            <w:vMerge w:val="continue"/>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0" w:type="dxa"/>
            <w:vAlign w:val="bottom"/>
            <w:gridSpan w:val="2"/>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12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23"/>
        </w:trPr>
        <w:tc>
          <w:tcPr>
            <w:tcW w:w="3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3,998</w:t>
            </w:r>
          </w:p>
        </w:tc>
        <w:tc>
          <w:tcPr>
            <w:tcW w:w="0" w:type="dxa"/>
            <w:vAlign w:val="bottom"/>
          </w:tcPr>
          <w:p>
            <w:pPr>
              <w:spacing w:after="0"/>
              <w:rPr>
                <w:sz w:val="1"/>
                <w:szCs w:val="1"/>
                <w:color w:val="auto"/>
              </w:rPr>
            </w:pPr>
          </w:p>
        </w:tc>
      </w:tr>
      <w:tr>
        <w:trPr>
          <w:trHeight w:val="237"/>
        </w:trPr>
        <w:tc>
          <w:tcPr>
            <w:tcW w:w="3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30"/>
        </w:trPr>
        <w:tc>
          <w:tcPr>
            <w:tcW w:w="312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540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 retirement obligations</w:t>
            </w: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29"/>
        </w:trPr>
        <w:tc>
          <w:tcPr>
            <w:tcW w:w="3120" w:type="dxa"/>
            <w:vAlign w:val="bottom"/>
          </w:tcPr>
          <w:p>
            <w:pPr>
              <w:ind w:left="20"/>
              <w:spacing w:after="0"/>
              <w:rPr>
                <w:sz w:val="20"/>
                <w:szCs w:val="20"/>
                <w:color w:val="auto"/>
              </w:rPr>
            </w:pPr>
            <w:r>
              <w:rPr>
                <w:rFonts w:ascii="Arial" w:cs="Arial" w:eastAsia="Arial" w:hAnsi="Arial"/>
                <w:sz w:val="18"/>
                <w:szCs w:val="18"/>
                <w:color w:val="auto"/>
              </w:rPr>
              <w:t>Other long-term liabilities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equity</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2,219</w:t>
            </w:r>
          </w:p>
        </w:tc>
        <w:tc>
          <w:tcPr>
            <w:tcW w:w="0" w:type="dxa"/>
            <w:vAlign w:val="bottom"/>
          </w:tcPr>
          <w:p>
            <w:pPr>
              <w:spacing w:after="0"/>
              <w:rPr>
                <w:sz w:val="1"/>
                <w:szCs w:val="1"/>
                <w:color w:val="auto"/>
              </w:rPr>
            </w:pPr>
          </w:p>
        </w:tc>
      </w:tr>
      <w:tr>
        <w:trPr>
          <w:trHeight w:val="155"/>
        </w:trPr>
        <w:tc>
          <w:tcPr>
            <w:tcW w:w="3120" w:type="dxa"/>
            <w:vAlign w:val="bottom"/>
          </w:tcPr>
          <w:p>
            <w:pPr>
              <w:ind w:left="20"/>
              <w:spacing w:after="0" w:line="156" w:lineRule="exact"/>
              <w:rPr>
                <w:sz w:val="20"/>
                <w:szCs w:val="20"/>
                <w:color w:val="auto"/>
              </w:rPr>
            </w:pPr>
            <w:r>
              <w:rPr>
                <w:rFonts w:ascii="Arial" w:cs="Arial" w:eastAsia="Arial" w:hAnsi="Arial"/>
                <w:sz w:val="18"/>
                <w:szCs w:val="18"/>
                <w:b w:val="1"/>
                <w:bCs w:val="1"/>
                <w:color w:val="auto"/>
              </w:rPr>
              <w:t>TOTAL LIABILITIES AND</w:t>
            </w: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2,980</w:t>
            </w:r>
          </w:p>
        </w:tc>
        <w:tc>
          <w:tcPr>
            <w:tcW w:w="100" w:type="dxa"/>
            <w:vAlign w:val="bottom"/>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4,589</w:t>
            </w:r>
          </w:p>
        </w:tc>
        <w:tc>
          <w:tcPr>
            <w:tcW w:w="100" w:type="dxa"/>
            <w:vAlign w:val="bottom"/>
          </w:tcPr>
          <w:p>
            <w:pPr>
              <w:spacing w:after="0"/>
              <w:rPr>
                <w:sz w:val="13"/>
                <w:szCs w:val="13"/>
                <w:color w:val="auto"/>
              </w:rPr>
            </w:pP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(3,647)</w:t>
            </w:r>
          </w:p>
        </w:tc>
        <w:tc>
          <w:tcPr>
            <w:tcW w:w="10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3,998</w:t>
            </w:r>
          </w:p>
        </w:tc>
        <w:tc>
          <w:tcPr>
            <w:tcW w:w="0" w:type="dxa"/>
            <w:vAlign w:val="bottom"/>
          </w:tcPr>
          <w:p>
            <w:pPr>
              <w:spacing w:after="0"/>
              <w:rPr>
                <w:sz w:val="1"/>
                <w:szCs w:val="1"/>
                <w:color w:val="auto"/>
              </w:rPr>
            </w:pPr>
          </w:p>
        </w:tc>
      </w:tr>
      <w:tr>
        <w:trPr>
          <w:trHeight w:val="221"/>
        </w:trPr>
        <w:tc>
          <w:tcPr>
            <w:tcW w:w="3120" w:type="dxa"/>
            <w:vAlign w:val="bottom"/>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320" w:type="dxa"/>
            <w:vAlign w:val="bottom"/>
            <w:tcBorders>
              <w:bottom w:val="single" w:sz="8" w:color="auto"/>
            </w:tcBorders>
            <w:vMerge w:val="continue"/>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13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89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type w:val="continuous"/>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nine months ended September 30, 2024 and 2023</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720" w:type="dxa"/>
            <w:vAlign w:val="bottom"/>
            <w:tcBorders>
              <w:bottom w:val="single" w:sz="8" w:color="auto"/>
            </w:tcBorders>
            <w:gridSpan w:val="11"/>
          </w:tcPr>
          <w:p>
            <w:pPr>
              <w:jc w:val="center"/>
              <w:ind w:right="300"/>
              <w:spacing w:after="0"/>
              <w:rPr>
                <w:sz w:val="20"/>
                <w:szCs w:val="20"/>
                <w:color w:val="auto"/>
              </w:rPr>
            </w:pPr>
            <w:r>
              <w:rPr>
                <w:rFonts w:ascii="Arial" w:cs="Arial" w:eastAsia="Arial" w:hAnsi="Arial"/>
                <w:sz w:val="18"/>
                <w:szCs w:val="18"/>
                <w:b w:val="1"/>
                <w:bCs w:val="1"/>
                <w:color w:val="auto"/>
                <w:w w:val="99"/>
              </w:rPr>
              <w:t>Three months ended September 30, 2024</w:t>
            </w: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center"/>
              <w:ind w:right="280"/>
              <w:spacing w:after="0" w:line="169" w:lineRule="exact"/>
              <w:rPr>
                <w:sz w:val="20"/>
                <w:szCs w:val="20"/>
                <w:color w:val="auto"/>
              </w:rPr>
            </w:pPr>
            <w:r>
              <w:rPr>
                <w:rFonts w:ascii="Arial" w:cs="Arial" w:eastAsia="Arial" w:hAnsi="Arial"/>
                <w:sz w:val="18"/>
                <w:szCs w:val="18"/>
                <w:b w:val="1"/>
                <w:bCs w:val="1"/>
                <w:color w:val="auto"/>
                <w:w w:val="99"/>
              </w:rPr>
              <w:t>Combined</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center"/>
              <w:ind w:right="240"/>
              <w:spacing w:after="0" w:line="169" w:lineRule="exact"/>
              <w:rPr>
                <w:sz w:val="20"/>
                <w:szCs w:val="20"/>
                <w:color w:val="auto"/>
              </w:rPr>
            </w:pPr>
            <w:r>
              <w:rPr>
                <w:rFonts w:ascii="Arial" w:cs="Arial" w:eastAsia="Arial" w:hAnsi="Arial"/>
                <w:sz w:val="18"/>
                <w:szCs w:val="18"/>
                <w:b w:val="1"/>
                <w:bCs w:val="1"/>
                <w:color w:val="auto"/>
                <w:w w:val="99"/>
              </w:rPr>
              <w:t>Combined</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3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vMerge w:val="restart"/>
          </w:tcPr>
          <w:p>
            <w:pPr>
              <w:ind w:left="480"/>
              <w:spacing w:after="0"/>
              <w:rPr>
                <w:sz w:val="20"/>
                <w:szCs w:val="20"/>
                <w:color w:val="auto"/>
              </w:rPr>
            </w:pPr>
            <w:r>
              <w:rPr>
                <w:rFonts w:ascii="Arial" w:cs="Arial" w:eastAsia="Arial" w:hAnsi="Arial"/>
                <w:sz w:val="18"/>
                <w:szCs w:val="18"/>
                <w:b w:val="1"/>
                <w:bCs w:val="1"/>
                <w:color w:val="auto"/>
              </w:rPr>
              <w:t>Parent</w:t>
            </w: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gridSpan w:val="2"/>
          </w:tcPr>
          <w:p>
            <w:pPr>
              <w:jc w:val="center"/>
              <w:ind w:right="300"/>
              <w:spacing w:after="0" w:line="183" w:lineRule="exact"/>
              <w:rPr>
                <w:sz w:val="20"/>
                <w:szCs w:val="20"/>
                <w:color w:val="auto"/>
              </w:rPr>
            </w:pPr>
            <w:r>
              <w:rPr>
                <w:rFonts w:ascii="Arial" w:cs="Arial" w:eastAsia="Arial" w:hAnsi="Arial"/>
                <w:sz w:val="18"/>
                <w:szCs w:val="18"/>
                <w:b w:val="1"/>
                <w:bCs w:val="1"/>
                <w:color w:val="auto"/>
                <w:w w:val="99"/>
              </w:rPr>
              <w:t>Unrestricted</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gridSpan w:val="2"/>
          </w:tcPr>
          <w:p>
            <w:pPr>
              <w:jc w:val="center"/>
              <w:ind w:right="240"/>
              <w:spacing w:after="0" w:line="183" w:lineRule="exact"/>
              <w:rPr>
                <w:sz w:val="20"/>
                <w:szCs w:val="20"/>
                <w:color w:val="auto"/>
              </w:rPr>
            </w:pPr>
            <w:r>
              <w:rPr>
                <w:rFonts w:ascii="Arial" w:cs="Arial" w:eastAsia="Arial" w:hAnsi="Arial"/>
                <w:sz w:val="18"/>
                <w:szCs w:val="18"/>
                <w:b w:val="1"/>
                <w:bCs w:val="1"/>
                <w:color w:val="auto"/>
                <w:w w:val="99"/>
              </w:rPr>
              <w:t>Restricted</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Eliminations</w:t>
            </w:r>
          </w:p>
        </w:tc>
        <w:tc>
          <w:tcPr>
            <w:tcW w:w="80" w:type="dxa"/>
            <w:vAlign w:val="bottom"/>
            <w:gridSpan w:val="2"/>
            <w:vMerge w:val="restart"/>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Consolidated</w:t>
            </w:r>
          </w:p>
        </w:tc>
        <w:tc>
          <w:tcPr>
            <w:tcW w:w="0" w:type="dxa"/>
            <w:vAlign w:val="bottom"/>
          </w:tcPr>
          <w:p>
            <w:pPr>
              <w:spacing w:after="0"/>
              <w:rPr>
                <w:sz w:val="1"/>
                <w:szCs w:val="1"/>
                <w:color w:val="auto"/>
              </w:rPr>
            </w:pPr>
          </w:p>
        </w:tc>
      </w:tr>
      <w:tr>
        <w:trPr>
          <w:trHeight w:val="235"/>
        </w:trPr>
        <w:tc>
          <w:tcPr>
            <w:tcW w:w="3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rPr>
              <w:t>Subsidiaries</w:t>
            </w:r>
          </w:p>
        </w:tc>
        <w:tc>
          <w:tcPr>
            <w:tcW w:w="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92"/>
              <w:spacing w:after="0"/>
              <w:rPr>
                <w:sz w:val="20"/>
                <w:szCs w:val="20"/>
                <w:color w:val="auto"/>
              </w:rPr>
            </w:pPr>
            <w:r>
              <w:rPr>
                <w:rFonts w:ascii="Arial" w:cs="Arial" w:eastAsia="Arial" w:hAnsi="Arial"/>
                <w:sz w:val="18"/>
                <w:szCs w:val="18"/>
                <w:b w:val="1"/>
                <w:bCs w:val="1"/>
                <w:color w:val="auto"/>
                <w:w w:val="98"/>
              </w:rPr>
              <w:t>Subsidiaries</w:t>
            </w:r>
          </w:p>
        </w:tc>
        <w:tc>
          <w:tcPr>
            <w:tcW w:w="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vMerge w:val="continue"/>
          </w:tcPr>
          <w:p>
            <w:pPr>
              <w:spacing w:after="0"/>
              <w:rPr>
                <w:sz w:val="20"/>
                <w:szCs w:val="20"/>
                <w:color w:val="auto"/>
              </w:rPr>
            </w:pPr>
          </w:p>
        </w:tc>
        <w:tc>
          <w:tcPr>
            <w:tcW w:w="80" w:type="dxa"/>
            <w:vAlign w:val="bottom"/>
            <w:gridSpan w:val="2"/>
            <w:vMerge w:val="continue"/>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4"/>
                <w:szCs w:val="14"/>
                <w:color w:val="auto"/>
              </w:rPr>
              <w:t>(in millions)</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revenues</w:t>
            </w:r>
          </w:p>
        </w:tc>
        <w:tc>
          <w:tcPr>
            <w:tcW w:w="1100" w:type="dxa"/>
            <w:vAlign w:val="bottom"/>
            <w:gridSpan w:val="2"/>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1,437</w:t>
            </w:r>
          </w:p>
        </w:tc>
        <w:tc>
          <w:tcPr>
            <w:tcW w:w="8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w:t>
            </w:r>
          </w:p>
        </w:tc>
        <w:tc>
          <w:tcPr>
            <w:tcW w:w="0" w:type="dxa"/>
            <w:vAlign w:val="bottom"/>
          </w:tcPr>
          <w:p>
            <w:pPr>
              <w:spacing w:after="0"/>
              <w:rPr>
                <w:sz w:val="1"/>
                <w:szCs w:val="1"/>
                <w:color w:val="auto"/>
              </w:rPr>
            </w:pPr>
          </w:p>
        </w:tc>
      </w:tr>
      <w:tr>
        <w:trPr>
          <w:trHeight w:val="230"/>
        </w:trPr>
        <w:tc>
          <w:tcPr>
            <w:tcW w:w="3100" w:type="dxa"/>
            <w:vAlign w:val="bottom"/>
          </w:tcPr>
          <w:p>
            <w:pPr>
              <w:ind w:left="20"/>
              <w:spacing w:after="0"/>
              <w:rPr>
                <w:sz w:val="20"/>
                <w:szCs w:val="20"/>
                <w:color w:val="auto"/>
              </w:rPr>
            </w:pPr>
            <w:r>
              <w:rPr>
                <w:rFonts w:ascii="Arial" w:cs="Arial" w:eastAsia="Arial" w:hAnsi="Arial"/>
                <w:sz w:val="18"/>
                <w:szCs w:val="18"/>
                <w:color w:val="auto"/>
              </w:rPr>
              <w:t>Total costs and other</w:t>
            </w:r>
          </w:p>
        </w:tc>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818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835</w:t>
            </w:r>
          </w:p>
        </w:tc>
        <w:tc>
          <w:tcPr>
            <w:tcW w:w="0" w:type="dxa"/>
            <w:vAlign w:val="bottom"/>
          </w:tcPr>
          <w:p>
            <w:pPr>
              <w:spacing w:after="0"/>
              <w:rPr>
                <w:sz w:val="1"/>
                <w:szCs w:val="1"/>
                <w:color w:val="auto"/>
              </w:rPr>
            </w:pPr>
          </w:p>
        </w:tc>
      </w:tr>
      <w:tr>
        <w:trPr>
          <w:trHeight w:val="229"/>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Non-operating (loss) income</w:t>
            </w:r>
          </w:p>
        </w:tc>
        <w:tc>
          <w:tcPr>
            <w:tcW w:w="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56"/>
        </w:trPr>
        <w:tc>
          <w:tcPr>
            <w:tcW w:w="3100" w:type="dxa"/>
            <w:vAlign w:val="bottom"/>
          </w:tcPr>
          <w:p>
            <w:pPr>
              <w:ind w:left="20"/>
              <w:spacing w:after="0" w:line="156" w:lineRule="exact"/>
              <w:rPr>
                <w:sz w:val="20"/>
                <w:szCs w:val="20"/>
                <w:color w:val="auto"/>
              </w:rPr>
            </w:pPr>
            <w:r>
              <w:rPr>
                <w:rFonts w:ascii="Arial" w:cs="Arial" w:eastAsia="Arial" w:hAnsi="Arial"/>
                <w:sz w:val="18"/>
                <w:szCs w:val="18"/>
                <w:b w:val="1"/>
                <w:bCs w:val="1"/>
                <w:color w:val="auto"/>
              </w:rPr>
              <w:t>(LOSS) INCOME BEFORE INCOME</w:t>
            </w:r>
          </w:p>
        </w:tc>
        <w:tc>
          <w:tcPr>
            <w:tcW w:w="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(116)</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621</w:t>
            </w:r>
          </w:p>
        </w:tc>
        <w:tc>
          <w:tcPr>
            <w:tcW w:w="8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vMerge w:val="restart"/>
          </w:tcPr>
          <w:p>
            <w:pPr>
              <w:ind w:left="110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43"/>
        </w:trPr>
        <w:tc>
          <w:tcPr>
            <w:tcW w:w="3100" w:type="dxa"/>
            <w:vAlign w:val="bottom"/>
          </w:tcPr>
          <w:p>
            <w:pPr>
              <w:ind w:left="20"/>
              <w:spacing w:after="0"/>
              <w:rPr>
                <w:sz w:val="20"/>
                <w:szCs w:val="20"/>
                <w:color w:val="auto"/>
              </w:rPr>
            </w:pPr>
            <w:r>
              <w:rPr>
                <w:rFonts w:ascii="Arial" w:cs="Arial" w:eastAsia="Arial" w:hAnsi="Arial"/>
                <w:sz w:val="18"/>
                <w:szCs w:val="18"/>
                <w:b w:val="1"/>
                <w:bCs w:val="1"/>
                <w:color w:val="auto"/>
              </w:rPr>
              <w:t>TAXES</w:t>
            </w:r>
          </w:p>
        </w:tc>
        <w:tc>
          <w:tcPr>
            <w:tcW w:w="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6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provision</w:t>
            </w:r>
          </w:p>
        </w:tc>
        <w:tc>
          <w:tcPr>
            <w:tcW w:w="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23"/>
        </w:trPr>
        <w:tc>
          <w:tcPr>
            <w:tcW w:w="3100" w:type="dxa"/>
            <w:vAlign w:val="bottom"/>
          </w:tcPr>
          <w:p>
            <w:pPr>
              <w:ind w:left="20"/>
              <w:spacing w:after="0"/>
              <w:rPr>
                <w:sz w:val="20"/>
                <w:szCs w:val="20"/>
                <w:color w:val="auto"/>
              </w:rPr>
            </w:pPr>
            <w:r>
              <w:rPr>
                <w:rFonts w:ascii="Arial" w:cs="Arial" w:eastAsia="Arial" w:hAnsi="Arial"/>
                <w:sz w:val="18"/>
                <w:szCs w:val="18"/>
                <w:b w:val="1"/>
                <w:bCs w:val="1"/>
                <w:color w:val="auto"/>
              </w:rPr>
              <w:t>NET (LOSS) INCOME</w:t>
            </w:r>
          </w:p>
        </w:tc>
        <w:tc>
          <w:tcPr>
            <w:tcW w:w="1100" w:type="dxa"/>
            <w:vAlign w:val="bottom"/>
            <w:tcBorders>
              <w:top w:val="single" w:sz="8" w:color="auto"/>
              <w:bottom w:val="single" w:sz="8" w:color="auto"/>
            </w:tcBorders>
            <w:gridSpan w:val="2"/>
          </w:tcPr>
          <w:p>
            <w:pPr>
              <w:jc w:val="right"/>
              <w:ind w:right="890"/>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(254)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621</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ind w:left="110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1"/>
        </w:trPr>
        <w:tc>
          <w:tcPr>
            <w:tcW w:w="3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8"/>
        </w:trPr>
        <w:tc>
          <w:tcPr>
            <w:tcW w:w="3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gridSpan w:val="11"/>
          </w:tcPr>
          <w:p>
            <w:pPr>
              <w:jc w:val="center"/>
              <w:ind w:right="300"/>
              <w:spacing w:after="0"/>
              <w:rPr>
                <w:sz w:val="20"/>
                <w:szCs w:val="20"/>
                <w:color w:val="auto"/>
              </w:rPr>
            </w:pPr>
            <w:r>
              <w:rPr>
                <w:rFonts w:ascii="Arial" w:cs="Arial" w:eastAsia="Arial" w:hAnsi="Arial"/>
                <w:sz w:val="18"/>
                <w:szCs w:val="18"/>
                <w:b w:val="1"/>
                <w:bCs w:val="1"/>
                <w:color w:val="auto"/>
                <w:w w:val="99"/>
              </w:rPr>
              <w:t>Three months ended September 30, 2023</w:t>
            </w: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center"/>
              <w:ind w:right="280"/>
              <w:spacing w:after="0" w:line="169" w:lineRule="exact"/>
              <w:rPr>
                <w:sz w:val="20"/>
                <w:szCs w:val="20"/>
                <w:color w:val="auto"/>
              </w:rPr>
            </w:pPr>
            <w:r>
              <w:rPr>
                <w:rFonts w:ascii="Arial" w:cs="Arial" w:eastAsia="Arial" w:hAnsi="Arial"/>
                <w:sz w:val="18"/>
                <w:szCs w:val="18"/>
                <w:b w:val="1"/>
                <w:bCs w:val="1"/>
                <w:color w:val="auto"/>
                <w:w w:val="99"/>
              </w:rPr>
              <w:t>Combined</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center"/>
              <w:ind w:right="240"/>
              <w:spacing w:after="0" w:line="169" w:lineRule="exact"/>
              <w:rPr>
                <w:sz w:val="20"/>
                <w:szCs w:val="20"/>
                <w:color w:val="auto"/>
              </w:rPr>
            </w:pPr>
            <w:r>
              <w:rPr>
                <w:rFonts w:ascii="Arial" w:cs="Arial" w:eastAsia="Arial" w:hAnsi="Arial"/>
                <w:sz w:val="18"/>
                <w:szCs w:val="18"/>
                <w:b w:val="1"/>
                <w:bCs w:val="1"/>
                <w:color w:val="auto"/>
                <w:w w:val="99"/>
              </w:rPr>
              <w:t>Combined</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vMerge w:val="restart"/>
          </w:tcPr>
          <w:p>
            <w:pPr>
              <w:ind w:left="480"/>
              <w:spacing w:after="0"/>
              <w:rPr>
                <w:sz w:val="20"/>
                <w:szCs w:val="20"/>
                <w:color w:val="auto"/>
              </w:rPr>
            </w:pPr>
            <w:r>
              <w:rPr>
                <w:rFonts w:ascii="Arial" w:cs="Arial" w:eastAsia="Arial" w:hAnsi="Arial"/>
                <w:sz w:val="18"/>
                <w:szCs w:val="18"/>
                <w:b w:val="1"/>
                <w:bCs w:val="1"/>
                <w:color w:val="auto"/>
              </w:rPr>
              <w:t>Parent</w:t>
            </w: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gridSpan w:val="2"/>
          </w:tcPr>
          <w:p>
            <w:pPr>
              <w:jc w:val="center"/>
              <w:ind w:right="300"/>
              <w:spacing w:after="0" w:line="176" w:lineRule="exact"/>
              <w:rPr>
                <w:sz w:val="20"/>
                <w:szCs w:val="20"/>
                <w:color w:val="auto"/>
              </w:rPr>
            </w:pPr>
            <w:r>
              <w:rPr>
                <w:rFonts w:ascii="Arial" w:cs="Arial" w:eastAsia="Arial" w:hAnsi="Arial"/>
                <w:sz w:val="18"/>
                <w:szCs w:val="18"/>
                <w:b w:val="1"/>
                <w:bCs w:val="1"/>
                <w:color w:val="auto"/>
                <w:w w:val="99"/>
              </w:rPr>
              <w:t>Unrestricted</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gridSpan w:val="2"/>
          </w:tcPr>
          <w:p>
            <w:pPr>
              <w:jc w:val="center"/>
              <w:ind w:right="240"/>
              <w:spacing w:after="0" w:line="176" w:lineRule="exact"/>
              <w:rPr>
                <w:sz w:val="20"/>
                <w:szCs w:val="20"/>
                <w:color w:val="auto"/>
              </w:rPr>
            </w:pPr>
            <w:r>
              <w:rPr>
                <w:rFonts w:ascii="Arial" w:cs="Arial" w:eastAsia="Arial" w:hAnsi="Arial"/>
                <w:sz w:val="18"/>
                <w:szCs w:val="18"/>
                <w:b w:val="1"/>
                <w:bCs w:val="1"/>
                <w:color w:val="auto"/>
                <w:w w:val="99"/>
              </w:rPr>
              <w:t>Restricted</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Eliminations</w:t>
            </w:r>
          </w:p>
        </w:tc>
        <w:tc>
          <w:tcPr>
            <w:tcW w:w="80" w:type="dxa"/>
            <w:vAlign w:val="bottom"/>
            <w:gridSpan w:val="2"/>
            <w:vMerge w:val="restart"/>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Consolidated</w:t>
            </w:r>
          </w:p>
        </w:tc>
        <w:tc>
          <w:tcPr>
            <w:tcW w:w="0" w:type="dxa"/>
            <w:vAlign w:val="bottom"/>
          </w:tcPr>
          <w:p>
            <w:pPr>
              <w:spacing w:after="0"/>
              <w:rPr>
                <w:sz w:val="1"/>
                <w:szCs w:val="1"/>
                <w:color w:val="auto"/>
              </w:rPr>
            </w:pPr>
          </w:p>
        </w:tc>
      </w:tr>
      <w:tr>
        <w:trPr>
          <w:trHeight w:val="243"/>
        </w:trPr>
        <w:tc>
          <w:tcPr>
            <w:tcW w:w="31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vMerge w:val="continue"/>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rPr>
              <w:t>Subsidiaries</w:t>
            </w:r>
          </w:p>
        </w:tc>
        <w:tc>
          <w:tcPr>
            <w:tcW w:w="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center"/>
              <w:ind w:right="92"/>
              <w:spacing w:after="0"/>
              <w:rPr>
                <w:sz w:val="20"/>
                <w:szCs w:val="20"/>
                <w:color w:val="auto"/>
              </w:rPr>
            </w:pPr>
            <w:r>
              <w:rPr>
                <w:rFonts w:ascii="Arial" w:cs="Arial" w:eastAsia="Arial" w:hAnsi="Arial"/>
                <w:sz w:val="18"/>
                <w:szCs w:val="18"/>
                <w:b w:val="1"/>
                <w:bCs w:val="1"/>
                <w:color w:val="auto"/>
                <w:w w:val="98"/>
              </w:rPr>
              <w:t>Subsidiaries</w:t>
            </w:r>
          </w:p>
        </w:tc>
        <w:tc>
          <w:tcPr>
            <w:tcW w:w="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vMerge w:val="continue"/>
          </w:tcPr>
          <w:p>
            <w:pPr>
              <w:spacing w:after="0"/>
              <w:rPr>
                <w:sz w:val="21"/>
                <w:szCs w:val="21"/>
                <w:color w:val="auto"/>
              </w:rPr>
            </w:pPr>
          </w:p>
        </w:tc>
        <w:tc>
          <w:tcPr>
            <w:tcW w:w="80" w:type="dxa"/>
            <w:vAlign w:val="bottom"/>
            <w:gridSpan w:val="2"/>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3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4"/>
                <w:szCs w:val="14"/>
                <w:color w:val="auto"/>
              </w:rPr>
              <w:t>(in millions)</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revenues</w:t>
            </w:r>
          </w:p>
        </w:tc>
        <w:tc>
          <w:tcPr>
            <w:tcW w:w="1100" w:type="dxa"/>
            <w:vAlign w:val="bottom"/>
            <w:gridSpan w:val="2"/>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8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29"/>
        </w:trPr>
        <w:tc>
          <w:tcPr>
            <w:tcW w:w="3100" w:type="dxa"/>
            <w:vAlign w:val="bottom"/>
          </w:tcPr>
          <w:p>
            <w:pPr>
              <w:ind w:left="20"/>
              <w:spacing w:after="0"/>
              <w:rPr>
                <w:sz w:val="20"/>
                <w:szCs w:val="20"/>
                <w:color w:val="auto"/>
              </w:rPr>
            </w:pPr>
            <w:r>
              <w:rPr>
                <w:rFonts w:ascii="Arial" w:cs="Arial" w:eastAsia="Arial" w:hAnsi="Arial"/>
                <w:sz w:val="18"/>
                <w:szCs w:val="18"/>
                <w:color w:val="auto"/>
              </w:rPr>
              <w:t>Total costs and other</w:t>
            </w:r>
          </w:p>
        </w:tc>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397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Non-operating (loss) income</w:t>
            </w:r>
          </w:p>
        </w:tc>
        <w:tc>
          <w:tcPr>
            <w:tcW w:w="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gridSpan w:val="2"/>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55"/>
        </w:trPr>
        <w:tc>
          <w:tcPr>
            <w:tcW w:w="3100" w:type="dxa"/>
            <w:vAlign w:val="bottom"/>
          </w:tcPr>
          <w:p>
            <w:pPr>
              <w:ind w:left="20"/>
              <w:spacing w:after="0" w:line="156" w:lineRule="exact"/>
              <w:rPr>
                <w:sz w:val="20"/>
                <w:szCs w:val="20"/>
                <w:color w:val="auto"/>
              </w:rPr>
            </w:pPr>
            <w:r>
              <w:rPr>
                <w:rFonts w:ascii="Arial" w:cs="Arial" w:eastAsia="Arial" w:hAnsi="Arial"/>
                <w:sz w:val="18"/>
                <w:szCs w:val="18"/>
                <w:b w:val="1"/>
                <w:bCs w:val="1"/>
                <w:color w:val="auto"/>
              </w:rPr>
              <w:t>(LOSS) INCOME BEFORE INCOME</w:t>
            </w:r>
          </w:p>
        </w:tc>
        <w:tc>
          <w:tcPr>
            <w:tcW w:w="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58</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gridSpan w:val="3"/>
            <w:vMerge w:val="restart"/>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3100" w:type="dxa"/>
            <w:vAlign w:val="bottom"/>
          </w:tcPr>
          <w:p>
            <w:pPr>
              <w:ind w:left="20"/>
              <w:spacing w:after="0"/>
              <w:rPr>
                <w:sz w:val="20"/>
                <w:szCs w:val="20"/>
                <w:color w:val="auto"/>
              </w:rPr>
            </w:pPr>
            <w:r>
              <w:rPr>
                <w:rFonts w:ascii="Arial" w:cs="Arial" w:eastAsia="Arial" w:hAnsi="Arial"/>
                <w:sz w:val="18"/>
                <w:szCs w:val="18"/>
                <w:b w:val="1"/>
                <w:bCs w:val="1"/>
                <w:color w:val="auto"/>
              </w:rPr>
              <w:t>TAXES</w:t>
            </w:r>
          </w:p>
        </w:tc>
        <w:tc>
          <w:tcPr>
            <w:tcW w:w="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6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gridSpan w:val="3"/>
            <w:vMerge w:val="continue"/>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3100" w:type="dxa"/>
            <w:vAlign w:val="bottom"/>
          </w:tcPr>
          <w:p>
            <w:pPr>
              <w:ind w:left="20"/>
              <w:spacing w:after="0"/>
              <w:rPr>
                <w:sz w:val="20"/>
                <w:szCs w:val="20"/>
                <w:color w:val="auto"/>
              </w:rPr>
            </w:pPr>
            <w:r>
              <w:rPr>
                <w:rFonts w:ascii="Arial" w:cs="Arial" w:eastAsia="Arial" w:hAnsi="Arial"/>
                <w:sz w:val="18"/>
                <w:szCs w:val="18"/>
                <w:b w:val="1"/>
                <w:bCs w:val="1"/>
                <w:color w:val="auto"/>
              </w:rPr>
              <w:t>NET (LOSS) INCOME</w:t>
            </w:r>
          </w:p>
        </w:tc>
        <w:tc>
          <w:tcPr>
            <w:tcW w:w="1100" w:type="dxa"/>
            <w:vAlign w:val="bottom"/>
            <w:tcBorders>
              <w:top w:val="single" w:sz="8" w:color="auto"/>
              <w:bottom w:val="single" w:sz="8" w:color="auto"/>
            </w:tcBorders>
            <w:gridSpan w:val="2"/>
          </w:tcPr>
          <w:p>
            <w:pPr>
              <w:jc w:val="right"/>
              <w:ind w:right="890"/>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
        </w:trPr>
        <w:tc>
          <w:tcPr>
            <w:tcW w:w="3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4"/>
        </w:trPr>
        <w:tc>
          <w:tcPr>
            <w:tcW w:w="3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gridSpan w:val="11"/>
          </w:tcPr>
          <w:p>
            <w:pPr>
              <w:jc w:val="center"/>
              <w:ind w:right="280"/>
              <w:spacing w:after="0"/>
              <w:rPr>
                <w:sz w:val="20"/>
                <w:szCs w:val="20"/>
                <w:color w:val="auto"/>
              </w:rPr>
            </w:pPr>
            <w:r>
              <w:rPr>
                <w:rFonts w:ascii="Arial" w:cs="Arial" w:eastAsia="Arial" w:hAnsi="Arial"/>
                <w:sz w:val="18"/>
                <w:szCs w:val="18"/>
                <w:b w:val="1"/>
                <w:bCs w:val="1"/>
                <w:color w:val="auto"/>
                <w:w w:val="99"/>
              </w:rPr>
              <w:t>Nine months ended September 30, 2024</w:t>
            </w: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3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gridSpan w:val="2"/>
          </w:tcPr>
          <w:p>
            <w:pPr>
              <w:jc w:val="center"/>
              <w:ind w:right="260"/>
              <w:spacing w:after="0" w:line="177" w:lineRule="exact"/>
              <w:rPr>
                <w:sz w:val="20"/>
                <w:szCs w:val="20"/>
                <w:color w:val="auto"/>
              </w:rPr>
            </w:pPr>
            <w:r>
              <w:rPr>
                <w:rFonts w:ascii="Arial" w:cs="Arial" w:eastAsia="Arial" w:hAnsi="Arial"/>
                <w:sz w:val="18"/>
                <w:szCs w:val="18"/>
                <w:b w:val="1"/>
                <w:bCs w:val="1"/>
                <w:color w:val="auto"/>
                <w:w w:val="97"/>
              </w:rPr>
              <w:t>Combined</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gridSpan w:val="2"/>
          </w:tcPr>
          <w:p>
            <w:pPr>
              <w:jc w:val="center"/>
              <w:ind w:right="240"/>
              <w:spacing w:after="0" w:line="177" w:lineRule="exact"/>
              <w:rPr>
                <w:sz w:val="20"/>
                <w:szCs w:val="20"/>
                <w:color w:val="auto"/>
              </w:rPr>
            </w:pPr>
            <w:r>
              <w:rPr>
                <w:rFonts w:ascii="Arial" w:cs="Arial" w:eastAsia="Arial" w:hAnsi="Arial"/>
                <w:sz w:val="18"/>
                <w:szCs w:val="18"/>
                <w:b w:val="1"/>
                <w:bCs w:val="1"/>
                <w:color w:val="auto"/>
                <w:w w:val="99"/>
              </w:rPr>
              <w:t>Combined</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vMerge w:val="restart"/>
          </w:tcPr>
          <w:p>
            <w:pPr>
              <w:ind w:left="500"/>
              <w:spacing w:after="0"/>
              <w:rPr>
                <w:sz w:val="20"/>
                <w:szCs w:val="20"/>
                <w:color w:val="auto"/>
              </w:rPr>
            </w:pPr>
            <w:r>
              <w:rPr>
                <w:rFonts w:ascii="Arial" w:cs="Arial" w:eastAsia="Arial" w:hAnsi="Arial"/>
                <w:sz w:val="18"/>
                <w:szCs w:val="18"/>
                <w:b w:val="1"/>
                <w:bCs w:val="1"/>
                <w:color w:val="auto"/>
                <w:w w:val="99"/>
              </w:rPr>
              <w:t>Parent</w:t>
            </w: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gridSpan w:val="2"/>
          </w:tcPr>
          <w:p>
            <w:pPr>
              <w:jc w:val="center"/>
              <w:ind w:right="260"/>
              <w:spacing w:after="0" w:line="181" w:lineRule="exact"/>
              <w:rPr>
                <w:sz w:val="20"/>
                <w:szCs w:val="20"/>
                <w:color w:val="auto"/>
              </w:rPr>
            </w:pPr>
            <w:r>
              <w:rPr>
                <w:rFonts w:ascii="Arial" w:cs="Arial" w:eastAsia="Arial" w:hAnsi="Arial"/>
                <w:sz w:val="18"/>
                <w:szCs w:val="18"/>
                <w:b w:val="1"/>
                <w:bCs w:val="1"/>
                <w:color w:val="auto"/>
                <w:w w:val="99"/>
              </w:rPr>
              <w:t>Unrestricted</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gridSpan w:val="2"/>
          </w:tcPr>
          <w:p>
            <w:pPr>
              <w:jc w:val="center"/>
              <w:ind w:right="240"/>
              <w:spacing w:after="0" w:line="181" w:lineRule="exact"/>
              <w:rPr>
                <w:sz w:val="20"/>
                <w:szCs w:val="20"/>
                <w:color w:val="auto"/>
              </w:rPr>
            </w:pPr>
            <w:r>
              <w:rPr>
                <w:rFonts w:ascii="Arial" w:cs="Arial" w:eastAsia="Arial" w:hAnsi="Arial"/>
                <w:sz w:val="18"/>
                <w:szCs w:val="18"/>
                <w:b w:val="1"/>
                <w:bCs w:val="1"/>
                <w:color w:val="auto"/>
                <w:w w:val="99"/>
              </w:rPr>
              <w:t>Restricted</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Eliminations</w:t>
            </w:r>
          </w:p>
        </w:tc>
        <w:tc>
          <w:tcPr>
            <w:tcW w:w="60" w:type="dxa"/>
            <w:vAlign w:val="bottom"/>
            <w:vMerge w:val="restart"/>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Consolidated</w:t>
            </w:r>
          </w:p>
        </w:tc>
        <w:tc>
          <w:tcPr>
            <w:tcW w:w="0" w:type="dxa"/>
            <w:vAlign w:val="bottom"/>
          </w:tcPr>
          <w:p>
            <w:pPr>
              <w:spacing w:after="0"/>
              <w:rPr>
                <w:sz w:val="1"/>
                <w:szCs w:val="1"/>
                <w:color w:val="auto"/>
              </w:rPr>
            </w:pPr>
          </w:p>
        </w:tc>
      </w:tr>
      <w:tr>
        <w:trPr>
          <w:trHeight w:val="230"/>
        </w:trPr>
        <w:tc>
          <w:tcPr>
            <w:tcW w:w="3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8"/>
              </w:rPr>
              <w:t>Subsidiaries</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b w:val="1"/>
                <w:bCs w:val="1"/>
                <w:color w:val="auto"/>
              </w:rPr>
              <w:t>Subsidiaries</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vMerge w:val="continue"/>
          </w:tcPr>
          <w:p>
            <w:pPr>
              <w:spacing w:after="0"/>
              <w:rPr>
                <w:sz w:val="19"/>
                <w:szCs w:val="19"/>
                <w:color w:val="auto"/>
              </w:rPr>
            </w:pPr>
          </w:p>
        </w:tc>
        <w:tc>
          <w:tcPr>
            <w:tcW w:w="6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3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4"/>
                <w:szCs w:val="14"/>
                <w:color w:val="auto"/>
              </w:rPr>
              <w:t>(in millions)</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revenues</w:t>
            </w:r>
          </w:p>
        </w:tc>
        <w:tc>
          <w:tcPr>
            <w:tcW w:w="1100" w:type="dxa"/>
            <w:vAlign w:val="bottom"/>
            <w:gridSpan w:val="2"/>
            <w:shd w:val="clear" w:color="auto" w:fill="CCEEFF"/>
          </w:tcPr>
          <w:p>
            <w:pPr>
              <w:jc w:val="right"/>
              <w:ind w:right="87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2,407</w:t>
            </w:r>
          </w:p>
        </w:tc>
        <w:tc>
          <w:tcPr>
            <w:tcW w:w="8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2,321</w:t>
            </w:r>
          </w:p>
        </w:tc>
        <w:tc>
          <w:tcPr>
            <w:tcW w:w="0" w:type="dxa"/>
            <w:vAlign w:val="bottom"/>
          </w:tcPr>
          <w:p>
            <w:pPr>
              <w:spacing w:after="0"/>
              <w:rPr>
                <w:sz w:val="1"/>
                <w:szCs w:val="1"/>
                <w:color w:val="auto"/>
              </w:rPr>
            </w:pPr>
          </w:p>
        </w:tc>
      </w:tr>
      <w:tr>
        <w:trPr>
          <w:trHeight w:val="230"/>
        </w:trPr>
        <w:tc>
          <w:tcPr>
            <w:tcW w:w="3100" w:type="dxa"/>
            <w:vAlign w:val="bottom"/>
          </w:tcPr>
          <w:p>
            <w:pPr>
              <w:ind w:left="20"/>
              <w:spacing w:after="0"/>
              <w:rPr>
                <w:sz w:val="20"/>
                <w:szCs w:val="20"/>
                <w:color w:val="auto"/>
              </w:rPr>
            </w:pPr>
            <w:r>
              <w:rPr>
                <w:rFonts w:ascii="Arial" w:cs="Arial" w:eastAsia="Arial" w:hAnsi="Arial"/>
                <w:sz w:val="18"/>
                <w:szCs w:val="18"/>
                <w:color w:val="auto"/>
              </w:rPr>
              <w:t>Total costs and other</w:t>
            </w:r>
          </w:p>
        </w:tc>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222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1,611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1,776</w:t>
            </w: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asset divestitures</w:t>
            </w:r>
          </w:p>
        </w:tc>
        <w:tc>
          <w:tcPr>
            <w:tcW w:w="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3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Non-operating (loss) income</w:t>
            </w:r>
          </w:p>
        </w:tc>
        <w:tc>
          <w:tcPr>
            <w:tcW w:w="2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ind w:left="110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164"/>
        </w:trPr>
        <w:tc>
          <w:tcPr>
            <w:tcW w:w="3100" w:type="dxa"/>
            <w:vAlign w:val="bottom"/>
            <w:shd w:val="clear" w:color="auto" w:fill="CCEEFF"/>
          </w:tcPr>
          <w:p>
            <w:pPr>
              <w:ind w:left="20"/>
              <w:spacing w:after="0" w:line="163" w:lineRule="exact"/>
              <w:rPr>
                <w:sz w:val="20"/>
                <w:szCs w:val="20"/>
                <w:color w:val="auto"/>
              </w:rPr>
            </w:pPr>
            <w:r>
              <w:rPr>
                <w:rFonts w:ascii="Arial" w:cs="Arial" w:eastAsia="Arial" w:hAnsi="Arial"/>
                <w:sz w:val="18"/>
                <w:szCs w:val="18"/>
                <w:b w:val="1"/>
                <w:bCs w:val="1"/>
                <w:color w:val="auto"/>
              </w:rPr>
              <w:t>(LOSS) INCOME BEFORE INCOME</w:t>
            </w:r>
          </w:p>
        </w:tc>
        <w:tc>
          <w:tcPr>
            <w:tcW w:w="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808</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40" w:type="dxa"/>
            <w:vAlign w:val="bottom"/>
            <w:gridSpan w:val="3"/>
            <w:vMerge w:val="restart"/>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35"/>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TAXES</w:t>
            </w:r>
          </w:p>
        </w:tc>
        <w:tc>
          <w:tcPr>
            <w:tcW w:w="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460" w:type="dxa"/>
            <w:vAlign w:val="bottom"/>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6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40" w:type="dxa"/>
            <w:vAlign w:val="bottom"/>
            <w:gridSpan w:val="3"/>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8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100" w:type="dxa"/>
            <w:vAlign w:val="bottom"/>
          </w:tcPr>
          <w:p>
            <w:pPr>
              <w:ind w:left="20"/>
              <w:spacing w:after="0"/>
              <w:rPr>
                <w:sz w:val="20"/>
                <w:szCs w:val="20"/>
                <w:color w:val="auto"/>
              </w:rPr>
            </w:pPr>
            <w:r>
              <w:rPr>
                <w:rFonts w:ascii="Arial" w:cs="Arial" w:eastAsia="Arial" w:hAnsi="Arial"/>
                <w:sz w:val="18"/>
                <w:szCs w:val="18"/>
                <w:color w:val="auto"/>
              </w:rPr>
              <w:t>Income tax provision</w:t>
            </w:r>
          </w:p>
        </w:tc>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(132)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3"/>
          </w:tcPr>
          <w:p>
            <w:pPr>
              <w:ind w:left="1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48"/>
        </w:trPr>
        <w:tc>
          <w:tcPr>
            <w:tcW w:w="3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(LOSS) INCOME</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35"/>
        </w:trPr>
        <w:tc>
          <w:tcPr>
            <w:tcW w:w="312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740" w:type="dxa"/>
            <w:vAlign w:val="bottom"/>
            <w:tcBorders>
              <w:bottom w:val="single" w:sz="8" w:color="auto"/>
            </w:tcBorders>
            <w:gridSpan w:val="8"/>
          </w:tcPr>
          <w:p>
            <w:pPr>
              <w:ind w:left="520"/>
              <w:spacing w:after="0"/>
              <w:rPr>
                <w:sz w:val="20"/>
                <w:szCs w:val="20"/>
                <w:color w:val="auto"/>
              </w:rPr>
            </w:pPr>
            <w:r>
              <w:rPr>
                <w:rFonts w:ascii="Arial" w:cs="Arial" w:eastAsia="Arial" w:hAnsi="Arial"/>
                <w:sz w:val="18"/>
                <w:szCs w:val="18"/>
                <w:b w:val="1"/>
                <w:bCs w:val="1"/>
                <w:color w:val="auto"/>
              </w:rPr>
              <w:t>Nine months ended September 30, 2023</w:t>
            </w: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2"/>
          </w:tcPr>
          <w:p>
            <w:pPr>
              <w:jc w:val="center"/>
              <w:ind w:right="280"/>
              <w:spacing w:after="0" w:line="169" w:lineRule="exact"/>
              <w:rPr>
                <w:sz w:val="20"/>
                <w:szCs w:val="20"/>
                <w:color w:val="auto"/>
              </w:rPr>
            </w:pPr>
            <w:r>
              <w:rPr>
                <w:rFonts w:ascii="Arial" w:cs="Arial" w:eastAsia="Arial" w:hAnsi="Arial"/>
                <w:sz w:val="18"/>
                <w:szCs w:val="18"/>
                <w:b w:val="1"/>
                <w:bCs w:val="1"/>
                <w:color w:val="auto"/>
                <w:w w:val="97"/>
              </w:rPr>
              <w:t>Combined</w:t>
            </w:r>
          </w:p>
        </w:tc>
        <w:tc>
          <w:tcPr>
            <w:tcW w:w="180" w:type="dxa"/>
            <w:vAlign w:val="bottom"/>
          </w:tcPr>
          <w:p>
            <w:pPr>
              <w:spacing w:after="0"/>
              <w:rPr>
                <w:sz w:val="14"/>
                <w:szCs w:val="14"/>
                <w:color w:val="auto"/>
              </w:rPr>
            </w:pPr>
          </w:p>
        </w:tc>
        <w:tc>
          <w:tcPr>
            <w:tcW w:w="1440" w:type="dxa"/>
            <w:vAlign w:val="bottom"/>
            <w:gridSpan w:val="2"/>
          </w:tcPr>
          <w:p>
            <w:pPr>
              <w:ind w:left="140"/>
              <w:spacing w:after="0" w:line="169" w:lineRule="exact"/>
              <w:rPr>
                <w:sz w:val="20"/>
                <w:szCs w:val="20"/>
                <w:color w:val="auto"/>
              </w:rPr>
            </w:pPr>
            <w:r>
              <w:rPr>
                <w:rFonts w:ascii="Arial" w:cs="Arial" w:eastAsia="Arial" w:hAnsi="Arial"/>
                <w:sz w:val="18"/>
                <w:szCs w:val="18"/>
                <w:b w:val="1"/>
                <w:bCs w:val="1"/>
                <w:color w:val="auto"/>
              </w:rPr>
              <w:t>Combined</w:t>
            </w: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312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Parent</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gridSpan w:val="2"/>
          </w:tcPr>
          <w:p>
            <w:pPr>
              <w:jc w:val="center"/>
              <w:ind w:right="280"/>
              <w:spacing w:after="0" w:line="183" w:lineRule="exact"/>
              <w:rPr>
                <w:sz w:val="20"/>
                <w:szCs w:val="20"/>
                <w:color w:val="auto"/>
              </w:rPr>
            </w:pPr>
            <w:r>
              <w:rPr>
                <w:rFonts w:ascii="Arial" w:cs="Arial" w:eastAsia="Arial" w:hAnsi="Arial"/>
                <w:sz w:val="18"/>
                <w:szCs w:val="18"/>
                <w:b w:val="1"/>
                <w:bCs w:val="1"/>
                <w:color w:val="auto"/>
                <w:w w:val="99"/>
              </w:rPr>
              <w:t>Unrestricted</w:t>
            </w:r>
          </w:p>
        </w:tc>
        <w:tc>
          <w:tcPr>
            <w:tcW w:w="180" w:type="dxa"/>
            <w:vAlign w:val="bottom"/>
          </w:tcPr>
          <w:p>
            <w:pPr>
              <w:spacing w:after="0"/>
              <w:rPr>
                <w:sz w:val="15"/>
                <w:szCs w:val="15"/>
                <w:color w:val="auto"/>
              </w:rPr>
            </w:pPr>
          </w:p>
        </w:tc>
        <w:tc>
          <w:tcPr>
            <w:tcW w:w="1440" w:type="dxa"/>
            <w:vAlign w:val="bottom"/>
            <w:gridSpan w:val="2"/>
          </w:tcPr>
          <w:p>
            <w:pPr>
              <w:ind w:left="140"/>
              <w:spacing w:after="0" w:line="183" w:lineRule="exact"/>
              <w:rPr>
                <w:sz w:val="20"/>
                <w:szCs w:val="20"/>
                <w:color w:val="auto"/>
              </w:rPr>
            </w:pPr>
            <w:r>
              <w:rPr>
                <w:rFonts w:ascii="Arial" w:cs="Arial" w:eastAsia="Arial" w:hAnsi="Arial"/>
                <w:sz w:val="18"/>
                <w:szCs w:val="18"/>
                <w:b w:val="1"/>
                <w:bCs w:val="1"/>
                <w:color w:val="auto"/>
              </w:rPr>
              <w:t>Restricted</w:t>
            </w:r>
          </w:p>
        </w:tc>
        <w:tc>
          <w:tcPr>
            <w:tcW w:w="180" w:type="dxa"/>
            <w:vAlign w:val="bottom"/>
          </w:tcPr>
          <w:p>
            <w:pPr>
              <w:spacing w:after="0"/>
              <w:rPr>
                <w:sz w:val="15"/>
                <w:szCs w:val="15"/>
                <w:color w:val="auto"/>
              </w:rPr>
            </w:pPr>
          </w:p>
        </w:tc>
        <w:tc>
          <w:tcPr>
            <w:tcW w:w="13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Eliminations</w:t>
            </w:r>
          </w:p>
        </w:tc>
        <w:tc>
          <w:tcPr>
            <w:tcW w:w="100" w:type="dxa"/>
            <w:vAlign w:val="bottom"/>
            <w:vMerge w:val="restart"/>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Consolidated</w:t>
            </w:r>
          </w:p>
        </w:tc>
        <w:tc>
          <w:tcPr>
            <w:tcW w:w="0" w:type="dxa"/>
            <w:vAlign w:val="bottom"/>
          </w:tcPr>
          <w:p>
            <w:pPr>
              <w:spacing w:after="0"/>
              <w:rPr>
                <w:sz w:val="1"/>
                <w:szCs w:val="1"/>
                <w:color w:val="auto"/>
              </w:rPr>
            </w:pPr>
          </w:p>
        </w:tc>
      </w:tr>
      <w:tr>
        <w:trPr>
          <w:trHeight w:val="235"/>
        </w:trPr>
        <w:tc>
          <w:tcPr>
            <w:tcW w:w="3120" w:type="dxa"/>
            <w:vAlign w:val="bottom"/>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8"/>
              </w:rPr>
              <w:t>Subsidiaries</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Subsidiaries</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ind w:left="180"/>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revenues</w:t>
            </w:r>
          </w:p>
        </w:tc>
        <w:tc>
          <w:tcPr>
            <w:tcW w:w="10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2,075</w:t>
            </w:r>
          </w:p>
        </w:tc>
        <w:tc>
          <w:tcPr>
            <w:tcW w:w="0" w:type="dxa"/>
            <w:vAlign w:val="bottom"/>
          </w:tcPr>
          <w:p>
            <w:pPr>
              <w:spacing w:after="0"/>
              <w:rPr>
                <w:sz w:val="1"/>
                <w:szCs w:val="1"/>
                <w:color w:val="auto"/>
              </w:rPr>
            </w:pPr>
          </w:p>
        </w:tc>
      </w:tr>
      <w:tr>
        <w:trPr>
          <w:trHeight w:val="230"/>
        </w:trPr>
        <w:tc>
          <w:tcPr>
            <w:tcW w:w="3120" w:type="dxa"/>
            <w:vAlign w:val="bottom"/>
          </w:tcPr>
          <w:p>
            <w:pPr>
              <w:ind w:left="20"/>
              <w:spacing w:after="0"/>
              <w:rPr>
                <w:sz w:val="20"/>
                <w:szCs w:val="20"/>
                <w:color w:val="auto"/>
              </w:rPr>
            </w:pPr>
            <w:r>
              <w:rPr>
                <w:rFonts w:ascii="Arial" w:cs="Arial" w:eastAsia="Arial" w:hAnsi="Arial"/>
                <w:sz w:val="18"/>
                <w:szCs w:val="18"/>
                <w:color w:val="auto"/>
              </w:rPr>
              <w:t>Total costs and other</w:t>
            </w:r>
          </w:p>
        </w:tc>
        <w:tc>
          <w:tcPr>
            <w:tcW w:w="10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1,349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1,557</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asset divestitures</w:t>
            </w:r>
          </w:p>
        </w:tc>
        <w:tc>
          <w:tcPr>
            <w:tcW w:w="10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3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Non-operating (loss) income</w:t>
            </w:r>
          </w:p>
        </w:tc>
        <w:tc>
          <w:tcPr>
            <w:tcW w:w="10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ind w:left="10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55"/>
        </w:trPr>
        <w:tc>
          <w:tcPr>
            <w:tcW w:w="312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(LOSS) INCOME BEFORE INCOME</w:t>
            </w:r>
          </w:p>
        </w:tc>
        <w:tc>
          <w:tcPr>
            <w:tcW w:w="1080" w:type="dxa"/>
            <w:vAlign w:val="bottom"/>
            <w:shd w:val="clear" w:color="auto" w:fill="CCEEFF"/>
          </w:tcPr>
          <w:p>
            <w:pPr>
              <w:spacing w:after="0"/>
              <w:rPr>
                <w:sz w:val="13"/>
                <w:szCs w:val="13"/>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40" w:type="dxa"/>
            <w:vAlign w:val="bottom"/>
            <w:gridSpan w:val="2"/>
            <w:vMerge w:val="restart"/>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3"/>
                <w:szCs w:val="13"/>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43"/>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TAXES</w:t>
            </w:r>
          </w:p>
        </w:tc>
        <w:tc>
          <w:tcPr>
            <w:tcW w:w="1080" w:type="dxa"/>
            <w:vAlign w:val="bottom"/>
            <w:shd w:val="clear" w:color="auto" w:fill="CCEEFF"/>
          </w:tcPr>
          <w:p>
            <w:pPr>
              <w:spacing w:after="0"/>
              <w:rPr>
                <w:sz w:val="21"/>
                <w:szCs w:val="21"/>
                <w:color w:val="auto"/>
              </w:rPr>
            </w:pPr>
          </w:p>
        </w:tc>
        <w:tc>
          <w:tcPr>
            <w:tcW w:w="4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40" w:type="dxa"/>
            <w:vAlign w:val="bottom"/>
            <w:gridSpan w:val="2"/>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120" w:type="dxa"/>
            <w:vAlign w:val="bottom"/>
          </w:tcPr>
          <w:p>
            <w:pPr>
              <w:ind w:left="20"/>
              <w:spacing w:after="0"/>
              <w:rPr>
                <w:sz w:val="20"/>
                <w:szCs w:val="20"/>
                <w:color w:val="auto"/>
              </w:rPr>
            </w:pPr>
            <w:r>
              <w:rPr>
                <w:rFonts w:ascii="Arial" w:cs="Arial" w:eastAsia="Arial" w:hAnsi="Arial"/>
                <w:sz w:val="18"/>
                <w:szCs w:val="18"/>
                <w:color w:val="auto"/>
              </w:rPr>
              <w:t>Income tax provision</w:t>
            </w:r>
          </w:p>
        </w:tc>
        <w:tc>
          <w:tcPr>
            <w:tcW w:w="10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4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48"/>
        </w:trPr>
        <w:tc>
          <w:tcPr>
            <w:tcW w:w="3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(LOSS) INCOME</w:t>
            </w:r>
          </w:p>
        </w:tc>
        <w:tc>
          <w:tcPr>
            <w:tcW w:w="1080" w:type="dxa"/>
            <w:vAlign w:val="bottom"/>
            <w:tcBorders>
              <w:top w:val="single" w:sz="8" w:color="auto"/>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7"/>
          <w:szCs w:val="17"/>
          <w:b w:val="1"/>
          <w:bCs w:val="1"/>
          <w:color w:val="auto"/>
        </w:rPr>
        <w:t>SUBSEQUENT EVENTS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 to our Revolving Credit Facility</w:t>
      </w:r>
    </w:p>
    <w:p>
      <w:pPr>
        <w:spacing w:after="0" w:line="2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November 1, 2024, we amended our existing Revolving Credit Facility. The amendments included, among other things:</w:t>
      </w:r>
    </w:p>
    <w:p>
      <w:pPr>
        <w:spacing w:after="0" w:line="252"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increasing the amount of the revolving commitments by $50 million to $1,150 million to reflect changes to our lender group;</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extending the maturity date of the facility from July 31, 2027 to March 16, 2029;</w:t>
      </w:r>
    </w:p>
    <w:p>
      <w:pPr>
        <w:spacing w:after="0" w:line="9" w:lineRule="exact"/>
        <w:rPr>
          <w:rFonts w:ascii="Arial" w:cs="Arial" w:eastAsia="Arial" w:hAnsi="Arial"/>
          <w:sz w:val="18"/>
          <w:szCs w:val="18"/>
          <w:color w:val="auto"/>
        </w:rPr>
      </w:pPr>
    </w:p>
    <w:p>
      <w:pPr>
        <w:ind w:left="660" w:right="640" w:hanging="328"/>
        <w:spacing w:after="0" w:line="250"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amending the springing maturity to permit our 2026 Senior Notes to remain outstanding past October 31, 2025 so long as the aggregate availability (less the outstanding 2026 Senior Notes) is not less than 25% of the total revolving commitments;</w:t>
      </w: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increasing our capacity to issue letters of credit from $250 million to $300 million;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other technical amendments.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 Base Redetermination</w:t>
      </w:r>
    </w:p>
    <w:p>
      <w:pPr>
        <w:spacing w:after="0" w:line="250"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color w:val="auto"/>
        </w:rPr>
        <w:t>The borrowing base under our Revolving Credit Facility is redetermined semi-annually and was reaffirmed at $1.5 billion on November 1, 2024.</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w:t>
      </w:r>
    </w:p>
    <w:p>
      <w:pPr>
        <w:spacing w:after="0" w:line="250" w:lineRule="exact"/>
        <w:rPr>
          <w:sz w:val="20"/>
          <w:szCs w:val="20"/>
          <w:color w:val="auto"/>
        </w:rPr>
      </w:pPr>
    </w:p>
    <w:p>
      <w:pPr>
        <w:ind w:right="60" w:firstLine="324"/>
        <w:spacing w:after="0" w:line="287" w:lineRule="auto"/>
        <w:rPr>
          <w:sz w:val="20"/>
          <w:szCs w:val="20"/>
          <w:color w:val="auto"/>
        </w:rPr>
      </w:pPr>
      <w:r>
        <w:rPr>
          <w:rFonts w:ascii="Arial" w:cs="Arial" w:eastAsia="Arial" w:hAnsi="Arial"/>
          <w:sz w:val="18"/>
          <w:szCs w:val="18"/>
          <w:color w:val="auto"/>
        </w:rPr>
        <w:t>On November 5, 2024, our Board of Directors declared a quarterly cash dividend of $0.3875 per share of common stock. The dividend is payable to shareholders of record at the close of business on December 2, 2024 and is expected to be paid on December 16, 2024.</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Ventura Basin Divestiture</w:t>
      </w:r>
    </w:p>
    <w:p>
      <w:pPr>
        <w:spacing w:after="0" w:line="250"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 xml:space="preserve">On October 14, 2024, we completed the sale of Ventura basin assets for net proceeds of $ 3 million. See </w:t>
      </w:r>
      <w:r>
        <w:rPr>
          <w:rFonts w:ascii="Arial" w:cs="Arial" w:eastAsia="Arial" w:hAnsi="Arial"/>
          <w:sz w:val="18"/>
          <w:szCs w:val="18"/>
          <w:i w:val="1"/>
          <w:iCs w:val="1"/>
          <w:color w:val="auto"/>
        </w:rPr>
        <w:t>Note 8 Divestitures, Acquisitions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Assets Held for Sale </w:t>
      </w:r>
      <w:r>
        <w:rPr>
          <w:rFonts w:ascii="Arial" w:cs="Arial" w:eastAsia="Arial" w:hAnsi="Arial"/>
          <w:sz w:val="18"/>
          <w:szCs w:val="18"/>
          <w:color w:val="auto"/>
        </w:rPr>
        <w:t>above and</w:t>
      </w:r>
      <w:r>
        <w:rPr>
          <w:rFonts w:ascii="Arial" w:cs="Arial" w:eastAsia="Arial" w:hAnsi="Arial"/>
          <w:sz w:val="18"/>
          <w:szCs w:val="18"/>
          <w:i w:val="1"/>
          <w:iCs w:val="1"/>
          <w:color w:val="auto"/>
        </w:rPr>
        <w:t xml:space="preserve"> Part II, Item 8 – Financial Statements and Supplementary Data, Note 8 Divestitures and Acquisitions </w:t>
      </w:r>
      <w:r>
        <w:rPr>
          <w:rFonts w:ascii="Arial" w:cs="Arial" w:eastAsia="Arial" w:hAnsi="Arial"/>
          <w:sz w:val="18"/>
          <w:szCs w:val="18"/>
          <w:color w:val="auto"/>
        </w:rPr>
        <w:t>in</w:t>
      </w:r>
      <w:r>
        <w:rPr>
          <w:rFonts w:ascii="Arial" w:cs="Arial" w:eastAsia="Arial" w:hAnsi="Arial"/>
          <w:sz w:val="18"/>
          <w:szCs w:val="18"/>
          <w:i w:val="1"/>
          <w:iCs w:val="1"/>
          <w:color w:val="auto"/>
        </w:rPr>
        <w:t xml:space="preserve"> </w:t>
      </w:r>
      <w:r>
        <w:rPr>
          <w:rFonts w:ascii="Arial" w:cs="Arial" w:eastAsia="Arial" w:hAnsi="Arial"/>
          <w:sz w:val="18"/>
          <w:szCs w:val="18"/>
          <w:color w:val="auto"/>
        </w:rPr>
        <w:t>our 2023 Annual Report for additional information on the Ventura basin transactions.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250" w:lineRule="exact"/>
        <w:rPr>
          <w:sz w:val="20"/>
          <w:szCs w:val="20"/>
          <w:color w:val="auto"/>
        </w:rPr>
      </w:pPr>
    </w:p>
    <w:p>
      <w:pPr>
        <w:ind w:right="20" w:firstLine="324"/>
        <w:spacing w:after="0" w:line="262" w:lineRule="auto"/>
        <w:rPr>
          <w:sz w:val="20"/>
          <w:szCs w:val="20"/>
          <w:color w:val="auto"/>
        </w:rPr>
      </w:pPr>
      <w:r>
        <w:rPr>
          <w:rFonts w:ascii="Arial" w:cs="Arial" w:eastAsia="Arial" w:hAnsi="Arial"/>
          <w:sz w:val="18"/>
          <w:szCs w:val="18"/>
          <w:color w:val="auto"/>
        </w:rPr>
        <w:t>During October 2024, we issued 2,630,540 shares of our common stock in connection with warrant exercises. Since the issuance date of the warrants in October 2020, 3,856,833 shares have been issued upon the exercise of warrants and 469,429 shares were cancelled due to net settlement. On October 28, 2024, any unexercised warrants expired in accordance with their terms and 57,920 shares underlying such warrants were never issued.</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5" w:name="page36"/>
    <w:bookmarkEnd w:id="35"/>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52" w:lineRule="exact"/>
        <w:rPr>
          <w:sz w:val="20"/>
          <w:szCs w:val="20"/>
          <w:color w:val="auto"/>
        </w:rPr>
      </w:pPr>
    </w:p>
    <w:p>
      <w:pPr>
        <w:ind w:right="220" w:firstLine="324"/>
        <w:spacing w:after="0" w:line="262" w:lineRule="auto"/>
        <w:rPr>
          <w:sz w:val="20"/>
          <w:szCs w:val="20"/>
          <w:color w:val="auto"/>
        </w:rPr>
      </w:pPr>
      <w:r>
        <w:rPr>
          <w:rFonts w:ascii="Arial" w:cs="Arial" w:eastAsia="Arial" w:hAnsi="Arial"/>
          <w:sz w:val="18"/>
          <w:szCs w:val="18"/>
          <w:color w:val="auto"/>
        </w:rPr>
        <w:t>We are an independent energy and carbon management company committed to energy transition. We are committed to environmental stewardship while safely providing local, responsibly sourced energy. We are also focused on maximizing the value of our land, mineral ownership, and energy expertise for decarbonization by developing carbon capture and storage (CCS) and other emissions-reducing projects.</w:t>
      </w:r>
    </w:p>
    <w:p>
      <w:pPr>
        <w:spacing w:after="0" w:line="203" w:lineRule="exact"/>
        <w:rPr>
          <w:sz w:val="20"/>
          <w:szCs w:val="20"/>
          <w:color w:val="auto"/>
        </w:rPr>
      </w:pPr>
    </w:p>
    <w:p>
      <w:pPr>
        <w:ind w:right="60" w:firstLine="324"/>
        <w:spacing w:after="0" w:line="287" w:lineRule="auto"/>
        <w:rPr>
          <w:sz w:val="20"/>
          <w:szCs w:val="20"/>
          <w:color w:val="auto"/>
        </w:rPr>
      </w:pPr>
      <w:r>
        <w:rPr>
          <w:rFonts w:ascii="Arial" w:cs="Arial" w:eastAsia="Arial" w:hAnsi="Arial"/>
          <w:sz w:val="18"/>
          <w:szCs w:val="18"/>
          <w:color w:val="auto"/>
        </w:rPr>
        <w:t>Except when the context otherwise requires or where otherwise indicated, all references to ‘‘CRC,’’ the ‘‘Company,’’ ‘‘we,’’ ‘‘us’’ and ‘‘our’’ refer to California Resources Corporation and its consolidated subsidiaries as of the date presented.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Aera Merger</w:t>
      </w:r>
    </w:p>
    <w:p>
      <w:pPr>
        <w:spacing w:after="0" w:line="252"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 xml:space="preserve">On July 1, 2024, we closed on transactions pursuant to the definitive agreement and plan of merger (Merger Agreement) to obtain all of the ownership interests in Aera Energy, LLC (Aera) (Aera Merger). In connection with the closing of the Aera Merger, we issued 21,315,707 shares of common stock to the former Aera owners (Sellers). We also paid approximately $ 990 million in connection with the extinguishment of all of Aera's outstanding indebtedness using the proceeds from the issuance of our 2029 Senior Notes and cash on hand. For more information on the 2029 Senior Notes, refer to </w:t>
      </w:r>
      <w:r>
        <w:rPr>
          <w:rFonts w:ascii="Arial" w:cs="Arial" w:eastAsia="Arial" w:hAnsi="Arial"/>
          <w:sz w:val="18"/>
          <w:szCs w:val="18"/>
          <w:i w:val="1"/>
          <w:iCs w:val="1"/>
          <w:color w:val="auto"/>
        </w:rPr>
        <w:t>Part I, Item 1 – Financial Statements, Note 4 Debt.</w:t>
      </w:r>
    </w:p>
    <w:p>
      <w:pPr>
        <w:spacing w:after="0" w:line="206" w:lineRule="exact"/>
        <w:rPr>
          <w:sz w:val="20"/>
          <w:szCs w:val="20"/>
          <w:color w:val="auto"/>
        </w:rPr>
      </w:pPr>
    </w:p>
    <w:p>
      <w:pPr>
        <w:ind w:right="280" w:firstLine="324"/>
        <w:spacing w:after="0" w:line="287" w:lineRule="auto"/>
        <w:rPr>
          <w:sz w:val="20"/>
          <w:szCs w:val="20"/>
          <w:color w:val="auto"/>
        </w:rPr>
      </w:pPr>
      <w:r>
        <w:rPr>
          <w:rFonts w:ascii="Arial" w:cs="Arial" w:eastAsia="Arial" w:hAnsi="Arial"/>
          <w:sz w:val="18"/>
          <w:szCs w:val="18"/>
          <w:color w:val="auto"/>
        </w:rPr>
        <w:t>As of July 1, 2024, immediately following closing of the Aera Merger, our existing stockholders prior to the Aera Merger owned 76% of CRC and the Sellers owned 24% of CRC.</w:t>
      </w:r>
    </w:p>
    <w:p>
      <w:pPr>
        <w:spacing w:after="0" w:line="180" w:lineRule="exact"/>
        <w:rPr>
          <w:sz w:val="20"/>
          <w:szCs w:val="20"/>
          <w:color w:val="auto"/>
        </w:rPr>
      </w:pPr>
    </w:p>
    <w:p>
      <w:pPr>
        <w:ind w:right="20" w:firstLine="324"/>
        <w:spacing w:after="0" w:line="268" w:lineRule="auto"/>
        <w:rPr>
          <w:sz w:val="20"/>
          <w:szCs w:val="20"/>
          <w:color w:val="auto"/>
        </w:rPr>
      </w:pPr>
      <w:r>
        <w:rPr>
          <w:rFonts w:ascii="Arial" w:cs="Arial" w:eastAsia="Arial" w:hAnsi="Arial"/>
          <w:sz w:val="18"/>
          <w:szCs w:val="18"/>
          <w:color w:val="auto"/>
        </w:rPr>
        <w:t xml:space="preserve">In the three and nine months ended September 30, 2024, we recognized $30 million and $56 million, respectively, of transaction and integration costs related to the Aera Merger which are included in other operating expenses, net on our condensed consolidated statement of operations. See </w:t>
      </w:r>
      <w:r>
        <w:rPr>
          <w:rFonts w:ascii="Arial" w:cs="Arial" w:eastAsia="Arial" w:hAnsi="Arial"/>
          <w:sz w:val="18"/>
          <w:szCs w:val="18"/>
          <w:i w:val="1"/>
          <w:iCs w:val="1"/>
          <w:color w:val="auto"/>
        </w:rPr>
        <w:t>Part I, Item 1 – Financial Statements, Note 4 Debt</w:t>
      </w:r>
      <w:r>
        <w:rPr>
          <w:rFonts w:ascii="Arial" w:cs="Arial" w:eastAsia="Arial" w:hAnsi="Arial"/>
          <w:sz w:val="18"/>
          <w:szCs w:val="18"/>
          <w:color w:val="auto"/>
        </w:rPr>
        <w:t xml:space="preserve"> for information on financing costs related to the Aera Merger.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Reorganization</w:t>
      </w:r>
    </w:p>
    <w:p>
      <w:pPr>
        <w:spacing w:after="0" w:line="252"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 xml:space="preserve">In August 2024, management committed to a reduction in force as part of the integration process following the Aera Merger, which, when complete, will result in a 12% reduction in our combined company's employee headcount. We initiated this workforce reduction to align the size and composition of our workforce with expected future operating and capital plans and to capture synergies related to the Aera Merger. As a result, we recognized a charge of $27 million and $28 million in other operating expenses, net on the consolidated statement of operations for the three and nine months ended September 30, 2024, respectively, primarily related to severance benefits. See </w:t>
      </w:r>
      <w:r>
        <w:rPr>
          <w:rFonts w:ascii="Arial" w:cs="Arial" w:eastAsia="Arial" w:hAnsi="Arial"/>
          <w:sz w:val="18"/>
          <w:szCs w:val="18"/>
          <w:i w:val="1"/>
          <w:iCs w:val="1"/>
          <w:color w:val="auto"/>
        </w:rPr>
        <w:t>Part I, Item 1</w:t>
      </w:r>
    </w:p>
    <w:p>
      <w:pPr>
        <w:spacing w:after="0" w:line="3" w:lineRule="exact"/>
        <w:rPr>
          <w:sz w:val="20"/>
          <w:szCs w:val="20"/>
          <w:color w:val="auto"/>
        </w:rPr>
      </w:pPr>
    </w:p>
    <w:p>
      <w:pPr>
        <w:ind w:right="980"/>
        <w:spacing w:after="0" w:line="266" w:lineRule="auto"/>
        <w:rPr>
          <w:sz w:val="20"/>
          <w:szCs w:val="20"/>
          <w:color w:val="auto"/>
        </w:rPr>
      </w:pPr>
      <w:r>
        <w:rPr>
          <w:rFonts w:ascii="Arial" w:cs="Arial" w:eastAsia="Arial" w:hAnsi="Arial"/>
          <w:sz w:val="18"/>
          <w:szCs w:val="18"/>
          <w:i w:val="1"/>
          <w:iCs w:val="1"/>
          <w:color w:val="auto"/>
        </w:rPr>
        <w:t xml:space="preserve">– Financial Statements, Note 11 Pension and Postretirement Benefit Plans </w:t>
      </w:r>
      <w:r>
        <w:rPr>
          <w:rFonts w:ascii="Arial" w:cs="Arial" w:eastAsia="Arial" w:hAnsi="Arial"/>
          <w:sz w:val="18"/>
          <w:szCs w:val="18"/>
          <w:color w:val="auto"/>
        </w:rPr>
        <w:t>for information on amendments to Aera’s pension and</w:t>
      </w:r>
      <w:r>
        <w:rPr>
          <w:rFonts w:ascii="Arial" w:cs="Arial" w:eastAsia="Arial" w:hAnsi="Arial"/>
          <w:sz w:val="18"/>
          <w:szCs w:val="18"/>
          <w:i w:val="1"/>
          <w:iCs w:val="1"/>
          <w:color w:val="auto"/>
        </w:rPr>
        <w:t xml:space="preserve"> </w:t>
      </w:r>
      <w:r>
        <w:rPr>
          <w:rFonts w:ascii="Arial" w:cs="Arial" w:eastAsia="Arial" w:hAnsi="Arial"/>
          <w:sz w:val="18"/>
          <w:szCs w:val="18"/>
          <w:color w:val="auto"/>
        </w:rPr>
        <w:t>postretirement benefit plans in August 2024.</w:t>
      </w:r>
    </w:p>
    <w:p>
      <w:pPr>
        <w:spacing w:after="0" w:line="198"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 xml:space="preserve">We expect to pay severance costs of approximately $ 25 million in the fourth quarter of 2024 and the remaining amounts throughout 2025 as the workforce reduction will be achieved in stages due to transition periods. See </w:t>
      </w:r>
      <w:r>
        <w:rPr>
          <w:rFonts w:ascii="Arial" w:cs="Arial" w:eastAsia="Arial" w:hAnsi="Arial"/>
          <w:sz w:val="18"/>
          <w:szCs w:val="18"/>
          <w:i w:val="1"/>
          <w:iCs w:val="1"/>
          <w:color w:val="auto"/>
        </w:rPr>
        <w:t>Part I, Item 1 – Financial Statements, Note 2 Aera Merger</w:t>
      </w:r>
      <w:r>
        <w:rPr>
          <w:rFonts w:ascii="Arial" w:cs="Arial" w:eastAsia="Arial" w:hAnsi="Arial"/>
          <w:sz w:val="18"/>
          <w:szCs w:val="18"/>
          <w:color w:val="auto"/>
        </w:rPr>
        <w:t xml:space="preserve"> for information on the severance plan and </w:t>
      </w:r>
      <w:r>
        <w:rPr>
          <w:rFonts w:ascii="Arial" w:cs="Arial" w:eastAsia="Arial" w:hAnsi="Arial"/>
          <w:sz w:val="18"/>
          <w:szCs w:val="18"/>
          <w:i w:val="1"/>
          <w:iCs w:val="1"/>
          <w:color w:val="auto"/>
        </w:rPr>
        <w:t>Note 11 Pension and Postretirement Benefit Plans</w:t>
      </w:r>
      <w:r>
        <w:rPr>
          <w:rFonts w:ascii="Arial" w:cs="Arial" w:eastAsia="Arial" w:hAnsi="Arial"/>
          <w:sz w:val="18"/>
          <w:szCs w:val="18"/>
          <w:color w:val="auto"/>
        </w:rPr>
        <w:t xml:space="preserve"> for information on amendments to Aera's pension and postretirement benefit plans.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Debt Transactions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2029 Senior Notes Follow-On Offering</w:t>
      </w:r>
    </w:p>
    <w:p>
      <w:pPr>
        <w:spacing w:after="0" w:line="250" w:lineRule="exact"/>
        <w:rPr>
          <w:sz w:val="20"/>
          <w:szCs w:val="20"/>
          <w:color w:val="auto"/>
        </w:rPr>
      </w:pPr>
    </w:p>
    <w:p>
      <w:pPr>
        <w:ind w:right="300" w:firstLine="324"/>
        <w:spacing w:after="0" w:line="259" w:lineRule="auto"/>
        <w:rPr>
          <w:sz w:val="20"/>
          <w:szCs w:val="20"/>
          <w:color w:val="auto"/>
        </w:rPr>
      </w:pPr>
      <w:r>
        <w:rPr>
          <w:rFonts w:ascii="Arial" w:cs="Arial" w:eastAsia="Arial" w:hAnsi="Arial"/>
          <w:sz w:val="18"/>
          <w:szCs w:val="18"/>
          <w:color w:val="auto"/>
        </w:rPr>
        <w:t>On August 22, 2024, we completed a follow-on offering of $300 million in aggregate principal amount of 8.25% senior notes due 2029 (2029 Senior Notes). The net proceeds from this offering of $298 million, after $3 million of debt premium and $5 million of debt issuance costs, were used to repurchase a portion of our outstanding 7.125% senior notes due 2026 (2026 Senior Notes) as described below. The 2029 Senior Notes issued on August 22, 2024 are governed by the same indenture as the $600 million of 2029 Senior Notes that were previously issued on June 5, 2024.</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2026 Senior Note Repurchases</w:t>
      </w:r>
    </w:p>
    <w:p>
      <w:pPr>
        <w:spacing w:after="0" w:line="250" w:lineRule="exact"/>
        <w:rPr>
          <w:sz w:val="20"/>
          <w:szCs w:val="20"/>
          <w:color w:val="auto"/>
        </w:rPr>
      </w:pPr>
    </w:p>
    <w:p>
      <w:pPr>
        <w:ind w:right="220" w:firstLine="324"/>
        <w:spacing w:after="0" w:line="262" w:lineRule="auto"/>
        <w:rPr>
          <w:sz w:val="20"/>
          <w:szCs w:val="20"/>
          <w:color w:val="auto"/>
        </w:rPr>
      </w:pPr>
      <w:r>
        <w:rPr>
          <w:rFonts w:ascii="Arial" w:cs="Arial" w:eastAsia="Arial" w:hAnsi="Arial"/>
          <w:sz w:val="18"/>
          <w:szCs w:val="18"/>
          <w:color w:val="auto"/>
        </w:rPr>
        <w:t>In the three and nine months ended September 30, 2024, we repurchased $ 300 million in face value of our 2026 Senior Notes for $303 million, resulting in a loss on early extinguishment of debt in the amount of $5 million which includes a $ 2 million write-off of unamortized debt issuance costs. In the three and nine months ended September 30, 2023, we repurchased $5 million in face value of our 2026 Senior Notes at par resulting in an insignificant extinguishment loss for the write-off of unamortized debt issuance costs.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Fifth Amendment to Revolving Credit Facility</w:t>
      </w:r>
    </w:p>
    <w:p>
      <w:pPr>
        <w:spacing w:after="0" w:line="250" w:lineRule="exact"/>
        <w:rPr>
          <w:sz w:val="20"/>
          <w:szCs w:val="20"/>
          <w:color w:val="auto"/>
        </w:rPr>
      </w:pPr>
    </w:p>
    <w:p>
      <w:pPr>
        <w:ind w:right="180" w:firstLine="324"/>
        <w:spacing w:after="0" w:line="287" w:lineRule="auto"/>
        <w:rPr>
          <w:sz w:val="20"/>
          <w:szCs w:val="20"/>
          <w:color w:val="auto"/>
        </w:rPr>
      </w:pPr>
      <w:r>
        <w:rPr>
          <w:rFonts w:ascii="Arial" w:cs="Arial" w:eastAsia="Arial" w:hAnsi="Arial"/>
          <w:sz w:val="18"/>
          <w:szCs w:val="18"/>
          <w:color w:val="auto"/>
        </w:rPr>
        <w:t xml:space="preserve">On November 1, 2024, we entered into a fifth amendment to our Revolving Credit Facility. For more information on recent amendments to our Revolving Credit Facility, see </w:t>
      </w:r>
      <w:r>
        <w:rPr>
          <w:rFonts w:ascii="Arial" w:cs="Arial" w:eastAsia="Arial" w:hAnsi="Arial"/>
          <w:sz w:val="18"/>
          <w:szCs w:val="18"/>
          <w:i w:val="1"/>
          <w:iCs w:val="1"/>
          <w:color w:val="auto"/>
        </w:rPr>
        <w:t>Part I, Item 1 – Financial Statements, Note 4 Debt</w:t>
      </w:r>
      <w:r>
        <w:rPr>
          <w:rFonts w:ascii="Arial" w:cs="Arial" w:eastAsia="Arial" w:hAnsi="Arial"/>
          <w:sz w:val="18"/>
          <w:szCs w:val="18"/>
          <w:color w:val="auto"/>
        </w:rPr>
        <w:t xml:space="preserve"> and </w:t>
      </w:r>
      <w:r>
        <w:rPr>
          <w:rFonts w:ascii="Arial" w:cs="Arial" w:eastAsia="Arial" w:hAnsi="Arial"/>
          <w:sz w:val="18"/>
          <w:szCs w:val="18"/>
          <w:i w:val="1"/>
          <w:iCs w:val="1"/>
          <w:color w:val="auto"/>
        </w:rPr>
        <w:t>Note 15 Subsequent Events.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 and Industry Outlook</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Prices</w:t>
      </w:r>
    </w:p>
    <w:p>
      <w:pPr>
        <w:spacing w:after="0" w:line="250"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 xml:space="preserve">Our operating results, and those of the oil and natural gas industry as a whole, are heavily influenced by commodity prices. Oil and natural gas prices and differentials may fluctuate significantly as a result of numerous market-related variables. These and other factors make it impossible to predict realized prices reliably. We may respond to economic conditions by adjusting the amount and allocation of our capital program while continuing to identify efficiencies and cost savings. Volatility in oil prices may materially affect the quantities of oil and natural gas reserves we can economically produce over the longer term. Refer to </w:t>
      </w:r>
      <w:r>
        <w:rPr>
          <w:rFonts w:ascii="Arial" w:cs="Arial" w:eastAsia="Arial" w:hAnsi="Arial"/>
          <w:sz w:val="18"/>
          <w:szCs w:val="18"/>
          <w:i w:val="1"/>
          <w:iCs w:val="1"/>
          <w:color w:val="auto"/>
        </w:rPr>
        <w:t>Prices and Realizations</w:t>
      </w:r>
      <w:r>
        <w:rPr>
          <w:rFonts w:ascii="Arial" w:cs="Arial" w:eastAsia="Arial" w:hAnsi="Arial"/>
          <w:sz w:val="18"/>
          <w:szCs w:val="18"/>
          <w:color w:val="auto"/>
        </w:rPr>
        <w:t xml:space="preserve"> below for information on our realized prices.</w:t>
      </w:r>
    </w:p>
    <w:p>
      <w:pPr>
        <w:spacing w:after="0" w:line="20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average daily benchmark prices for oil and natural gas during the periods presented:</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5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4"/>
          </w:tcPr>
          <w:p>
            <w:pPr>
              <w:jc w:val="right"/>
              <w:ind w:right="41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4"/>
          </w:tcPr>
          <w:p>
            <w:pPr>
              <w:jc w:val="right"/>
              <w:ind w:right="47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169"/>
        </w:trPr>
        <w:tc>
          <w:tcPr>
            <w:tcW w:w="5540" w:type="dxa"/>
            <w:vAlign w:val="bottom"/>
          </w:tcPr>
          <w:p>
            <w:pPr>
              <w:spacing w:after="0"/>
              <w:rPr>
                <w:sz w:val="14"/>
                <w:szCs w:val="14"/>
                <w:color w:val="auto"/>
              </w:rPr>
            </w:pPr>
          </w:p>
        </w:tc>
        <w:tc>
          <w:tcPr>
            <w:tcW w:w="1440" w:type="dxa"/>
            <w:vAlign w:val="bottom"/>
            <w:gridSpan w:val="3"/>
          </w:tcPr>
          <w:p>
            <w:pPr>
              <w:ind w:left="60"/>
              <w:spacing w:after="0" w:line="169" w:lineRule="exact"/>
              <w:rPr>
                <w:sz w:val="20"/>
                <w:szCs w:val="20"/>
                <w:color w:val="auto"/>
              </w:rPr>
            </w:pPr>
            <w:r>
              <w:rPr>
                <w:rFonts w:ascii="Arial" w:cs="Arial" w:eastAsia="Arial" w:hAnsi="Arial"/>
                <w:sz w:val="18"/>
                <w:szCs w:val="18"/>
                <w:b w:val="1"/>
                <w:bCs w:val="1"/>
                <w:color w:val="auto"/>
              </w:rPr>
              <w:t>September 30,</w:t>
            </w:r>
          </w:p>
        </w:tc>
        <w:tc>
          <w:tcPr>
            <w:tcW w:w="1460" w:type="dxa"/>
            <w:vAlign w:val="bottom"/>
            <w:gridSpan w:val="3"/>
            <w:vMerge w:val="restart"/>
          </w:tcPr>
          <w:p>
            <w:pPr>
              <w:ind w:left="100"/>
              <w:spacing w:after="0"/>
              <w:rPr>
                <w:sz w:val="20"/>
                <w:szCs w:val="20"/>
                <w:color w:val="auto"/>
              </w:rPr>
            </w:pPr>
            <w:r>
              <w:rPr>
                <w:rFonts w:ascii="Arial" w:cs="Arial" w:eastAsia="Arial" w:hAnsi="Arial"/>
                <w:sz w:val="18"/>
                <w:szCs w:val="18"/>
                <w:b w:val="1"/>
                <w:bCs w:val="1"/>
                <w:color w:val="auto"/>
              </w:rPr>
              <w:t>June 30, 2024</w:t>
            </w:r>
          </w:p>
        </w:tc>
        <w:tc>
          <w:tcPr>
            <w:tcW w:w="1440" w:type="dxa"/>
            <w:vAlign w:val="bottom"/>
            <w:gridSpan w:val="3"/>
          </w:tcPr>
          <w:p>
            <w:pPr>
              <w:ind w:left="60"/>
              <w:spacing w:after="0" w:line="169" w:lineRule="exact"/>
              <w:rPr>
                <w:sz w:val="20"/>
                <w:szCs w:val="20"/>
                <w:color w:val="auto"/>
              </w:rPr>
            </w:pPr>
            <w:r>
              <w:rPr>
                <w:rFonts w:ascii="Arial" w:cs="Arial" w:eastAsia="Arial" w:hAnsi="Arial"/>
                <w:sz w:val="18"/>
                <w:szCs w:val="18"/>
                <w:b w:val="1"/>
                <w:bCs w:val="1"/>
                <w:color w:val="auto"/>
              </w:rPr>
              <w:t>September 30,</w:t>
            </w:r>
          </w:p>
        </w:tc>
        <w:tc>
          <w:tcPr>
            <w:tcW w:w="1360" w:type="dxa"/>
            <w:vAlign w:val="bottom"/>
            <w:gridSpan w:val="2"/>
          </w:tcPr>
          <w:p>
            <w:pPr>
              <w:jc w:val="right"/>
              <w:spacing w:after="0" w:line="169" w:lineRule="exact"/>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43"/>
        </w:trPr>
        <w:tc>
          <w:tcPr>
            <w:tcW w:w="5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2024</w:t>
            </w:r>
          </w:p>
        </w:tc>
        <w:tc>
          <w:tcPr>
            <w:tcW w:w="80" w:type="dxa"/>
            <w:vAlign w:val="bottom"/>
          </w:tcPr>
          <w:p>
            <w:pPr>
              <w:spacing w:after="0"/>
              <w:rPr>
                <w:sz w:val="21"/>
                <w:szCs w:val="21"/>
                <w:color w:val="auto"/>
              </w:rPr>
            </w:pPr>
          </w:p>
        </w:tc>
        <w:tc>
          <w:tcPr>
            <w:tcW w:w="1460" w:type="dxa"/>
            <w:vAlign w:val="bottom"/>
            <w:gridSpan w:val="3"/>
            <w:vMerge w:val="continue"/>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223"/>
        </w:trPr>
        <w:tc>
          <w:tcPr>
            <w:tcW w:w="5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Brent oil ($/Bbl)</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78.54</w:t>
            </w:r>
          </w:p>
        </w:tc>
        <w:tc>
          <w:tcPr>
            <w:tcW w:w="8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85.00</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81.79</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82.06</w:t>
            </w:r>
          </w:p>
        </w:tc>
        <w:tc>
          <w:tcPr>
            <w:tcW w:w="0" w:type="dxa"/>
            <w:vAlign w:val="bottom"/>
          </w:tcPr>
          <w:p>
            <w:pPr>
              <w:spacing w:after="0"/>
              <w:rPr>
                <w:sz w:val="1"/>
                <w:szCs w:val="1"/>
                <w:color w:val="auto"/>
              </w:rPr>
            </w:pPr>
          </w:p>
        </w:tc>
      </w:tr>
      <w:tr>
        <w:trPr>
          <w:trHeight w:val="230"/>
        </w:trPr>
        <w:tc>
          <w:tcPr>
            <w:tcW w:w="5540" w:type="dxa"/>
            <w:vAlign w:val="bottom"/>
          </w:tcPr>
          <w:p>
            <w:pPr>
              <w:ind w:left="20"/>
              <w:spacing w:after="0"/>
              <w:rPr>
                <w:sz w:val="20"/>
                <w:szCs w:val="20"/>
                <w:color w:val="auto"/>
              </w:rPr>
            </w:pPr>
            <w:r>
              <w:rPr>
                <w:rFonts w:ascii="Arial" w:cs="Arial" w:eastAsia="Arial" w:hAnsi="Arial"/>
                <w:sz w:val="18"/>
                <w:szCs w:val="18"/>
                <w:color w:val="auto"/>
              </w:rPr>
              <w:t>WTI oil ($/Bbl)</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75.09</w:t>
            </w:r>
          </w:p>
        </w:tc>
        <w:tc>
          <w:tcPr>
            <w:tcW w:w="8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80.57</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77.54</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77.39</w:t>
            </w: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NYMEX Henry Hub ($/MMBtu) Average Monthly Settled Price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Arrangements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Crude Oil</w:t>
      </w:r>
    </w:p>
    <w:p>
      <w:pPr>
        <w:spacing w:after="0" w:line="250" w:lineRule="exact"/>
        <w:rPr>
          <w:sz w:val="20"/>
          <w:szCs w:val="20"/>
          <w:color w:val="auto"/>
        </w:rPr>
      </w:pPr>
    </w:p>
    <w:p>
      <w:pPr>
        <w:ind w:right="200" w:firstLine="324"/>
        <w:spacing w:after="0" w:line="268" w:lineRule="auto"/>
        <w:rPr>
          <w:sz w:val="20"/>
          <w:szCs w:val="20"/>
          <w:color w:val="auto"/>
        </w:rPr>
      </w:pPr>
      <w:r>
        <w:rPr>
          <w:rFonts w:ascii="Arial" w:cs="Arial" w:eastAsia="Arial" w:hAnsi="Arial"/>
          <w:sz w:val="18"/>
          <w:szCs w:val="18"/>
          <w:color w:val="auto"/>
        </w:rPr>
        <w:t>We sell nearly all of our crude oil to California refiners. A majority of our crude oil production is connected to third-party pipelines and California refining markets via our gathering systems. We do not refine or process the crude oil we produce and do not have any significant long-term transportation arrangements.</w:t>
      </w:r>
    </w:p>
    <w:p>
      <w:pPr>
        <w:spacing w:after="0" w:line="198" w:lineRule="exact"/>
        <w:rPr>
          <w:sz w:val="20"/>
          <w:szCs w:val="20"/>
          <w:color w:val="auto"/>
        </w:rPr>
      </w:pPr>
    </w:p>
    <w:p>
      <w:pPr>
        <w:ind w:right="140" w:firstLine="324"/>
        <w:spacing w:after="0" w:line="262" w:lineRule="auto"/>
        <w:rPr>
          <w:sz w:val="20"/>
          <w:szCs w:val="20"/>
          <w:color w:val="auto"/>
        </w:rPr>
      </w:pPr>
      <w:r>
        <w:rPr>
          <w:rFonts w:ascii="Arial" w:cs="Arial" w:eastAsia="Arial" w:hAnsi="Arial"/>
          <w:sz w:val="18"/>
          <w:szCs w:val="18"/>
          <w:color w:val="auto"/>
        </w:rPr>
        <w:t>The prices paid by California refiners are typically based on local postings that are closely tied to Brent prices. International waterborne-based Brent prices are relevant because there is limited crude pipeline infrastructure available to transport crude over land from other parts of the United States into California. We believe that these limitations will continue to contribute to higher realized prices in California than most other U.S. oil markets for comparable grades.</w:t>
      </w:r>
    </w:p>
    <w:p>
      <w:pPr>
        <w:spacing w:after="0" w:line="203"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In October 2024, Phillips 66 announced that it plans to close its Wilmington refinery in Los Angeles in late 2025. For the three months ended September 30, 2024, following the Aera Merger, we sold approximately 8% of our production to this refinery. Following the closure of this facility, there will be four remaining major (greater than 75,000 barrels per day) petroleum refineries in Southern California and three remaining major petroleum refineries in Northern California. Due to the significant excess of refining capacity in California versus the quantity of crude oil produced locally, we do not expect the closure of this refinery to affect our ability to market our crude oil production, or to negatively impact our price realizations.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Natural Gas</w:t>
      </w:r>
    </w:p>
    <w:p>
      <w:pPr>
        <w:spacing w:after="0" w:line="250"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sell all of our natural gas not used in our operations into the California market. A majority of these sales are made at index-based prices. Natural gas prices and differentials are strongly affected by local market fundamentals, such as storage capacity and the availability of transportation capacity between the market and producing areas. Transportation capacity influences prices because California imports more than 90% of its natural gas from other states and from Canada. As a result, we typically obtain higher realizations relative to out-of-state producers due to lower transportation costs on the delivery of our natural gas.</w:t>
      </w:r>
    </w:p>
    <w:p>
      <w:pPr>
        <w:spacing w:after="0" w:line="206"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 xml:space="preserve">In addition to selling natural gas, we also purchase natural gas for production of steam at our steamfloods and for power generation. As a result, the positive impact of higher natural gas prices is, absent impacts of gas cost hedging, largely offset by higher operating costs of our steamfloods and in our electricity generation expense, but higher prices have a net positive effect on our operating results when gas hedges are taken into account. See </w:t>
      </w:r>
      <w:r>
        <w:rPr>
          <w:rFonts w:ascii="Arial" w:cs="Arial" w:eastAsia="Arial" w:hAnsi="Arial"/>
          <w:sz w:val="18"/>
          <w:szCs w:val="18"/>
          <w:i w:val="1"/>
          <w:iCs w:val="1"/>
          <w:color w:val="auto"/>
        </w:rPr>
        <w:t>Part I, Item 1 – Financial Statements, Note 6 Derivatives</w:t>
      </w:r>
      <w:r>
        <w:rPr>
          <w:rFonts w:ascii="Arial" w:cs="Arial" w:eastAsia="Arial" w:hAnsi="Arial"/>
          <w:sz w:val="18"/>
          <w:szCs w:val="18"/>
          <w:color w:val="auto"/>
        </w:rPr>
        <w:t xml:space="preserve"> for more information on derivative contracts related to purchased natural gas</w:t>
      </w:r>
      <w:r>
        <w:rPr>
          <w:rFonts w:ascii="Arial" w:cs="Arial" w:eastAsia="Arial" w:hAnsi="Arial"/>
          <w:sz w:val="18"/>
          <w:szCs w:val="18"/>
          <w:i w:val="1"/>
          <w:iCs w:val="1"/>
          <w:color w:val="auto"/>
        </w:rPr>
        <w:t>.</w:t>
      </w:r>
    </w:p>
    <w:p>
      <w:pPr>
        <w:spacing w:after="0" w:line="206" w:lineRule="exact"/>
        <w:rPr>
          <w:sz w:val="20"/>
          <w:szCs w:val="20"/>
          <w:color w:val="auto"/>
        </w:rPr>
      </w:pPr>
    </w:p>
    <w:p>
      <w:pPr>
        <w:jc w:val="both"/>
        <w:ind w:right="540" w:firstLine="324"/>
        <w:spacing w:after="0" w:line="268" w:lineRule="auto"/>
        <w:rPr>
          <w:sz w:val="20"/>
          <w:szCs w:val="20"/>
          <w:color w:val="auto"/>
        </w:rPr>
      </w:pPr>
      <w:r>
        <w:rPr>
          <w:rFonts w:ascii="Arial" w:cs="Arial" w:eastAsia="Arial" w:hAnsi="Arial"/>
          <w:sz w:val="18"/>
          <w:szCs w:val="18"/>
          <w:color w:val="auto"/>
        </w:rPr>
        <w:t>Following the Aera Merger, we have transportation contracts for up to (i) 101,750 MMBtu/d of long-haul (Rockies to California) gas transportation through September 2031 and (ii) approximately 220,000 MMBtu/d of localized system natural gas transportation through September 2026. These contracts to transport natural gas contain both fixed reservation fees and variable charges.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NGLs</w:t>
      </w:r>
    </w:p>
    <w:p>
      <w:pPr>
        <w:spacing w:after="0" w:line="250"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NGL prices vary by liquid type and realizations are closely correlated to the different commodity prices to which they relate. Prices can also fluctuate due to the demand for certain chemical products (for which NGLs are used as feedstock) and due to infrastructure constraints and seasonality. Finally, our results are also affected by the performance of our natural gas-processing plants. We process our wet gas to extract NGLs and other natural gas byproducts. We then deliver dry gas to pipelines and separately sell the remaining products as NGLs. The efficiency with which we extract liquids from the wet gas stream affects our production volumes and operating results. Our natural gas-processing plants also facilitate access to third-party delivery points near the Elk Hills field.</w:t>
      </w:r>
    </w:p>
    <w:p>
      <w:pPr>
        <w:spacing w:after="0" w:line="209" w:lineRule="exact"/>
        <w:rPr>
          <w:sz w:val="20"/>
          <w:szCs w:val="20"/>
          <w:color w:val="auto"/>
        </w:rPr>
      </w:pPr>
    </w:p>
    <w:p>
      <w:pPr>
        <w:jc w:val="both"/>
        <w:ind w:right="240" w:firstLine="324"/>
        <w:spacing w:after="0" w:line="268" w:lineRule="auto"/>
        <w:rPr>
          <w:sz w:val="20"/>
          <w:szCs w:val="20"/>
          <w:color w:val="auto"/>
        </w:rPr>
      </w:pPr>
      <w:r>
        <w:rPr>
          <w:rFonts w:ascii="Arial" w:cs="Arial" w:eastAsia="Arial" w:hAnsi="Arial"/>
          <w:sz w:val="18"/>
          <w:szCs w:val="18"/>
          <w:color w:val="auto"/>
        </w:rPr>
        <w:t>We currently have a ship-or-pay pipeline transportation contract for approximately 6,100 barrels per day of NGLs through March 2026. Our contract to transport NGLs requires us to cash settle any shortfall between the contractual throughput minimums and volumes actually shipped. We have met all our throughput minimums under this contract for the periods presented.</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Delivery Commitments</w:t>
      </w:r>
    </w:p>
    <w:p>
      <w:pPr>
        <w:spacing w:after="0" w:line="250" w:lineRule="exact"/>
        <w:rPr>
          <w:sz w:val="20"/>
          <w:szCs w:val="20"/>
          <w:color w:val="auto"/>
        </w:rPr>
      </w:pPr>
    </w:p>
    <w:p>
      <w:pPr>
        <w:ind w:right="280" w:firstLine="324"/>
        <w:spacing w:after="0" w:line="268" w:lineRule="auto"/>
        <w:rPr>
          <w:sz w:val="20"/>
          <w:szCs w:val="20"/>
          <w:color w:val="auto"/>
        </w:rPr>
      </w:pPr>
      <w:r>
        <w:rPr>
          <w:rFonts w:ascii="Arial" w:cs="Arial" w:eastAsia="Arial" w:hAnsi="Arial"/>
          <w:sz w:val="18"/>
          <w:szCs w:val="18"/>
          <w:color w:val="auto"/>
        </w:rPr>
        <w:t>We have commitments to certain refineries and other buyers to deliver oil, natural gas and NGLs, including additional delivery commitments obtained as part of the Aera Merger. As of September 30, 2024, we had the following delivery commitments as shown in the table below.</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4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2024</w:t>
            </w:r>
          </w:p>
        </w:tc>
        <w:tc>
          <w:tcPr>
            <w:tcW w:w="180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2025</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jc w:val="right"/>
              <w:ind w:right="550"/>
              <w:spacing w:after="0"/>
              <w:rPr>
                <w:sz w:val="20"/>
                <w:szCs w:val="20"/>
                <w:color w:val="auto"/>
              </w:rPr>
            </w:pPr>
            <w:r>
              <w:rPr>
                <w:rFonts w:ascii="Arial" w:cs="Arial" w:eastAsia="Arial" w:hAnsi="Arial"/>
                <w:sz w:val="18"/>
                <w:szCs w:val="18"/>
                <w:b w:val="1"/>
                <w:bCs w:val="1"/>
                <w:color w:val="auto"/>
              </w:rPr>
              <w:t>2026</w:t>
            </w:r>
          </w:p>
        </w:tc>
        <w:tc>
          <w:tcPr>
            <w:tcW w:w="100" w:type="dxa"/>
            <w:vAlign w:val="bottom"/>
          </w:tcPr>
          <w:p>
            <w:pPr>
              <w:spacing w:after="0"/>
              <w:rPr>
                <w:sz w:val="20"/>
                <w:szCs w:val="20"/>
                <w:color w:val="auto"/>
              </w:rPr>
            </w:pPr>
          </w:p>
        </w:tc>
        <w:tc>
          <w:tcPr>
            <w:tcW w:w="1700" w:type="dxa"/>
            <w:vAlign w:val="bottom"/>
          </w:tcPr>
          <w:p>
            <w:pPr>
              <w:jc w:val="right"/>
              <w:ind w:right="550"/>
              <w:spacing w:after="0"/>
              <w:rPr>
                <w:sz w:val="20"/>
                <w:szCs w:val="20"/>
                <w:color w:val="auto"/>
              </w:rPr>
            </w:pPr>
            <w:r>
              <w:rPr>
                <w:rFonts w:ascii="Arial" w:cs="Arial" w:eastAsia="Arial" w:hAnsi="Arial"/>
                <w:sz w:val="18"/>
                <w:szCs w:val="18"/>
                <w:b w:val="1"/>
                <w:bCs w:val="1"/>
                <w:color w:val="auto"/>
              </w:rPr>
              <w:t>2027</w:t>
            </w:r>
          </w:p>
        </w:tc>
        <w:tc>
          <w:tcPr>
            <w:tcW w:w="100" w:type="dxa"/>
            <w:vAlign w:val="bottom"/>
          </w:tcPr>
          <w:p>
            <w:pPr>
              <w:spacing w:after="0"/>
              <w:rPr>
                <w:sz w:val="20"/>
                <w:szCs w:val="20"/>
                <w:color w:val="auto"/>
              </w:rPr>
            </w:pPr>
          </w:p>
        </w:tc>
        <w:tc>
          <w:tcPr>
            <w:tcW w:w="1720" w:type="dxa"/>
            <w:vAlign w:val="bottom"/>
          </w:tcPr>
          <w:p>
            <w:pPr>
              <w:jc w:val="right"/>
              <w:ind w:right="570"/>
              <w:spacing w:after="0"/>
              <w:rPr>
                <w:sz w:val="20"/>
                <w:szCs w:val="20"/>
                <w:color w:val="auto"/>
              </w:rPr>
            </w:pPr>
            <w:r>
              <w:rPr>
                <w:rFonts w:ascii="Arial" w:cs="Arial" w:eastAsia="Arial" w:hAnsi="Arial"/>
                <w:sz w:val="18"/>
                <w:szCs w:val="18"/>
                <w:b w:val="1"/>
                <w:bCs w:val="1"/>
                <w:color w:val="auto"/>
              </w:rPr>
              <w:t>2028</w:t>
            </w:r>
          </w:p>
        </w:tc>
      </w:tr>
      <w:tr>
        <w:trPr>
          <w:trHeight w:val="223"/>
        </w:trPr>
        <w:tc>
          <w:tcPr>
            <w:tcW w:w="2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Oil (MMBbl)</w:t>
            </w:r>
          </w:p>
        </w:tc>
        <w:tc>
          <w:tcPr>
            <w:tcW w:w="124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3440" w:type="dxa"/>
            <w:vAlign w:val="bottom"/>
            <w:gridSpan w:val="2"/>
          </w:tcPr>
          <w:p>
            <w:pPr>
              <w:ind w:left="20"/>
              <w:spacing w:after="0"/>
              <w:rPr>
                <w:sz w:val="20"/>
                <w:szCs w:val="20"/>
                <w:color w:val="auto"/>
              </w:rPr>
            </w:pPr>
            <w:r>
              <w:rPr>
                <w:rFonts w:ascii="Arial" w:cs="Arial" w:eastAsia="Arial" w:hAnsi="Arial"/>
                <w:sz w:val="18"/>
                <w:szCs w:val="18"/>
                <w:color w:val="auto"/>
              </w:rPr>
              <w:t>NGL (MMBbl)</w:t>
            </w: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Natural gas (Bcf)</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319" w:lineRule="exact"/>
        <w:rPr>
          <w:sz w:val="20"/>
          <w:szCs w:val="20"/>
          <w:color w:val="auto"/>
        </w:rPr>
      </w:pPr>
    </w:p>
    <w:p>
      <w:pPr>
        <w:ind w:right="80" w:firstLine="324"/>
        <w:spacing w:after="0" w:line="287" w:lineRule="auto"/>
        <w:rPr>
          <w:sz w:val="20"/>
          <w:szCs w:val="20"/>
          <w:color w:val="auto"/>
        </w:rPr>
      </w:pPr>
      <w:r>
        <w:rPr>
          <w:rFonts w:ascii="Arial" w:cs="Arial" w:eastAsia="Arial" w:hAnsi="Arial"/>
          <w:sz w:val="18"/>
          <w:szCs w:val="18"/>
          <w:color w:val="auto"/>
        </w:rPr>
        <w:t>We expect to fulfill our delivery commitments predominantly from our production and to a lesser extent from third party volumes acquired in connection with our marketing activities. We typically enter into index-based contracts with prices set at the time of delivery.</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Regulatory Updates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Well Permitting Status</w:t>
      </w:r>
    </w:p>
    <w:p>
      <w:pPr>
        <w:spacing w:after="0" w:line="250" w:lineRule="exact"/>
        <w:rPr>
          <w:sz w:val="20"/>
          <w:szCs w:val="20"/>
          <w:color w:val="auto"/>
        </w:rPr>
      </w:pPr>
    </w:p>
    <w:p>
      <w:pPr>
        <w:ind w:right="40" w:firstLine="324"/>
        <w:spacing w:after="0" w:line="262" w:lineRule="auto"/>
        <w:rPr>
          <w:sz w:val="20"/>
          <w:szCs w:val="20"/>
          <w:color w:val="auto"/>
        </w:rPr>
      </w:pPr>
      <w:r>
        <w:rPr>
          <w:rFonts w:ascii="Arial" w:cs="Arial" w:eastAsia="Arial" w:hAnsi="Arial"/>
          <w:sz w:val="18"/>
          <w:szCs w:val="18"/>
          <w:color w:val="auto"/>
        </w:rPr>
        <w:t>CalGEM remains in the process of developing standard operating procedures for reviewing well permit applications and significant permitting delays may continue pending CalGEM’s completion of this process. An increase in approvals for workovers has continued through the third quarter of 2024. As of September 30, 2024, we have received 581 permits for workovers and 89 permits for sidetracks (including permits received by Aera) since the beginning of the year.</w:t>
      </w:r>
    </w:p>
    <w:p>
      <w:pPr>
        <w:spacing w:after="0" w:line="203"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 xml:space="preserve">During the second and third quarters of 2024, CalGEM issued 48 and 34 new well permits to other operators in the state, respectively. These permits were issued outside of Kern County or in reliance on an environmental impact analysis other than the Kern County Environmental Impact Report (EIR) to comply with CEQA. We are pursuing a similar strategy of seeking conditional use permits with respect to our Elk Hills, Buena Vista and Kern Front fields and Aera's Belridge field that would allow us to comply with CEQA requirements separate from the Kern County EIR. As discussed in the 2023 Annual Report, the Kern County EIR was legally challenged in 2020 and the use of the Kern County EIR is currently stayed and has been stayed through most of the litigation. For further information on the Kern County EIR, see </w:t>
      </w:r>
      <w:r>
        <w:rPr>
          <w:rFonts w:ascii="Arial" w:cs="Arial" w:eastAsia="Arial" w:hAnsi="Arial"/>
          <w:sz w:val="18"/>
          <w:szCs w:val="18"/>
          <w:i w:val="1"/>
          <w:iCs w:val="1"/>
          <w:color w:val="auto"/>
        </w:rPr>
        <w:t xml:space="preserve">Part I, Item IA – Risk Factors, We may face material delays related to our ability to timely obtain permits necessary for our operations or be unable to secure such permits on favorable terms or at all as a result of numerous California political, regulatory, and legal developments </w:t>
      </w:r>
      <w:r>
        <w:rPr>
          <w:rFonts w:ascii="Arial" w:cs="Arial" w:eastAsia="Arial" w:hAnsi="Arial"/>
          <w:sz w:val="18"/>
          <w:szCs w:val="18"/>
          <w:color w:val="auto"/>
        </w:rPr>
        <w:t>in</w:t>
      </w:r>
      <w:r>
        <w:rPr>
          <w:rFonts w:ascii="Arial" w:cs="Arial" w:eastAsia="Arial" w:hAnsi="Arial"/>
          <w:sz w:val="18"/>
          <w:szCs w:val="18"/>
          <w:i w:val="1"/>
          <w:iCs w:val="1"/>
          <w:color w:val="auto"/>
        </w:rPr>
        <w:t xml:space="preserve"> </w:t>
      </w:r>
      <w:r>
        <w:rPr>
          <w:rFonts w:ascii="Arial" w:cs="Arial" w:eastAsia="Arial" w:hAnsi="Arial"/>
          <w:sz w:val="18"/>
          <w:szCs w:val="18"/>
          <w:color w:val="auto"/>
        </w:rPr>
        <w:t>our 2023 Annual Report. As a result, our ability to obtain these conditional use permits is uncertain and we may not be successful in obtaining such permits in a timely manner or at all.</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CCS Project Permitting Status</w:t>
      </w:r>
    </w:p>
    <w:p>
      <w:pPr>
        <w:spacing w:after="0" w:line="250" w:lineRule="exact"/>
        <w:rPr>
          <w:sz w:val="20"/>
          <w:szCs w:val="20"/>
          <w:color w:val="auto"/>
        </w:rPr>
      </w:pPr>
    </w:p>
    <w:p>
      <w:pPr>
        <w:ind w:right="80" w:firstLine="324"/>
        <w:spacing w:after="0" w:line="262" w:lineRule="auto"/>
        <w:rPr>
          <w:sz w:val="20"/>
          <w:szCs w:val="20"/>
          <w:color w:val="auto"/>
        </w:rPr>
      </w:pPr>
      <w:r>
        <w:rPr>
          <w:rFonts w:ascii="Arial" w:cs="Arial" w:eastAsia="Arial" w:hAnsi="Arial"/>
          <w:sz w:val="18"/>
          <w:szCs w:val="18"/>
          <w:color w:val="auto"/>
        </w:rPr>
        <w:t>On October 21, 2024, the Kern County Board of Supervisors approved the issuance of the conditional use permits and certified the Draft Recirculated Environmental Impact Report for our first carbon capture and storage project, Carbon TerraVault I. This approval follows a recommendation from the Kern County Planning Commission (Planning Commission) on September 12, 2024 that the Kern County Board of Supervisors take these actions.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Setbacks and Senate Bill No. 1137</w:t>
      </w:r>
    </w:p>
    <w:p>
      <w:pPr>
        <w:spacing w:after="0" w:line="250"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California Senate Bill No. 1137 establishes 3,200 feet as the minimum distance between new oil and natural gas production wells and certain sensitive receptors such as homes, schools and businesses open to the public and separately imposes a number of potential impact analysis and mitigation and reporting requirements. The implementation of Senate Bill No. 1137 was stayed pending the outcome of a voter referendum to repeal the bill on the November 2024 ballot, but the referendum was withdrawn on June 27, 2024. However, on September 30, 2024, the Governor signed into law Assembly Bill No. 218, which extends the timeline for the implementation of certain initial and future monitoring and reporting requirements to July 1, 2026 and further delays compliance with certain other requirements of Senate Bill No. 1137 by up to three years. Assembly Bill. No. 218 does not modify the 3,200-foot setback requirements applicable to new drills, sidetracks or workovers.</w:t>
      </w:r>
    </w:p>
    <w:p>
      <w:pPr>
        <w:spacing w:after="0" w:line="212"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The majority of our production is in rural areas in the San Joaquin basin and is not affected by Senate Bill No. 1137. In addition to the writedown of reserves previously recorded in 2023, we continue to evaluate the location of projects near setback zones and believe any further reductions to the net present value of our proved undeveloped reserves as a result of the withdrawal of the voter referendum and the implementation of Senate Bill No. 1137 would be less than $14 million based on 2023 SEC prices (with an insignificant impact on our overall proved reserves).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Recent Legislation</w:t>
      </w:r>
    </w:p>
    <w:p>
      <w:pPr>
        <w:spacing w:after="0" w:line="2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September 25, 2024, the following laws were enacted in the State of California:</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Assembly Bill 1866</w:t>
      </w:r>
    </w:p>
    <w:p>
      <w:pPr>
        <w:spacing w:after="0" w:line="250"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This law increases the annual fees operators must pay per idle well, depending on how long each well has been idle, and includes a new fee for those wells that have been idle for less than three years. In lieu of the annual fees, operators can instead file an eight year plan with the state to provide for the management and elimination of its idle wells. This law also increases the minimum percentages of idle wells that operators are required to eliminate each year. The rate at which idle wells must be eliminated varies depending on the number of an operator’s idle wells. Operators must prepare and submit a plan for the elimination of idle wells to CalGEM for approval. We have robust programs for managing and eliminating idle wells that in most cases meet or exceed the requirements of the new law. As a result, we do not expect this new law to have any meaningful impact on our current plans for eliminating idle wells or meaningfully increase fees associated with our idle wells.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Assembly Bill 2716</w:t>
      </w:r>
    </w:p>
    <w:p>
      <w:pPr>
        <w:spacing w:after="0" w:line="250" w:lineRule="exact"/>
        <w:rPr>
          <w:sz w:val="20"/>
          <w:szCs w:val="20"/>
          <w:color w:val="auto"/>
        </w:rPr>
      </w:pPr>
    </w:p>
    <w:p>
      <w:pPr>
        <w:ind w:right="20" w:firstLine="324"/>
        <w:spacing w:after="0" w:line="262" w:lineRule="auto"/>
        <w:rPr>
          <w:sz w:val="20"/>
          <w:szCs w:val="20"/>
          <w:color w:val="auto"/>
        </w:rPr>
      </w:pPr>
      <w:r>
        <w:rPr>
          <w:rFonts w:ascii="Arial" w:cs="Arial" w:eastAsia="Arial" w:hAnsi="Arial"/>
          <w:sz w:val="18"/>
          <w:szCs w:val="18"/>
          <w:color w:val="auto"/>
        </w:rPr>
        <w:t>This law requires operators to plug “low production wells” located within the boundary of the Baldwin Hills Conservancy in Los Angeles within a certain timeframe or otherwise subjects operators to administrative penalties. A “low-production well” is a well that produced fewer than 15 barrels of oil a day during the past 12 months. We have limited operations and assets within the affected area. As a result, we expect that this law will have an insignificant impact on both our total production and proved reserves.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Assembly Bill 3233 (AB 3233)</w:t>
      </w:r>
    </w:p>
    <w:p>
      <w:pPr>
        <w:spacing w:after="0" w:line="250"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This law provides local governments with the authority to limit methods for, or even prohibit oil and gas operations or development within their jurisdiction, including with respect to existing operations. Prior to the passage of this law, certain local governments in California had attempted to limit oil and gas operations within their jurisdictions and such actions had been challenged and struck down by California courts. Monterey County previously sought to ban only new production and prohibit the use of wastewater injection as a production method. The City and County of Los Angeles previously sought to both ban new wells and phaseout existing wells over a certain period of time. Although both those local measures were struck down in court, following the adoption of AB 3233, certain legal challenges previously made to these local actions are no longer valid and it is possible that these or other local governments in California may attempt to pass new or similar restrictions. For the three months ended September 30, 2024, approximately 12% of our gross production is located in Los Angeles County and approximately 3% is in Monterey County.</w:t>
      </w:r>
    </w:p>
    <w:p>
      <w:pPr>
        <w:spacing w:after="0" w:line="208"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For the three months ended September 30, 2024, over 80% of our gross production is located in Kern County, and at this time we are not aware of any local governments within Kern County that are considering materially limiting or otherwise prohibiting oil and gas operations within their jurisdiction. However, it is difficult to predict how local governments in California may choose to exercise their new authority under AB 3233. There may be future legal challenges to AB 3233 and any local ordinances enacted thereunder and we cannot predict whether or not such challenges will be successful.</w:t>
      </w:r>
    </w:p>
    <w:p>
      <w:pPr>
        <w:spacing w:after="0" w:line="206" w:lineRule="exact"/>
        <w:rPr>
          <w:sz w:val="20"/>
          <w:szCs w:val="20"/>
          <w:color w:val="auto"/>
        </w:rPr>
      </w:pPr>
    </w:p>
    <w:p>
      <w:pPr>
        <w:ind w:right="280" w:firstLine="324"/>
        <w:spacing w:after="0" w:line="287"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Part II, Item 1A – Risk Factors</w:t>
      </w:r>
      <w:r>
        <w:rPr>
          <w:rFonts w:ascii="Arial" w:cs="Arial" w:eastAsia="Arial" w:hAnsi="Arial"/>
          <w:sz w:val="18"/>
          <w:szCs w:val="18"/>
          <w:color w:val="auto"/>
        </w:rPr>
        <w:t xml:space="preserve"> – </w:t>
      </w:r>
      <w:r>
        <w:rPr>
          <w:rFonts w:ascii="Arial" w:cs="Arial" w:eastAsia="Arial" w:hAnsi="Arial"/>
          <w:sz w:val="18"/>
          <w:szCs w:val="18"/>
          <w:i w:val="1"/>
          <w:iCs w:val="1"/>
          <w:color w:val="auto"/>
        </w:rPr>
        <w:t>We may face increased local restrictions on oil and gas exploration and production operations or</w:t>
      </w:r>
      <w:r>
        <w:rPr>
          <w:rFonts w:ascii="Arial" w:cs="Arial" w:eastAsia="Arial" w:hAnsi="Arial"/>
          <w:sz w:val="18"/>
          <w:szCs w:val="18"/>
          <w:color w:val="auto"/>
        </w:rPr>
        <w:t xml:space="preserve"> </w:t>
      </w:r>
      <w:r>
        <w:rPr>
          <w:rFonts w:ascii="Arial" w:cs="Arial" w:eastAsia="Arial" w:hAnsi="Arial"/>
          <w:sz w:val="18"/>
          <w:szCs w:val="18"/>
          <w:i w:val="1"/>
          <w:iCs w:val="1"/>
          <w:color w:val="auto"/>
        </w:rPr>
        <w:t>even be prohibited from operating in certain areas as a result of recently enacted California legislation</w:t>
      </w:r>
      <w:r>
        <w:rPr>
          <w:rFonts w:ascii="Arial" w:cs="Arial" w:eastAsia="Arial" w:hAnsi="Arial"/>
          <w:sz w:val="18"/>
          <w:szCs w:val="18"/>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Oil and Gas Operations</w:t>
      </w:r>
    </w:p>
    <w:p>
      <w:pPr>
        <w:spacing w:after="0" w:line="266" w:lineRule="exact"/>
        <w:rPr>
          <w:sz w:val="20"/>
          <w:szCs w:val="20"/>
          <w:color w:val="auto"/>
        </w:rPr>
      </w:pPr>
    </w:p>
    <w:p>
      <w:pPr>
        <w:ind w:right="60" w:firstLine="324"/>
        <w:spacing w:after="0" w:line="267" w:lineRule="auto"/>
        <w:rPr>
          <w:sz w:val="20"/>
          <w:szCs w:val="20"/>
          <w:color w:val="auto"/>
        </w:rPr>
      </w:pPr>
      <w:r>
        <w:rPr>
          <w:rFonts w:ascii="Arial" w:cs="Arial" w:eastAsia="Arial" w:hAnsi="Arial"/>
          <w:sz w:val="18"/>
          <w:szCs w:val="18"/>
          <w:color w:val="auto"/>
        </w:rPr>
        <w:t>The tables below present production information on the basis of gross production, net production and net production sold. The difference between gross production and net production primarily reflects the reduction for (i) volumes attributable to working interest and royalty owners and (ii) volumes associated with PSC-type contracts to arrive at our net share. The difference between net production and net production sold reflects (i) the reduction for natural gas that we produce that is used in our oil and gas operations, including steam in our steamflood operations, and (ii) marketing activities reflecting the storage of volumes that we produce and are sold at a later time.</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40" w:name="page41"/>
    <w:bookmarkEnd w:id="40"/>
    <w:p>
      <w:pPr>
        <w:ind w:right="20" w:firstLine="324"/>
        <w:spacing w:after="0" w:line="303" w:lineRule="auto"/>
        <w:rPr>
          <w:sz w:val="20"/>
          <w:szCs w:val="20"/>
          <w:color w:val="auto"/>
        </w:rPr>
      </w:pPr>
      <w:r>
        <w:rPr>
          <w:rFonts w:ascii="Arial" w:cs="Arial" w:eastAsia="Arial" w:hAnsi="Arial"/>
          <w:sz w:val="18"/>
          <w:szCs w:val="18"/>
          <w:color w:val="auto"/>
        </w:rPr>
        <w:t>The amounts in the production tables below include volumes produced from Aera's operated and non-operated fields during the period from July 1, 2024 through September 30, 2024 and volumes from CRC's operated and non-operated fields for each of the periods presented.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Production Sold</w:t>
      </w:r>
    </w:p>
    <w:p>
      <w:pPr>
        <w:spacing w:after="0" w:line="264" w:lineRule="exact"/>
        <w:rPr>
          <w:sz w:val="20"/>
          <w:szCs w:val="20"/>
          <w:color w:val="auto"/>
        </w:rPr>
      </w:pPr>
    </w:p>
    <w:p>
      <w:pPr>
        <w:ind w:right="580" w:firstLine="324"/>
        <w:spacing w:after="0" w:line="287" w:lineRule="auto"/>
        <w:rPr>
          <w:sz w:val="20"/>
          <w:szCs w:val="20"/>
          <w:color w:val="auto"/>
        </w:rPr>
      </w:pPr>
      <w:r>
        <w:rPr>
          <w:rFonts w:ascii="Arial" w:cs="Arial" w:eastAsia="Arial" w:hAnsi="Arial"/>
          <w:sz w:val="18"/>
          <w:szCs w:val="18"/>
          <w:color w:val="auto"/>
        </w:rPr>
        <w:t>The following table sets forth our average net production of oil, NGLs and natural gas sold per day in each of the California oil and natural gas basins in which we operate for the periods presented.</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620" w:type="dxa"/>
            <w:vAlign w:val="bottom"/>
          </w:tcPr>
          <w:p>
            <w:pPr>
              <w:spacing w:after="0"/>
              <w:rPr>
                <w:sz w:val="20"/>
                <w:szCs w:val="20"/>
                <w:color w:val="auto"/>
              </w:rPr>
            </w:pPr>
          </w:p>
        </w:tc>
        <w:tc>
          <w:tcPr>
            <w:tcW w:w="2760" w:type="dxa"/>
            <w:vAlign w:val="bottom"/>
            <w:tcBorders>
              <w:bottom w:val="single" w:sz="8" w:color="auto"/>
            </w:tcBorders>
            <w:gridSpan w:val="3"/>
          </w:tcPr>
          <w:p>
            <w:pPr>
              <w:jc w:val="right"/>
              <w:ind w:right="41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20"/>
                <w:szCs w:val="20"/>
                <w:color w:val="auto"/>
              </w:rPr>
            </w:pPr>
          </w:p>
        </w:tc>
        <w:tc>
          <w:tcPr>
            <w:tcW w:w="2760" w:type="dxa"/>
            <w:vAlign w:val="bottom"/>
            <w:tcBorders>
              <w:bottom w:val="single" w:sz="8" w:color="auto"/>
            </w:tcBorders>
            <w:gridSpan w:val="3"/>
          </w:tcPr>
          <w:p>
            <w:pPr>
              <w:jc w:val="right"/>
              <w:ind w:right="45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169"/>
        </w:trPr>
        <w:tc>
          <w:tcPr>
            <w:tcW w:w="5620" w:type="dxa"/>
            <w:vAlign w:val="bottom"/>
          </w:tcPr>
          <w:p>
            <w:pPr>
              <w:spacing w:after="0"/>
              <w:rPr>
                <w:sz w:val="14"/>
                <w:szCs w:val="14"/>
                <w:color w:val="auto"/>
              </w:rPr>
            </w:pPr>
          </w:p>
        </w:tc>
        <w:tc>
          <w:tcPr>
            <w:tcW w:w="1440" w:type="dxa"/>
            <w:vAlign w:val="bottom"/>
            <w:gridSpan w:val="2"/>
          </w:tcPr>
          <w:p>
            <w:pPr>
              <w:ind w:left="60"/>
              <w:spacing w:after="0" w:line="169" w:lineRule="exact"/>
              <w:rPr>
                <w:sz w:val="20"/>
                <w:szCs w:val="20"/>
                <w:color w:val="auto"/>
              </w:rPr>
            </w:pPr>
            <w:r>
              <w:rPr>
                <w:rFonts w:ascii="Arial" w:cs="Arial" w:eastAsia="Arial" w:hAnsi="Arial"/>
                <w:sz w:val="18"/>
                <w:szCs w:val="18"/>
                <w:b w:val="1"/>
                <w:bCs w:val="1"/>
                <w:color w:val="auto"/>
              </w:rPr>
              <w:t>September 30,</w:t>
            </w:r>
          </w:p>
        </w:tc>
        <w:tc>
          <w:tcPr>
            <w:tcW w:w="142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June 30, 2024</w:t>
            </w:r>
          </w:p>
        </w:tc>
        <w:tc>
          <w:tcPr>
            <w:tcW w:w="1420" w:type="dxa"/>
            <w:vAlign w:val="bottom"/>
            <w:gridSpan w:val="2"/>
          </w:tcPr>
          <w:p>
            <w:pPr>
              <w:ind w:left="40"/>
              <w:spacing w:after="0" w:line="169" w:lineRule="exact"/>
              <w:rPr>
                <w:sz w:val="20"/>
                <w:szCs w:val="20"/>
                <w:color w:val="auto"/>
              </w:rPr>
            </w:pPr>
            <w:r>
              <w:rPr>
                <w:rFonts w:ascii="Arial" w:cs="Arial" w:eastAsia="Arial" w:hAnsi="Arial"/>
                <w:sz w:val="18"/>
                <w:szCs w:val="18"/>
                <w:b w:val="1"/>
                <w:bCs w:val="1"/>
                <w:color w:val="auto"/>
              </w:rPr>
              <w:t>September 30,</w:t>
            </w:r>
          </w:p>
        </w:tc>
        <w:tc>
          <w:tcPr>
            <w:tcW w:w="1340" w:type="dxa"/>
            <w:vAlign w:val="bottom"/>
          </w:tcPr>
          <w:p>
            <w:pPr>
              <w:jc w:val="right"/>
              <w:spacing w:after="0" w:line="169" w:lineRule="exact"/>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43"/>
        </w:trPr>
        <w:tc>
          <w:tcPr>
            <w:tcW w:w="56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Oil (MBbl/d)</w:t>
            </w:r>
          </w:p>
        </w:tc>
        <w:tc>
          <w:tcPr>
            <w:tcW w:w="1340" w:type="dxa"/>
            <w:vAlign w:val="bottom"/>
          </w:tcPr>
          <w:p>
            <w:pPr>
              <w:jc w:val="right"/>
              <w:ind w:right="370"/>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21"/>
                <w:szCs w:val="21"/>
                <w:color w:val="auto"/>
              </w:rPr>
            </w:pPr>
          </w:p>
        </w:tc>
        <w:tc>
          <w:tcPr>
            <w:tcW w:w="1420" w:type="dxa"/>
            <w:vAlign w:val="bottom"/>
            <w:gridSpan w:val="2"/>
            <w:vMerge w:val="continue"/>
          </w:tcPr>
          <w:p>
            <w:pPr>
              <w:spacing w:after="0"/>
              <w:rPr>
                <w:sz w:val="21"/>
                <w:szCs w:val="21"/>
                <w:color w:val="auto"/>
              </w:rPr>
            </w:pPr>
          </w:p>
        </w:tc>
        <w:tc>
          <w:tcPr>
            <w:tcW w:w="1320" w:type="dxa"/>
            <w:vAlign w:val="bottom"/>
          </w:tcPr>
          <w:p>
            <w:pPr>
              <w:jc w:val="right"/>
              <w:ind w:right="370"/>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21"/>
                <w:szCs w:val="21"/>
                <w:color w:val="auto"/>
              </w:rPr>
            </w:pPr>
          </w:p>
        </w:tc>
        <w:tc>
          <w:tcPr>
            <w:tcW w:w="1340" w:type="dxa"/>
            <w:vAlign w:val="bottom"/>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209"/>
        </w:trPr>
        <w:tc>
          <w:tcPr>
            <w:tcW w:w="5620" w:type="dxa"/>
            <w:vAlign w:val="bottom"/>
            <w:vMerge w:val="continue"/>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San Joaquin Basin</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0"/>
        </w:trPr>
        <w:tc>
          <w:tcPr>
            <w:tcW w:w="5620" w:type="dxa"/>
            <w:vAlign w:val="bottom"/>
          </w:tcPr>
          <w:p>
            <w:pPr>
              <w:ind w:left="320"/>
              <w:spacing w:after="0"/>
              <w:rPr>
                <w:sz w:val="20"/>
                <w:szCs w:val="20"/>
                <w:color w:val="auto"/>
              </w:rPr>
            </w:pPr>
            <w:r>
              <w:rPr>
                <w:rFonts w:ascii="Arial" w:cs="Arial" w:eastAsia="Arial" w:hAnsi="Arial"/>
                <w:sz w:val="18"/>
                <w:szCs w:val="18"/>
                <w:color w:val="auto"/>
              </w:rPr>
              <w:t>Los Angeles Basin</w:t>
            </w:r>
          </w:p>
        </w:tc>
        <w:tc>
          <w:tcPr>
            <w:tcW w:w="134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Ventura Basin</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620" w:type="dxa"/>
            <w:vAlign w:val="bottom"/>
          </w:tcPr>
          <w:p>
            <w:pPr>
              <w:ind w:left="520"/>
              <w:spacing w:after="0"/>
              <w:rPr>
                <w:sz w:val="20"/>
                <w:szCs w:val="20"/>
                <w:color w:val="auto"/>
              </w:rPr>
            </w:pPr>
            <w:r>
              <w:rPr>
                <w:rFonts w:ascii="Arial" w:cs="Arial" w:eastAsia="Arial" w:hAnsi="Arial"/>
                <w:sz w:val="18"/>
                <w:szCs w:val="18"/>
                <w:color w:val="auto"/>
              </w:rPr>
              <w:t>Total</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NGLs (MBbl/d)</w:t>
            </w: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320"/>
              <w:spacing w:after="0"/>
              <w:rPr>
                <w:sz w:val="20"/>
                <w:szCs w:val="20"/>
                <w:color w:val="auto"/>
              </w:rPr>
            </w:pPr>
            <w:r>
              <w:rPr>
                <w:rFonts w:ascii="Arial" w:cs="Arial" w:eastAsia="Arial" w:hAnsi="Arial"/>
                <w:sz w:val="18"/>
                <w:szCs w:val="18"/>
                <w:color w:val="auto"/>
              </w:rPr>
              <w:t>San Joaquin Basin</w:t>
            </w:r>
          </w:p>
        </w:tc>
        <w:tc>
          <w:tcPr>
            <w:tcW w:w="13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Ventura Basin</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620" w:type="dxa"/>
            <w:vAlign w:val="bottom"/>
          </w:tcPr>
          <w:p>
            <w:pPr>
              <w:ind w:left="520"/>
              <w:spacing w:after="0"/>
              <w:rPr>
                <w:sz w:val="20"/>
                <w:szCs w:val="20"/>
                <w:color w:val="auto"/>
              </w:rPr>
            </w:pPr>
            <w:r>
              <w:rPr>
                <w:rFonts w:ascii="Arial" w:cs="Arial" w:eastAsia="Arial" w:hAnsi="Arial"/>
                <w:sz w:val="18"/>
                <w:szCs w:val="18"/>
                <w:color w:val="auto"/>
              </w:rPr>
              <w:t>Total</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Natural gas (MMcf/d)</w:t>
            </w: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tcPr>
          <w:p>
            <w:pPr>
              <w:ind w:left="320"/>
              <w:spacing w:after="0"/>
              <w:rPr>
                <w:sz w:val="20"/>
                <w:szCs w:val="20"/>
                <w:color w:val="auto"/>
              </w:rPr>
            </w:pPr>
            <w:r>
              <w:rPr>
                <w:rFonts w:ascii="Arial" w:cs="Arial" w:eastAsia="Arial" w:hAnsi="Arial"/>
                <w:sz w:val="18"/>
                <w:szCs w:val="18"/>
                <w:color w:val="auto"/>
              </w:rPr>
              <w:t>San Joaquin Basin</w:t>
            </w:r>
          </w:p>
        </w:tc>
        <w:tc>
          <w:tcPr>
            <w:tcW w:w="134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Los Angeles Basin</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5620" w:type="dxa"/>
            <w:vAlign w:val="bottom"/>
          </w:tcPr>
          <w:p>
            <w:pPr>
              <w:ind w:left="320"/>
              <w:spacing w:after="0"/>
              <w:rPr>
                <w:sz w:val="20"/>
                <w:szCs w:val="20"/>
                <w:color w:val="auto"/>
              </w:rPr>
            </w:pPr>
            <w:r>
              <w:rPr>
                <w:rFonts w:ascii="Arial" w:cs="Arial" w:eastAsia="Arial" w:hAnsi="Arial"/>
                <w:sz w:val="18"/>
                <w:szCs w:val="18"/>
                <w:color w:val="auto"/>
              </w:rPr>
              <w:t>Ventura Basin</w:t>
            </w:r>
          </w:p>
        </w:tc>
        <w:tc>
          <w:tcPr>
            <w:tcW w:w="13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Sacramento Basin</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3"/>
        </w:trPr>
        <w:tc>
          <w:tcPr>
            <w:tcW w:w="5620" w:type="dxa"/>
            <w:vAlign w:val="bottom"/>
          </w:tcPr>
          <w:p>
            <w:pPr>
              <w:ind w:left="520"/>
              <w:spacing w:after="0"/>
              <w:rPr>
                <w:sz w:val="20"/>
                <w:szCs w:val="20"/>
                <w:color w:val="auto"/>
              </w:rPr>
            </w:pPr>
            <w:r>
              <w:rPr>
                <w:rFonts w:ascii="Arial" w:cs="Arial" w:eastAsia="Arial" w:hAnsi="Arial"/>
                <w:sz w:val="18"/>
                <w:szCs w:val="18"/>
                <w:color w:val="auto"/>
              </w:rPr>
              <w:t>Total</w:t>
            </w:r>
          </w:p>
        </w:tc>
        <w:tc>
          <w:tcPr>
            <w:tcW w:w="1340" w:type="dxa"/>
            <w:vAlign w:val="bottom"/>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56"/>
        </w:trPr>
        <w:tc>
          <w:tcPr>
            <w:tcW w:w="5620" w:type="dxa"/>
            <w:vAlign w:val="bottom"/>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620" w:type="dxa"/>
            <w:vAlign w:val="bottom"/>
          </w:tcPr>
          <w:p>
            <w:pPr>
              <w:ind w:left="20"/>
              <w:spacing w:after="0"/>
              <w:rPr>
                <w:sz w:val="20"/>
                <w:szCs w:val="20"/>
                <w:color w:val="auto"/>
              </w:rPr>
            </w:pPr>
            <w:r>
              <w:rPr>
                <w:rFonts w:ascii="Arial" w:cs="Arial" w:eastAsia="Arial" w:hAnsi="Arial"/>
                <w:sz w:val="18"/>
                <w:szCs w:val="18"/>
                <w:b w:val="1"/>
                <w:bCs w:val="1"/>
                <w:color w:val="auto"/>
              </w:rPr>
              <w:t>Total Net Production Sold (MBoe/d)</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Total daily net production sold increased by 69 Mboe/d from 76 Mboe/d for the three months ended June 30, 2024 to 145 Mboe/d during the three months ended September 30, 2024 primarily as a result of the Aera Merger. Our natural gas production also increased during the three months ended September 30, 2024 as compared to the three months ended June 30, 2024 by 2 MBoe/d as a result of fewer days of downtime at our Elk Hills power plant. Our PSCs, which are described below, positively impacted our net oil production by 1 MBoe/d in the three months ended September 30, 2024 compared to the three months ended June 30, 2024.</w:t>
      </w:r>
    </w:p>
    <w:p>
      <w:pPr>
        <w:spacing w:after="0" w:line="206"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Total daily net production sold increased by 12 Mboe/d from 87 MBoe/d during the nine months ended September 30, 2023 to 99 Mboe/d during the nine months ended September 30, 2024 primarily as a result of the Aera Merger. This increase was partially offset by lower production during the nine months ended September 30, 2024 compared to the prior year period due to natural decline, additional days of scheduled maintenance and unplanned downtime at our Elk Hills power plant and the divestiture of our share of a non-operated field in December 2023. Our PSCs, which are described below, negatively impacted our net oil production by 1 MBoe/d in the nine months ended September 30, 2024 compared to the nine months ended September 30, 2023.</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i w:val="1"/>
          <w:iCs w:val="1"/>
          <w:color w:val="auto"/>
        </w:rPr>
        <w:t>Net Produced</w:t>
      </w:r>
    </w:p>
    <w:p>
      <w:pPr>
        <w:spacing w:after="0" w:line="250" w:lineRule="exact"/>
        <w:rPr>
          <w:sz w:val="20"/>
          <w:szCs w:val="20"/>
          <w:color w:val="auto"/>
        </w:rPr>
      </w:pPr>
    </w:p>
    <w:p>
      <w:pPr>
        <w:ind w:right="20" w:firstLine="324"/>
        <w:spacing w:after="0" w:line="287" w:lineRule="auto"/>
        <w:rPr>
          <w:sz w:val="20"/>
          <w:szCs w:val="20"/>
          <w:color w:val="auto"/>
        </w:rPr>
      </w:pPr>
      <w:r>
        <w:rPr>
          <w:rFonts w:ascii="Arial" w:cs="Arial" w:eastAsia="Arial" w:hAnsi="Arial"/>
          <w:sz w:val="18"/>
          <w:szCs w:val="18"/>
          <w:color w:val="auto"/>
        </w:rPr>
        <w:t>The following table sets forth our average net production volumes of oil, NGLs and natural gas produced per day in each of the California oil and natural gas basins in which we operated for the periods presented.</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620" w:type="dxa"/>
            <w:vAlign w:val="bottom"/>
          </w:tcPr>
          <w:p>
            <w:pPr>
              <w:spacing w:after="0"/>
              <w:rPr>
                <w:sz w:val="20"/>
                <w:szCs w:val="20"/>
                <w:color w:val="auto"/>
              </w:rPr>
            </w:pPr>
          </w:p>
        </w:tc>
        <w:tc>
          <w:tcPr>
            <w:tcW w:w="2760" w:type="dxa"/>
            <w:vAlign w:val="bottom"/>
            <w:tcBorders>
              <w:bottom w:val="single" w:sz="8" w:color="auto"/>
            </w:tcBorders>
            <w:gridSpan w:val="3"/>
          </w:tcPr>
          <w:p>
            <w:pPr>
              <w:jc w:val="right"/>
              <w:ind w:right="41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20"/>
                <w:szCs w:val="20"/>
                <w:color w:val="auto"/>
              </w:rPr>
            </w:pPr>
          </w:p>
        </w:tc>
        <w:tc>
          <w:tcPr>
            <w:tcW w:w="2760" w:type="dxa"/>
            <w:vAlign w:val="bottom"/>
            <w:tcBorders>
              <w:bottom w:val="single" w:sz="8" w:color="auto"/>
            </w:tcBorders>
            <w:gridSpan w:val="3"/>
          </w:tcPr>
          <w:p>
            <w:pPr>
              <w:jc w:val="right"/>
              <w:ind w:right="45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169"/>
        </w:trPr>
        <w:tc>
          <w:tcPr>
            <w:tcW w:w="5620" w:type="dxa"/>
            <w:vAlign w:val="bottom"/>
          </w:tcPr>
          <w:p>
            <w:pPr>
              <w:spacing w:after="0"/>
              <w:rPr>
                <w:sz w:val="14"/>
                <w:szCs w:val="14"/>
                <w:color w:val="auto"/>
              </w:rPr>
            </w:pPr>
          </w:p>
        </w:tc>
        <w:tc>
          <w:tcPr>
            <w:tcW w:w="1440" w:type="dxa"/>
            <w:vAlign w:val="bottom"/>
            <w:gridSpan w:val="2"/>
          </w:tcPr>
          <w:p>
            <w:pPr>
              <w:ind w:left="60"/>
              <w:spacing w:after="0" w:line="169" w:lineRule="exact"/>
              <w:rPr>
                <w:sz w:val="20"/>
                <w:szCs w:val="20"/>
                <w:color w:val="auto"/>
              </w:rPr>
            </w:pPr>
            <w:r>
              <w:rPr>
                <w:rFonts w:ascii="Arial" w:cs="Arial" w:eastAsia="Arial" w:hAnsi="Arial"/>
                <w:sz w:val="18"/>
                <w:szCs w:val="18"/>
                <w:b w:val="1"/>
                <w:bCs w:val="1"/>
                <w:color w:val="auto"/>
              </w:rPr>
              <w:t>September 30,</w:t>
            </w:r>
          </w:p>
        </w:tc>
        <w:tc>
          <w:tcPr>
            <w:tcW w:w="142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June 30, 2024</w:t>
            </w:r>
          </w:p>
        </w:tc>
        <w:tc>
          <w:tcPr>
            <w:tcW w:w="1420" w:type="dxa"/>
            <w:vAlign w:val="bottom"/>
            <w:gridSpan w:val="2"/>
          </w:tcPr>
          <w:p>
            <w:pPr>
              <w:ind w:left="40"/>
              <w:spacing w:after="0" w:line="169" w:lineRule="exact"/>
              <w:rPr>
                <w:sz w:val="20"/>
                <w:szCs w:val="20"/>
                <w:color w:val="auto"/>
              </w:rPr>
            </w:pPr>
            <w:r>
              <w:rPr>
                <w:rFonts w:ascii="Arial" w:cs="Arial" w:eastAsia="Arial" w:hAnsi="Arial"/>
                <w:sz w:val="18"/>
                <w:szCs w:val="18"/>
                <w:b w:val="1"/>
                <w:bCs w:val="1"/>
                <w:color w:val="auto"/>
              </w:rPr>
              <w:t>September 30,</w:t>
            </w:r>
          </w:p>
        </w:tc>
        <w:tc>
          <w:tcPr>
            <w:tcW w:w="1340" w:type="dxa"/>
            <w:vAlign w:val="bottom"/>
          </w:tcPr>
          <w:p>
            <w:pPr>
              <w:jc w:val="right"/>
              <w:spacing w:after="0" w:line="169" w:lineRule="exact"/>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43"/>
        </w:trPr>
        <w:tc>
          <w:tcPr>
            <w:tcW w:w="56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Oil (MBbl/d)</w:t>
            </w:r>
          </w:p>
        </w:tc>
        <w:tc>
          <w:tcPr>
            <w:tcW w:w="1340" w:type="dxa"/>
            <w:vAlign w:val="bottom"/>
          </w:tcPr>
          <w:p>
            <w:pPr>
              <w:jc w:val="right"/>
              <w:ind w:right="370"/>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21"/>
                <w:szCs w:val="21"/>
                <w:color w:val="auto"/>
              </w:rPr>
            </w:pPr>
          </w:p>
        </w:tc>
        <w:tc>
          <w:tcPr>
            <w:tcW w:w="1420" w:type="dxa"/>
            <w:vAlign w:val="bottom"/>
            <w:gridSpan w:val="2"/>
            <w:vMerge w:val="continue"/>
          </w:tcPr>
          <w:p>
            <w:pPr>
              <w:spacing w:after="0"/>
              <w:rPr>
                <w:sz w:val="21"/>
                <w:szCs w:val="21"/>
                <w:color w:val="auto"/>
              </w:rPr>
            </w:pPr>
          </w:p>
        </w:tc>
        <w:tc>
          <w:tcPr>
            <w:tcW w:w="1320" w:type="dxa"/>
            <w:vAlign w:val="bottom"/>
          </w:tcPr>
          <w:p>
            <w:pPr>
              <w:jc w:val="right"/>
              <w:ind w:right="370"/>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21"/>
                <w:szCs w:val="21"/>
                <w:color w:val="auto"/>
              </w:rPr>
            </w:pPr>
          </w:p>
        </w:tc>
        <w:tc>
          <w:tcPr>
            <w:tcW w:w="1340" w:type="dxa"/>
            <w:vAlign w:val="bottom"/>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210"/>
        </w:trPr>
        <w:tc>
          <w:tcPr>
            <w:tcW w:w="5620" w:type="dxa"/>
            <w:vAlign w:val="bottom"/>
            <w:vMerge w:val="continue"/>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San Joaquin Basin</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0"/>
        </w:trPr>
        <w:tc>
          <w:tcPr>
            <w:tcW w:w="5620" w:type="dxa"/>
            <w:vAlign w:val="bottom"/>
          </w:tcPr>
          <w:p>
            <w:pPr>
              <w:ind w:left="320"/>
              <w:spacing w:after="0"/>
              <w:rPr>
                <w:sz w:val="20"/>
                <w:szCs w:val="20"/>
                <w:color w:val="auto"/>
              </w:rPr>
            </w:pPr>
            <w:r>
              <w:rPr>
                <w:rFonts w:ascii="Arial" w:cs="Arial" w:eastAsia="Arial" w:hAnsi="Arial"/>
                <w:sz w:val="18"/>
                <w:szCs w:val="18"/>
                <w:color w:val="auto"/>
              </w:rPr>
              <w:t>Los Angeles Basin</w:t>
            </w:r>
          </w:p>
        </w:tc>
        <w:tc>
          <w:tcPr>
            <w:tcW w:w="134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Ventura Basin</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620" w:type="dxa"/>
            <w:vAlign w:val="bottom"/>
          </w:tcPr>
          <w:p>
            <w:pPr>
              <w:ind w:left="520"/>
              <w:spacing w:after="0"/>
              <w:rPr>
                <w:sz w:val="20"/>
                <w:szCs w:val="20"/>
                <w:color w:val="auto"/>
              </w:rPr>
            </w:pPr>
            <w:r>
              <w:rPr>
                <w:rFonts w:ascii="Arial" w:cs="Arial" w:eastAsia="Arial" w:hAnsi="Arial"/>
                <w:sz w:val="18"/>
                <w:szCs w:val="18"/>
                <w:color w:val="auto"/>
              </w:rPr>
              <w:t>Total</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NGLs (MBbl/d)</w:t>
            </w: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San Joaquin Basin</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56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9"/>
        </w:trPr>
        <w:tc>
          <w:tcPr>
            <w:tcW w:w="5620" w:type="dxa"/>
            <w:vAlign w:val="bottom"/>
          </w:tcPr>
          <w:p>
            <w:pPr>
              <w:ind w:left="20"/>
              <w:spacing w:after="0"/>
              <w:rPr>
                <w:sz w:val="20"/>
                <w:szCs w:val="20"/>
                <w:color w:val="auto"/>
              </w:rPr>
            </w:pPr>
            <w:r>
              <w:rPr>
                <w:rFonts w:ascii="Arial" w:cs="Arial" w:eastAsia="Arial" w:hAnsi="Arial"/>
                <w:sz w:val="18"/>
                <w:szCs w:val="18"/>
                <w:b w:val="1"/>
                <w:bCs w:val="1"/>
                <w:color w:val="auto"/>
              </w:rPr>
              <w:t>Natural gas (MMcf/d)</w:t>
            </w: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San Joaquin Basin</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29"/>
        </w:trPr>
        <w:tc>
          <w:tcPr>
            <w:tcW w:w="5620" w:type="dxa"/>
            <w:vAlign w:val="bottom"/>
          </w:tcPr>
          <w:p>
            <w:pPr>
              <w:ind w:left="320"/>
              <w:spacing w:after="0"/>
              <w:rPr>
                <w:sz w:val="20"/>
                <w:szCs w:val="20"/>
                <w:color w:val="auto"/>
              </w:rPr>
            </w:pPr>
            <w:r>
              <w:rPr>
                <w:rFonts w:ascii="Arial" w:cs="Arial" w:eastAsia="Arial" w:hAnsi="Arial"/>
                <w:sz w:val="18"/>
                <w:szCs w:val="18"/>
                <w:color w:val="auto"/>
              </w:rPr>
              <w:t>Los Angeles Basin</w:t>
            </w:r>
          </w:p>
        </w:tc>
        <w:tc>
          <w:tcPr>
            <w:tcW w:w="13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Ventura Basin</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Sacramento Basin</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3"/>
        </w:trPr>
        <w:tc>
          <w:tcPr>
            <w:tcW w:w="56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Net Produced (MBoe/d)</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ind w:right="220" w:firstLine="324"/>
        <w:spacing w:after="0" w:line="287" w:lineRule="auto"/>
        <w:rPr>
          <w:sz w:val="20"/>
          <w:szCs w:val="20"/>
          <w:color w:val="auto"/>
        </w:rPr>
      </w:pPr>
      <w:r>
        <w:rPr>
          <w:rFonts w:ascii="Arial" w:cs="Arial" w:eastAsia="Arial" w:hAnsi="Arial"/>
          <w:sz w:val="18"/>
          <w:szCs w:val="18"/>
          <w:color w:val="auto"/>
        </w:rPr>
        <w:t>The following table reconciles our average net production sold and volumes produced to our average gross production (which includes production from the fields we operate and our share of production from fields operated by others) for the periods presented: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620" w:type="dxa"/>
            <w:vAlign w:val="bottom"/>
          </w:tcPr>
          <w:p>
            <w:pPr>
              <w:spacing w:after="0"/>
              <w:rPr>
                <w:sz w:val="20"/>
                <w:szCs w:val="20"/>
                <w:color w:val="auto"/>
              </w:rPr>
            </w:pPr>
          </w:p>
        </w:tc>
        <w:tc>
          <w:tcPr>
            <w:tcW w:w="2760" w:type="dxa"/>
            <w:vAlign w:val="bottom"/>
            <w:tcBorders>
              <w:bottom w:val="single" w:sz="8" w:color="auto"/>
            </w:tcBorders>
            <w:gridSpan w:val="3"/>
          </w:tcPr>
          <w:p>
            <w:pPr>
              <w:jc w:val="right"/>
              <w:ind w:right="412"/>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20"/>
                <w:szCs w:val="20"/>
                <w:color w:val="auto"/>
              </w:rPr>
            </w:pPr>
          </w:p>
        </w:tc>
        <w:tc>
          <w:tcPr>
            <w:tcW w:w="2760" w:type="dxa"/>
            <w:vAlign w:val="bottom"/>
            <w:tcBorders>
              <w:bottom w:val="single" w:sz="8" w:color="auto"/>
            </w:tcBorders>
            <w:gridSpan w:val="3"/>
          </w:tcPr>
          <w:p>
            <w:pPr>
              <w:jc w:val="right"/>
              <w:ind w:right="45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177"/>
        </w:trPr>
        <w:tc>
          <w:tcPr>
            <w:tcW w:w="5620" w:type="dxa"/>
            <w:vAlign w:val="bottom"/>
          </w:tcPr>
          <w:p>
            <w:pPr>
              <w:spacing w:after="0"/>
              <w:rPr>
                <w:sz w:val="15"/>
                <w:szCs w:val="15"/>
                <w:color w:val="auto"/>
              </w:rPr>
            </w:pPr>
          </w:p>
        </w:tc>
        <w:tc>
          <w:tcPr>
            <w:tcW w:w="1440" w:type="dxa"/>
            <w:vAlign w:val="bottom"/>
            <w:gridSpan w:val="2"/>
          </w:tcPr>
          <w:p>
            <w:pPr>
              <w:ind w:left="60"/>
              <w:spacing w:after="0" w:line="177" w:lineRule="exact"/>
              <w:rPr>
                <w:sz w:val="20"/>
                <w:szCs w:val="20"/>
                <w:color w:val="auto"/>
              </w:rPr>
            </w:pPr>
            <w:r>
              <w:rPr>
                <w:rFonts w:ascii="Arial" w:cs="Arial" w:eastAsia="Arial" w:hAnsi="Arial"/>
                <w:sz w:val="18"/>
                <w:szCs w:val="18"/>
                <w:b w:val="1"/>
                <w:bCs w:val="1"/>
                <w:color w:val="auto"/>
              </w:rPr>
              <w:t>September 30,</w:t>
            </w:r>
          </w:p>
        </w:tc>
        <w:tc>
          <w:tcPr>
            <w:tcW w:w="13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June 30, 2024</w:t>
            </w:r>
          </w:p>
        </w:tc>
        <w:tc>
          <w:tcPr>
            <w:tcW w:w="100" w:type="dxa"/>
            <w:vAlign w:val="bottom"/>
            <w:vMerge w:val="restart"/>
          </w:tcPr>
          <w:p>
            <w:pPr>
              <w:spacing w:after="0"/>
              <w:rPr>
                <w:sz w:val="15"/>
                <w:szCs w:val="15"/>
                <w:color w:val="auto"/>
              </w:rPr>
            </w:pPr>
          </w:p>
        </w:tc>
        <w:tc>
          <w:tcPr>
            <w:tcW w:w="1420" w:type="dxa"/>
            <w:vAlign w:val="bottom"/>
            <w:gridSpan w:val="2"/>
          </w:tcPr>
          <w:p>
            <w:pPr>
              <w:ind w:left="40"/>
              <w:spacing w:after="0" w:line="177" w:lineRule="exact"/>
              <w:rPr>
                <w:sz w:val="20"/>
                <w:szCs w:val="20"/>
                <w:color w:val="auto"/>
              </w:rPr>
            </w:pPr>
            <w:r>
              <w:rPr>
                <w:rFonts w:ascii="Arial" w:cs="Arial" w:eastAsia="Arial" w:hAnsi="Arial"/>
                <w:sz w:val="18"/>
                <w:szCs w:val="18"/>
                <w:b w:val="1"/>
                <w:bCs w:val="1"/>
                <w:color w:val="auto"/>
              </w:rPr>
              <w:t>September 30,</w:t>
            </w:r>
          </w:p>
        </w:tc>
        <w:tc>
          <w:tcPr>
            <w:tcW w:w="134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35"/>
        </w:trPr>
        <w:tc>
          <w:tcPr>
            <w:tcW w:w="5620" w:type="dxa"/>
            <w:vAlign w:val="bottom"/>
          </w:tcPr>
          <w:p>
            <w:pPr>
              <w:spacing w:after="0"/>
              <w:rPr>
                <w:sz w:val="20"/>
                <w:szCs w:val="20"/>
                <w:color w:val="auto"/>
              </w:rPr>
            </w:pPr>
          </w:p>
        </w:tc>
        <w:tc>
          <w:tcPr>
            <w:tcW w:w="13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20"/>
                <w:szCs w:val="20"/>
                <w:color w:val="auto"/>
              </w:rPr>
            </w:pPr>
          </w:p>
        </w:tc>
        <w:tc>
          <w:tcPr>
            <w:tcW w:w="132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3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20"/>
                <w:szCs w:val="20"/>
                <w:color w:val="auto"/>
              </w:rPr>
            </w:pPr>
          </w:p>
        </w:tc>
        <w:tc>
          <w:tcPr>
            <w:tcW w:w="13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232"/>
        </w:trPr>
        <w:tc>
          <w:tcPr>
            <w:tcW w:w="56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40" w:type="dxa"/>
            <w:vAlign w:val="bottom"/>
            <w:gridSpan w:val="4"/>
          </w:tcPr>
          <w:p>
            <w:pPr>
              <w:ind w:left="1080"/>
              <w:spacing w:after="0"/>
              <w:rPr>
                <w:sz w:val="20"/>
                <w:szCs w:val="20"/>
                <w:color w:val="auto"/>
              </w:rPr>
            </w:pPr>
            <w:r>
              <w:rPr>
                <w:rFonts w:ascii="Arial" w:cs="Arial" w:eastAsia="Arial" w:hAnsi="Arial"/>
                <w:sz w:val="14"/>
                <w:szCs w:val="14"/>
                <w:color w:val="auto"/>
              </w:rPr>
              <w:t>(MBoe/d)</w:t>
            </w: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Net Production Sold</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Changes in NGL inventory and other</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Net Produced</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23"/>
        </w:trPr>
        <w:tc>
          <w:tcPr>
            <w:tcW w:w="5620" w:type="dxa"/>
            <w:vAlign w:val="bottom"/>
          </w:tcPr>
          <w:p>
            <w:pPr>
              <w:ind w:left="240"/>
              <w:spacing w:after="0"/>
              <w:rPr>
                <w:sz w:val="20"/>
                <w:szCs w:val="20"/>
                <w:color w:val="auto"/>
              </w:rPr>
            </w:pPr>
            <w:r>
              <w:rPr>
                <w:rFonts w:ascii="Arial" w:cs="Arial" w:eastAsia="Arial" w:hAnsi="Arial"/>
                <w:sz w:val="18"/>
                <w:szCs w:val="18"/>
                <w:color w:val="auto"/>
              </w:rPr>
              <w:t>Partners' share under PSCs</w:t>
            </w:r>
          </w:p>
        </w:tc>
        <w:tc>
          <w:tcPr>
            <w:tcW w:w="13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Working interest and royalty holders' share</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5620" w:type="dxa"/>
            <w:vAlign w:val="bottom"/>
          </w:tcPr>
          <w:p>
            <w:pPr>
              <w:ind w:left="20"/>
              <w:spacing w:after="0"/>
              <w:rPr>
                <w:sz w:val="20"/>
                <w:szCs w:val="20"/>
                <w:color w:val="auto"/>
              </w:rPr>
            </w:pPr>
            <w:r>
              <w:rPr>
                <w:rFonts w:ascii="Arial" w:cs="Arial" w:eastAsia="Arial" w:hAnsi="Arial"/>
                <w:sz w:val="18"/>
                <w:szCs w:val="18"/>
                <w:b w:val="1"/>
                <w:bCs w:val="1"/>
                <w:color w:val="auto"/>
              </w:rPr>
              <w:t>Total Gross Production</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Production-Sharing Contracts (PSCs)</w:t>
      </w:r>
    </w:p>
    <w:p>
      <w:pPr>
        <w:spacing w:after="0" w:line="250"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Our share of production and reserves from operations in the Wilmington field in the Los Angeles basin is subject to contractual arrangements similar to production-sharing contracts that are in effect through the economic life of the assets. The reporting of our PSCs creates a difference between reported operating costs, which are for the full field, and reported volumes, which are only our net share, inflating the per barrel operating costs. Operating costs, excluding effects of PSCs, is a non-GAAP measure which adjusts for excess costs attributable to PSCs for the periods presented in the tables below:</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6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5"/>
          </w:tcPr>
          <w:p>
            <w:pPr>
              <w:ind w:left="28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r>
      <w:tr>
        <w:trPr>
          <w:trHeight w:val="223"/>
        </w:trPr>
        <w:tc>
          <w:tcPr>
            <w:tcW w:w="56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gridSpan w:val="4"/>
          </w:tcPr>
          <w:p>
            <w:pPr>
              <w:jc w:val="right"/>
              <w:ind w:right="454"/>
              <w:spacing w:after="0"/>
              <w:rPr>
                <w:sz w:val="20"/>
                <w:szCs w:val="20"/>
                <w:color w:val="auto"/>
              </w:rPr>
            </w:pPr>
            <w:r>
              <w:rPr>
                <w:rFonts w:ascii="Arial" w:cs="Arial" w:eastAsia="Arial" w:hAnsi="Arial"/>
                <w:sz w:val="18"/>
                <w:szCs w:val="18"/>
                <w:b w:val="1"/>
                <w:bCs w:val="1"/>
                <w:color w:val="auto"/>
              </w:rPr>
              <w:t>September 30, 2024</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gridSpan w:val="4"/>
          </w:tcPr>
          <w:p>
            <w:pPr>
              <w:jc w:val="right"/>
              <w:ind w:right="715"/>
              <w:spacing w:after="0"/>
              <w:rPr>
                <w:sz w:val="20"/>
                <w:szCs w:val="20"/>
                <w:color w:val="auto"/>
              </w:rPr>
            </w:pPr>
            <w:r>
              <w:rPr>
                <w:rFonts w:ascii="Arial" w:cs="Arial" w:eastAsia="Arial" w:hAnsi="Arial"/>
                <w:sz w:val="18"/>
                <w:szCs w:val="18"/>
                <w:b w:val="1"/>
                <w:bCs w:val="1"/>
                <w:color w:val="auto"/>
              </w:rPr>
              <w:t>June 30, 2024</w:t>
            </w:r>
          </w:p>
        </w:tc>
      </w:tr>
      <w:tr>
        <w:trPr>
          <w:trHeight w:val="233"/>
        </w:trPr>
        <w:tc>
          <w:tcPr>
            <w:tcW w:w="5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2"/>
          </w:tcPr>
          <w:p>
            <w:pPr>
              <w:ind w:left="100"/>
              <w:spacing w:after="0"/>
              <w:rPr>
                <w:sz w:val="20"/>
                <w:szCs w:val="20"/>
                <w:color w:val="auto"/>
              </w:rPr>
            </w:pPr>
            <w:r>
              <w:rPr>
                <w:rFonts w:ascii="Arial" w:cs="Arial" w:eastAsia="Arial" w:hAnsi="Arial"/>
                <w:sz w:val="14"/>
                <w:szCs w:val="14"/>
                <w:color w:val="auto"/>
              </w:rPr>
              <w:t>(in millions)</w:t>
            </w:r>
          </w:p>
        </w:tc>
        <w:tc>
          <w:tcPr>
            <w:tcW w:w="220" w:type="dxa"/>
            <w:vAlign w:val="bottom"/>
          </w:tcPr>
          <w:p>
            <w:pPr>
              <w:spacing w:after="0"/>
              <w:rPr>
                <w:sz w:val="20"/>
                <w:szCs w:val="20"/>
                <w:color w:val="auto"/>
              </w:rPr>
            </w:pPr>
          </w:p>
        </w:tc>
        <w:tc>
          <w:tcPr>
            <w:tcW w:w="1220" w:type="dxa"/>
            <w:vAlign w:val="bottom"/>
            <w:gridSpan w:val="2"/>
          </w:tcPr>
          <w:p>
            <w:pPr>
              <w:ind w:left="80"/>
              <w:spacing w:after="0"/>
              <w:rPr>
                <w:sz w:val="20"/>
                <w:szCs w:val="20"/>
                <w:color w:val="auto"/>
              </w:rPr>
            </w:pPr>
            <w:r>
              <w:rPr>
                <w:rFonts w:ascii="Arial" w:cs="Arial" w:eastAsia="Arial" w:hAnsi="Arial"/>
                <w:sz w:val="14"/>
                <w:szCs w:val="14"/>
                <w:color w:val="auto"/>
              </w:rPr>
              <w:t>($ per Boe)</w:t>
            </w:r>
          </w:p>
        </w:tc>
        <w:tc>
          <w:tcPr>
            <w:tcW w:w="200" w:type="dxa"/>
            <w:vAlign w:val="bottom"/>
          </w:tcPr>
          <w:p>
            <w:pPr>
              <w:spacing w:after="0"/>
              <w:rPr>
                <w:sz w:val="20"/>
                <w:szCs w:val="20"/>
                <w:color w:val="auto"/>
              </w:rPr>
            </w:pPr>
          </w:p>
        </w:tc>
        <w:tc>
          <w:tcPr>
            <w:tcW w:w="1220" w:type="dxa"/>
            <w:vAlign w:val="bottom"/>
            <w:gridSpan w:val="2"/>
          </w:tcPr>
          <w:p>
            <w:pPr>
              <w:ind w:left="100"/>
              <w:spacing w:after="0"/>
              <w:rPr>
                <w:sz w:val="20"/>
                <w:szCs w:val="20"/>
                <w:color w:val="auto"/>
              </w:rPr>
            </w:pPr>
            <w:r>
              <w:rPr>
                <w:rFonts w:ascii="Arial" w:cs="Arial" w:eastAsia="Arial" w:hAnsi="Arial"/>
                <w:sz w:val="14"/>
                <w:szCs w:val="14"/>
                <w:color w:val="auto"/>
              </w:rPr>
              <w:t>(in millions)</w:t>
            </w:r>
          </w:p>
        </w:tc>
        <w:tc>
          <w:tcPr>
            <w:tcW w:w="220" w:type="dxa"/>
            <w:vAlign w:val="bottom"/>
          </w:tcPr>
          <w:p>
            <w:pPr>
              <w:spacing w:after="0"/>
              <w:rPr>
                <w:sz w:val="20"/>
                <w:szCs w:val="20"/>
                <w:color w:val="auto"/>
              </w:rPr>
            </w:pPr>
          </w:p>
        </w:tc>
        <w:tc>
          <w:tcPr>
            <w:tcW w:w="1120" w:type="dxa"/>
            <w:vAlign w:val="bottom"/>
          </w:tcPr>
          <w:p>
            <w:pPr>
              <w:jc w:val="right"/>
              <w:ind w:right="215"/>
              <w:spacing w:after="0"/>
              <w:rPr>
                <w:sz w:val="20"/>
                <w:szCs w:val="20"/>
                <w:color w:val="auto"/>
              </w:rPr>
            </w:pPr>
            <w:r>
              <w:rPr>
                <w:rFonts w:ascii="Arial" w:cs="Arial" w:eastAsia="Arial" w:hAnsi="Arial"/>
                <w:sz w:val="14"/>
                <w:szCs w:val="14"/>
                <w:color w:val="auto"/>
              </w:rPr>
              <w:t>($ per Boe)</w:t>
            </w:r>
          </w:p>
        </w:tc>
      </w:tr>
      <w:tr>
        <w:trPr>
          <w:trHeight w:val="234"/>
        </w:trPr>
        <w:tc>
          <w:tcPr>
            <w:tcW w:w="5620" w:type="dxa"/>
            <w:vAlign w:val="bottom"/>
            <w:shd w:val="clear" w:color="auto" w:fill="CCEEFF"/>
          </w:tcPr>
          <w:p>
            <w:pPr>
              <w:ind w:left="20"/>
              <w:spacing w:after="0" w:line="233" w:lineRule="exact"/>
              <w:rPr>
                <w:sz w:val="20"/>
                <w:szCs w:val="20"/>
                <w:color w:val="auto"/>
              </w:rPr>
            </w:pPr>
            <w:r>
              <w:rPr>
                <w:rFonts w:ascii="Arial" w:cs="Arial" w:eastAsia="Arial" w:hAnsi="Arial"/>
                <w:sz w:val="18"/>
                <w:szCs w:val="18"/>
                <w:color w:val="auto"/>
              </w:rPr>
              <w:t>Operating costs</w:t>
            </w:r>
            <w:r>
              <w:rPr>
                <w:rFonts w:ascii="Arial" w:cs="Arial" w:eastAsia="Arial" w:hAnsi="Arial"/>
                <w:sz w:val="23"/>
                <w:szCs w:val="23"/>
                <w:color w:val="auto"/>
                <w:vertAlign w:val="superscript"/>
              </w:rPr>
              <w:t>(a)</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23.14</w:t>
            </w:r>
          </w:p>
        </w:tc>
      </w:tr>
      <w:tr>
        <w:trPr>
          <w:trHeight w:val="229"/>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Excess costs attributable to PSCs</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w:t>
            </w:r>
          </w:p>
        </w:tc>
      </w:tr>
      <w:tr>
        <w:trPr>
          <w:trHeight w:val="248"/>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costs, excluding effects of PSCs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20.66</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(a)</w:t>
        <w:tab/>
        <w:t>Operating costs related to our exploration and production activities and are presented before elimination entries.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6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5"/>
          </w:tcPr>
          <w:p>
            <w:pPr>
              <w:ind w:left="340"/>
              <w:spacing w:after="0"/>
              <w:rPr>
                <w:sz w:val="20"/>
                <w:szCs w:val="20"/>
                <w:color w:val="auto"/>
              </w:rPr>
            </w:pPr>
            <w:r>
              <w:rPr>
                <w:rFonts w:ascii="Arial" w:cs="Arial" w:eastAsia="Arial" w:hAnsi="Arial"/>
                <w:sz w:val="18"/>
                <w:szCs w:val="18"/>
                <w:b w:val="1"/>
                <w:bCs w:val="1"/>
                <w:color w:val="auto"/>
              </w:rPr>
              <w:t>Nine months ended</w:t>
            </w: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r>
      <w:tr>
        <w:trPr>
          <w:trHeight w:val="223"/>
        </w:trPr>
        <w:tc>
          <w:tcPr>
            <w:tcW w:w="56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gridSpan w:val="4"/>
          </w:tcPr>
          <w:p>
            <w:pPr>
              <w:jc w:val="right"/>
              <w:ind w:right="454"/>
              <w:spacing w:after="0"/>
              <w:rPr>
                <w:sz w:val="20"/>
                <w:szCs w:val="20"/>
                <w:color w:val="auto"/>
              </w:rPr>
            </w:pPr>
            <w:r>
              <w:rPr>
                <w:rFonts w:ascii="Arial" w:cs="Arial" w:eastAsia="Arial" w:hAnsi="Arial"/>
                <w:sz w:val="18"/>
                <w:szCs w:val="18"/>
                <w:b w:val="1"/>
                <w:bCs w:val="1"/>
                <w:color w:val="auto"/>
              </w:rPr>
              <w:t>September 30, 2024</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gridSpan w:val="4"/>
          </w:tcPr>
          <w:p>
            <w:pPr>
              <w:jc w:val="right"/>
              <w:ind w:right="455"/>
              <w:spacing w:after="0"/>
              <w:rPr>
                <w:sz w:val="20"/>
                <w:szCs w:val="20"/>
                <w:color w:val="auto"/>
              </w:rPr>
            </w:pPr>
            <w:r>
              <w:rPr>
                <w:rFonts w:ascii="Arial" w:cs="Arial" w:eastAsia="Arial" w:hAnsi="Arial"/>
                <w:sz w:val="18"/>
                <w:szCs w:val="18"/>
                <w:b w:val="1"/>
                <w:bCs w:val="1"/>
                <w:color w:val="auto"/>
              </w:rPr>
              <w:t>September 30, 2023</w:t>
            </w:r>
          </w:p>
        </w:tc>
      </w:tr>
      <w:tr>
        <w:trPr>
          <w:trHeight w:val="233"/>
        </w:trPr>
        <w:tc>
          <w:tcPr>
            <w:tcW w:w="5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2"/>
          </w:tcPr>
          <w:p>
            <w:pPr>
              <w:ind w:left="100"/>
              <w:spacing w:after="0"/>
              <w:rPr>
                <w:sz w:val="20"/>
                <w:szCs w:val="20"/>
                <w:color w:val="auto"/>
              </w:rPr>
            </w:pPr>
            <w:r>
              <w:rPr>
                <w:rFonts w:ascii="Arial" w:cs="Arial" w:eastAsia="Arial" w:hAnsi="Arial"/>
                <w:sz w:val="14"/>
                <w:szCs w:val="14"/>
                <w:color w:val="auto"/>
              </w:rPr>
              <w:t>(in millions)</w:t>
            </w:r>
          </w:p>
        </w:tc>
        <w:tc>
          <w:tcPr>
            <w:tcW w:w="220" w:type="dxa"/>
            <w:vAlign w:val="bottom"/>
          </w:tcPr>
          <w:p>
            <w:pPr>
              <w:spacing w:after="0"/>
              <w:rPr>
                <w:sz w:val="20"/>
                <w:szCs w:val="20"/>
                <w:color w:val="auto"/>
              </w:rPr>
            </w:pPr>
          </w:p>
        </w:tc>
        <w:tc>
          <w:tcPr>
            <w:tcW w:w="1220" w:type="dxa"/>
            <w:vAlign w:val="bottom"/>
            <w:gridSpan w:val="2"/>
          </w:tcPr>
          <w:p>
            <w:pPr>
              <w:ind w:left="80"/>
              <w:spacing w:after="0"/>
              <w:rPr>
                <w:sz w:val="20"/>
                <w:szCs w:val="20"/>
                <w:color w:val="auto"/>
              </w:rPr>
            </w:pPr>
            <w:r>
              <w:rPr>
                <w:rFonts w:ascii="Arial" w:cs="Arial" w:eastAsia="Arial" w:hAnsi="Arial"/>
                <w:sz w:val="14"/>
                <w:szCs w:val="14"/>
                <w:color w:val="auto"/>
              </w:rPr>
              <w:t>($ per Boe)</w:t>
            </w:r>
          </w:p>
        </w:tc>
        <w:tc>
          <w:tcPr>
            <w:tcW w:w="200" w:type="dxa"/>
            <w:vAlign w:val="bottom"/>
          </w:tcPr>
          <w:p>
            <w:pPr>
              <w:spacing w:after="0"/>
              <w:rPr>
                <w:sz w:val="20"/>
                <w:szCs w:val="20"/>
                <w:color w:val="auto"/>
              </w:rPr>
            </w:pPr>
          </w:p>
        </w:tc>
        <w:tc>
          <w:tcPr>
            <w:tcW w:w="1220" w:type="dxa"/>
            <w:vAlign w:val="bottom"/>
            <w:gridSpan w:val="2"/>
          </w:tcPr>
          <w:p>
            <w:pPr>
              <w:ind w:left="100"/>
              <w:spacing w:after="0"/>
              <w:rPr>
                <w:sz w:val="20"/>
                <w:szCs w:val="20"/>
                <w:color w:val="auto"/>
              </w:rPr>
            </w:pPr>
            <w:r>
              <w:rPr>
                <w:rFonts w:ascii="Arial" w:cs="Arial" w:eastAsia="Arial" w:hAnsi="Arial"/>
                <w:sz w:val="14"/>
                <w:szCs w:val="14"/>
                <w:color w:val="auto"/>
              </w:rPr>
              <w:t>(in millions)</w:t>
            </w:r>
          </w:p>
        </w:tc>
        <w:tc>
          <w:tcPr>
            <w:tcW w:w="220" w:type="dxa"/>
            <w:vAlign w:val="bottom"/>
          </w:tcPr>
          <w:p>
            <w:pPr>
              <w:spacing w:after="0"/>
              <w:rPr>
                <w:sz w:val="20"/>
                <w:szCs w:val="20"/>
                <w:color w:val="auto"/>
              </w:rPr>
            </w:pPr>
          </w:p>
        </w:tc>
        <w:tc>
          <w:tcPr>
            <w:tcW w:w="1120" w:type="dxa"/>
            <w:vAlign w:val="bottom"/>
          </w:tcPr>
          <w:p>
            <w:pPr>
              <w:jc w:val="right"/>
              <w:ind w:right="215"/>
              <w:spacing w:after="0"/>
              <w:rPr>
                <w:sz w:val="20"/>
                <w:szCs w:val="20"/>
                <w:color w:val="auto"/>
              </w:rPr>
            </w:pPr>
            <w:r>
              <w:rPr>
                <w:rFonts w:ascii="Arial" w:cs="Arial" w:eastAsia="Arial" w:hAnsi="Arial"/>
                <w:sz w:val="14"/>
                <w:szCs w:val="14"/>
                <w:color w:val="auto"/>
              </w:rPr>
              <w:t>($ per Boe)</w:t>
            </w:r>
          </w:p>
        </w:tc>
      </w:tr>
      <w:tr>
        <w:trPr>
          <w:trHeight w:val="233"/>
        </w:trPr>
        <w:tc>
          <w:tcPr>
            <w:tcW w:w="5620" w:type="dxa"/>
            <w:vAlign w:val="bottom"/>
            <w:shd w:val="clear" w:color="auto" w:fill="CCEEFF"/>
          </w:tcPr>
          <w:p>
            <w:pPr>
              <w:ind w:left="20"/>
              <w:spacing w:after="0" w:line="233" w:lineRule="exact"/>
              <w:rPr>
                <w:sz w:val="20"/>
                <w:szCs w:val="20"/>
                <w:color w:val="auto"/>
              </w:rPr>
            </w:pPr>
            <w:r>
              <w:rPr>
                <w:rFonts w:ascii="Arial" w:cs="Arial" w:eastAsia="Arial" w:hAnsi="Arial"/>
                <w:sz w:val="18"/>
                <w:szCs w:val="18"/>
                <w:color w:val="auto"/>
              </w:rPr>
              <w:t>Operating costs</w:t>
            </w:r>
            <w:r>
              <w:rPr>
                <w:rFonts w:ascii="Arial" w:cs="Arial" w:eastAsia="Arial" w:hAnsi="Arial"/>
                <w:sz w:val="23"/>
                <w:szCs w:val="23"/>
                <w:color w:val="auto"/>
                <w:vertAlign w:val="superscript"/>
              </w:rPr>
              <w:t>(a)</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26.80</w:t>
            </w:r>
          </w:p>
        </w:tc>
      </w:tr>
      <w:tr>
        <w:trPr>
          <w:trHeight w:val="230"/>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Excess costs attributable to PSCs</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w:t>
            </w:r>
          </w:p>
        </w:tc>
      </w:tr>
      <w:tr>
        <w:trPr>
          <w:trHeight w:val="248"/>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costs, excluding effects of PSCs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24.54</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(a)</w:t>
        <w:tab/>
        <w:t>Operating costs related to our exploration and production activities and are presented before elimination entries.</w:t>
      </w:r>
    </w:p>
    <w:p>
      <w:pPr>
        <w:spacing w:after="0" w:line="248" w:lineRule="exact"/>
        <w:rPr>
          <w:sz w:val="20"/>
          <w:szCs w:val="20"/>
          <w:color w:val="auto"/>
        </w:rPr>
      </w:pPr>
    </w:p>
    <w:p>
      <w:pPr>
        <w:ind w:right="780" w:firstLine="324"/>
        <w:spacing w:after="0" w:line="287" w:lineRule="auto"/>
        <w:rPr>
          <w:sz w:val="20"/>
          <w:szCs w:val="20"/>
          <w:color w:val="auto"/>
        </w:rPr>
      </w:pPr>
      <w:r>
        <w:rPr>
          <w:rFonts w:ascii="Arial" w:cs="Arial" w:eastAsia="Arial" w:hAnsi="Arial"/>
          <w:sz w:val="18"/>
          <w:szCs w:val="18"/>
          <w:color w:val="auto"/>
        </w:rPr>
        <w:t xml:space="preserve">For further information on our production-sharing contracts, see </w:t>
      </w:r>
      <w:r>
        <w:rPr>
          <w:rFonts w:ascii="Arial" w:cs="Arial" w:eastAsia="Arial" w:hAnsi="Arial"/>
          <w:sz w:val="18"/>
          <w:szCs w:val="18"/>
          <w:i w:val="1"/>
          <w:iCs w:val="1"/>
          <w:color w:val="auto"/>
        </w:rPr>
        <w:t>Part I, Item 1 &amp; 2 Business and Properties, Oil and Natural Gas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Operations, Production, Price and Cost History </w:t>
      </w:r>
      <w:r>
        <w:rPr>
          <w:rFonts w:ascii="Arial" w:cs="Arial" w:eastAsia="Arial" w:hAnsi="Arial"/>
          <w:sz w:val="18"/>
          <w:szCs w:val="18"/>
          <w:color w:val="auto"/>
        </w:rPr>
        <w:t>in our 2023 Annual Report.</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auto"/>
        </w:rPr>
        <w:t>Prices and Realizations</w:t>
      </w:r>
    </w:p>
    <w:p>
      <w:pPr>
        <w:spacing w:after="0" w:line="250" w:lineRule="exact"/>
        <w:rPr>
          <w:sz w:val="20"/>
          <w:szCs w:val="20"/>
          <w:color w:val="auto"/>
        </w:rPr>
      </w:pPr>
    </w:p>
    <w:p>
      <w:pPr>
        <w:ind w:right="440" w:firstLine="324"/>
        <w:spacing w:after="0" w:line="287" w:lineRule="auto"/>
        <w:rPr>
          <w:sz w:val="20"/>
          <w:szCs w:val="20"/>
          <w:color w:val="auto"/>
        </w:rPr>
      </w:pPr>
      <w:r>
        <w:rPr>
          <w:rFonts w:ascii="Arial" w:cs="Arial" w:eastAsia="Arial" w:hAnsi="Arial"/>
          <w:sz w:val="18"/>
          <w:szCs w:val="18"/>
          <w:color w:val="auto"/>
        </w:rPr>
        <w:t>The following tables set forth the average realized prices and price realizations as a percentage of average Brent, WTI and NYMEX indexes for our oil and natural gas operations for the periods presented:</w:t>
      </w:r>
    </w:p>
    <w:p>
      <w:pPr>
        <w:spacing w:after="0" w:line="72"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Three months ended</w:t>
      </w:r>
    </w:p>
    <w:p>
      <w:pPr>
        <w:spacing w:after="0" w:line="28" w:lineRule="exact"/>
        <w:rPr>
          <w:sz w:val="20"/>
          <w:szCs w:val="20"/>
          <w:color w:val="auto"/>
        </w:rPr>
      </w:pPr>
    </w:p>
    <w:tbl>
      <w:tblPr>
        <w:tblLayout w:type="fixed"/>
        <w:tblInd w:w="5160" w:type="dxa"/>
        <w:tblCellMar>
          <w:top w:w="0" w:type="dxa"/>
          <w:left w:w="0" w:type="dxa"/>
          <w:bottom w:w="0" w:type="dxa"/>
          <w:right w:w="0" w:type="dxa"/>
        </w:tblCellMar>
      </w:tblPr>
      <w:tr>
        <w:trPr>
          <w:trHeight w:val="223"/>
        </w:trPr>
        <w:tc>
          <w:tcPr>
            <w:tcW w:w="3080" w:type="dxa"/>
            <w:vAlign w:val="bottom"/>
            <w:tcBorders>
              <w:top w:val="single" w:sz="8" w:color="auto"/>
            </w:tcBorders>
            <w:gridSpan w:val="3"/>
          </w:tcPr>
          <w:p>
            <w:pPr>
              <w:ind w:left="660"/>
              <w:spacing w:after="0"/>
              <w:rPr>
                <w:sz w:val="20"/>
                <w:szCs w:val="20"/>
                <w:color w:val="auto"/>
              </w:rPr>
            </w:pPr>
            <w:r>
              <w:rPr>
                <w:rFonts w:ascii="Arial" w:cs="Arial" w:eastAsia="Arial" w:hAnsi="Arial"/>
                <w:sz w:val="18"/>
                <w:szCs w:val="18"/>
                <w:b w:val="1"/>
                <w:bCs w:val="1"/>
                <w:color w:val="auto"/>
              </w:rPr>
              <w:t>September 30, 2024</w:t>
            </w:r>
          </w:p>
        </w:tc>
        <w:tc>
          <w:tcPr>
            <w:tcW w:w="2980" w:type="dxa"/>
            <w:vAlign w:val="bottom"/>
            <w:tcBorders>
              <w:top w:val="single" w:sz="8" w:color="auto"/>
            </w:tcBorders>
            <w:gridSpan w:val="2"/>
          </w:tcPr>
          <w:p>
            <w:pPr>
              <w:ind w:left="900"/>
              <w:spacing w:after="0"/>
              <w:rPr>
                <w:sz w:val="20"/>
                <w:szCs w:val="20"/>
                <w:color w:val="auto"/>
              </w:rPr>
            </w:pPr>
            <w:r>
              <w:rPr>
                <w:rFonts w:ascii="Arial" w:cs="Arial" w:eastAsia="Arial" w:hAnsi="Arial"/>
                <w:sz w:val="18"/>
                <w:szCs w:val="18"/>
                <w:b w:val="1"/>
                <w:bCs w:val="1"/>
                <w:color w:val="auto"/>
              </w:rPr>
              <w:t>June 30, 2024</w:t>
            </w:r>
          </w:p>
        </w:tc>
      </w:tr>
      <w:tr>
        <w:trPr>
          <w:trHeight w:val="236"/>
        </w:trPr>
        <w:tc>
          <w:tcPr>
            <w:tcW w:w="1360" w:type="dxa"/>
            <w:vAlign w:val="bottom"/>
            <w:tcBorders>
              <w:top w:val="single" w:sz="8" w:color="auto"/>
            </w:tcBorders>
          </w:tcPr>
          <w:p>
            <w:pPr>
              <w:ind w:left="500"/>
              <w:spacing w:after="0"/>
              <w:rPr>
                <w:sz w:val="20"/>
                <w:szCs w:val="20"/>
                <w:color w:val="auto"/>
              </w:rPr>
            </w:pPr>
            <w:r>
              <w:rPr>
                <w:rFonts w:ascii="Arial" w:cs="Arial" w:eastAsia="Arial" w:hAnsi="Arial"/>
                <w:sz w:val="18"/>
                <w:szCs w:val="18"/>
                <w:b w:val="1"/>
                <w:bCs w:val="1"/>
                <w:color w:val="auto"/>
              </w:rPr>
              <w:t>Price</w:t>
            </w:r>
          </w:p>
        </w:tc>
        <w:tc>
          <w:tcPr>
            <w:tcW w:w="1620" w:type="dxa"/>
            <w:vAlign w:val="bottom"/>
            <w:tcBorders>
              <w:top w:val="single" w:sz="8" w:color="auto"/>
            </w:tcBorders>
          </w:tcPr>
          <w:p>
            <w:pPr>
              <w:ind w:left="440"/>
              <w:spacing w:after="0"/>
              <w:rPr>
                <w:sz w:val="20"/>
                <w:szCs w:val="20"/>
                <w:color w:val="auto"/>
              </w:rPr>
            </w:pPr>
            <w:r>
              <w:rPr>
                <w:rFonts w:ascii="Arial" w:cs="Arial" w:eastAsia="Arial" w:hAnsi="Arial"/>
                <w:sz w:val="18"/>
                <w:szCs w:val="18"/>
                <w:b w:val="1"/>
                <w:bCs w:val="1"/>
                <w:color w:val="auto"/>
              </w:rPr>
              <w:t>Realization</w:t>
            </w:r>
          </w:p>
        </w:tc>
        <w:tc>
          <w:tcPr>
            <w:tcW w:w="100" w:type="dxa"/>
            <w:vAlign w:val="bottom"/>
          </w:tcPr>
          <w:p>
            <w:pPr>
              <w:spacing w:after="0"/>
              <w:rPr>
                <w:sz w:val="20"/>
                <w:szCs w:val="20"/>
                <w:color w:val="auto"/>
              </w:rPr>
            </w:pPr>
          </w:p>
        </w:tc>
        <w:tc>
          <w:tcPr>
            <w:tcW w:w="1360" w:type="dxa"/>
            <w:vAlign w:val="bottom"/>
            <w:tcBorders>
              <w:top w:val="single" w:sz="8" w:color="auto"/>
            </w:tcBorders>
          </w:tcPr>
          <w:p>
            <w:pPr>
              <w:ind w:left="500"/>
              <w:spacing w:after="0"/>
              <w:rPr>
                <w:sz w:val="20"/>
                <w:szCs w:val="20"/>
                <w:color w:val="auto"/>
              </w:rPr>
            </w:pPr>
            <w:r>
              <w:rPr>
                <w:rFonts w:ascii="Arial" w:cs="Arial" w:eastAsia="Arial" w:hAnsi="Arial"/>
                <w:sz w:val="18"/>
                <w:szCs w:val="18"/>
                <w:b w:val="1"/>
                <w:bCs w:val="1"/>
                <w:color w:val="auto"/>
              </w:rPr>
              <w:t>Price</w:t>
            </w:r>
          </w:p>
        </w:tc>
        <w:tc>
          <w:tcPr>
            <w:tcW w:w="1620" w:type="dxa"/>
            <w:vAlign w:val="bottom"/>
            <w:tcBorders>
              <w:top w:val="single" w:sz="8" w:color="auto"/>
            </w:tcBorders>
          </w:tcPr>
          <w:p>
            <w:pPr>
              <w:ind w:left="420"/>
              <w:spacing w:after="0"/>
              <w:rPr>
                <w:sz w:val="20"/>
                <w:szCs w:val="20"/>
                <w:color w:val="auto"/>
              </w:rPr>
            </w:pPr>
            <w:r>
              <w:rPr>
                <w:rFonts w:ascii="Arial" w:cs="Arial" w:eastAsia="Arial" w:hAnsi="Arial"/>
                <w:sz w:val="18"/>
                <w:szCs w:val="18"/>
                <w:b w:val="1"/>
                <w:bCs w:val="1"/>
                <w:color w:val="auto"/>
              </w:rPr>
              <w:t>Realization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-7620</wp:posOffset>
            </wp:positionV>
            <wp:extent cx="7115175" cy="146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ectPr>
          <w:pgSz w:w="11900" w:h="16838" w:orient="portrait"/>
          <w:cols w:equalWidth="0" w:num="1">
            <w:col w:w="11220"/>
          </w:cols>
          <w:pgMar w:left="320" w:top="892" w:right="359" w:bottom="1440" w:gutter="0" w:footer="0" w:header="0"/>
        </w:sectPr>
      </w:pPr>
    </w:p>
    <w:p>
      <w:pPr>
        <w:ind w:left="40"/>
        <w:spacing w:after="0"/>
        <w:rPr>
          <w:sz w:val="20"/>
          <w:szCs w:val="20"/>
          <w:color w:val="auto"/>
        </w:rPr>
      </w:pPr>
      <w:r>
        <w:rPr>
          <w:rFonts w:ascii="Arial" w:cs="Arial" w:eastAsia="Arial" w:hAnsi="Arial"/>
          <w:sz w:val="18"/>
          <w:szCs w:val="18"/>
          <w:b w:val="1"/>
          <w:bCs w:val="1"/>
          <w:color w:val="auto"/>
        </w:rPr>
        <w:t>Oil ($ per Bbl)</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color w:val="auto"/>
        </w:rPr>
        <w:t>Brent</w:t>
      </w:r>
    </w:p>
    <w:p>
      <w:pPr>
        <w:spacing w:after="0" w:line="275" w:lineRule="exact"/>
        <w:rPr>
          <w:sz w:val="20"/>
          <w:szCs w:val="20"/>
          <w:color w:val="auto"/>
        </w:rPr>
      </w:pPr>
    </w:p>
    <w:p>
      <w:pPr>
        <w:ind w:left="40" w:right="1480"/>
        <w:spacing w:after="0" w:line="289" w:lineRule="auto"/>
        <w:rPr>
          <w:sz w:val="20"/>
          <w:szCs w:val="20"/>
          <w:color w:val="auto"/>
        </w:rPr>
      </w:pPr>
      <w:r>
        <w:rPr>
          <w:rFonts w:ascii="Arial" w:cs="Arial" w:eastAsia="Arial" w:hAnsi="Arial"/>
          <w:sz w:val="18"/>
          <w:szCs w:val="18"/>
          <w:color w:val="auto"/>
        </w:rPr>
        <w:t>Realized price without derivative settlements Derivative settlements</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Realized price with derivative settlements</w:t>
      </w:r>
    </w:p>
    <w:p>
      <w:pPr>
        <w:spacing w:after="0" w:line="2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WTI</w:t>
      </w:r>
    </w:p>
    <w:p>
      <w:pPr>
        <w:spacing w:after="0" w:line="279" w:lineRule="exact"/>
        <w:rPr>
          <w:sz w:val="20"/>
          <w:szCs w:val="20"/>
          <w:color w:val="auto"/>
        </w:rPr>
      </w:pPr>
    </w:p>
    <w:p>
      <w:pPr>
        <w:ind w:left="40" w:right="1480"/>
        <w:spacing w:after="0" w:line="335" w:lineRule="auto"/>
        <w:rPr>
          <w:sz w:val="20"/>
          <w:szCs w:val="20"/>
          <w:color w:val="auto"/>
        </w:rPr>
      </w:pPr>
      <w:r>
        <w:rPr>
          <w:rFonts w:ascii="Arial" w:cs="Arial" w:eastAsia="Arial" w:hAnsi="Arial"/>
          <w:sz w:val="17"/>
          <w:szCs w:val="17"/>
          <w:color w:val="auto"/>
        </w:rPr>
        <w:t>Realized price without derivative settlements Realized price with derivative settlements</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NGLs ($ per Bbl)</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Realized price (% of Brent)</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Realized price (% of WTI)</w:t>
      </w:r>
    </w:p>
    <w:p>
      <w:pPr>
        <w:spacing w:after="0" w:line="27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Natural gas</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7"/>
          <w:szCs w:val="17"/>
          <w:color w:val="auto"/>
        </w:rPr>
        <w:t>NYMEX Henry Hub ($/MMBtu) - Average Monthly Settled Price</w:t>
      </w:r>
    </w:p>
    <w:p>
      <w:pPr>
        <w:spacing w:after="0" w:line="273"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Realized price ($/Mcf)</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-3274695</wp:posOffset>
            </wp:positionH>
            <wp:positionV relativeFrom="paragraph">
              <wp:posOffset>24765</wp:posOffset>
            </wp:positionV>
            <wp:extent cx="7115175" cy="1714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-3274695</wp:posOffset>
            </wp:positionH>
            <wp:positionV relativeFrom="paragraph">
              <wp:posOffset>24765</wp:posOffset>
            </wp:positionV>
            <wp:extent cx="7115175" cy="146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-3274695</wp:posOffset>
            </wp:positionH>
            <wp:positionV relativeFrom="paragraph">
              <wp:posOffset>41910</wp:posOffset>
            </wp:positionV>
            <wp:extent cx="7115175" cy="1625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15175" cy="162560"/>
                    </a:xfrm>
                    <a:prstGeom prst="rect">
                      <a:avLst/>
                    </a:prstGeom>
                    <a:noFill/>
                  </pic:spPr>
                </pic:pic>
              </a:graphicData>
            </a:graphic>
          </wp:anchor>
        </w:drawing>
      </w:r>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-3274695</wp:posOffset>
            </wp:positionH>
            <wp:positionV relativeFrom="paragraph">
              <wp:posOffset>24765</wp:posOffset>
            </wp:positionV>
            <wp:extent cx="7115175" cy="1631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15175" cy="163195"/>
                    </a:xfrm>
                    <a:prstGeom prst="rect">
                      <a:avLst/>
                    </a:prstGeom>
                    <a:noFill/>
                  </pic:spPr>
                </pic:pic>
              </a:graphicData>
            </a:graphic>
          </wp:anchor>
        </w:drawing>
      </w: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-3274695</wp:posOffset>
            </wp:positionH>
            <wp:positionV relativeFrom="paragraph">
              <wp:posOffset>24765</wp:posOffset>
            </wp:positionV>
            <wp:extent cx="7115175" cy="1454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-3274695</wp:posOffset>
            </wp:positionH>
            <wp:positionV relativeFrom="paragraph">
              <wp:posOffset>190500</wp:posOffset>
            </wp:positionV>
            <wp:extent cx="7115175" cy="1460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-3274695</wp:posOffset>
            </wp:positionH>
            <wp:positionV relativeFrom="paragraph">
              <wp:posOffset>24765</wp:posOffset>
            </wp:positionV>
            <wp:extent cx="7115175" cy="1460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-3274695</wp:posOffset>
            </wp:positionH>
            <wp:positionV relativeFrom="paragraph">
              <wp:posOffset>182245</wp:posOffset>
            </wp:positionV>
            <wp:extent cx="7115175" cy="1460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-3274695</wp:posOffset>
            </wp:positionH>
            <wp:positionV relativeFrom="paragraph">
              <wp:posOffset>24765</wp:posOffset>
            </wp:positionV>
            <wp:extent cx="7115175" cy="1631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15175" cy="163195"/>
                    </a:xfrm>
                    <a:prstGeom prst="rect">
                      <a:avLst/>
                    </a:prstGeom>
                    <a:noFill/>
                  </pic:spPr>
                </pic:pic>
              </a:graphicData>
            </a:graphic>
          </wp:anchor>
        </w:drawing>
      </w: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800" w:type="dxa"/>
            <w:vAlign w:val="bottom"/>
          </w:tcPr>
          <w:p>
            <w:pPr>
              <w:jc w:val="right"/>
              <w:ind w:right="250"/>
              <w:spacing w:after="0"/>
              <w:rPr>
                <w:sz w:val="20"/>
                <w:szCs w:val="20"/>
                <w:color w:val="auto"/>
              </w:rPr>
            </w:pPr>
            <w:r>
              <w:rPr>
                <w:rFonts w:ascii="Arial" w:cs="Arial" w:eastAsia="Arial" w:hAnsi="Arial"/>
                <w:sz w:val="18"/>
                <w:szCs w:val="18"/>
                <w:color w:val="auto"/>
                <w:w w:val="97"/>
              </w:rPr>
              <w:t>78.54</w:t>
            </w:r>
          </w:p>
        </w:tc>
        <w:tc>
          <w:tcPr>
            <w:tcW w:w="1360" w:type="dxa"/>
            <w:vAlign w:val="bottom"/>
          </w:tcPr>
          <w:p>
            <w:pPr>
              <w:spacing w:after="0"/>
              <w:rPr>
                <w:sz w:val="20"/>
                <w:szCs w:val="20"/>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85.00</w:t>
            </w:r>
          </w:p>
        </w:tc>
        <w:tc>
          <w:tcPr>
            <w:tcW w:w="1060" w:type="dxa"/>
            <w:vAlign w:val="bottom"/>
          </w:tcPr>
          <w:p>
            <w:pPr>
              <w:spacing w:after="0"/>
              <w:rPr>
                <w:sz w:val="20"/>
                <w:szCs w:val="20"/>
                <w:color w:val="auto"/>
              </w:rPr>
            </w:pPr>
          </w:p>
        </w:tc>
      </w:tr>
      <w:tr>
        <w:trPr>
          <w:trHeight w:val="490"/>
        </w:trPr>
        <w:tc>
          <w:tcPr>
            <w:tcW w:w="800" w:type="dxa"/>
            <w:vAlign w:val="bottom"/>
          </w:tcPr>
          <w:p>
            <w:pPr>
              <w:jc w:val="right"/>
              <w:ind w:right="250"/>
              <w:spacing w:after="0"/>
              <w:rPr>
                <w:sz w:val="20"/>
                <w:szCs w:val="20"/>
                <w:color w:val="auto"/>
              </w:rPr>
            </w:pPr>
            <w:r>
              <w:rPr>
                <w:rFonts w:ascii="Arial" w:cs="Arial" w:eastAsia="Arial" w:hAnsi="Arial"/>
                <w:sz w:val="18"/>
                <w:szCs w:val="18"/>
                <w:color w:val="auto"/>
                <w:w w:val="97"/>
              </w:rPr>
              <w:t>77.10</w:t>
            </w:r>
          </w:p>
        </w:tc>
        <w:tc>
          <w:tcPr>
            <w:tcW w:w="1360" w:type="dxa"/>
            <w:vAlign w:val="bottom"/>
          </w:tcPr>
          <w:p>
            <w:pPr>
              <w:jc w:val="center"/>
              <w:ind w:right="190"/>
              <w:spacing w:after="0"/>
              <w:rPr>
                <w:sz w:val="20"/>
                <w:szCs w:val="20"/>
                <w:color w:val="auto"/>
              </w:rPr>
            </w:pPr>
            <w:r>
              <w:rPr>
                <w:rFonts w:ascii="Arial" w:cs="Arial" w:eastAsia="Arial" w:hAnsi="Arial"/>
                <w:sz w:val="18"/>
                <w:szCs w:val="18"/>
                <w:color w:val="auto"/>
                <w:w w:val="99"/>
              </w:rPr>
              <w:t>98%</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83.14</w:t>
            </w:r>
          </w:p>
        </w:tc>
        <w:tc>
          <w:tcPr>
            <w:tcW w:w="1060" w:type="dxa"/>
            <w:vAlign w:val="bottom"/>
          </w:tcPr>
          <w:p>
            <w:pPr>
              <w:jc w:val="center"/>
              <w:ind w:left="490"/>
              <w:spacing w:after="0"/>
              <w:rPr>
                <w:sz w:val="20"/>
                <w:szCs w:val="20"/>
                <w:color w:val="auto"/>
              </w:rPr>
            </w:pPr>
            <w:r>
              <w:rPr>
                <w:rFonts w:ascii="Arial" w:cs="Arial" w:eastAsia="Arial" w:hAnsi="Arial"/>
                <w:sz w:val="18"/>
                <w:szCs w:val="18"/>
                <w:color w:val="auto"/>
                <w:w w:val="99"/>
              </w:rPr>
              <w:t>98%</w:t>
            </w:r>
          </w:p>
        </w:tc>
      </w:tr>
      <w:tr>
        <w:trPr>
          <w:trHeight w:val="235"/>
        </w:trPr>
        <w:tc>
          <w:tcPr>
            <w:tcW w:w="800" w:type="dxa"/>
            <w:vAlign w:val="bottom"/>
          </w:tcPr>
          <w:p>
            <w:pPr>
              <w:jc w:val="right"/>
              <w:ind w:right="210"/>
              <w:spacing w:after="0"/>
              <w:rPr>
                <w:sz w:val="20"/>
                <w:szCs w:val="20"/>
                <w:color w:val="auto"/>
              </w:rPr>
            </w:pPr>
            <w:r>
              <w:rPr>
                <w:rFonts w:ascii="Arial" w:cs="Arial" w:eastAsia="Arial" w:hAnsi="Arial"/>
                <w:sz w:val="18"/>
                <w:szCs w:val="18"/>
                <w:color w:val="auto"/>
              </w:rPr>
              <w:t>(1.72)</w:t>
            </w:r>
          </w:p>
        </w:tc>
        <w:tc>
          <w:tcPr>
            <w:tcW w:w="136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1060" w:type="dxa"/>
            <w:vAlign w:val="bottom"/>
          </w:tcPr>
          <w:p>
            <w:pPr>
              <w:spacing w:after="0"/>
              <w:rPr>
                <w:sz w:val="20"/>
                <w:szCs w:val="20"/>
                <w:color w:val="auto"/>
              </w:rPr>
            </w:pPr>
          </w:p>
        </w:tc>
      </w:tr>
      <w:tr>
        <w:trPr>
          <w:trHeight w:val="223"/>
        </w:trPr>
        <w:tc>
          <w:tcPr>
            <w:tcW w:w="800" w:type="dxa"/>
            <w:vAlign w:val="bottom"/>
          </w:tcPr>
          <w:p>
            <w:pPr>
              <w:jc w:val="right"/>
              <w:ind w:right="250"/>
              <w:spacing w:after="0"/>
              <w:rPr>
                <w:sz w:val="20"/>
                <w:szCs w:val="20"/>
                <w:color w:val="auto"/>
              </w:rPr>
            </w:pPr>
            <w:r>
              <w:rPr>
                <w:rFonts w:ascii="Arial" w:cs="Arial" w:eastAsia="Arial" w:hAnsi="Arial"/>
                <w:sz w:val="18"/>
                <w:szCs w:val="18"/>
                <w:color w:val="auto"/>
                <w:w w:val="97"/>
              </w:rPr>
              <w:t>75.38</w:t>
            </w:r>
          </w:p>
        </w:tc>
        <w:tc>
          <w:tcPr>
            <w:tcW w:w="1360" w:type="dxa"/>
            <w:vAlign w:val="bottom"/>
          </w:tcPr>
          <w:p>
            <w:pPr>
              <w:jc w:val="center"/>
              <w:ind w:right="190"/>
              <w:spacing w:after="0"/>
              <w:rPr>
                <w:sz w:val="20"/>
                <w:szCs w:val="20"/>
                <w:color w:val="auto"/>
              </w:rPr>
            </w:pPr>
            <w:r>
              <w:rPr>
                <w:rFonts w:ascii="Arial" w:cs="Arial" w:eastAsia="Arial" w:hAnsi="Arial"/>
                <w:sz w:val="18"/>
                <w:szCs w:val="18"/>
                <w:color w:val="auto"/>
                <w:w w:val="99"/>
              </w:rPr>
              <w:t>96%</w:t>
            </w: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81.29</w:t>
            </w:r>
          </w:p>
        </w:tc>
        <w:tc>
          <w:tcPr>
            <w:tcW w:w="1060" w:type="dxa"/>
            <w:vAlign w:val="bottom"/>
          </w:tcPr>
          <w:p>
            <w:pPr>
              <w:jc w:val="center"/>
              <w:ind w:left="490"/>
              <w:spacing w:after="0"/>
              <w:rPr>
                <w:sz w:val="20"/>
                <w:szCs w:val="20"/>
                <w:color w:val="auto"/>
              </w:rPr>
            </w:pPr>
            <w:r>
              <w:rPr>
                <w:rFonts w:ascii="Arial" w:cs="Arial" w:eastAsia="Arial" w:hAnsi="Arial"/>
                <w:sz w:val="18"/>
                <w:szCs w:val="18"/>
                <w:color w:val="auto"/>
                <w:w w:val="99"/>
              </w:rPr>
              <w:t>96%</w:t>
            </w:r>
          </w:p>
        </w:tc>
      </w:tr>
      <w:tr>
        <w:trPr>
          <w:trHeight w:val="21"/>
        </w:trPr>
        <w:tc>
          <w:tcPr>
            <w:tcW w:w="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457"/>
        </w:trPr>
        <w:tc>
          <w:tcPr>
            <w:tcW w:w="800" w:type="dxa"/>
            <w:vAlign w:val="bottom"/>
          </w:tcPr>
          <w:p>
            <w:pPr>
              <w:jc w:val="right"/>
              <w:ind w:right="250"/>
              <w:spacing w:after="0"/>
              <w:rPr>
                <w:sz w:val="20"/>
                <w:szCs w:val="20"/>
                <w:color w:val="auto"/>
              </w:rPr>
            </w:pPr>
            <w:r>
              <w:rPr>
                <w:rFonts w:ascii="Arial" w:cs="Arial" w:eastAsia="Arial" w:hAnsi="Arial"/>
                <w:sz w:val="18"/>
                <w:szCs w:val="18"/>
                <w:color w:val="auto"/>
                <w:w w:val="97"/>
              </w:rPr>
              <w:t>75.09</w:t>
            </w:r>
          </w:p>
        </w:tc>
        <w:tc>
          <w:tcPr>
            <w:tcW w:w="1360" w:type="dxa"/>
            <w:vAlign w:val="bottom"/>
          </w:tcPr>
          <w:p>
            <w:pPr>
              <w:spacing w:after="0"/>
              <w:rPr>
                <w:sz w:val="24"/>
                <w:szCs w:val="24"/>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80.57</w:t>
            </w:r>
          </w:p>
        </w:tc>
        <w:tc>
          <w:tcPr>
            <w:tcW w:w="1060" w:type="dxa"/>
            <w:vAlign w:val="bottom"/>
          </w:tcPr>
          <w:p>
            <w:pPr>
              <w:spacing w:after="0"/>
              <w:rPr>
                <w:sz w:val="24"/>
                <w:szCs w:val="24"/>
                <w:color w:val="auto"/>
              </w:rPr>
            </w:pPr>
          </w:p>
        </w:tc>
      </w:tr>
      <w:tr>
        <w:trPr>
          <w:trHeight w:val="477"/>
        </w:trPr>
        <w:tc>
          <w:tcPr>
            <w:tcW w:w="800" w:type="dxa"/>
            <w:vAlign w:val="bottom"/>
          </w:tcPr>
          <w:p>
            <w:pPr>
              <w:jc w:val="right"/>
              <w:ind w:right="250"/>
              <w:spacing w:after="0"/>
              <w:rPr>
                <w:sz w:val="20"/>
                <w:szCs w:val="20"/>
                <w:color w:val="auto"/>
              </w:rPr>
            </w:pPr>
            <w:r>
              <w:rPr>
                <w:rFonts w:ascii="Arial" w:cs="Arial" w:eastAsia="Arial" w:hAnsi="Arial"/>
                <w:sz w:val="18"/>
                <w:szCs w:val="18"/>
                <w:color w:val="auto"/>
                <w:w w:val="97"/>
              </w:rPr>
              <w:t>77.10</w:t>
            </w:r>
          </w:p>
        </w:tc>
        <w:tc>
          <w:tcPr>
            <w:tcW w:w="1360" w:type="dxa"/>
            <w:vAlign w:val="bottom"/>
          </w:tcPr>
          <w:p>
            <w:pPr>
              <w:jc w:val="center"/>
              <w:ind w:right="170"/>
              <w:spacing w:after="0"/>
              <w:rPr>
                <w:sz w:val="20"/>
                <w:szCs w:val="20"/>
                <w:color w:val="auto"/>
              </w:rPr>
            </w:pPr>
            <w:r>
              <w:rPr>
                <w:rFonts w:ascii="Arial" w:cs="Arial" w:eastAsia="Arial" w:hAnsi="Arial"/>
                <w:sz w:val="18"/>
                <w:szCs w:val="18"/>
                <w:color w:val="auto"/>
                <w:w w:val="99"/>
              </w:rPr>
              <w:t>103%</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83.14</w:t>
            </w:r>
          </w:p>
        </w:tc>
        <w:tc>
          <w:tcPr>
            <w:tcW w:w="1060" w:type="dxa"/>
            <w:vAlign w:val="bottom"/>
          </w:tcPr>
          <w:p>
            <w:pPr>
              <w:jc w:val="center"/>
              <w:ind w:left="510"/>
              <w:spacing w:after="0"/>
              <w:rPr>
                <w:sz w:val="20"/>
                <w:szCs w:val="20"/>
                <w:color w:val="auto"/>
              </w:rPr>
            </w:pPr>
            <w:r>
              <w:rPr>
                <w:rFonts w:ascii="Arial" w:cs="Arial" w:eastAsia="Arial" w:hAnsi="Arial"/>
                <w:sz w:val="18"/>
                <w:szCs w:val="18"/>
                <w:color w:val="auto"/>
                <w:w w:val="99"/>
              </w:rPr>
              <w:t>103%</w:t>
            </w:r>
          </w:p>
        </w:tc>
      </w:tr>
      <w:tr>
        <w:trPr>
          <w:trHeight w:val="239"/>
        </w:trPr>
        <w:tc>
          <w:tcPr>
            <w:tcW w:w="800" w:type="dxa"/>
            <w:vAlign w:val="bottom"/>
          </w:tcPr>
          <w:p>
            <w:pPr>
              <w:jc w:val="right"/>
              <w:ind w:right="250"/>
              <w:spacing w:after="0"/>
              <w:rPr>
                <w:sz w:val="20"/>
                <w:szCs w:val="20"/>
                <w:color w:val="auto"/>
              </w:rPr>
            </w:pPr>
            <w:r>
              <w:rPr>
                <w:rFonts w:ascii="Arial" w:cs="Arial" w:eastAsia="Arial" w:hAnsi="Arial"/>
                <w:sz w:val="18"/>
                <w:szCs w:val="18"/>
                <w:color w:val="auto"/>
                <w:w w:val="97"/>
              </w:rPr>
              <w:t>75.38</w:t>
            </w:r>
          </w:p>
        </w:tc>
        <w:tc>
          <w:tcPr>
            <w:tcW w:w="1360" w:type="dxa"/>
            <w:vAlign w:val="bottom"/>
          </w:tcPr>
          <w:p>
            <w:pPr>
              <w:jc w:val="center"/>
              <w:ind w:right="170"/>
              <w:spacing w:after="0"/>
              <w:rPr>
                <w:sz w:val="20"/>
                <w:szCs w:val="20"/>
                <w:color w:val="auto"/>
              </w:rPr>
            </w:pPr>
            <w:r>
              <w:rPr>
                <w:rFonts w:ascii="Arial" w:cs="Arial" w:eastAsia="Arial" w:hAnsi="Arial"/>
                <w:sz w:val="18"/>
                <w:szCs w:val="18"/>
                <w:color w:val="auto"/>
                <w:w w:val="99"/>
              </w:rPr>
              <w:t>100%</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81.29</w:t>
            </w:r>
          </w:p>
        </w:tc>
        <w:tc>
          <w:tcPr>
            <w:tcW w:w="1060" w:type="dxa"/>
            <w:vAlign w:val="bottom"/>
          </w:tcPr>
          <w:p>
            <w:pPr>
              <w:jc w:val="center"/>
              <w:ind w:left="510"/>
              <w:spacing w:after="0"/>
              <w:rPr>
                <w:sz w:val="20"/>
                <w:szCs w:val="20"/>
                <w:color w:val="auto"/>
              </w:rPr>
            </w:pPr>
            <w:r>
              <w:rPr>
                <w:rFonts w:ascii="Arial" w:cs="Arial" w:eastAsia="Arial" w:hAnsi="Arial"/>
                <w:sz w:val="18"/>
                <w:szCs w:val="18"/>
                <w:color w:val="auto"/>
                <w:w w:val="99"/>
              </w:rPr>
              <w:t>101%</w:t>
            </w:r>
          </w:p>
        </w:tc>
      </w:tr>
      <w:tr>
        <w:trPr>
          <w:trHeight w:val="720"/>
        </w:trPr>
        <w:tc>
          <w:tcPr>
            <w:tcW w:w="800" w:type="dxa"/>
            <w:vAlign w:val="bottom"/>
          </w:tcPr>
          <w:p>
            <w:pPr>
              <w:jc w:val="right"/>
              <w:ind w:right="250"/>
              <w:spacing w:after="0"/>
              <w:rPr>
                <w:sz w:val="20"/>
                <w:szCs w:val="20"/>
                <w:color w:val="auto"/>
              </w:rPr>
            </w:pPr>
            <w:r>
              <w:rPr>
                <w:rFonts w:ascii="Arial" w:cs="Arial" w:eastAsia="Arial" w:hAnsi="Arial"/>
                <w:sz w:val="18"/>
                <w:szCs w:val="18"/>
                <w:color w:val="auto"/>
                <w:w w:val="97"/>
              </w:rPr>
              <w:t>45.77</w:t>
            </w:r>
          </w:p>
        </w:tc>
        <w:tc>
          <w:tcPr>
            <w:tcW w:w="1360" w:type="dxa"/>
            <w:vAlign w:val="bottom"/>
          </w:tcPr>
          <w:p>
            <w:pPr>
              <w:jc w:val="center"/>
              <w:ind w:right="190"/>
              <w:spacing w:after="0"/>
              <w:rPr>
                <w:sz w:val="20"/>
                <w:szCs w:val="20"/>
                <w:color w:val="auto"/>
              </w:rPr>
            </w:pPr>
            <w:r>
              <w:rPr>
                <w:rFonts w:ascii="Arial" w:cs="Arial" w:eastAsia="Arial" w:hAnsi="Arial"/>
                <w:sz w:val="18"/>
                <w:szCs w:val="18"/>
                <w:color w:val="auto"/>
                <w:w w:val="99"/>
              </w:rPr>
              <w:t>58%</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46.96</w:t>
            </w:r>
          </w:p>
        </w:tc>
        <w:tc>
          <w:tcPr>
            <w:tcW w:w="1060" w:type="dxa"/>
            <w:vAlign w:val="bottom"/>
          </w:tcPr>
          <w:p>
            <w:pPr>
              <w:jc w:val="center"/>
              <w:ind w:left="490"/>
              <w:spacing w:after="0"/>
              <w:rPr>
                <w:sz w:val="20"/>
                <w:szCs w:val="20"/>
                <w:color w:val="auto"/>
              </w:rPr>
            </w:pPr>
            <w:r>
              <w:rPr>
                <w:rFonts w:ascii="Arial" w:cs="Arial" w:eastAsia="Arial" w:hAnsi="Arial"/>
                <w:sz w:val="18"/>
                <w:szCs w:val="18"/>
                <w:color w:val="auto"/>
                <w:w w:val="99"/>
              </w:rPr>
              <w:t>55%</w:t>
            </w:r>
          </w:p>
        </w:tc>
      </w:tr>
      <w:tr>
        <w:trPr>
          <w:trHeight w:val="239"/>
        </w:trPr>
        <w:tc>
          <w:tcPr>
            <w:tcW w:w="800" w:type="dxa"/>
            <w:vAlign w:val="bottom"/>
          </w:tcPr>
          <w:p>
            <w:pPr>
              <w:jc w:val="right"/>
              <w:ind w:right="250"/>
              <w:spacing w:after="0"/>
              <w:rPr>
                <w:sz w:val="20"/>
                <w:szCs w:val="20"/>
                <w:color w:val="auto"/>
              </w:rPr>
            </w:pPr>
            <w:r>
              <w:rPr>
                <w:rFonts w:ascii="Arial" w:cs="Arial" w:eastAsia="Arial" w:hAnsi="Arial"/>
                <w:sz w:val="18"/>
                <w:szCs w:val="18"/>
                <w:color w:val="auto"/>
                <w:w w:val="97"/>
              </w:rPr>
              <w:t>45.77</w:t>
            </w:r>
          </w:p>
        </w:tc>
        <w:tc>
          <w:tcPr>
            <w:tcW w:w="1360" w:type="dxa"/>
            <w:vAlign w:val="bottom"/>
          </w:tcPr>
          <w:p>
            <w:pPr>
              <w:jc w:val="center"/>
              <w:ind w:right="190"/>
              <w:spacing w:after="0"/>
              <w:rPr>
                <w:sz w:val="20"/>
                <w:szCs w:val="20"/>
                <w:color w:val="auto"/>
              </w:rPr>
            </w:pPr>
            <w:r>
              <w:rPr>
                <w:rFonts w:ascii="Arial" w:cs="Arial" w:eastAsia="Arial" w:hAnsi="Arial"/>
                <w:sz w:val="18"/>
                <w:szCs w:val="18"/>
                <w:color w:val="auto"/>
                <w:w w:val="99"/>
              </w:rPr>
              <w:t>61%</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46.96</w:t>
            </w:r>
          </w:p>
        </w:tc>
        <w:tc>
          <w:tcPr>
            <w:tcW w:w="1060" w:type="dxa"/>
            <w:vAlign w:val="bottom"/>
          </w:tcPr>
          <w:p>
            <w:pPr>
              <w:jc w:val="center"/>
              <w:ind w:left="490"/>
              <w:spacing w:after="0"/>
              <w:rPr>
                <w:sz w:val="20"/>
                <w:szCs w:val="20"/>
                <w:color w:val="auto"/>
              </w:rPr>
            </w:pPr>
            <w:r>
              <w:rPr>
                <w:rFonts w:ascii="Arial" w:cs="Arial" w:eastAsia="Arial" w:hAnsi="Arial"/>
                <w:sz w:val="18"/>
                <w:szCs w:val="18"/>
                <w:color w:val="auto"/>
                <w:w w:val="99"/>
              </w:rPr>
              <w:t>58%</w:t>
            </w:r>
          </w:p>
        </w:tc>
      </w:tr>
      <w:tr>
        <w:trPr>
          <w:trHeight w:val="715"/>
        </w:trPr>
        <w:tc>
          <w:tcPr>
            <w:tcW w:w="800" w:type="dxa"/>
            <w:vAlign w:val="bottom"/>
          </w:tcPr>
          <w:p>
            <w:pPr>
              <w:jc w:val="right"/>
              <w:ind w:right="250"/>
              <w:spacing w:after="0"/>
              <w:rPr>
                <w:sz w:val="20"/>
                <w:szCs w:val="20"/>
                <w:color w:val="auto"/>
              </w:rPr>
            </w:pPr>
            <w:r>
              <w:rPr>
                <w:rFonts w:ascii="Arial" w:cs="Arial" w:eastAsia="Arial" w:hAnsi="Arial"/>
                <w:sz w:val="18"/>
                <w:szCs w:val="18"/>
                <w:color w:val="auto"/>
              </w:rPr>
              <w:t>2.16</w:t>
            </w:r>
          </w:p>
        </w:tc>
        <w:tc>
          <w:tcPr>
            <w:tcW w:w="1360" w:type="dxa"/>
            <w:vAlign w:val="bottom"/>
          </w:tcPr>
          <w:p>
            <w:pPr>
              <w:spacing w:after="0"/>
              <w:rPr>
                <w:sz w:val="24"/>
                <w:szCs w:val="24"/>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1.89</w:t>
            </w:r>
          </w:p>
        </w:tc>
        <w:tc>
          <w:tcPr>
            <w:tcW w:w="1060" w:type="dxa"/>
            <w:vAlign w:val="bottom"/>
          </w:tcPr>
          <w:p>
            <w:pPr>
              <w:spacing w:after="0"/>
              <w:rPr>
                <w:sz w:val="24"/>
                <w:szCs w:val="24"/>
                <w:color w:val="auto"/>
              </w:rPr>
            </w:pPr>
          </w:p>
        </w:tc>
      </w:tr>
      <w:tr>
        <w:trPr>
          <w:trHeight w:val="486"/>
        </w:trPr>
        <w:tc>
          <w:tcPr>
            <w:tcW w:w="800" w:type="dxa"/>
            <w:vAlign w:val="bottom"/>
          </w:tcPr>
          <w:p>
            <w:pPr>
              <w:jc w:val="right"/>
              <w:ind w:right="250"/>
              <w:spacing w:after="0"/>
              <w:rPr>
                <w:sz w:val="20"/>
                <w:szCs w:val="20"/>
                <w:color w:val="auto"/>
              </w:rPr>
            </w:pPr>
            <w:r>
              <w:rPr>
                <w:rFonts w:ascii="Arial" w:cs="Arial" w:eastAsia="Arial" w:hAnsi="Arial"/>
                <w:sz w:val="18"/>
                <w:szCs w:val="18"/>
                <w:color w:val="auto"/>
              </w:rPr>
              <w:t>2.68</w:t>
            </w:r>
          </w:p>
        </w:tc>
        <w:tc>
          <w:tcPr>
            <w:tcW w:w="1360" w:type="dxa"/>
            <w:vAlign w:val="bottom"/>
          </w:tcPr>
          <w:p>
            <w:pPr>
              <w:jc w:val="center"/>
              <w:ind w:right="170"/>
              <w:spacing w:after="0"/>
              <w:rPr>
                <w:sz w:val="20"/>
                <w:szCs w:val="20"/>
                <w:color w:val="auto"/>
              </w:rPr>
            </w:pPr>
            <w:r>
              <w:rPr>
                <w:rFonts w:ascii="Arial" w:cs="Arial" w:eastAsia="Arial" w:hAnsi="Arial"/>
                <w:sz w:val="18"/>
                <w:szCs w:val="18"/>
                <w:color w:val="auto"/>
                <w:w w:val="99"/>
              </w:rPr>
              <w:t>124%</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1.78</w:t>
            </w:r>
          </w:p>
        </w:tc>
        <w:tc>
          <w:tcPr>
            <w:tcW w:w="1060" w:type="dxa"/>
            <w:vAlign w:val="bottom"/>
          </w:tcPr>
          <w:p>
            <w:pPr>
              <w:jc w:val="center"/>
              <w:ind w:left="490"/>
              <w:spacing w:after="0"/>
              <w:rPr>
                <w:sz w:val="20"/>
                <w:szCs w:val="20"/>
                <w:color w:val="auto"/>
              </w:rPr>
            </w:pPr>
            <w:r>
              <w:rPr>
                <w:rFonts w:ascii="Arial" w:cs="Arial" w:eastAsia="Arial" w:hAnsi="Arial"/>
                <w:sz w:val="18"/>
                <w:szCs w:val="18"/>
                <w:color w:val="auto"/>
                <w:w w:val="99"/>
              </w:rPr>
              <w:t>94%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-2153920</wp:posOffset>
            </wp:positionV>
            <wp:extent cx="91757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917575" cy="8890"/>
                    </a:xfrm>
                    <a:prstGeom prst="rect">
                      <a:avLst/>
                    </a:prstGeom>
                    <a:noFill/>
                  </pic:spPr>
                </pic:pic>
              </a:graphicData>
            </a:graphic>
          </wp:anchor>
        </w:drawing>
        <w:drawing>
          <wp:anchor simplePos="0" relativeHeight="251657728" behindDoc="1" locked="0" layoutInCell="0" allowOverlap="1">
            <wp:simplePos x="0" y="0"/>
            <wp:positionH relativeFrom="column">
              <wp:posOffset>-580390</wp:posOffset>
            </wp:positionH>
            <wp:positionV relativeFrom="paragraph">
              <wp:posOffset>-2307590</wp:posOffset>
            </wp:positionV>
            <wp:extent cx="91757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91757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5060" w:space="120"/>
            <w:col w:w="180" w:space="720"/>
            <w:col w:w="5140"/>
          </w:cols>
          <w:pgMar w:left="320" w:top="892"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2" w:right="359" w:bottom="1440" w:gutter="0" w:footer="0" w:header="0"/>
          <w:type w:val="continuous"/>
        </w:sectPr>
      </w:pPr>
    </w:p>
    <w:bookmarkStart w:id="44" w:name="page45"/>
    <w:bookmarkEnd w:id="44"/>
    <w:tbl>
      <w:tblPr>
        <w:tblLayout w:type="fixed"/>
        <w:tblInd w:w="0" w:type="dxa"/>
        <w:tblCellMar>
          <w:top w:w="0" w:type="dxa"/>
          <w:left w:w="0" w:type="dxa"/>
          <w:bottom w:w="0" w:type="dxa"/>
          <w:right w:w="0" w:type="dxa"/>
        </w:tblCellMar>
      </w:tblPr>
      <w:tr>
        <w:trPr>
          <w:trHeight w:val="235"/>
        </w:trPr>
        <w:tc>
          <w:tcPr>
            <w:tcW w:w="5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4"/>
          </w:tcPr>
          <w:p>
            <w:pPr>
              <w:jc w:val="right"/>
              <w:ind w:right="530"/>
              <w:spacing w:after="0"/>
              <w:rPr>
                <w:sz w:val="20"/>
                <w:szCs w:val="20"/>
                <w:color w:val="auto"/>
              </w:rPr>
            </w:pPr>
            <w:r>
              <w:rPr>
                <w:rFonts w:ascii="Arial" w:cs="Arial" w:eastAsia="Arial" w:hAnsi="Arial"/>
                <w:sz w:val="18"/>
                <w:szCs w:val="18"/>
                <w:b w:val="1"/>
                <w:bCs w:val="1"/>
                <w:color w:val="auto"/>
              </w:rPr>
              <w:t>Nine months ended</w:t>
            </w:r>
          </w:p>
        </w:tc>
        <w:tc>
          <w:tcPr>
            <w:tcW w:w="1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r>
      <w:tr>
        <w:trPr>
          <w:trHeight w:val="223"/>
        </w:trPr>
        <w:tc>
          <w:tcPr>
            <w:tcW w:w="5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740" w:type="dxa"/>
            <w:vAlign w:val="bottom"/>
            <w:gridSpan w:val="4"/>
          </w:tcPr>
          <w:p>
            <w:pPr>
              <w:ind w:left="340"/>
              <w:spacing w:after="0"/>
              <w:rPr>
                <w:sz w:val="20"/>
                <w:szCs w:val="20"/>
                <w:color w:val="auto"/>
              </w:rPr>
            </w:pPr>
            <w:r>
              <w:rPr>
                <w:rFonts w:ascii="Arial" w:cs="Arial" w:eastAsia="Arial" w:hAnsi="Arial"/>
                <w:sz w:val="18"/>
                <w:szCs w:val="18"/>
                <w:b w:val="1"/>
                <w:bCs w:val="1"/>
                <w:color w:val="auto"/>
              </w:rPr>
              <w:t>September 30, 2024</w:t>
            </w:r>
          </w:p>
        </w:tc>
        <w:tc>
          <w:tcPr>
            <w:tcW w:w="300" w:type="dxa"/>
            <w:vAlign w:val="bottom"/>
          </w:tcPr>
          <w:p>
            <w:pPr>
              <w:spacing w:after="0"/>
              <w:rPr>
                <w:sz w:val="19"/>
                <w:szCs w:val="19"/>
                <w:color w:val="auto"/>
              </w:rPr>
            </w:pPr>
          </w:p>
        </w:tc>
        <w:tc>
          <w:tcPr>
            <w:tcW w:w="2620" w:type="dxa"/>
            <w:vAlign w:val="bottom"/>
            <w:gridSpan w:val="3"/>
          </w:tcPr>
          <w:p>
            <w:pPr>
              <w:ind w:left="320"/>
              <w:spacing w:after="0"/>
              <w:rPr>
                <w:sz w:val="20"/>
                <w:szCs w:val="20"/>
                <w:color w:val="auto"/>
              </w:rPr>
            </w:pPr>
            <w:r>
              <w:rPr>
                <w:rFonts w:ascii="Arial" w:cs="Arial" w:eastAsia="Arial" w:hAnsi="Arial"/>
                <w:sz w:val="18"/>
                <w:szCs w:val="18"/>
                <w:b w:val="1"/>
                <w:bCs w:val="1"/>
                <w:color w:val="auto"/>
              </w:rPr>
              <w:t>September 30, 2023</w:t>
            </w:r>
          </w:p>
        </w:tc>
      </w:tr>
      <w:tr>
        <w:trPr>
          <w:trHeight w:val="223"/>
        </w:trPr>
        <w:tc>
          <w:tcPr>
            <w:tcW w:w="528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Price</w:t>
            </w:r>
          </w:p>
        </w:tc>
        <w:tc>
          <w:tcPr>
            <w:tcW w:w="100" w:type="dxa"/>
            <w:vAlign w:val="bottom"/>
            <w:tcBorders>
              <w:top w:val="single" w:sz="8" w:color="auto"/>
              <w:bottom w:val="single" w:sz="8" w:color="CCEEFF"/>
            </w:tcBorders>
          </w:tcPr>
          <w:p>
            <w:pPr>
              <w:spacing w:after="0"/>
              <w:rPr>
                <w:sz w:val="19"/>
                <w:szCs w:val="19"/>
                <w:color w:val="auto"/>
              </w:rPr>
            </w:pPr>
          </w:p>
        </w:tc>
        <w:tc>
          <w:tcPr>
            <w:tcW w:w="142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b w:val="1"/>
                <w:bCs w:val="1"/>
                <w:color w:val="auto"/>
              </w:rPr>
              <w:t>Realization</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Price</w:t>
            </w:r>
          </w:p>
        </w:tc>
        <w:tc>
          <w:tcPr>
            <w:tcW w:w="100" w:type="dxa"/>
            <w:vAlign w:val="bottom"/>
            <w:tcBorders>
              <w:top w:val="single" w:sz="8" w:color="auto"/>
              <w:bottom w:val="single" w:sz="8" w:color="CCEEFF"/>
            </w:tcBorders>
          </w:tcPr>
          <w:p>
            <w:pPr>
              <w:spacing w:after="0"/>
              <w:rPr>
                <w:sz w:val="19"/>
                <w:szCs w:val="19"/>
                <w:color w:val="auto"/>
              </w:rPr>
            </w:pPr>
          </w:p>
        </w:tc>
        <w:tc>
          <w:tcPr>
            <w:tcW w:w="142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b w:val="1"/>
                <w:bCs w:val="1"/>
                <w:color w:val="auto"/>
              </w:rPr>
              <w:t>Realization</w:t>
            </w:r>
          </w:p>
        </w:tc>
      </w:tr>
      <w:tr>
        <w:trPr>
          <w:trHeight w:val="210"/>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Oil ($ per Bbl)</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29"/>
        </w:trPr>
        <w:tc>
          <w:tcPr>
            <w:tcW w:w="5280" w:type="dxa"/>
            <w:vAlign w:val="bottom"/>
          </w:tcPr>
          <w:p>
            <w:pPr>
              <w:ind w:left="20"/>
              <w:spacing w:after="0"/>
              <w:rPr>
                <w:sz w:val="20"/>
                <w:szCs w:val="20"/>
                <w:color w:val="auto"/>
              </w:rPr>
            </w:pPr>
            <w:r>
              <w:rPr>
                <w:rFonts w:ascii="Arial" w:cs="Arial" w:eastAsia="Arial" w:hAnsi="Arial"/>
                <w:sz w:val="18"/>
                <w:szCs w:val="18"/>
                <w:color w:val="auto"/>
              </w:rPr>
              <w:t>Brent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81.79</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82.06</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70"/>
        </w:trPr>
        <w:tc>
          <w:tcPr>
            <w:tcW w:w="52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r>
      <w:tr>
        <w:trPr>
          <w:trHeight w:val="229"/>
        </w:trPr>
        <w:tc>
          <w:tcPr>
            <w:tcW w:w="5280" w:type="dxa"/>
            <w:vAlign w:val="bottom"/>
          </w:tcPr>
          <w:p>
            <w:pPr>
              <w:ind w:left="20"/>
              <w:spacing w:after="0"/>
              <w:rPr>
                <w:sz w:val="20"/>
                <w:szCs w:val="20"/>
                <w:color w:val="auto"/>
              </w:rPr>
            </w:pPr>
            <w:r>
              <w:rPr>
                <w:rFonts w:ascii="Arial" w:cs="Arial" w:eastAsia="Arial" w:hAnsi="Arial"/>
                <w:sz w:val="18"/>
                <w:szCs w:val="18"/>
                <w:color w:val="auto"/>
              </w:rPr>
              <w:t>Realized price without derivative settlements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79.15</w:t>
            </w:r>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w w:val="99"/>
              </w:rPr>
              <w:t>97%</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79.90</w:t>
            </w:r>
          </w:p>
        </w:tc>
        <w:tc>
          <w:tcPr>
            <w:tcW w:w="152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97%</w:t>
            </w:r>
          </w:p>
        </w:tc>
      </w:tr>
      <w:tr>
        <w:trPr>
          <w:trHeight w:val="230"/>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Derivative settlements</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(15.65)</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23"/>
        </w:trPr>
        <w:tc>
          <w:tcPr>
            <w:tcW w:w="5280" w:type="dxa"/>
            <w:vAlign w:val="bottom"/>
          </w:tcPr>
          <w:p>
            <w:pPr>
              <w:ind w:left="20"/>
              <w:spacing w:after="0"/>
              <w:rPr>
                <w:sz w:val="20"/>
                <w:szCs w:val="20"/>
                <w:color w:val="auto"/>
              </w:rPr>
            </w:pPr>
            <w:r>
              <w:rPr>
                <w:rFonts w:ascii="Arial" w:cs="Arial" w:eastAsia="Arial" w:hAnsi="Arial"/>
                <w:sz w:val="18"/>
                <w:szCs w:val="18"/>
                <w:color w:val="auto"/>
              </w:rPr>
              <w:t>Realized price with derivative settlements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77.10</w:t>
            </w:r>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w w:val="99"/>
              </w:rPr>
              <w:t>94%</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64.25</w:t>
            </w:r>
          </w:p>
        </w:tc>
        <w:tc>
          <w:tcPr>
            <w:tcW w:w="152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78%</w:t>
            </w:r>
          </w:p>
        </w:tc>
      </w:tr>
      <w:tr>
        <w:trPr>
          <w:trHeight w:val="20"/>
        </w:trPr>
        <w:tc>
          <w:tcPr>
            <w:tcW w:w="52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r>
      <w:tr>
        <w:trPr>
          <w:trHeight w:val="237"/>
        </w:trPr>
        <w:tc>
          <w:tcPr>
            <w:tcW w:w="52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r>
      <w:tr>
        <w:trPr>
          <w:trHeight w:val="229"/>
        </w:trPr>
        <w:tc>
          <w:tcPr>
            <w:tcW w:w="5280" w:type="dxa"/>
            <w:vAlign w:val="bottom"/>
          </w:tcPr>
          <w:p>
            <w:pPr>
              <w:ind w:left="20"/>
              <w:spacing w:after="0"/>
              <w:rPr>
                <w:sz w:val="20"/>
                <w:szCs w:val="20"/>
                <w:color w:val="auto"/>
              </w:rPr>
            </w:pPr>
            <w:r>
              <w:rPr>
                <w:rFonts w:ascii="Arial" w:cs="Arial" w:eastAsia="Arial" w:hAnsi="Arial"/>
                <w:sz w:val="18"/>
                <w:szCs w:val="18"/>
                <w:color w:val="auto"/>
              </w:rPr>
              <w:t>WTI</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77.54</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77.39</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70"/>
        </w:trPr>
        <w:tc>
          <w:tcPr>
            <w:tcW w:w="52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r>
      <w:tr>
        <w:trPr>
          <w:trHeight w:val="229"/>
        </w:trPr>
        <w:tc>
          <w:tcPr>
            <w:tcW w:w="5280" w:type="dxa"/>
            <w:vAlign w:val="bottom"/>
          </w:tcPr>
          <w:p>
            <w:pPr>
              <w:ind w:left="20"/>
              <w:spacing w:after="0"/>
              <w:rPr>
                <w:sz w:val="20"/>
                <w:szCs w:val="20"/>
                <w:color w:val="auto"/>
              </w:rPr>
            </w:pPr>
            <w:r>
              <w:rPr>
                <w:rFonts w:ascii="Arial" w:cs="Arial" w:eastAsia="Arial" w:hAnsi="Arial"/>
                <w:sz w:val="18"/>
                <w:szCs w:val="18"/>
                <w:color w:val="auto"/>
              </w:rPr>
              <w:t>Realized price without derivative settlements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79.15</w:t>
            </w:r>
          </w:p>
        </w:tc>
        <w:tc>
          <w:tcPr>
            <w:tcW w:w="152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102%</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79.90</w:t>
            </w:r>
          </w:p>
        </w:tc>
        <w:tc>
          <w:tcPr>
            <w:tcW w:w="152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103%</w:t>
            </w:r>
          </w:p>
        </w:tc>
      </w:tr>
      <w:tr>
        <w:trPr>
          <w:trHeight w:val="230"/>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Realized price with derivative settlements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77.10</w:t>
            </w:r>
          </w:p>
        </w:tc>
        <w:tc>
          <w:tcPr>
            <w:tcW w:w="15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99%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64.25</w:t>
            </w:r>
          </w:p>
        </w:tc>
        <w:tc>
          <w:tcPr>
            <w:tcW w:w="152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9"/>
              </w:rPr>
              <w:t>83%</w:t>
            </w:r>
          </w:p>
        </w:tc>
      </w:tr>
      <w:tr>
        <w:trPr>
          <w:trHeight w:val="270"/>
        </w:trPr>
        <w:tc>
          <w:tcPr>
            <w:tcW w:w="52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29"/>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NGLs ($ per Bbl)</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29"/>
        </w:trPr>
        <w:tc>
          <w:tcPr>
            <w:tcW w:w="5280" w:type="dxa"/>
            <w:vAlign w:val="bottom"/>
          </w:tcPr>
          <w:p>
            <w:pPr>
              <w:ind w:left="20"/>
              <w:spacing w:after="0"/>
              <w:rPr>
                <w:sz w:val="20"/>
                <w:szCs w:val="20"/>
                <w:color w:val="auto"/>
              </w:rPr>
            </w:pPr>
            <w:r>
              <w:rPr>
                <w:rFonts w:ascii="Arial" w:cs="Arial" w:eastAsia="Arial" w:hAnsi="Arial"/>
                <w:sz w:val="18"/>
                <w:szCs w:val="18"/>
                <w:color w:val="auto"/>
              </w:rPr>
              <w:t>Realized price (% of Brent)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47.77</w:t>
            </w:r>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w w:val="99"/>
              </w:rPr>
              <w:t>58%</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48.89</w:t>
            </w:r>
          </w:p>
        </w:tc>
        <w:tc>
          <w:tcPr>
            <w:tcW w:w="152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60%</w:t>
            </w:r>
          </w:p>
        </w:tc>
      </w:tr>
      <w:tr>
        <w:trPr>
          <w:trHeight w:val="230"/>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Realized price (% of WTI)</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47.77</w:t>
            </w:r>
          </w:p>
        </w:tc>
        <w:tc>
          <w:tcPr>
            <w:tcW w:w="15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62%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48.89</w:t>
            </w:r>
          </w:p>
        </w:tc>
        <w:tc>
          <w:tcPr>
            <w:tcW w:w="152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9"/>
              </w:rPr>
              <w:t>63%</w:t>
            </w:r>
          </w:p>
        </w:tc>
      </w:tr>
      <w:tr>
        <w:trPr>
          <w:trHeight w:val="270"/>
        </w:trPr>
        <w:tc>
          <w:tcPr>
            <w:tcW w:w="52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29"/>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Natural gas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0"/>
        </w:trPr>
        <w:tc>
          <w:tcPr>
            <w:tcW w:w="5280" w:type="dxa"/>
            <w:vAlign w:val="bottom"/>
          </w:tcPr>
          <w:p>
            <w:pPr>
              <w:ind w:left="20"/>
              <w:spacing w:after="0"/>
              <w:rPr>
                <w:sz w:val="20"/>
                <w:szCs w:val="20"/>
                <w:color w:val="auto"/>
              </w:rPr>
            </w:pPr>
            <w:r>
              <w:rPr>
                <w:rFonts w:ascii="Arial" w:cs="Arial" w:eastAsia="Arial" w:hAnsi="Arial"/>
                <w:sz w:val="18"/>
                <w:szCs w:val="18"/>
                <w:color w:val="auto"/>
              </w:rPr>
              <w:t>NYMEX Henry Hub ($/MMBtu) - Average Monthly Settled Price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70"/>
        </w:trPr>
        <w:tc>
          <w:tcPr>
            <w:tcW w:w="52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r>
      <w:tr>
        <w:trPr>
          <w:trHeight w:val="239"/>
        </w:trPr>
        <w:tc>
          <w:tcPr>
            <w:tcW w:w="5280" w:type="dxa"/>
            <w:vAlign w:val="bottom"/>
          </w:tcPr>
          <w:p>
            <w:pPr>
              <w:ind w:left="20"/>
              <w:spacing w:after="0"/>
              <w:rPr>
                <w:sz w:val="20"/>
                <w:szCs w:val="20"/>
                <w:color w:val="auto"/>
              </w:rPr>
            </w:pPr>
            <w:r>
              <w:rPr>
                <w:rFonts w:ascii="Arial" w:cs="Arial" w:eastAsia="Arial" w:hAnsi="Arial"/>
                <w:sz w:val="18"/>
                <w:szCs w:val="18"/>
                <w:color w:val="auto"/>
              </w:rPr>
              <w:t>Realized price ($/Mcf)</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2.76</w:t>
            </w:r>
          </w:p>
        </w:tc>
        <w:tc>
          <w:tcPr>
            <w:tcW w:w="152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131%</w:t>
            </w:r>
          </w:p>
        </w:tc>
        <w:tc>
          <w:tcPr>
            <w:tcW w:w="10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9.85</w:t>
            </w:r>
          </w:p>
        </w:tc>
        <w:tc>
          <w:tcPr>
            <w:tcW w:w="152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366%</w:t>
            </w:r>
          </w:p>
        </w:tc>
      </w:tr>
    </w:tbl>
    <w:p>
      <w:pPr>
        <w:spacing w:after="0" w:line="296" w:lineRule="exact"/>
        <w:rPr>
          <w:sz w:val="20"/>
          <w:szCs w:val="20"/>
          <w:color w:val="auto"/>
        </w:rPr>
      </w:pPr>
    </w:p>
    <w:p>
      <w:pPr>
        <w:ind w:right="40" w:firstLine="324"/>
        <w:spacing w:after="0" w:line="262" w:lineRule="auto"/>
        <w:rPr>
          <w:sz w:val="20"/>
          <w:szCs w:val="20"/>
          <w:color w:val="auto"/>
        </w:rPr>
      </w:pPr>
      <w:r>
        <w:rPr>
          <w:rFonts w:ascii="Arial" w:cs="Arial" w:eastAsia="Arial" w:hAnsi="Arial"/>
          <w:sz w:val="18"/>
          <w:szCs w:val="18"/>
          <w:i w:val="1"/>
          <w:iCs w:val="1"/>
          <w:color w:val="auto"/>
        </w:rPr>
        <w:t xml:space="preserve">Oil </w:t>
      </w:r>
      <w:r>
        <w:rPr>
          <w:rFonts w:ascii="Arial" w:cs="Arial" w:eastAsia="Arial" w:hAnsi="Arial"/>
          <w:sz w:val="18"/>
          <w:szCs w:val="18"/>
          <w:color w:val="auto"/>
        </w:rPr>
        <w:t>— Brent prices were lower for the three months ended September 30, 2024 compared to the three months ended June 30, 2024. The</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 in Brent prices is attributable to stagnating demand growth and increased production from non-OPEC+ sources. Brent prices were largely unchanged for the nine months ended September 30, 2024 compared to the nine months ended September 30, 2023 as markets attempted to reconcile continued geopolitical conflict, OPEC+ compliance and discipline, and slowing growth in global demand.</w:t>
      </w:r>
    </w:p>
    <w:p>
      <w:pPr>
        <w:spacing w:after="0" w:line="203" w:lineRule="exact"/>
        <w:rPr>
          <w:sz w:val="20"/>
          <w:szCs w:val="20"/>
          <w:color w:val="auto"/>
        </w:rPr>
      </w:pPr>
    </w:p>
    <w:p>
      <w:pPr>
        <w:ind w:right="300" w:firstLine="324"/>
        <w:spacing w:after="0" w:line="262" w:lineRule="auto"/>
        <w:rPr>
          <w:sz w:val="20"/>
          <w:szCs w:val="20"/>
          <w:color w:val="auto"/>
        </w:rPr>
      </w:pPr>
      <w:r>
        <w:rPr>
          <w:rFonts w:ascii="Arial" w:cs="Arial" w:eastAsia="Arial" w:hAnsi="Arial"/>
          <w:sz w:val="18"/>
          <w:szCs w:val="18"/>
          <w:i w:val="1"/>
          <w:iCs w:val="1"/>
          <w:color w:val="auto"/>
        </w:rPr>
        <w:t xml:space="preserve">NGLs </w:t>
      </w:r>
      <w:r>
        <w:rPr>
          <w:rFonts w:ascii="Arial" w:cs="Arial" w:eastAsia="Arial" w:hAnsi="Arial"/>
          <w:sz w:val="18"/>
          <w:szCs w:val="18"/>
          <w:color w:val="auto"/>
        </w:rPr>
        <w:t>— NGL prices for the three months ended September 30, 2024 decreased compared to the three months ended June 30, 2024</w:t>
      </w:r>
      <w:r>
        <w:rPr>
          <w:rFonts w:ascii="Arial" w:cs="Arial" w:eastAsia="Arial" w:hAnsi="Arial"/>
          <w:sz w:val="18"/>
          <w:szCs w:val="18"/>
          <w:i w:val="1"/>
          <w:iCs w:val="1"/>
          <w:color w:val="auto"/>
        </w:rPr>
        <w:t xml:space="preserve"> </w:t>
      </w:r>
      <w:r>
        <w:rPr>
          <w:rFonts w:ascii="Arial" w:cs="Arial" w:eastAsia="Arial" w:hAnsi="Arial"/>
          <w:sz w:val="18"/>
          <w:szCs w:val="18"/>
          <w:color w:val="auto"/>
        </w:rPr>
        <w:t>reflecting traditional seasonality and moved in tandem with crude oil prices. NGL prices for the nine months ended September 30, 2024 decreased compared to the nine months ended September 30, 2023 as growing North American crude and associated gas production continue to provide an ample supply of wet gas for processing.</w:t>
      </w:r>
    </w:p>
    <w:p>
      <w:pPr>
        <w:spacing w:after="0" w:line="203" w:lineRule="exact"/>
        <w:rPr>
          <w:sz w:val="20"/>
          <w:szCs w:val="20"/>
          <w:color w:val="auto"/>
        </w:rPr>
      </w:pPr>
    </w:p>
    <w:p>
      <w:pPr>
        <w:ind w:right="60" w:firstLine="324"/>
        <w:spacing w:after="0" w:line="262" w:lineRule="auto"/>
        <w:rPr>
          <w:sz w:val="20"/>
          <w:szCs w:val="20"/>
          <w:color w:val="auto"/>
        </w:rPr>
      </w:pPr>
      <w:r>
        <w:rPr>
          <w:rFonts w:ascii="Arial" w:cs="Arial" w:eastAsia="Arial" w:hAnsi="Arial"/>
          <w:sz w:val="18"/>
          <w:szCs w:val="18"/>
          <w:i w:val="1"/>
          <w:iCs w:val="1"/>
          <w:color w:val="auto"/>
        </w:rPr>
        <w:t xml:space="preserve">Natural Gas </w:t>
      </w:r>
      <w:r>
        <w:rPr>
          <w:rFonts w:ascii="Arial" w:cs="Arial" w:eastAsia="Arial" w:hAnsi="Arial"/>
          <w:sz w:val="18"/>
          <w:szCs w:val="18"/>
          <w:color w:val="auto"/>
        </w:rPr>
        <w:t>— Natural gas prices increased for the three months ended September 30, 2024 compared to the three months ended June</w:t>
      </w:r>
      <w:r>
        <w:rPr>
          <w:rFonts w:ascii="Arial" w:cs="Arial" w:eastAsia="Arial" w:hAnsi="Arial"/>
          <w:sz w:val="18"/>
          <w:szCs w:val="18"/>
          <w:i w:val="1"/>
          <w:iCs w:val="1"/>
          <w:color w:val="auto"/>
        </w:rPr>
        <w:t xml:space="preserve"> </w:t>
      </w:r>
      <w:r>
        <w:rPr>
          <w:rFonts w:ascii="Arial" w:cs="Arial" w:eastAsia="Arial" w:hAnsi="Arial"/>
          <w:sz w:val="18"/>
          <w:szCs w:val="18"/>
          <w:color w:val="auto"/>
        </w:rPr>
        <w:t>30, 2024 driven by a greater degree of producer discipline. Natural gas prices decreased for the nine months ended September 30, 2024 compared to the nine months ended September 30, 2023. In California, specifically, nine-month metrics continue to reflect record-setting prices in early 2023 versus near-record levels of gas in storage across the same period in 2024.</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5"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Statements of Operations Analysis</w:t>
      </w:r>
    </w:p>
    <w:p>
      <w:pPr>
        <w:spacing w:after="0" w:line="252"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The following table includes key operating data for our oil and gas operations, excluding certain corporate expenses and intercompany eliminations, for the three months ended September 30, 2024 and June 30, 2024 and the nine months ended September 30, 2024 and 2023. Energy operating costs consist of purchased natural gas used to generate electricity for our operations and steam for our steamfloods, purchased electricity and internal costs to generate electricity used in our operations. Gas processing costs include costs associated with compression, maintenance and other activities needed to run our gas processing facilities at Elk Hills. Non-energy operating costs equal total operating costs less energy operating costs and gas processing costs.</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5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4"/>
          </w:tcPr>
          <w:p>
            <w:pPr>
              <w:jc w:val="right"/>
              <w:ind w:right="432"/>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4"/>
          </w:tcPr>
          <w:p>
            <w:pPr>
              <w:jc w:val="right"/>
              <w:ind w:right="47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169"/>
        </w:trPr>
        <w:tc>
          <w:tcPr>
            <w:tcW w:w="5560" w:type="dxa"/>
            <w:vAlign w:val="bottom"/>
          </w:tcPr>
          <w:p>
            <w:pPr>
              <w:spacing w:after="0"/>
              <w:rPr>
                <w:sz w:val="14"/>
                <w:szCs w:val="14"/>
                <w:color w:val="auto"/>
              </w:rPr>
            </w:pPr>
          </w:p>
        </w:tc>
        <w:tc>
          <w:tcPr>
            <w:tcW w:w="1460" w:type="dxa"/>
            <w:vAlign w:val="bottom"/>
            <w:gridSpan w:val="3"/>
          </w:tcPr>
          <w:p>
            <w:pPr>
              <w:ind w:left="80"/>
              <w:spacing w:after="0" w:line="169" w:lineRule="exact"/>
              <w:rPr>
                <w:sz w:val="20"/>
                <w:szCs w:val="20"/>
                <w:color w:val="auto"/>
              </w:rPr>
            </w:pPr>
            <w:r>
              <w:rPr>
                <w:rFonts w:ascii="Arial" w:cs="Arial" w:eastAsia="Arial" w:hAnsi="Arial"/>
                <w:sz w:val="18"/>
                <w:szCs w:val="18"/>
                <w:b w:val="1"/>
                <w:bCs w:val="1"/>
                <w:color w:val="auto"/>
              </w:rPr>
              <w:t>September 30,</w:t>
            </w:r>
          </w:p>
        </w:tc>
        <w:tc>
          <w:tcPr>
            <w:tcW w:w="1340" w:type="dxa"/>
            <w:vAlign w:val="bottom"/>
            <w:gridSpan w:val="2"/>
            <w:vMerge w:val="restart"/>
          </w:tcPr>
          <w:p>
            <w:pPr>
              <w:jc w:val="right"/>
              <w:ind w:right="12"/>
              <w:spacing w:after="0"/>
              <w:rPr>
                <w:sz w:val="20"/>
                <w:szCs w:val="20"/>
                <w:color w:val="auto"/>
              </w:rPr>
            </w:pPr>
            <w:r>
              <w:rPr>
                <w:rFonts w:ascii="Arial" w:cs="Arial" w:eastAsia="Arial" w:hAnsi="Arial"/>
                <w:sz w:val="18"/>
                <w:szCs w:val="18"/>
                <w:b w:val="1"/>
                <w:bCs w:val="1"/>
                <w:color w:val="auto"/>
              </w:rPr>
              <w:t>June 30, 2024</w:t>
            </w:r>
          </w:p>
        </w:tc>
        <w:tc>
          <w:tcPr>
            <w:tcW w:w="80" w:type="dxa"/>
            <w:vAlign w:val="bottom"/>
            <w:vMerge w:val="restart"/>
          </w:tcPr>
          <w:p>
            <w:pPr>
              <w:spacing w:after="0"/>
              <w:rPr>
                <w:sz w:val="14"/>
                <w:szCs w:val="14"/>
                <w:color w:val="auto"/>
              </w:rPr>
            </w:pPr>
          </w:p>
        </w:tc>
        <w:tc>
          <w:tcPr>
            <w:tcW w:w="1440" w:type="dxa"/>
            <w:vAlign w:val="bottom"/>
            <w:gridSpan w:val="3"/>
          </w:tcPr>
          <w:p>
            <w:pPr>
              <w:ind w:left="60"/>
              <w:spacing w:after="0" w:line="169" w:lineRule="exact"/>
              <w:rPr>
                <w:sz w:val="20"/>
                <w:szCs w:val="20"/>
                <w:color w:val="auto"/>
              </w:rPr>
            </w:pPr>
            <w:r>
              <w:rPr>
                <w:rFonts w:ascii="Arial" w:cs="Arial" w:eastAsia="Arial" w:hAnsi="Arial"/>
                <w:sz w:val="18"/>
                <w:szCs w:val="18"/>
                <w:b w:val="1"/>
                <w:bCs w:val="1"/>
                <w:color w:val="auto"/>
              </w:rPr>
              <w:t>September 30,</w:t>
            </w:r>
          </w:p>
        </w:tc>
        <w:tc>
          <w:tcPr>
            <w:tcW w:w="1360" w:type="dxa"/>
            <w:vAlign w:val="bottom"/>
            <w:gridSpan w:val="2"/>
          </w:tcPr>
          <w:p>
            <w:pPr>
              <w:jc w:val="right"/>
              <w:spacing w:after="0" w:line="169" w:lineRule="exact"/>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43"/>
        </w:trPr>
        <w:tc>
          <w:tcPr>
            <w:tcW w:w="55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21"/>
                <w:szCs w:val="21"/>
                <w:color w:val="auto"/>
              </w:rPr>
            </w:pPr>
          </w:p>
        </w:tc>
        <w:tc>
          <w:tcPr>
            <w:tcW w:w="1340" w:type="dxa"/>
            <w:vAlign w:val="bottom"/>
            <w:tcBorders>
              <w:bottom w:val="single" w:sz="8" w:color="auto"/>
            </w:tcBorders>
            <w:gridSpan w:val="2"/>
            <w:vMerge w:val="continue"/>
          </w:tcPr>
          <w:p>
            <w:pPr>
              <w:spacing w:after="0"/>
              <w:rPr>
                <w:sz w:val="21"/>
                <w:szCs w:val="21"/>
                <w:color w:val="auto"/>
              </w:rPr>
            </w:pPr>
          </w:p>
        </w:tc>
        <w:tc>
          <w:tcPr>
            <w:tcW w:w="80" w:type="dxa"/>
            <w:vAlign w:val="bottom"/>
            <w:vMerge w:val="continue"/>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2024</w:t>
            </w:r>
          </w:p>
        </w:tc>
        <w:tc>
          <w:tcPr>
            <w:tcW w:w="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233"/>
        </w:trPr>
        <w:tc>
          <w:tcPr>
            <w:tcW w:w="5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2580" w:type="dxa"/>
            <w:vAlign w:val="bottom"/>
            <w:gridSpan w:val="5"/>
          </w:tcPr>
          <w:p>
            <w:pPr>
              <w:jc w:val="center"/>
              <w:ind w:right="200"/>
              <w:spacing w:after="0"/>
              <w:rPr>
                <w:sz w:val="20"/>
                <w:szCs w:val="20"/>
                <w:color w:val="auto"/>
              </w:rPr>
            </w:pPr>
            <w:r>
              <w:rPr>
                <w:rFonts w:ascii="Arial" w:cs="Arial" w:eastAsia="Arial" w:hAnsi="Arial"/>
                <w:sz w:val="14"/>
                <w:szCs w:val="14"/>
                <w:color w:val="auto"/>
              </w:rPr>
              <w:t>per Boe, except as otherwise stated)</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net production sold (MBoe/d)</w:t>
            </w: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29"/>
        </w:trPr>
        <w:tc>
          <w:tcPr>
            <w:tcW w:w="5560" w:type="dxa"/>
            <w:vAlign w:val="bottom"/>
          </w:tcPr>
          <w:p>
            <w:pPr>
              <w:ind w:left="20"/>
              <w:spacing w:after="0"/>
              <w:rPr>
                <w:sz w:val="20"/>
                <w:szCs w:val="20"/>
                <w:color w:val="auto"/>
              </w:rPr>
            </w:pPr>
            <w:r>
              <w:rPr>
                <w:rFonts w:ascii="Arial" w:cs="Arial" w:eastAsia="Arial" w:hAnsi="Arial"/>
                <w:sz w:val="18"/>
                <w:szCs w:val="18"/>
                <w:color w:val="auto"/>
              </w:rPr>
              <w:t>Total oil, natural gas and NGL sales (in millions)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878</w:t>
            </w:r>
          </w:p>
        </w:tc>
        <w:tc>
          <w:tcPr>
            <w:tcW w:w="100" w:type="dxa"/>
            <w:vAlign w:val="bottom"/>
          </w:tcPr>
          <w:p>
            <w:pPr>
              <w:spacing w:after="0"/>
              <w:rPr>
                <w:sz w:val="19"/>
                <w:szCs w:val="19"/>
                <w:color w:val="auto"/>
              </w:rPr>
            </w:pP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416</w:t>
            </w:r>
          </w:p>
        </w:tc>
        <w:tc>
          <w:tcPr>
            <w:tcW w:w="80" w:type="dxa"/>
            <w:vAlign w:val="bottom"/>
          </w:tcPr>
          <w:p>
            <w:pPr>
              <w:spacing w:after="0"/>
              <w:rPr>
                <w:sz w:val="19"/>
                <w:szCs w:val="19"/>
                <w:color w:val="auto"/>
              </w:rPr>
            </w:pPr>
          </w:p>
        </w:tc>
        <w:tc>
          <w:tcPr>
            <w:tcW w:w="300" w:type="dxa"/>
            <w:vAlign w:val="bottom"/>
          </w:tcPr>
          <w:p>
            <w:pPr>
              <w:jc w:val="center"/>
              <w:ind w:right="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1,729</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1,672</w:t>
            </w: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Energy operating costs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w:t>
            </w:r>
          </w:p>
        </w:tc>
        <w:tc>
          <w:tcPr>
            <w:tcW w:w="0" w:type="dxa"/>
            <w:vAlign w:val="bottom"/>
          </w:tcPr>
          <w:p>
            <w:pPr>
              <w:spacing w:after="0"/>
              <w:rPr>
                <w:sz w:val="1"/>
                <w:szCs w:val="1"/>
                <w:color w:val="auto"/>
              </w:rPr>
            </w:pPr>
          </w:p>
        </w:tc>
      </w:tr>
      <w:tr>
        <w:trPr>
          <w:trHeight w:val="229"/>
        </w:trPr>
        <w:tc>
          <w:tcPr>
            <w:tcW w:w="5560" w:type="dxa"/>
            <w:vAlign w:val="bottom"/>
          </w:tcPr>
          <w:p>
            <w:pPr>
              <w:ind w:left="20"/>
              <w:spacing w:after="0"/>
              <w:rPr>
                <w:sz w:val="20"/>
                <w:szCs w:val="20"/>
                <w:color w:val="auto"/>
              </w:rPr>
            </w:pPr>
            <w:r>
              <w:rPr>
                <w:rFonts w:ascii="Arial" w:cs="Arial" w:eastAsia="Arial" w:hAnsi="Arial"/>
                <w:sz w:val="18"/>
                <w:szCs w:val="18"/>
                <w:color w:val="auto"/>
              </w:rPr>
              <w:t>Gas processing costs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0.38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0.44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0.44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0.59</w:t>
            </w: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Non-energy operating costs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16.30</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16.41</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15.34</w:t>
            </w:r>
          </w:p>
        </w:tc>
        <w:tc>
          <w:tcPr>
            <w:tcW w:w="0" w:type="dxa"/>
            <w:vAlign w:val="bottom"/>
          </w:tcPr>
          <w:p>
            <w:pPr>
              <w:spacing w:after="0"/>
              <w:rPr>
                <w:sz w:val="1"/>
                <w:szCs w:val="1"/>
                <w:color w:val="auto"/>
              </w:rPr>
            </w:pPr>
          </w:p>
        </w:tc>
      </w:tr>
      <w:tr>
        <w:trPr>
          <w:trHeight w:val="223"/>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costs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23.14</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24.11</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26.80</w:t>
            </w:r>
          </w:p>
        </w:tc>
        <w:tc>
          <w:tcPr>
            <w:tcW w:w="0" w:type="dxa"/>
            <w:vAlign w:val="bottom"/>
          </w:tcPr>
          <w:p>
            <w:pPr>
              <w:spacing w:after="0"/>
              <w:rPr>
                <w:sz w:val="1"/>
                <w:szCs w:val="1"/>
                <w:color w:val="auto"/>
              </w:rPr>
            </w:pPr>
          </w:p>
        </w:tc>
      </w:tr>
      <w:tr>
        <w:trPr>
          <w:trHeight w:val="223"/>
        </w:trPr>
        <w:tc>
          <w:tcPr>
            <w:tcW w:w="556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Field general and administrative expenses</w:t>
            </w:r>
            <w:r>
              <w:rPr>
                <w:rFonts w:ascii="Arial" w:cs="Arial" w:eastAsia="Arial" w:hAnsi="Arial"/>
                <w:sz w:val="23"/>
                <w:szCs w:val="23"/>
                <w:color w:val="auto"/>
                <w:vertAlign w:val="superscript"/>
              </w:rPr>
              <w:t>(a)</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29"/>
        </w:trPr>
        <w:tc>
          <w:tcPr>
            <w:tcW w:w="5560" w:type="dxa"/>
            <w:vAlign w:val="bottom"/>
          </w:tcPr>
          <w:p>
            <w:pPr>
              <w:ind w:left="20"/>
              <w:spacing w:after="0" w:line="230" w:lineRule="exact"/>
              <w:rPr>
                <w:sz w:val="20"/>
                <w:szCs w:val="20"/>
                <w:color w:val="auto"/>
              </w:rPr>
            </w:pPr>
            <w:r>
              <w:rPr>
                <w:rFonts w:ascii="Arial" w:cs="Arial" w:eastAsia="Arial" w:hAnsi="Arial"/>
                <w:sz w:val="18"/>
                <w:szCs w:val="18"/>
                <w:color w:val="auto"/>
              </w:rPr>
              <w:t>Field depreciation, depletion and amortization</w:t>
            </w:r>
            <w:r>
              <w:rPr>
                <w:rFonts w:ascii="Arial" w:cs="Arial" w:eastAsia="Arial" w:hAnsi="Arial"/>
                <w:sz w:val="23"/>
                <w:szCs w:val="23"/>
                <w:color w:val="auto"/>
                <w:vertAlign w:val="superscript"/>
              </w:rPr>
              <w:t>(b)</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10.21</w:t>
            </w:r>
          </w:p>
        </w:tc>
        <w:tc>
          <w:tcPr>
            <w:tcW w:w="100" w:type="dxa"/>
            <w:vAlign w:val="bottom"/>
          </w:tcPr>
          <w:p>
            <w:pPr>
              <w:spacing w:after="0"/>
              <w:rPr>
                <w:sz w:val="19"/>
                <w:szCs w:val="19"/>
                <w:color w:val="auto"/>
              </w:rPr>
            </w:pP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6.84</w:t>
            </w:r>
          </w:p>
        </w:tc>
        <w:tc>
          <w:tcPr>
            <w:tcW w:w="80" w:type="dxa"/>
            <w:vAlign w:val="bottom"/>
          </w:tcPr>
          <w:p>
            <w:pPr>
              <w:spacing w:after="0"/>
              <w:rPr>
                <w:sz w:val="19"/>
                <w:szCs w:val="19"/>
                <w:color w:val="auto"/>
              </w:rPr>
            </w:pPr>
          </w:p>
        </w:tc>
        <w:tc>
          <w:tcPr>
            <w:tcW w:w="300" w:type="dxa"/>
            <w:vAlign w:val="bottom"/>
          </w:tcPr>
          <w:p>
            <w:pPr>
              <w:jc w:val="center"/>
              <w:ind w:right="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8.55</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Field taxes other than on income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20" w:hanging="312"/>
        <w:spacing w:after="0"/>
        <w:tabs>
          <w:tab w:leader="none" w:pos="3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Excludes unallocated general and administrative expenses.</w:t>
      </w:r>
    </w:p>
    <w:p>
      <w:pPr>
        <w:spacing w:after="0" w:line="28" w:lineRule="exact"/>
        <w:rPr>
          <w:rFonts w:ascii="Arial" w:cs="Arial" w:eastAsia="Arial" w:hAnsi="Arial"/>
          <w:sz w:val="14"/>
          <w:szCs w:val="14"/>
          <w:color w:val="auto"/>
        </w:rPr>
      </w:pPr>
    </w:p>
    <w:p>
      <w:pPr>
        <w:ind w:left="320" w:hanging="312"/>
        <w:spacing w:after="0"/>
        <w:tabs>
          <w:tab w:leader="none" w:pos="3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Excludes depreciation, depletion and amortization related to our corporate assets and our Elk Hills power plant.</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Results of Operations</w:t>
      </w:r>
    </w:p>
    <w:p>
      <w:pPr>
        <w:spacing w:after="0" w:line="250" w:lineRule="exact"/>
        <w:rPr>
          <w:sz w:val="20"/>
          <w:szCs w:val="20"/>
          <w:color w:val="auto"/>
        </w:rPr>
      </w:pPr>
    </w:p>
    <w:p>
      <w:pPr>
        <w:ind w:right="160" w:firstLine="324"/>
        <w:spacing w:after="0" w:line="287" w:lineRule="auto"/>
        <w:rPr>
          <w:sz w:val="20"/>
          <w:szCs w:val="20"/>
          <w:color w:val="auto"/>
        </w:rPr>
      </w:pPr>
      <w:r>
        <w:rPr>
          <w:rFonts w:ascii="Arial" w:cs="Arial" w:eastAsia="Arial" w:hAnsi="Arial"/>
          <w:sz w:val="18"/>
          <w:szCs w:val="18"/>
          <w:color w:val="auto"/>
        </w:rPr>
        <w:t xml:space="preserve">Our consolidated results of operations include the results of Aera beginning July 1, 2024, the closing date of the Aera Merger. For more information on the Aera Merger, see </w:t>
      </w:r>
      <w:r>
        <w:rPr>
          <w:rFonts w:ascii="Arial" w:cs="Arial" w:eastAsia="Arial" w:hAnsi="Arial"/>
          <w:sz w:val="18"/>
          <w:szCs w:val="18"/>
          <w:i w:val="1"/>
          <w:iCs w:val="1"/>
          <w:color w:val="auto"/>
        </w:rPr>
        <w:t>Part I, Item 1 – Financial Statements, Note 2 Aera Merger.</w:t>
      </w:r>
    </w:p>
    <w:p>
      <w:pPr>
        <w:spacing w:after="0" w:line="180" w:lineRule="exact"/>
        <w:rPr>
          <w:sz w:val="20"/>
          <w:szCs w:val="20"/>
          <w:color w:val="auto"/>
        </w:rPr>
      </w:pPr>
    </w:p>
    <w:p>
      <w:pPr>
        <w:ind w:right="140" w:firstLine="324"/>
        <w:spacing w:after="0" w:line="287" w:lineRule="auto"/>
        <w:rPr>
          <w:sz w:val="20"/>
          <w:szCs w:val="20"/>
          <w:color w:val="auto"/>
        </w:rPr>
      </w:pPr>
      <w:r>
        <w:rPr>
          <w:rFonts w:ascii="Arial" w:cs="Arial" w:eastAsia="Arial" w:hAnsi="Arial"/>
          <w:sz w:val="18"/>
          <w:szCs w:val="18"/>
          <w:color w:val="auto"/>
        </w:rPr>
        <w:t xml:space="preserve">For financial information related to our subsidiaries designated as Unrestricted Subsidiaries under the 2026 Senior Notes Indenture and 2029 Senior Notes Indenture, see </w:t>
      </w:r>
      <w:r>
        <w:rPr>
          <w:rFonts w:ascii="Arial" w:cs="Arial" w:eastAsia="Arial" w:hAnsi="Arial"/>
          <w:sz w:val="18"/>
          <w:szCs w:val="18"/>
          <w:i w:val="1"/>
          <w:iCs w:val="1"/>
          <w:color w:val="auto"/>
        </w:rPr>
        <w:t>Part I, Item 1 – Financial Statements, Note 14 Condensed Consolidated Financial Information.</w:t>
      </w:r>
    </w:p>
    <w:p>
      <w:pPr>
        <w:spacing w:after="0" w:line="180" w:lineRule="exact"/>
        <w:rPr>
          <w:sz w:val="20"/>
          <w:szCs w:val="20"/>
          <w:color w:val="auto"/>
        </w:rPr>
      </w:pPr>
    </w:p>
    <w:p>
      <w:pPr>
        <w:jc w:val="both"/>
        <w:ind w:right="380" w:firstLine="324"/>
        <w:spacing w:after="0" w:line="268" w:lineRule="auto"/>
        <w:rPr>
          <w:sz w:val="20"/>
          <w:szCs w:val="20"/>
          <w:color w:val="auto"/>
        </w:rPr>
      </w:pPr>
      <w:r>
        <w:rPr>
          <w:rFonts w:ascii="Arial" w:cs="Arial" w:eastAsia="Arial" w:hAnsi="Arial"/>
          <w:sz w:val="18"/>
          <w:szCs w:val="18"/>
          <w:color w:val="auto"/>
        </w:rPr>
        <w:t>Certain prior period balances related to NGL marketing activities have been reclassified to conform to our 2024 presentation. For the nine months ended September 30, 2023, we reclassified $2 million related to NGL storage activities from other revenue to revenue from marketing of purchased commodities on our condensed consolidated statement of operations.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i w:val="1"/>
          <w:iCs w:val="1"/>
          <w:u w:val="single" w:color="auto"/>
          <w:color w:val="auto"/>
        </w:rPr>
        <w:t>Three months ended September 30, 2024 compared to June 30, 2024</w:t>
      </w:r>
    </w:p>
    <w:p>
      <w:pPr>
        <w:spacing w:after="0" w:line="2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our consolidated operating revenues for the three months ended September 30, 2024 and June 30, 2024:</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4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580" w:type="dxa"/>
            <w:vAlign w:val="bottom"/>
            <w:tcBorders>
              <w:bottom w:val="single" w:sz="8" w:color="auto"/>
            </w:tcBorders>
            <w:gridSpan w:val="4"/>
          </w:tcPr>
          <w:p>
            <w:pPr>
              <w:jc w:val="right"/>
              <w:ind w:right="1430"/>
              <w:spacing w:after="0"/>
              <w:rPr>
                <w:sz w:val="20"/>
                <w:szCs w:val="20"/>
                <w:color w:val="auto"/>
              </w:rPr>
            </w:pPr>
            <w:r>
              <w:rPr>
                <w:rFonts w:ascii="Arial" w:cs="Arial" w:eastAsia="Arial" w:hAnsi="Arial"/>
                <w:sz w:val="18"/>
                <w:szCs w:val="18"/>
                <w:b w:val="1"/>
                <w:bCs w:val="1"/>
                <w:color w:val="auto"/>
              </w:rPr>
              <w:t>Three months ended</w:t>
            </w:r>
          </w:p>
        </w:tc>
      </w:tr>
      <w:tr>
        <w:trPr>
          <w:trHeight w:val="223"/>
        </w:trPr>
        <w:tc>
          <w:tcPr>
            <w:tcW w:w="64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September 30, 2024</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June 30, 2024</w:t>
            </w:r>
          </w:p>
        </w:tc>
      </w:tr>
      <w:tr>
        <w:trPr>
          <w:trHeight w:val="233"/>
        </w:trPr>
        <w:tc>
          <w:tcPr>
            <w:tcW w:w="6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80" w:type="dxa"/>
            <w:vAlign w:val="bottom"/>
            <w:gridSpan w:val="3"/>
          </w:tcPr>
          <w:p>
            <w:pPr>
              <w:jc w:val="right"/>
              <w:ind w:right="50"/>
              <w:spacing w:after="0"/>
              <w:rPr>
                <w:sz w:val="20"/>
                <w:szCs w:val="20"/>
                <w:color w:val="auto"/>
              </w:rPr>
            </w:pPr>
            <w:r>
              <w:rPr>
                <w:rFonts w:ascii="Arial" w:cs="Arial" w:eastAsia="Arial" w:hAnsi="Arial"/>
                <w:sz w:val="14"/>
                <w:szCs w:val="14"/>
                <w:color w:val="auto"/>
              </w:rPr>
              <w:t>(in millions)</w:t>
            </w:r>
          </w:p>
        </w:tc>
        <w:tc>
          <w:tcPr>
            <w:tcW w:w="1900" w:type="dxa"/>
            <w:vAlign w:val="bottom"/>
          </w:tcPr>
          <w:p>
            <w:pPr>
              <w:spacing w:after="0"/>
              <w:rPr>
                <w:sz w:val="20"/>
                <w:szCs w:val="20"/>
                <w:color w:val="auto"/>
              </w:rPr>
            </w:pPr>
          </w:p>
        </w:tc>
      </w:tr>
      <w:tr>
        <w:trPr>
          <w:trHeight w:val="234"/>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Oil, natural gas and NGL sales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w:t>
            </w:r>
          </w:p>
        </w:tc>
      </w:tr>
      <w:tr>
        <w:trPr>
          <w:trHeight w:val="229"/>
        </w:trPr>
        <w:tc>
          <w:tcPr>
            <w:tcW w:w="6440" w:type="dxa"/>
            <w:vAlign w:val="bottom"/>
          </w:tcPr>
          <w:p>
            <w:pPr>
              <w:ind w:left="20"/>
              <w:spacing w:after="0"/>
              <w:rPr>
                <w:sz w:val="20"/>
                <w:szCs w:val="20"/>
                <w:color w:val="auto"/>
              </w:rPr>
            </w:pPr>
            <w:r>
              <w:rPr>
                <w:rFonts w:ascii="Arial" w:cs="Arial" w:eastAsia="Arial" w:hAnsi="Arial"/>
                <w:sz w:val="18"/>
                <w:szCs w:val="18"/>
                <w:color w:val="auto"/>
              </w:rPr>
              <w:t>Net gain from commodity derivatives</w:t>
            </w:r>
          </w:p>
        </w:tc>
        <w:tc>
          <w:tcPr>
            <w:tcW w:w="22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from marketing of purchased commodities</w:t>
            </w:r>
          </w:p>
        </w:tc>
        <w:tc>
          <w:tcPr>
            <w:tcW w:w="22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Electricity sales</w:t>
            </w:r>
          </w:p>
        </w:tc>
        <w:tc>
          <w:tcPr>
            <w:tcW w:w="22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2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revenue</w:t>
            </w:r>
          </w:p>
        </w:tc>
        <w:tc>
          <w:tcPr>
            <w:tcW w:w="220" w:type="dxa"/>
            <w:vAlign w:val="bottom"/>
            <w:tcBorders>
              <w:bottom w:val="single" w:sz="8" w:color="auto"/>
            </w:tcBorders>
            <w:shd w:val="clear" w:color="auto" w:fill="CCEEFF"/>
          </w:tcPr>
          <w:p>
            <w:pPr>
              <w:spacing w:after="0"/>
              <w:rPr>
                <w:sz w:val="19"/>
                <w:szCs w:val="19"/>
                <w:color w:val="auto"/>
              </w:rPr>
            </w:pPr>
          </w:p>
        </w:tc>
        <w:tc>
          <w:tcPr>
            <w:tcW w:w="2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3"/>
        </w:trPr>
        <w:tc>
          <w:tcPr>
            <w:tcW w:w="6440" w:type="dxa"/>
            <w:vAlign w:val="bottom"/>
          </w:tcPr>
          <w:p>
            <w:pPr>
              <w:ind w:left="240"/>
              <w:spacing w:after="0"/>
              <w:rPr>
                <w:sz w:val="20"/>
                <w:szCs w:val="20"/>
                <w:color w:val="auto"/>
              </w:rPr>
            </w:pPr>
            <w:r>
              <w:rPr>
                <w:rFonts w:ascii="Arial" w:cs="Arial" w:eastAsia="Arial" w:hAnsi="Arial"/>
                <w:sz w:val="18"/>
                <w:szCs w:val="18"/>
                <w:color w:val="auto"/>
              </w:rPr>
              <w:t>Total operating revenues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1,353</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w:t>
            </w:r>
          </w:p>
        </w:tc>
      </w:tr>
      <w:tr>
        <w:trPr>
          <w:trHeight w:val="20"/>
        </w:trPr>
        <w:tc>
          <w:tcPr>
            <w:tcW w:w="6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b w:val="1"/>
          <w:bCs w:val="1"/>
          <w:i w:val="1"/>
          <w:iCs w:val="1"/>
          <w:color w:val="auto"/>
        </w:rPr>
        <w:t xml:space="preserve">Oil, natural gas and NGL sales </w:t>
      </w:r>
      <w:r>
        <w:rPr>
          <w:rFonts w:ascii="Arial" w:cs="Arial" w:eastAsia="Arial" w:hAnsi="Arial"/>
          <w:sz w:val="18"/>
          <w:szCs w:val="18"/>
          <w:color w:val="auto"/>
        </w:rPr>
        <w:t>— Oil, natural gas and NGL sales, excluding the effects of cash settlements on our commodity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derivative contracts, were $870 million for the three months ended September 30, 2024, which is an increase of $458 million compared to $412 million for the three months ended June 30, 2024. This increase includes $475 million of oil, natural gas and NGL sales related to additional production from the Aera fields following the completion of the Aera Merger on July 1, 2024. The effect of cash settlements on our commodity derivative contracts are excluded from the table below. The table below includes sales of natural gas we produce which is used by our Elk Hills power plant.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900" w:type="dxa"/>
            <w:vAlign w:val="bottom"/>
          </w:tcPr>
          <w:p>
            <w:pPr>
              <w:spacing w:after="0"/>
              <w:rPr>
                <w:sz w:val="20"/>
                <w:szCs w:val="20"/>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Oil</w:t>
            </w:r>
          </w:p>
        </w:tc>
        <w:tc>
          <w:tcPr>
            <w:tcW w:w="5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NGLs</w:t>
            </w:r>
          </w:p>
        </w:tc>
        <w:tc>
          <w:tcPr>
            <w:tcW w:w="4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52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8"/>
                <w:szCs w:val="18"/>
                <w:b w:val="1"/>
                <w:bCs w:val="1"/>
                <w:color w:val="auto"/>
              </w:rPr>
              <w:t>Natural Gas</w:t>
            </w:r>
          </w:p>
        </w:tc>
        <w:tc>
          <w:tcPr>
            <w:tcW w:w="100" w:type="dxa"/>
            <w:vAlign w:val="bottom"/>
          </w:tcPr>
          <w:p>
            <w:pPr>
              <w:spacing w:after="0"/>
              <w:rPr>
                <w:sz w:val="20"/>
                <w:szCs w:val="20"/>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Total Operations</w:t>
            </w:r>
          </w:p>
        </w:tc>
      </w:tr>
      <w:tr>
        <w:trPr>
          <w:trHeight w:val="233"/>
        </w:trPr>
        <w:tc>
          <w:tcPr>
            <w:tcW w:w="49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80" w:type="dxa"/>
            <w:vAlign w:val="bottom"/>
            <w:gridSpan w:val="3"/>
          </w:tcPr>
          <w:p>
            <w:pPr>
              <w:jc w:val="right"/>
              <w:ind w:right="350"/>
              <w:spacing w:after="0"/>
              <w:rPr>
                <w:sz w:val="20"/>
                <w:szCs w:val="20"/>
                <w:color w:val="auto"/>
              </w:rPr>
            </w:pPr>
            <w:r>
              <w:rPr>
                <w:rFonts w:ascii="Arial" w:cs="Arial" w:eastAsia="Arial" w:hAnsi="Arial"/>
                <w:sz w:val="14"/>
                <w:szCs w:val="14"/>
                <w:color w:val="auto"/>
              </w:rPr>
              <w:t>(in millions)</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33"/>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Three months ended June 30, 2024</w:t>
            </w:r>
          </w:p>
        </w:tc>
        <w:tc>
          <w:tcPr>
            <w:tcW w:w="100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r>
      <w:tr>
        <w:trPr>
          <w:trHeight w:val="230"/>
        </w:trPr>
        <w:tc>
          <w:tcPr>
            <w:tcW w:w="4900" w:type="dxa"/>
            <w:vAlign w:val="bottom"/>
          </w:tcPr>
          <w:p>
            <w:pPr>
              <w:ind w:left="20"/>
              <w:spacing w:after="0"/>
              <w:rPr>
                <w:sz w:val="20"/>
                <w:szCs w:val="20"/>
                <w:color w:val="auto"/>
              </w:rPr>
            </w:pPr>
            <w:r>
              <w:rPr>
                <w:rFonts w:ascii="Arial" w:cs="Arial" w:eastAsia="Arial" w:hAnsi="Arial"/>
                <w:sz w:val="18"/>
                <w:szCs w:val="18"/>
                <w:color w:val="auto"/>
              </w:rPr>
              <w:t>Change in realized prices</w:t>
            </w:r>
          </w:p>
        </w:tc>
        <w:tc>
          <w:tcPr>
            <w:tcW w:w="10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29"/>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production</w:t>
            </w:r>
          </w:p>
        </w:tc>
        <w:tc>
          <w:tcPr>
            <w:tcW w:w="10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r>
      <w:tr>
        <w:trPr>
          <w:trHeight w:val="223"/>
        </w:trPr>
        <w:tc>
          <w:tcPr>
            <w:tcW w:w="4900" w:type="dxa"/>
            <w:vAlign w:val="bottom"/>
          </w:tcPr>
          <w:p>
            <w:pPr>
              <w:ind w:left="20"/>
              <w:spacing w:after="0"/>
              <w:rPr>
                <w:sz w:val="20"/>
                <w:szCs w:val="20"/>
                <w:color w:val="auto"/>
              </w:rPr>
            </w:pPr>
            <w:r>
              <w:rPr>
                <w:rFonts w:ascii="Arial" w:cs="Arial" w:eastAsia="Arial" w:hAnsi="Arial"/>
                <w:sz w:val="18"/>
                <w:szCs w:val="18"/>
                <w:color w:val="auto"/>
              </w:rPr>
              <w:t>Three months ended September 30, 2024</w:t>
            </w:r>
          </w:p>
        </w:tc>
        <w:tc>
          <w:tcPr>
            <w:tcW w:w="1000" w:type="dxa"/>
            <w:vAlign w:val="bottom"/>
            <w:tcBorders>
              <w:top w:val="single" w:sz="8" w:color="auto"/>
              <w:bottom w:val="single" w:sz="8" w:color="auto"/>
            </w:tcBorders>
          </w:tcPr>
          <w:p>
            <w:pPr>
              <w:jc w:val="right"/>
              <w:ind w:right="790"/>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804</w:t>
            </w:r>
          </w:p>
        </w:tc>
        <w:tc>
          <w:tcPr>
            <w:tcW w:w="10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ind w:right="890"/>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878</w:t>
            </w:r>
          </w:p>
        </w:tc>
      </w:tr>
      <w:tr>
        <w:trPr>
          <w:trHeight w:val="20"/>
        </w:trPr>
        <w:tc>
          <w:tcPr>
            <w:tcW w:w="49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Note: See </w:t>
      </w:r>
      <w:r>
        <w:rPr>
          <w:rFonts w:ascii="Arial" w:cs="Arial" w:eastAsia="Arial" w:hAnsi="Arial"/>
          <w:sz w:val="14"/>
          <w:szCs w:val="14"/>
          <w:i w:val="1"/>
          <w:iCs w:val="1"/>
          <w:color w:val="auto"/>
        </w:rPr>
        <w:t>Production</w:t>
      </w:r>
      <w:r>
        <w:rPr>
          <w:rFonts w:ascii="Arial" w:cs="Arial" w:eastAsia="Arial" w:hAnsi="Arial"/>
          <w:sz w:val="14"/>
          <w:szCs w:val="14"/>
          <w:color w:val="auto"/>
        </w:rPr>
        <w:t xml:space="preserve"> for volumes by commodity type and </w:t>
      </w:r>
      <w:r>
        <w:rPr>
          <w:rFonts w:ascii="Arial" w:cs="Arial" w:eastAsia="Arial" w:hAnsi="Arial"/>
          <w:sz w:val="14"/>
          <w:szCs w:val="14"/>
          <w:i w:val="1"/>
          <w:iCs w:val="1"/>
          <w:color w:val="auto"/>
        </w:rPr>
        <w:t>Prices and Realizations</w:t>
      </w:r>
      <w:r>
        <w:rPr>
          <w:rFonts w:ascii="Arial" w:cs="Arial" w:eastAsia="Arial" w:hAnsi="Arial"/>
          <w:sz w:val="14"/>
          <w:szCs w:val="14"/>
          <w:color w:val="auto"/>
        </w:rPr>
        <w:t xml:space="preserve"> for index and realized prices for comparative periods.</w:t>
      </w:r>
    </w:p>
    <w:p>
      <w:pPr>
        <w:spacing w:after="0" w:line="248"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b w:val="1"/>
          <w:bCs w:val="1"/>
          <w:i w:val="1"/>
          <w:iCs w:val="1"/>
          <w:color w:val="auto"/>
        </w:rPr>
        <w:t xml:space="preserve">Net gain from commodity derivatives </w:t>
      </w:r>
      <w:r>
        <w:rPr>
          <w:rFonts w:ascii="Arial" w:cs="Arial" w:eastAsia="Arial" w:hAnsi="Arial"/>
          <w:sz w:val="18"/>
          <w:szCs w:val="18"/>
          <w:color w:val="auto"/>
        </w:rPr>
        <w:t>— Net gain from commodity derivatives was $356 million for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30, 2024 compared to net gain of $ 5 million for the three months ended June 30, 2024 as shown in the table below. As of July 1, 2024, we recorded a liability of $336 million for Aera's outstanding Brent-based derivative contracts. Due to a decline in forward oil prices between July 1, 2024 and September 30, 2024, we recognized a non-cash commodity derivative gain for these Aera hedges during the three months ended September 30, 2024. The net gain from commodity derivatives primarily resulted from changes in the fair value of our outstanding commodity derivatives from the positions held as well as the relationship between contract prices and the associated forward curves at the end of each measurement period.</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4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580" w:type="dxa"/>
            <w:vAlign w:val="bottom"/>
            <w:tcBorders>
              <w:bottom w:val="single" w:sz="8" w:color="auto"/>
            </w:tcBorders>
            <w:gridSpan w:val="4"/>
          </w:tcPr>
          <w:p>
            <w:pPr>
              <w:jc w:val="right"/>
              <w:ind w:right="1430"/>
              <w:spacing w:after="0"/>
              <w:rPr>
                <w:sz w:val="20"/>
                <w:szCs w:val="20"/>
                <w:color w:val="auto"/>
              </w:rPr>
            </w:pPr>
            <w:r>
              <w:rPr>
                <w:rFonts w:ascii="Arial" w:cs="Arial" w:eastAsia="Arial" w:hAnsi="Arial"/>
                <w:sz w:val="18"/>
                <w:szCs w:val="18"/>
                <w:b w:val="1"/>
                <w:bCs w:val="1"/>
                <w:color w:val="auto"/>
              </w:rPr>
              <w:t>Three months ended</w:t>
            </w:r>
          </w:p>
        </w:tc>
      </w:tr>
      <w:tr>
        <w:trPr>
          <w:trHeight w:val="223"/>
        </w:trPr>
        <w:tc>
          <w:tcPr>
            <w:tcW w:w="64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jc w:val="right"/>
              <w:ind w:right="253"/>
              <w:spacing w:after="0"/>
              <w:rPr>
                <w:sz w:val="20"/>
                <w:szCs w:val="20"/>
                <w:color w:val="auto"/>
              </w:rPr>
            </w:pPr>
            <w:r>
              <w:rPr>
                <w:rFonts w:ascii="Arial" w:cs="Arial" w:eastAsia="Arial" w:hAnsi="Arial"/>
                <w:sz w:val="18"/>
                <w:szCs w:val="18"/>
                <w:b w:val="1"/>
                <w:bCs w:val="1"/>
                <w:color w:val="auto"/>
              </w:rPr>
              <w:t>September 30, 2024</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June 30, 2024</w:t>
            </w:r>
          </w:p>
        </w:tc>
      </w:tr>
      <w:tr>
        <w:trPr>
          <w:trHeight w:val="233"/>
        </w:trPr>
        <w:tc>
          <w:tcPr>
            <w:tcW w:w="6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80" w:type="dxa"/>
            <w:vAlign w:val="bottom"/>
            <w:gridSpan w:val="3"/>
          </w:tcPr>
          <w:p>
            <w:pPr>
              <w:jc w:val="right"/>
              <w:ind w:right="50"/>
              <w:spacing w:after="0"/>
              <w:rPr>
                <w:sz w:val="20"/>
                <w:szCs w:val="20"/>
                <w:color w:val="auto"/>
              </w:rPr>
            </w:pPr>
            <w:r>
              <w:rPr>
                <w:rFonts w:ascii="Arial" w:cs="Arial" w:eastAsia="Arial" w:hAnsi="Arial"/>
                <w:sz w:val="14"/>
                <w:szCs w:val="14"/>
                <w:color w:val="auto"/>
              </w:rPr>
              <w:t>(in millions)</w:t>
            </w:r>
          </w:p>
        </w:tc>
        <w:tc>
          <w:tcPr>
            <w:tcW w:w="1900" w:type="dxa"/>
            <w:vAlign w:val="bottom"/>
          </w:tcPr>
          <w:p>
            <w:pPr>
              <w:spacing w:after="0"/>
              <w:rPr>
                <w:sz w:val="20"/>
                <w:szCs w:val="20"/>
                <w:color w:val="auto"/>
              </w:rPr>
            </w:pPr>
          </w:p>
        </w:tc>
      </w:tr>
      <w:tr>
        <w:trPr>
          <w:trHeight w:val="233"/>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commodity derivative gain</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Settlements and premiums</w:t>
            </w:r>
          </w:p>
        </w:tc>
        <w:tc>
          <w:tcPr>
            <w:tcW w:w="22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48"/>
        </w:trPr>
        <w:tc>
          <w:tcPr>
            <w:tcW w:w="6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gain from commodity derivatives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right="40" w:firstLine="324"/>
        <w:spacing w:after="0" w:line="268" w:lineRule="auto"/>
        <w:rPr>
          <w:sz w:val="20"/>
          <w:szCs w:val="20"/>
          <w:color w:val="auto"/>
        </w:rPr>
      </w:pPr>
      <w:r>
        <w:rPr>
          <w:rFonts w:ascii="Arial" w:cs="Arial" w:eastAsia="Arial" w:hAnsi="Arial"/>
          <w:sz w:val="18"/>
          <w:szCs w:val="18"/>
          <w:b w:val="1"/>
          <w:bCs w:val="1"/>
          <w:i w:val="1"/>
          <w:iCs w:val="1"/>
          <w:color w:val="auto"/>
        </w:rPr>
        <w:t xml:space="preserve">Electricity sales </w:t>
      </w:r>
      <w:r>
        <w:rPr>
          <w:rFonts w:ascii="Arial" w:cs="Arial" w:eastAsia="Arial" w:hAnsi="Arial"/>
          <w:sz w:val="18"/>
          <w:szCs w:val="18"/>
          <w:color w:val="auto"/>
        </w:rPr>
        <w:t>— Electricity sales increased by $33 million to $69 million for the three months ended September 30, 2024 compared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$36 million for the three months ended June 30, 2024. The increase was primarily a result of higher resource adequacy revenue and sales from electricity delivered to the wholesale market during the three months ended September 30, 2024.</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47" w:name="page48"/>
    <w:bookmarkEnd w:id="47"/>
    <w:p>
      <w:pPr>
        <w:ind w:left="340"/>
        <w:spacing w:after="0"/>
        <w:rPr>
          <w:sz w:val="20"/>
          <w:szCs w:val="20"/>
          <w:color w:val="auto"/>
        </w:rPr>
      </w:pPr>
      <w:r>
        <w:rPr>
          <w:rFonts w:ascii="Arial" w:cs="Arial" w:eastAsia="Arial" w:hAnsi="Arial"/>
          <w:sz w:val="18"/>
          <w:szCs w:val="18"/>
          <w:color w:val="auto"/>
        </w:rPr>
        <w:t>The following table presents our consolidated operating and non-operating expenses and income for the three months ended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2024 and June 30, 2024:</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4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560" w:type="dxa"/>
            <w:vAlign w:val="bottom"/>
            <w:tcBorders>
              <w:bottom w:val="single" w:sz="8" w:color="auto"/>
            </w:tcBorders>
            <w:gridSpan w:val="4"/>
          </w:tcPr>
          <w:p>
            <w:pPr>
              <w:jc w:val="right"/>
              <w:ind w:right="1410"/>
              <w:spacing w:after="0"/>
              <w:rPr>
                <w:sz w:val="20"/>
                <w:szCs w:val="20"/>
                <w:color w:val="auto"/>
              </w:rPr>
            </w:pPr>
            <w:r>
              <w:rPr>
                <w:rFonts w:ascii="Arial" w:cs="Arial" w:eastAsia="Arial" w:hAnsi="Arial"/>
                <w:sz w:val="18"/>
                <w:szCs w:val="18"/>
                <w:b w:val="1"/>
                <w:bCs w:val="1"/>
                <w:color w:val="auto"/>
              </w:rPr>
              <w:t>Three months ended</w:t>
            </w:r>
          </w:p>
        </w:tc>
      </w:tr>
      <w:tr>
        <w:trPr>
          <w:trHeight w:val="223"/>
        </w:trPr>
        <w:tc>
          <w:tcPr>
            <w:tcW w:w="64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b w:val="1"/>
                <w:bCs w:val="1"/>
                <w:color w:val="auto"/>
              </w:rPr>
              <w:t>September 30, 2024</w:t>
            </w:r>
          </w:p>
        </w:tc>
        <w:tc>
          <w:tcPr>
            <w:tcW w:w="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June 30, 2024</w:t>
            </w:r>
          </w:p>
        </w:tc>
      </w:tr>
      <w:tr>
        <w:trPr>
          <w:trHeight w:val="233"/>
        </w:trPr>
        <w:tc>
          <w:tcPr>
            <w:tcW w:w="6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80" w:type="dxa"/>
            <w:vAlign w:val="bottom"/>
            <w:gridSpan w:val="3"/>
          </w:tcPr>
          <w:p>
            <w:pPr>
              <w:jc w:val="right"/>
              <w:ind w:right="50"/>
              <w:spacing w:after="0"/>
              <w:rPr>
                <w:sz w:val="20"/>
                <w:szCs w:val="20"/>
                <w:color w:val="auto"/>
              </w:rPr>
            </w:pPr>
            <w:r>
              <w:rPr>
                <w:rFonts w:ascii="Arial" w:cs="Arial" w:eastAsia="Arial" w:hAnsi="Arial"/>
                <w:sz w:val="14"/>
                <w:szCs w:val="14"/>
                <w:color w:val="auto"/>
              </w:rPr>
              <w:t>(in millions)</w:t>
            </w:r>
          </w:p>
        </w:tc>
        <w:tc>
          <w:tcPr>
            <w:tcW w:w="1880" w:type="dxa"/>
            <w:vAlign w:val="bottom"/>
          </w:tcPr>
          <w:p>
            <w:pPr>
              <w:spacing w:after="0"/>
              <w:rPr>
                <w:sz w:val="20"/>
                <w:szCs w:val="20"/>
                <w:color w:val="auto"/>
              </w:rPr>
            </w:pPr>
          </w:p>
        </w:tc>
      </w:tr>
      <w:tr>
        <w:trPr>
          <w:trHeight w:val="233"/>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20" w:type="dxa"/>
            <w:vAlign w:val="bottom"/>
            <w:shd w:val="clear" w:color="auto" w:fill="CCEEFF"/>
          </w:tcPr>
          <w:p>
            <w:pPr>
              <w:spacing w:after="0"/>
              <w:rPr>
                <w:sz w:val="20"/>
                <w:szCs w:val="20"/>
                <w:color w:val="auto"/>
              </w:rPr>
            </w:pPr>
          </w:p>
        </w:tc>
        <w:tc>
          <w:tcPr>
            <w:tcW w:w="2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880" w:type="dxa"/>
            <w:vAlign w:val="bottom"/>
            <w:shd w:val="clear" w:color="auto" w:fill="CCEEFF"/>
          </w:tcPr>
          <w:p>
            <w:pPr>
              <w:spacing w:after="0"/>
              <w:rPr>
                <w:sz w:val="20"/>
                <w:szCs w:val="20"/>
                <w:color w:val="auto"/>
              </w:rPr>
            </w:pPr>
          </w:p>
        </w:tc>
      </w:tr>
      <w:tr>
        <w:trPr>
          <w:trHeight w:val="230"/>
        </w:trPr>
        <w:tc>
          <w:tcPr>
            <w:tcW w:w="6460" w:type="dxa"/>
            <w:vAlign w:val="bottom"/>
          </w:tcPr>
          <w:p>
            <w:pPr>
              <w:ind w:left="20"/>
              <w:spacing w:after="0"/>
              <w:rPr>
                <w:sz w:val="20"/>
                <w:szCs w:val="20"/>
                <w:color w:val="auto"/>
              </w:rPr>
            </w:pPr>
            <w:r>
              <w:rPr>
                <w:rFonts w:ascii="Arial" w:cs="Arial" w:eastAsia="Arial" w:hAnsi="Arial"/>
                <w:sz w:val="18"/>
                <w:szCs w:val="18"/>
                <w:color w:val="auto"/>
              </w:rPr>
              <w:t>Energy operating costs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12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29"/>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Gas processing costs</w:t>
            </w:r>
          </w:p>
        </w:tc>
        <w:tc>
          <w:tcPr>
            <w:tcW w:w="22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6460" w:type="dxa"/>
            <w:vAlign w:val="bottom"/>
          </w:tcPr>
          <w:p>
            <w:pPr>
              <w:ind w:left="20"/>
              <w:spacing w:after="0"/>
              <w:rPr>
                <w:sz w:val="20"/>
                <w:szCs w:val="20"/>
                <w:color w:val="auto"/>
              </w:rPr>
            </w:pPr>
            <w:r>
              <w:rPr>
                <w:rFonts w:ascii="Arial" w:cs="Arial" w:eastAsia="Arial" w:hAnsi="Arial"/>
                <w:sz w:val="18"/>
                <w:szCs w:val="18"/>
                <w:color w:val="auto"/>
              </w:rPr>
              <w:t>Non-energy operating costs</w:t>
            </w:r>
          </w:p>
        </w:tc>
        <w:tc>
          <w:tcPr>
            <w:tcW w:w="22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29"/>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22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29"/>
        </w:trPr>
        <w:tc>
          <w:tcPr>
            <w:tcW w:w="6460" w:type="dxa"/>
            <w:vAlign w:val="bottom"/>
          </w:tcPr>
          <w:p>
            <w:pPr>
              <w:ind w:left="20"/>
              <w:spacing w:after="0"/>
              <w:rPr>
                <w:sz w:val="20"/>
                <w:szCs w:val="20"/>
                <w:color w:val="auto"/>
              </w:rPr>
            </w:pPr>
            <w:r>
              <w:rPr>
                <w:rFonts w:ascii="Arial" w:cs="Arial" w:eastAsia="Arial" w:hAnsi="Arial"/>
                <w:sz w:val="18"/>
                <w:szCs w:val="18"/>
                <w:color w:val="auto"/>
              </w:rPr>
              <w:t>Depreciation, depletion and amortization</w:t>
            </w:r>
          </w:p>
        </w:tc>
        <w:tc>
          <w:tcPr>
            <w:tcW w:w="22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30"/>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 impairment</w:t>
            </w:r>
          </w:p>
        </w:tc>
        <w:tc>
          <w:tcPr>
            <w:tcW w:w="220" w:type="dxa"/>
            <w:vAlign w:val="bottom"/>
            <w:shd w:val="clear" w:color="auto" w:fill="CCEEFF"/>
          </w:tcPr>
          <w:p>
            <w:pPr>
              <w:spacing w:after="0"/>
              <w:rPr>
                <w:sz w:val="19"/>
                <w:szCs w:val="19"/>
                <w:color w:val="auto"/>
              </w:rPr>
            </w:pPr>
          </w:p>
        </w:tc>
        <w:tc>
          <w:tcPr>
            <w:tcW w:w="2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29"/>
        </w:trPr>
        <w:tc>
          <w:tcPr>
            <w:tcW w:w="6460" w:type="dxa"/>
            <w:vAlign w:val="bottom"/>
          </w:tcPr>
          <w:p>
            <w:pPr>
              <w:ind w:left="20"/>
              <w:spacing w:after="0"/>
              <w:rPr>
                <w:sz w:val="20"/>
                <w:szCs w:val="20"/>
                <w:color w:val="auto"/>
              </w:rPr>
            </w:pPr>
            <w:r>
              <w:rPr>
                <w:rFonts w:ascii="Arial" w:cs="Arial" w:eastAsia="Arial" w:hAnsi="Arial"/>
                <w:sz w:val="18"/>
                <w:szCs w:val="18"/>
                <w:color w:val="auto"/>
              </w:rPr>
              <w:t>Taxes other than on income</w:t>
            </w:r>
          </w:p>
        </w:tc>
        <w:tc>
          <w:tcPr>
            <w:tcW w:w="22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29"/>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Exploration expense</w:t>
            </w:r>
          </w:p>
        </w:tc>
        <w:tc>
          <w:tcPr>
            <w:tcW w:w="22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460" w:type="dxa"/>
            <w:vAlign w:val="bottom"/>
          </w:tcPr>
          <w:p>
            <w:pPr>
              <w:ind w:left="20"/>
              <w:spacing w:after="0"/>
              <w:rPr>
                <w:sz w:val="20"/>
                <w:szCs w:val="20"/>
                <w:color w:val="auto"/>
              </w:rPr>
            </w:pPr>
            <w:r>
              <w:rPr>
                <w:rFonts w:ascii="Arial" w:cs="Arial" w:eastAsia="Arial" w:hAnsi="Arial"/>
                <w:sz w:val="18"/>
                <w:szCs w:val="18"/>
                <w:color w:val="auto"/>
              </w:rPr>
              <w:t>Costs related to marketing of purchased commodities</w:t>
            </w:r>
          </w:p>
        </w:tc>
        <w:tc>
          <w:tcPr>
            <w:tcW w:w="22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29"/>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Electricity generation expenses</w:t>
            </w:r>
          </w:p>
        </w:tc>
        <w:tc>
          <w:tcPr>
            <w:tcW w:w="22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6460" w:type="dxa"/>
            <w:vAlign w:val="bottom"/>
          </w:tcPr>
          <w:p>
            <w:pPr>
              <w:ind w:left="20"/>
              <w:spacing w:after="0"/>
              <w:rPr>
                <w:sz w:val="20"/>
                <w:szCs w:val="20"/>
                <w:color w:val="auto"/>
              </w:rPr>
            </w:pPr>
            <w:r>
              <w:rPr>
                <w:rFonts w:ascii="Arial" w:cs="Arial" w:eastAsia="Arial" w:hAnsi="Arial"/>
                <w:sz w:val="18"/>
                <w:szCs w:val="18"/>
                <w:color w:val="auto"/>
              </w:rPr>
              <w:t>Transportation costs</w:t>
            </w:r>
          </w:p>
        </w:tc>
        <w:tc>
          <w:tcPr>
            <w:tcW w:w="22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29"/>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Accretion expense</w:t>
            </w:r>
          </w:p>
        </w:tc>
        <w:tc>
          <w:tcPr>
            <w:tcW w:w="22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29"/>
        </w:trPr>
        <w:tc>
          <w:tcPr>
            <w:tcW w:w="6460" w:type="dxa"/>
            <w:vAlign w:val="bottom"/>
          </w:tcPr>
          <w:p>
            <w:pPr>
              <w:ind w:left="20"/>
              <w:spacing w:after="0"/>
              <w:rPr>
                <w:sz w:val="20"/>
                <w:szCs w:val="20"/>
                <w:color w:val="auto"/>
              </w:rPr>
            </w:pPr>
            <w:r>
              <w:rPr>
                <w:rFonts w:ascii="Arial" w:cs="Arial" w:eastAsia="Arial" w:hAnsi="Arial"/>
                <w:sz w:val="18"/>
                <w:szCs w:val="18"/>
                <w:color w:val="auto"/>
              </w:rPr>
              <w:t>Carbon management business expenses</w:t>
            </w:r>
          </w:p>
        </w:tc>
        <w:tc>
          <w:tcPr>
            <w:tcW w:w="22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operating expenses, net</w:t>
            </w:r>
          </w:p>
        </w:tc>
        <w:tc>
          <w:tcPr>
            <w:tcW w:w="220" w:type="dxa"/>
            <w:vAlign w:val="bottom"/>
            <w:tcBorders>
              <w:bottom w:val="single" w:sz="8" w:color="auto"/>
            </w:tcBorders>
            <w:shd w:val="clear" w:color="auto" w:fill="CCEEFF"/>
          </w:tcPr>
          <w:p>
            <w:pPr>
              <w:spacing w:after="0"/>
              <w:rPr>
                <w:sz w:val="19"/>
                <w:szCs w:val="19"/>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23"/>
        </w:trPr>
        <w:tc>
          <w:tcPr>
            <w:tcW w:w="64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w:t>
            </w:r>
          </w:p>
        </w:tc>
      </w:tr>
      <w:tr>
        <w:trPr>
          <w:trHeight w:val="223"/>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asset divestitures</w:t>
            </w:r>
          </w:p>
        </w:tc>
        <w:tc>
          <w:tcPr>
            <w:tcW w:w="220" w:type="dxa"/>
            <w:vAlign w:val="bottom"/>
            <w:tcBorders>
              <w:bottom w:val="single" w:sz="8" w:color="auto"/>
            </w:tcBorders>
            <w:shd w:val="clear" w:color="auto" w:fill="CCEEFF"/>
          </w:tcPr>
          <w:p>
            <w:pPr>
              <w:spacing w:after="0"/>
              <w:rPr>
                <w:sz w:val="19"/>
                <w:szCs w:val="19"/>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64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Operating income</w:t>
            </w:r>
          </w:p>
        </w:tc>
        <w:tc>
          <w:tcPr>
            <w:tcW w:w="22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r>
      <w:tr>
        <w:trPr>
          <w:trHeight w:val="237"/>
        </w:trPr>
        <w:tc>
          <w:tcPr>
            <w:tcW w:w="64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880" w:type="dxa"/>
            <w:vAlign w:val="bottom"/>
            <w:shd w:val="clear" w:color="auto" w:fill="CCEEFF"/>
          </w:tcPr>
          <w:p>
            <w:pPr>
              <w:spacing w:after="0"/>
              <w:rPr>
                <w:sz w:val="20"/>
                <w:szCs w:val="20"/>
                <w:color w:val="auto"/>
              </w:rPr>
            </w:pPr>
          </w:p>
        </w:tc>
      </w:tr>
      <w:tr>
        <w:trPr>
          <w:trHeight w:val="230"/>
        </w:trPr>
        <w:tc>
          <w:tcPr>
            <w:tcW w:w="6460" w:type="dxa"/>
            <w:vAlign w:val="bottom"/>
          </w:tcPr>
          <w:p>
            <w:pPr>
              <w:ind w:left="20"/>
              <w:spacing w:after="0"/>
              <w:rPr>
                <w:sz w:val="20"/>
                <w:szCs w:val="20"/>
                <w:color w:val="auto"/>
              </w:rPr>
            </w:pPr>
            <w:r>
              <w:rPr>
                <w:rFonts w:ascii="Arial" w:cs="Arial" w:eastAsia="Arial" w:hAnsi="Arial"/>
                <w:sz w:val="18"/>
                <w:szCs w:val="18"/>
                <w:b w:val="1"/>
                <w:bCs w:val="1"/>
                <w:color w:val="auto"/>
              </w:rPr>
              <w:t>Non-operating (expenses) income</w:t>
            </w:r>
          </w:p>
        </w:tc>
        <w:tc>
          <w:tcPr>
            <w:tcW w:w="2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30"/>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and debt expense</w:t>
            </w:r>
          </w:p>
        </w:tc>
        <w:tc>
          <w:tcPr>
            <w:tcW w:w="22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6460" w:type="dxa"/>
            <w:vAlign w:val="bottom"/>
          </w:tcPr>
          <w:p>
            <w:pPr>
              <w:ind w:left="20"/>
              <w:spacing w:after="0"/>
              <w:rPr>
                <w:sz w:val="20"/>
                <w:szCs w:val="20"/>
                <w:color w:val="auto"/>
              </w:rPr>
            </w:pPr>
            <w:r>
              <w:rPr>
                <w:rFonts w:ascii="Arial" w:cs="Arial" w:eastAsia="Arial" w:hAnsi="Arial"/>
                <w:sz w:val="18"/>
                <w:szCs w:val="18"/>
                <w:color w:val="auto"/>
              </w:rPr>
              <w:t>Loss on early extinguishment of debt</w:t>
            </w:r>
          </w:p>
        </w:tc>
        <w:tc>
          <w:tcPr>
            <w:tcW w:w="22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investment in unconsolidated subsidiary</w:t>
            </w:r>
          </w:p>
        </w:tc>
        <w:tc>
          <w:tcPr>
            <w:tcW w:w="22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non-operating (expenses) income</w:t>
            </w:r>
          </w:p>
        </w:tc>
        <w:tc>
          <w:tcPr>
            <w:tcW w:w="22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64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Income before income taxes</w:t>
            </w:r>
          </w:p>
        </w:tc>
        <w:tc>
          <w:tcPr>
            <w:tcW w:w="22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provision</w:t>
            </w:r>
          </w:p>
        </w:tc>
        <w:tc>
          <w:tcPr>
            <w:tcW w:w="22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48"/>
        </w:trPr>
        <w:tc>
          <w:tcPr>
            <w:tcW w:w="64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Net income (loss)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b w:val="1"/>
          <w:bCs w:val="1"/>
          <w:i w:val="1"/>
          <w:iCs w:val="1"/>
          <w:color w:val="auto"/>
        </w:rPr>
        <w:t xml:space="preserve">Energy operating costs </w:t>
      </w:r>
      <w:r>
        <w:rPr>
          <w:rFonts w:ascii="Arial" w:cs="Arial" w:eastAsia="Arial" w:hAnsi="Arial"/>
          <w:sz w:val="18"/>
          <w:szCs w:val="18"/>
          <w:color w:val="auto"/>
        </w:rPr>
        <w:t>— Energy operating costs for the three months ended September 30, 2024 were $92 million, which was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increase of $51 million from $41 million for the three months ended June 30, 2024. This increase was primarily due to additional energy costs and purchase injectant used in the operation of the Aera fields. Our energy operating costs for the three months ended September 30, 2024 include $ 45 million related to Aera's fields following the completion of the Aera Merger on July 1, 2024. Excluding Aera, energy operating costs for the three months ended September 30, 2024 were higher than the three months ended June 30, 2024 as the result of higher natural gas prices. For more information on natural gas market prices, see </w:t>
      </w:r>
      <w:r>
        <w:rPr>
          <w:rFonts w:ascii="Arial" w:cs="Arial" w:eastAsia="Arial" w:hAnsi="Arial"/>
          <w:sz w:val="18"/>
          <w:szCs w:val="18"/>
          <w:i w:val="1"/>
          <w:iCs w:val="1"/>
          <w:color w:val="auto"/>
        </w:rPr>
        <w:t>Prices and Realizations</w:t>
      </w:r>
      <w:r>
        <w:rPr>
          <w:rFonts w:ascii="Arial" w:cs="Arial" w:eastAsia="Arial" w:hAnsi="Arial"/>
          <w:sz w:val="18"/>
          <w:szCs w:val="18"/>
          <w:color w:val="auto"/>
        </w:rPr>
        <w:t xml:space="preserve"> above.</w:t>
      </w:r>
    </w:p>
    <w:p>
      <w:pPr>
        <w:spacing w:after="0" w:line="209"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b w:val="1"/>
          <w:bCs w:val="1"/>
          <w:i w:val="1"/>
          <w:iCs w:val="1"/>
          <w:color w:val="auto"/>
        </w:rPr>
        <w:t xml:space="preserve">Non-energy operating costs </w:t>
      </w:r>
      <w:r>
        <w:rPr>
          <w:rFonts w:ascii="Arial" w:cs="Arial" w:eastAsia="Arial" w:hAnsi="Arial"/>
          <w:sz w:val="18"/>
          <w:szCs w:val="18"/>
          <w:color w:val="auto"/>
        </w:rPr>
        <w:t>— Non-energy operating costs for the three months ended September 30, 2024 were $214 million,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was an increase of $102 million from $112 million for the three months ended June 30, 2024. The increase was predominately a result of the operation of the Aera fields after the Aera Merger. Our non-energy operating costs for the three months ended September 30, 2024 include $99 million related to Aera's fields following the completion of the Aera Merger on July 1, 2024. Excluding Aera, non-energy operating costs increased in the three months ended September 30, 2024 compared to the three months ended June 30, 2024 due to additional spending on downhole and surface maintenance.</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48" w:name="page49"/>
    <w:bookmarkEnd w:id="48"/>
    <w:p>
      <w:pPr>
        <w:ind w:right="80" w:firstLine="324"/>
        <w:spacing w:after="0" w:line="262" w:lineRule="auto"/>
        <w:rPr>
          <w:sz w:val="20"/>
          <w:szCs w:val="20"/>
          <w:color w:val="auto"/>
        </w:rPr>
      </w:pPr>
      <w:r>
        <w:rPr>
          <w:rFonts w:ascii="Arial" w:cs="Arial" w:eastAsia="Arial" w:hAnsi="Arial"/>
          <w:sz w:val="18"/>
          <w:szCs w:val="18"/>
          <w:b w:val="1"/>
          <w:bCs w:val="1"/>
          <w:i w:val="1"/>
          <w:iCs w:val="1"/>
          <w:color w:val="auto"/>
        </w:rPr>
        <w:t xml:space="preserve">General and administrative expenses </w:t>
      </w:r>
      <w:r>
        <w:rPr>
          <w:rFonts w:ascii="Arial" w:cs="Arial" w:eastAsia="Arial" w:hAnsi="Arial"/>
          <w:sz w:val="18"/>
          <w:szCs w:val="18"/>
          <w:color w:val="auto"/>
        </w:rPr>
        <w:t>— General and administrative (G&amp;A) expenses were $106 million for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30, 2024 compared to $63 million for the three months ended June 30, 2024. The increase was primarily a result of an additional $46 million related to Aera for the period from July 1, 2024 through September 30, 2024. Excluding Aera, G&amp;A costs were slightly lower in the three months ended September 30, 2024 compared to the three months ended June 30, 2024.</w:t>
      </w:r>
    </w:p>
    <w:p>
      <w:pPr>
        <w:spacing w:after="0" w:line="203" w:lineRule="exact"/>
        <w:rPr>
          <w:sz w:val="20"/>
          <w:szCs w:val="20"/>
          <w:color w:val="auto"/>
        </w:rPr>
      </w:pPr>
    </w:p>
    <w:p>
      <w:pPr>
        <w:ind w:right="260" w:firstLine="324"/>
        <w:spacing w:after="0" w:line="268" w:lineRule="auto"/>
        <w:rPr>
          <w:sz w:val="20"/>
          <w:szCs w:val="20"/>
          <w:color w:val="auto"/>
        </w:rPr>
      </w:pPr>
      <w:r>
        <w:rPr>
          <w:rFonts w:ascii="Arial" w:cs="Arial" w:eastAsia="Arial" w:hAnsi="Arial"/>
          <w:sz w:val="18"/>
          <w:szCs w:val="18"/>
          <w:color w:val="auto"/>
        </w:rPr>
        <w:t>The table below shows G&amp;A expenses for our exploration and production business (in addition to unallocated corporate overhead and other) separately from our carbon management business. The amounts shown for our carbon management business do not include expenses borne by the Carbon TerraVault JV.</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4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580" w:type="dxa"/>
            <w:vAlign w:val="bottom"/>
            <w:tcBorders>
              <w:bottom w:val="single" w:sz="8" w:color="auto"/>
            </w:tcBorders>
            <w:gridSpan w:val="4"/>
          </w:tcPr>
          <w:p>
            <w:pPr>
              <w:jc w:val="right"/>
              <w:ind w:right="1430"/>
              <w:spacing w:after="0"/>
              <w:rPr>
                <w:sz w:val="20"/>
                <w:szCs w:val="20"/>
                <w:color w:val="auto"/>
              </w:rPr>
            </w:pPr>
            <w:r>
              <w:rPr>
                <w:rFonts w:ascii="Arial" w:cs="Arial" w:eastAsia="Arial" w:hAnsi="Arial"/>
                <w:sz w:val="18"/>
                <w:szCs w:val="18"/>
                <w:b w:val="1"/>
                <w:bCs w:val="1"/>
                <w:color w:val="auto"/>
              </w:rPr>
              <w:t>Three months ended</w:t>
            </w:r>
          </w:p>
        </w:tc>
      </w:tr>
      <w:tr>
        <w:trPr>
          <w:trHeight w:val="223"/>
        </w:trPr>
        <w:tc>
          <w:tcPr>
            <w:tcW w:w="64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September 30, 2024</w:t>
            </w:r>
          </w:p>
        </w:tc>
        <w:tc>
          <w:tcPr>
            <w:tcW w:w="44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June 30, 2024</w:t>
            </w:r>
          </w:p>
        </w:tc>
      </w:tr>
      <w:tr>
        <w:trPr>
          <w:trHeight w:val="192"/>
        </w:trPr>
        <w:tc>
          <w:tcPr>
            <w:tcW w:w="6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80" w:type="dxa"/>
            <w:vAlign w:val="bottom"/>
            <w:gridSpan w:val="3"/>
          </w:tcPr>
          <w:p>
            <w:pPr>
              <w:jc w:val="right"/>
              <w:ind w:right="50"/>
              <w:spacing w:after="0"/>
              <w:rPr>
                <w:sz w:val="20"/>
                <w:szCs w:val="20"/>
                <w:color w:val="auto"/>
              </w:rPr>
            </w:pPr>
            <w:r>
              <w:rPr>
                <w:rFonts w:ascii="Arial" w:cs="Arial" w:eastAsia="Arial" w:hAnsi="Arial"/>
                <w:sz w:val="14"/>
                <w:szCs w:val="14"/>
                <w:color w:val="auto"/>
              </w:rPr>
              <w:t>(in millions)</w:t>
            </w:r>
          </w:p>
        </w:tc>
        <w:tc>
          <w:tcPr>
            <w:tcW w:w="1900" w:type="dxa"/>
            <w:vAlign w:val="bottom"/>
          </w:tcPr>
          <w:p>
            <w:pPr>
              <w:spacing w:after="0"/>
              <w:rPr>
                <w:sz w:val="16"/>
                <w:szCs w:val="16"/>
                <w:color w:val="auto"/>
              </w:rPr>
            </w:pPr>
          </w:p>
        </w:tc>
      </w:tr>
      <w:tr>
        <w:trPr>
          <w:trHeight w:val="233"/>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Exploration and production, corporate and other</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30"/>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Carbon management business</w:t>
            </w:r>
          </w:p>
        </w:tc>
        <w:tc>
          <w:tcPr>
            <w:tcW w:w="22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48"/>
        </w:trPr>
        <w:tc>
          <w:tcPr>
            <w:tcW w:w="6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general and administrative expenses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40" w:firstLine="324"/>
        <w:spacing w:after="0" w:line="268" w:lineRule="auto"/>
        <w:rPr>
          <w:sz w:val="20"/>
          <w:szCs w:val="20"/>
          <w:color w:val="auto"/>
        </w:rPr>
      </w:pPr>
      <w:r>
        <w:rPr>
          <w:rFonts w:ascii="Arial" w:cs="Arial" w:eastAsia="Arial" w:hAnsi="Arial"/>
          <w:sz w:val="18"/>
          <w:szCs w:val="18"/>
          <w:b w:val="1"/>
          <w:bCs w:val="1"/>
          <w:color w:val="auto"/>
        </w:rPr>
        <w:t xml:space="preserve">Depreciation, depletion and amortization </w:t>
      </w:r>
      <w:r>
        <w:rPr>
          <w:rFonts w:ascii="Arial" w:cs="Arial" w:eastAsia="Arial" w:hAnsi="Arial"/>
          <w:sz w:val="18"/>
          <w:szCs w:val="18"/>
          <w:color w:val="auto"/>
        </w:rPr>
        <w:t>— Depreciation, depletion and amortization for the three months ended September 30, 2024</w:t>
      </w:r>
      <w:r>
        <w:rPr>
          <w:rFonts w:ascii="Arial" w:cs="Arial" w:eastAsia="Arial" w:hAnsi="Arial"/>
          <w:sz w:val="18"/>
          <w:szCs w:val="18"/>
          <w:b w:val="1"/>
          <w:bCs w:val="1"/>
          <w:color w:val="auto"/>
        </w:rPr>
        <w:t xml:space="preserve"> </w:t>
      </w:r>
      <w:r>
        <w:rPr>
          <w:rFonts w:ascii="Arial" w:cs="Arial" w:eastAsia="Arial" w:hAnsi="Arial"/>
          <w:sz w:val="18"/>
          <w:szCs w:val="18"/>
          <w:color w:val="auto"/>
        </w:rPr>
        <w:t>was $ 140 million compared to $53 million during the three months ended June 30, 2024. The increase was the result of a higher carrying value of our property, plant and equipment after the Aera Merger.</w:t>
      </w:r>
    </w:p>
    <w:p>
      <w:pPr>
        <w:spacing w:after="0" w:line="198" w:lineRule="exact"/>
        <w:rPr>
          <w:sz w:val="20"/>
          <w:szCs w:val="20"/>
          <w:color w:val="auto"/>
        </w:rPr>
      </w:pPr>
    </w:p>
    <w:p>
      <w:pPr>
        <w:ind w:right="260" w:firstLine="324"/>
        <w:spacing w:after="0" w:line="268" w:lineRule="auto"/>
        <w:rPr>
          <w:sz w:val="20"/>
          <w:szCs w:val="20"/>
          <w:color w:val="auto"/>
        </w:rPr>
      </w:pPr>
      <w:r>
        <w:rPr>
          <w:rFonts w:ascii="Arial" w:cs="Arial" w:eastAsia="Arial" w:hAnsi="Arial"/>
          <w:sz w:val="18"/>
          <w:szCs w:val="18"/>
          <w:b w:val="1"/>
          <w:bCs w:val="1"/>
          <w:i w:val="1"/>
          <w:iCs w:val="1"/>
          <w:color w:val="auto"/>
        </w:rPr>
        <w:t xml:space="preserve">Asset impairments </w:t>
      </w:r>
      <w:r>
        <w:rPr>
          <w:rFonts w:ascii="Arial" w:cs="Arial" w:eastAsia="Arial" w:hAnsi="Arial"/>
          <w:sz w:val="18"/>
          <w:szCs w:val="18"/>
          <w:color w:val="auto"/>
        </w:rPr>
        <w:t>— We did not recognize an asset impairment for the three months ended September 30, 2024. During the three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June 30, 2024, we recognized a $13 million asset impairment for excess and obsolete materials and supplies related to our oilfield operations.</w:t>
      </w:r>
    </w:p>
    <w:p>
      <w:pPr>
        <w:spacing w:after="0" w:line="198"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b w:val="1"/>
          <w:bCs w:val="1"/>
          <w:i w:val="1"/>
          <w:iCs w:val="1"/>
          <w:color w:val="auto"/>
        </w:rPr>
        <w:t xml:space="preserve">Taxes other than on income </w:t>
      </w:r>
      <w:r>
        <w:rPr>
          <w:rFonts w:ascii="Arial" w:cs="Arial" w:eastAsia="Arial" w:hAnsi="Arial"/>
          <w:sz w:val="18"/>
          <w:szCs w:val="18"/>
          <w:color w:val="auto"/>
        </w:rPr>
        <w:t>— Taxes other than on income for the three months ended September 30, 2024 were $85 million, which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 increase of $46 million from $39 million for the three months ended June 30, 2024. This increase was due to higher production taxes, ad valorem taxes and greenhouse gas expense related to acquiring Aera's operations. Excluding Aera, taxes other than income for the three months ended September 30, 2024 increased from the three months ended June 30, 2024 primarily due to higher greenhouse gas expense, partially offset by lower ad valorem taxes.</w:t>
      </w:r>
    </w:p>
    <w:p>
      <w:pPr>
        <w:spacing w:after="0" w:line="206" w:lineRule="exact"/>
        <w:rPr>
          <w:sz w:val="20"/>
          <w:szCs w:val="20"/>
          <w:color w:val="auto"/>
        </w:rPr>
      </w:pPr>
    </w:p>
    <w:p>
      <w:pPr>
        <w:jc w:val="both"/>
        <w:ind w:right="100" w:firstLine="324"/>
        <w:spacing w:after="0" w:line="268" w:lineRule="auto"/>
        <w:rPr>
          <w:sz w:val="20"/>
          <w:szCs w:val="20"/>
          <w:color w:val="auto"/>
        </w:rPr>
      </w:pPr>
      <w:r>
        <w:rPr>
          <w:rFonts w:ascii="Arial" w:cs="Arial" w:eastAsia="Arial" w:hAnsi="Arial"/>
          <w:sz w:val="18"/>
          <w:szCs w:val="18"/>
          <w:b w:val="1"/>
          <w:bCs w:val="1"/>
          <w:i w:val="1"/>
          <w:iCs w:val="1"/>
          <w:color w:val="auto"/>
        </w:rPr>
        <w:t xml:space="preserve">Accretion expense </w:t>
      </w:r>
      <w:r>
        <w:rPr>
          <w:rFonts w:ascii="Arial" w:cs="Arial" w:eastAsia="Arial" w:hAnsi="Arial"/>
          <w:sz w:val="18"/>
          <w:szCs w:val="18"/>
          <w:color w:val="auto"/>
        </w:rPr>
        <w:t>— Accretion expense for the three months ended September 30, 2024 was $31 million compared to $13 million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three months ended June 30, 2024. The increase was primarily due to the addition of Aera's asset retirement liability assumed as of July 1, 2024 as part of the Aera Merger.</w:t>
      </w:r>
    </w:p>
    <w:p>
      <w:pPr>
        <w:spacing w:after="0" w:line="198"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b w:val="1"/>
          <w:bCs w:val="1"/>
          <w:i w:val="1"/>
          <w:iCs w:val="1"/>
          <w:color w:val="auto"/>
        </w:rPr>
        <w:t xml:space="preserve">Other operating expenses, net </w:t>
      </w:r>
      <w:r>
        <w:rPr>
          <w:rFonts w:ascii="Arial" w:cs="Arial" w:eastAsia="Arial" w:hAnsi="Arial"/>
          <w:sz w:val="18"/>
          <w:szCs w:val="18"/>
          <w:color w:val="auto"/>
        </w:rPr>
        <w:t>— Other operating expenses, net increased $22 million to $73 million for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30, 2024 compared to $51 million for the three months ended June 30, 2024. The increase was predominantly due to transaction costs, including success-based fees, related to the Aera Merger and severance expense in the three months ended September 30, 2024. These increases were partially offset by lower costs related to energy purchased due to fewer days of Elk Hills power plant downtime during the three months ended September 30, 2024.</w:t>
      </w:r>
    </w:p>
    <w:p>
      <w:pPr>
        <w:spacing w:after="0" w:line="206" w:lineRule="exact"/>
        <w:rPr>
          <w:sz w:val="20"/>
          <w:szCs w:val="20"/>
          <w:color w:val="auto"/>
        </w:rPr>
      </w:pPr>
    </w:p>
    <w:p>
      <w:pPr>
        <w:ind w:right="80" w:firstLine="324"/>
        <w:spacing w:after="0" w:line="287"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 The income tax provision for the three months ended September 30, 2024 was $138 million (representing an effective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tax rate of 29%), compared to a provision of $3 million (representing an effective tax rate of 27%) for the three months ended June 30, 2024.</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i w:val="1"/>
          <w:iCs w:val="1"/>
          <w:u w:val="single" w:color="auto"/>
          <w:color w:val="auto"/>
        </w:rPr>
        <w:t>Nine months ended September 30, 2024 compared to September 30, 2023</w:t>
      </w:r>
    </w:p>
    <w:p>
      <w:pPr>
        <w:spacing w:after="0" w:line="2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our operating revenues for the nine months ended September 30, 2024 and September 30, 2023:</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42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3"/>
          </w:tcPr>
          <w:p>
            <w:pPr>
              <w:jc w:val="right"/>
              <w:ind w:right="190"/>
              <w:spacing w:after="0"/>
              <w:rPr>
                <w:sz w:val="20"/>
                <w:szCs w:val="20"/>
                <w:color w:val="auto"/>
              </w:rPr>
            </w:pPr>
            <w:r>
              <w:rPr>
                <w:rFonts w:ascii="Arial" w:cs="Arial" w:eastAsia="Arial" w:hAnsi="Arial"/>
                <w:sz w:val="18"/>
                <w:szCs w:val="18"/>
                <w:b w:val="1"/>
                <w:bCs w:val="1"/>
                <w:color w:val="auto"/>
              </w:rPr>
              <w:t>Nine months ended</w:t>
            </w:r>
          </w:p>
        </w:tc>
        <w:tc>
          <w:tcPr>
            <w:tcW w:w="800" w:type="dxa"/>
            <w:vAlign w:val="bottom"/>
            <w:tcBorders>
              <w:bottom w:val="single" w:sz="8" w:color="auto"/>
            </w:tcBorders>
          </w:tcPr>
          <w:p>
            <w:pPr>
              <w:spacing w:after="0"/>
              <w:rPr>
                <w:sz w:val="20"/>
                <w:szCs w:val="20"/>
                <w:color w:val="auto"/>
              </w:rPr>
            </w:pPr>
          </w:p>
        </w:tc>
      </w:tr>
      <w:tr>
        <w:trPr>
          <w:trHeight w:val="223"/>
        </w:trPr>
        <w:tc>
          <w:tcPr>
            <w:tcW w:w="7420" w:type="dxa"/>
            <w:vAlign w:val="bottom"/>
          </w:tcPr>
          <w:p>
            <w:pPr>
              <w:spacing w:after="0"/>
              <w:rPr>
                <w:sz w:val="19"/>
                <w:szCs w:val="19"/>
                <w:color w:val="auto"/>
              </w:rPr>
            </w:pPr>
          </w:p>
        </w:tc>
        <w:tc>
          <w:tcPr>
            <w:tcW w:w="1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September 30, 2024</w:t>
            </w:r>
          </w:p>
        </w:tc>
        <w:tc>
          <w:tcPr>
            <w:tcW w:w="100" w:type="dxa"/>
            <w:vAlign w:val="bottom"/>
          </w:tcPr>
          <w:p>
            <w:pPr>
              <w:spacing w:after="0"/>
              <w:rPr>
                <w:sz w:val="19"/>
                <w:szCs w:val="19"/>
                <w:color w:val="auto"/>
              </w:rPr>
            </w:pPr>
          </w:p>
        </w:tc>
        <w:tc>
          <w:tcPr>
            <w:tcW w:w="18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September 30, 2023</w:t>
            </w:r>
          </w:p>
        </w:tc>
      </w:tr>
      <w:tr>
        <w:trPr>
          <w:trHeight w:val="233"/>
        </w:trPr>
        <w:tc>
          <w:tcPr>
            <w:tcW w:w="74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20" w:type="dxa"/>
            <w:vAlign w:val="bottom"/>
            <w:gridSpan w:val="3"/>
          </w:tcPr>
          <w:p>
            <w:pPr>
              <w:jc w:val="right"/>
              <w:ind w:right="650"/>
              <w:spacing w:after="0"/>
              <w:rPr>
                <w:sz w:val="20"/>
                <w:szCs w:val="20"/>
                <w:color w:val="auto"/>
              </w:rPr>
            </w:pPr>
            <w:r>
              <w:rPr>
                <w:rFonts w:ascii="Arial" w:cs="Arial" w:eastAsia="Arial" w:hAnsi="Arial"/>
                <w:sz w:val="14"/>
                <w:szCs w:val="14"/>
                <w:color w:val="auto"/>
              </w:rPr>
              <w:t>(in millions)</w:t>
            </w:r>
          </w:p>
        </w:tc>
        <w:tc>
          <w:tcPr>
            <w:tcW w:w="800" w:type="dxa"/>
            <w:vAlign w:val="bottom"/>
          </w:tcPr>
          <w:p>
            <w:pPr>
              <w:spacing w:after="0"/>
              <w:rPr>
                <w:sz w:val="20"/>
                <w:szCs w:val="20"/>
                <w:color w:val="auto"/>
              </w:rPr>
            </w:pPr>
          </w:p>
        </w:tc>
      </w:tr>
      <w:tr>
        <w:trPr>
          <w:trHeight w:val="233"/>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Oil, natural gas and NGL sales</w:t>
            </w: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1,711</w:t>
            </w: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w:t>
            </w:r>
          </w:p>
        </w:tc>
      </w:tr>
      <w:tr>
        <w:trPr>
          <w:trHeight w:val="230"/>
        </w:trPr>
        <w:tc>
          <w:tcPr>
            <w:tcW w:w="7420" w:type="dxa"/>
            <w:vAlign w:val="bottom"/>
          </w:tcPr>
          <w:p>
            <w:pPr>
              <w:ind w:left="20"/>
              <w:spacing w:after="0"/>
              <w:rPr>
                <w:sz w:val="20"/>
                <w:szCs w:val="20"/>
                <w:color w:val="auto"/>
              </w:rPr>
            </w:pPr>
            <w:r>
              <w:rPr>
                <w:rFonts w:ascii="Arial" w:cs="Arial" w:eastAsia="Arial" w:hAnsi="Arial"/>
                <w:sz w:val="18"/>
                <w:szCs w:val="18"/>
                <w:color w:val="auto"/>
              </w:rPr>
              <w:t>Net gain (loss) from commodity derivatives</w:t>
            </w:r>
          </w:p>
        </w:tc>
        <w:tc>
          <w:tcPr>
            <w:tcW w:w="6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29"/>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from marketing of purchased commodities</w:t>
            </w:r>
          </w:p>
        </w:tc>
        <w:tc>
          <w:tcPr>
            <w:tcW w:w="6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r>
      <w:tr>
        <w:trPr>
          <w:trHeight w:val="230"/>
        </w:trPr>
        <w:tc>
          <w:tcPr>
            <w:tcW w:w="7420" w:type="dxa"/>
            <w:vAlign w:val="bottom"/>
          </w:tcPr>
          <w:p>
            <w:pPr>
              <w:ind w:left="20"/>
              <w:spacing w:after="0"/>
              <w:rPr>
                <w:sz w:val="20"/>
                <w:szCs w:val="20"/>
                <w:color w:val="auto"/>
              </w:rPr>
            </w:pPr>
            <w:r>
              <w:rPr>
                <w:rFonts w:ascii="Arial" w:cs="Arial" w:eastAsia="Arial" w:hAnsi="Arial"/>
                <w:sz w:val="18"/>
                <w:szCs w:val="18"/>
                <w:color w:val="auto"/>
              </w:rPr>
              <w:t>Electricity sales</w:t>
            </w:r>
          </w:p>
        </w:tc>
        <w:tc>
          <w:tcPr>
            <w:tcW w:w="6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169</w:t>
            </w:r>
          </w:p>
        </w:tc>
      </w:tr>
      <w:tr>
        <w:trPr>
          <w:trHeight w:val="229"/>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revenue</w:t>
            </w:r>
          </w:p>
        </w:tc>
        <w:tc>
          <w:tcPr>
            <w:tcW w:w="6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23"/>
        </w:trPr>
        <w:tc>
          <w:tcPr>
            <w:tcW w:w="7420" w:type="dxa"/>
            <w:vAlign w:val="bottom"/>
          </w:tcPr>
          <w:p>
            <w:pPr>
              <w:ind w:left="240"/>
              <w:spacing w:after="0"/>
              <w:rPr>
                <w:sz w:val="20"/>
                <w:szCs w:val="20"/>
                <w:color w:val="auto"/>
              </w:rPr>
            </w:pPr>
            <w:r>
              <w:rPr>
                <w:rFonts w:ascii="Arial" w:cs="Arial" w:eastAsia="Arial" w:hAnsi="Arial"/>
                <w:sz w:val="18"/>
                <w:szCs w:val="18"/>
                <w:color w:val="auto"/>
              </w:rPr>
              <w:t>Total operating revenues</w:t>
            </w:r>
          </w:p>
        </w:tc>
        <w:tc>
          <w:tcPr>
            <w:tcW w:w="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2,321</w:t>
            </w:r>
          </w:p>
        </w:tc>
        <w:tc>
          <w:tcPr>
            <w:tcW w:w="100" w:type="dxa"/>
            <w:vAlign w:val="bottom"/>
          </w:tcPr>
          <w:p>
            <w:pPr>
              <w:spacing w:after="0"/>
              <w:rPr>
                <w:sz w:val="19"/>
                <w:szCs w:val="19"/>
                <w:color w:val="auto"/>
              </w:rPr>
            </w:pPr>
          </w:p>
        </w:tc>
        <w:tc>
          <w:tcPr>
            <w:tcW w:w="106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2,075</w:t>
            </w:r>
          </w:p>
        </w:tc>
      </w:tr>
      <w:tr>
        <w:trPr>
          <w:trHeight w:val="20"/>
        </w:trPr>
        <w:tc>
          <w:tcPr>
            <w:tcW w:w="74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Oil, natural gas and NGL sales </w:t>
      </w:r>
      <w:r>
        <w:rPr>
          <w:rFonts w:ascii="Arial" w:cs="Arial" w:eastAsia="Arial" w:hAnsi="Arial"/>
          <w:sz w:val="18"/>
          <w:szCs w:val="18"/>
          <w:color w:val="auto"/>
        </w:rPr>
        <w:t>— Oil, natural gas and NGL sales, excluding the effects of cash settlements on our commodity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derivative contracts, were $1,711 million for the nine months ended September 30, 2024, which is an increase of $39 million compared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$1,672 million for the nine months ended September 30, 2023. This increase was predominately a result of additional sales of oil production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from the Aera fields following completion of the Aera Merger on July 1, 2024. The effect of cash settlements on our commodity derivative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contracts are excluded from the table below. The table below includes sales of natural gas we produce which is used by our Elk Hills power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plant.</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94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Oil</w:t>
            </w:r>
          </w:p>
        </w:tc>
        <w:tc>
          <w:tcPr>
            <w:tcW w:w="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NGLs</w:t>
            </w:r>
          </w:p>
        </w:tc>
        <w:tc>
          <w:tcPr>
            <w:tcW w:w="4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8"/>
                <w:szCs w:val="18"/>
                <w:b w:val="1"/>
                <w:bCs w:val="1"/>
                <w:color w:val="auto"/>
              </w:rPr>
              <w:t>Natural Gas</w:t>
            </w:r>
          </w:p>
        </w:tc>
        <w:tc>
          <w:tcPr>
            <w:tcW w:w="80" w:type="dxa"/>
            <w:vAlign w:val="bottom"/>
          </w:tcPr>
          <w:p>
            <w:pPr>
              <w:spacing w:after="0"/>
              <w:rPr>
                <w:sz w:val="20"/>
                <w:szCs w:val="20"/>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Total Operations</w:t>
            </w:r>
          </w:p>
        </w:tc>
      </w:tr>
      <w:tr>
        <w:trPr>
          <w:trHeight w:val="233"/>
        </w:trPr>
        <w:tc>
          <w:tcPr>
            <w:tcW w:w="49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20" w:type="dxa"/>
            <w:vAlign w:val="bottom"/>
            <w:gridSpan w:val="3"/>
          </w:tcPr>
          <w:p>
            <w:pPr>
              <w:jc w:val="right"/>
              <w:ind w:right="270"/>
              <w:spacing w:after="0"/>
              <w:rPr>
                <w:sz w:val="20"/>
                <w:szCs w:val="20"/>
                <w:color w:val="auto"/>
              </w:rPr>
            </w:pPr>
            <w:r>
              <w:rPr>
                <w:rFonts w:ascii="Arial" w:cs="Arial" w:eastAsia="Arial" w:hAnsi="Arial"/>
                <w:sz w:val="14"/>
                <w:szCs w:val="14"/>
                <w:color w:val="auto"/>
              </w:rPr>
              <w:t>(in millions)</w:t>
            </w: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33"/>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Nine months ended September 30, 2023</w:t>
            </w:r>
          </w:p>
        </w:tc>
        <w:tc>
          <w:tcPr>
            <w:tcW w:w="92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w:t>
            </w: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w:t>
            </w:r>
          </w:p>
        </w:tc>
      </w:tr>
      <w:tr>
        <w:trPr>
          <w:trHeight w:val="229"/>
        </w:trPr>
        <w:tc>
          <w:tcPr>
            <w:tcW w:w="4940" w:type="dxa"/>
            <w:vAlign w:val="bottom"/>
          </w:tcPr>
          <w:p>
            <w:pPr>
              <w:ind w:left="20"/>
              <w:spacing w:after="0"/>
              <w:rPr>
                <w:sz w:val="20"/>
                <w:szCs w:val="20"/>
                <w:color w:val="auto"/>
              </w:rPr>
            </w:pPr>
            <w:r>
              <w:rPr>
                <w:rFonts w:ascii="Arial" w:cs="Arial" w:eastAsia="Arial" w:hAnsi="Arial"/>
                <w:sz w:val="18"/>
                <w:szCs w:val="18"/>
                <w:color w:val="auto"/>
              </w:rPr>
              <w:t>Change in realized prices</w:t>
            </w: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(265)</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(279)</w:t>
            </w:r>
          </w:p>
        </w:tc>
      </w:tr>
      <w:tr>
        <w:trPr>
          <w:trHeight w:val="230"/>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production</w:t>
            </w:r>
          </w:p>
        </w:tc>
        <w:tc>
          <w:tcPr>
            <w:tcW w:w="9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w:t>
            </w:r>
          </w:p>
        </w:tc>
      </w:tr>
      <w:tr>
        <w:trPr>
          <w:trHeight w:val="223"/>
        </w:trPr>
        <w:tc>
          <w:tcPr>
            <w:tcW w:w="4940" w:type="dxa"/>
            <w:vAlign w:val="bottom"/>
          </w:tcPr>
          <w:p>
            <w:pPr>
              <w:ind w:left="20"/>
              <w:spacing w:after="0"/>
              <w:rPr>
                <w:sz w:val="20"/>
                <w:szCs w:val="20"/>
                <w:color w:val="auto"/>
              </w:rPr>
            </w:pPr>
            <w:r>
              <w:rPr>
                <w:rFonts w:ascii="Arial" w:cs="Arial" w:eastAsia="Arial" w:hAnsi="Arial"/>
                <w:sz w:val="18"/>
                <w:szCs w:val="18"/>
                <w:color w:val="auto"/>
              </w:rPr>
              <w:t>Nine months ended September 30, 2024</w:t>
            </w:r>
          </w:p>
        </w:tc>
        <w:tc>
          <w:tcPr>
            <w:tcW w:w="9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1,505</w:t>
            </w:r>
          </w:p>
        </w:tc>
        <w:tc>
          <w:tcPr>
            <w:tcW w:w="100" w:type="dxa"/>
            <w:vAlign w:val="bottom"/>
          </w:tcPr>
          <w:p>
            <w:pPr>
              <w:spacing w:after="0"/>
              <w:rPr>
                <w:sz w:val="19"/>
                <w:szCs w:val="19"/>
                <w:color w:val="auto"/>
              </w:rPr>
            </w:pPr>
          </w:p>
        </w:tc>
        <w:tc>
          <w:tcPr>
            <w:tcW w:w="106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9"/>
                <w:szCs w:val="19"/>
                <w:color w:val="auto"/>
              </w:rPr>
            </w:pPr>
          </w:p>
        </w:tc>
        <w:tc>
          <w:tcPr>
            <w:tcW w:w="6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8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1,729</w:t>
            </w:r>
          </w:p>
        </w:tc>
      </w:tr>
      <w:tr>
        <w:trPr>
          <w:trHeight w:val="20"/>
        </w:trPr>
        <w:tc>
          <w:tcPr>
            <w:tcW w:w="49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Note: See </w:t>
      </w:r>
      <w:r>
        <w:rPr>
          <w:rFonts w:ascii="Arial" w:cs="Arial" w:eastAsia="Arial" w:hAnsi="Arial"/>
          <w:sz w:val="14"/>
          <w:szCs w:val="14"/>
          <w:i w:val="1"/>
          <w:iCs w:val="1"/>
          <w:color w:val="auto"/>
        </w:rPr>
        <w:t>Production</w:t>
      </w:r>
      <w:r>
        <w:rPr>
          <w:rFonts w:ascii="Arial" w:cs="Arial" w:eastAsia="Arial" w:hAnsi="Arial"/>
          <w:sz w:val="14"/>
          <w:szCs w:val="14"/>
          <w:color w:val="auto"/>
        </w:rPr>
        <w:t xml:space="preserve"> for volumes by commodity type and </w:t>
      </w:r>
      <w:r>
        <w:rPr>
          <w:rFonts w:ascii="Arial" w:cs="Arial" w:eastAsia="Arial" w:hAnsi="Arial"/>
          <w:sz w:val="14"/>
          <w:szCs w:val="14"/>
          <w:i w:val="1"/>
          <w:iCs w:val="1"/>
          <w:color w:val="auto"/>
        </w:rPr>
        <w:t>Prices and Realizations</w:t>
      </w:r>
      <w:r>
        <w:rPr>
          <w:rFonts w:ascii="Arial" w:cs="Arial" w:eastAsia="Arial" w:hAnsi="Arial"/>
          <w:sz w:val="14"/>
          <w:szCs w:val="14"/>
          <w:color w:val="auto"/>
        </w:rPr>
        <w:t xml:space="preserve"> for index and realized prices for comparative periods.</w:t>
      </w:r>
    </w:p>
    <w:p>
      <w:pPr>
        <w:spacing w:after="0" w:line="248" w:lineRule="exact"/>
        <w:rPr>
          <w:sz w:val="20"/>
          <w:szCs w:val="20"/>
          <w:color w:val="auto"/>
        </w:rPr>
      </w:pPr>
    </w:p>
    <w:p>
      <w:pPr>
        <w:ind w:right="80" w:firstLine="324"/>
        <w:spacing w:after="0" w:line="256" w:lineRule="auto"/>
        <w:rPr>
          <w:sz w:val="20"/>
          <w:szCs w:val="20"/>
          <w:color w:val="auto"/>
        </w:rPr>
      </w:pPr>
      <w:r>
        <w:rPr>
          <w:rFonts w:ascii="Arial" w:cs="Arial" w:eastAsia="Arial" w:hAnsi="Arial"/>
          <w:sz w:val="18"/>
          <w:szCs w:val="18"/>
          <w:b w:val="1"/>
          <w:bCs w:val="1"/>
          <w:i w:val="1"/>
          <w:iCs w:val="1"/>
          <w:color w:val="auto"/>
        </w:rPr>
        <w:t xml:space="preserve">Net gain (loss) from commodity derivatives </w:t>
      </w:r>
      <w:r>
        <w:rPr>
          <w:rFonts w:ascii="Arial" w:cs="Arial" w:eastAsia="Arial" w:hAnsi="Arial"/>
          <w:sz w:val="18"/>
          <w:szCs w:val="18"/>
          <w:color w:val="auto"/>
        </w:rPr>
        <w:t>— Net gain from commodity derivatives was $290 million for the nine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30, 2024 compared to a net loss of $131 million for the nine months ended September 30, 2023. As of July 1, 2024, we recorded a liability of $336 million for Aera's outstanding Brent-based derivative contracts. Due to a decline in forward oil prices between July 1, 2024 and September 30, 2024, we recognized a non-cash commodity derivative gain for these Aera hedges during the nine months ended September 30, 2024. The net gain (loss) from commodity derivatives primarily resulted from changes in the fair value of our outstanding commodity derivatives from the positions held as well as the relationship between contract prices and the associated forward curves at the end of each measurement period.</w:t>
      </w:r>
    </w:p>
    <w:p>
      <w:pPr>
        <w:spacing w:after="0" w:line="210" w:lineRule="exact"/>
        <w:rPr>
          <w:sz w:val="20"/>
          <w:szCs w:val="20"/>
          <w:color w:val="auto"/>
        </w:rPr>
      </w:pPr>
    </w:p>
    <w:p>
      <w:pPr>
        <w:ind w:right="80" w:firstLine="324"/>
        <w:spacing w:after="0" w:line="262" w:lineRule="auto"/>
        <w:rPr>
          <w:sz w:val="20"/>
          <w:szCs w:val="20"/>
          <w:color w:val="auto"/>
        </w:rPr>
      </w:pPr>
      <w:r>
        <w:rPr>
          <w:rFonts w:ascii="Arial" w:cs="Arial" w:eastAsia="Arial" w:hAnsi="Arial"/>
          <w:sz w:val="18"/>
          <w:szCs w:val="18"/>
          <w:color w:val="auto"/>
        </w:rPr>
        <w:t>Payments on commodity derivatives were $35 million for the nine months ended September 30, 2024 compared to payments of $223 million for the nine months ended September 30, 2023. Payments on commodity derivatives for the nine months ended September 30, 2023 included settlements for hedges that were entered into at a lower commodity price due to the requirements of our Revolving Credit Facility at that time.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5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500" w:type="dxa"/>
            <w:vAlign w:val="bottom"/>
            <w:tcBorders>
              <w:bottom w:val="single" w:sz="8" w:color="auto"/>
            </w:tcBorders>
            <w:gridSpan w:val="4"/>
          </w:tcPr>
          <w:p>
            <w:pPr>
              <w:jc w:val="right"/>
              <w:ind w:right="1430"/>
              <w:spacing w:after="0"/>
              <w:rPr>
                <w:sz w:val="20"/>
                <w:szCs w:val="20"/>
                <w:color w:val="auto"/>
              </w:rPr>
            </w:pPr>
            <w:r>
              <w:rPr>
                <w:rFonts w:ascii="Arial" w:cs="Arial" w:eastAsia="Arial" w:hAnsi="Arial"/>
                <w:sz w:val="18"/>
                <w:szCs w:val="18"/>
                <w:b w:val="1"/>
                <w:bCs w:val="1"/>
                <w:color w:val="auto"/>
              </w:rPr>
              <w:t>Nine months ended</w:t>
            </w:r>
          </w:p>
        </w:tc>
      </w:tr>
      <w:tr>
        <w:trPr>
          <w:trHeight w:val="223"/>
        </w:trPr>
        <w:tc>
          <w:tcPr>
            <w:tcW w:w="65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September 30, 2024</w:t>
            </w: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September 30, 2023</w:t>
            </w:r>
          </w:p>
        </w:tc>
      </w:tr>
      <w:tr>
        <w:trPr>
          <w:trHeight w:val="233"/>
        </w:trPr>
        <w:tc>
          <w:tcPr>
            <w:tcW w:w="6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gridSpan w:val="3"/>
          </w:tcPr>
          <w:p>
            <w:pPr>
              <w:ind w:left="1780"/>
              <w:spacing w:after="0"/>
              <w:rPr>
                <w:sz w:val="20"/>
                <w:szCs w:val="20"/>
                <w:color w:val="auto"/>
              </w:rPr>
            </w:pPr>
            <w:r>
              <w:rPr>
                <w:rFonts w:ascii="Arial" w:cs="Arial" w:eastAsia="Arial" w:hAnsi="Arial"/>
                <w:sz w:val="14"/>
                <w:szCs w:val="14"/>
                <w:color w:val="auto"/>
              </w:rPr>
              <w:t>(in millions)</w:t>
            </w:r>
          </w:p>
        </w:tc>
        <w:tc>
          <w:tcPr>
            <w:tcW w:w="1980" w:type="dxa"/>
            <w:vAlign w:val="bottom"/>
          </w:tcPr>
          <w:p>
            <w:pPr>
              <w:spacing w:after="0"/>
              <w:rPr>
                <w:sz w:val="20"/>
                <w:szCs w:val="20"/>
                <w:color w:val="auto"/>
              </w:rPr>
            </w:pPr>
          </w:p>
        </w:tc>
      </w:tr>
      <w:tr>
        <w:trPr>
          <w:trHeight w:val="234"/>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commodity derivative gain</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160" w:type="dxa"/>
            <w:vAlign w:val="bottom"/>
            <w:shd w:val="clear" w:color="auto" w:fill="CCEEFF"/>
          </w:tcPr>
          <w:p>
            <w:pPr>
              <w:ind w:left="1780"/>
              <w:spacing w:after="0"/>
              <w:rPr>
                <w:sz w:val="20"/>
                <w:szCs w:val="20"/>
                <w:color w:val="auto"/>
              </w:rPr>
            </w:pPr>
            <w:r>
              <w:rPr>
                <w:rFonts w:ascii="Arial" w:cs="Arial" w:eastAsia="Arial" w:hAnsi="Arial"/>
                <w:sz w:val="18"/>
                <w:szCs w:val="18"/>
                <w:color w:val="auto"/>
              </w:rPr>
              <w:t>325</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r>
      <w:tr>
        <w:trPr>
          <w:trHeight w:val="229"/>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payments on settled commodity derivatives</w:t>
            </w:r>
          </w:p>
        </w:tc>
        <w:tc>
          <w:tcPr>
            <w:tcW w:w="22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tcPr>
          <w:p>
            <w:pPr>
              <w:ind w:left="1800"/>
              <w:spacing w:after="0"/>
              <w:rPr>
                <w:sz w:val="20"/>
                <w:szCs w:val="20"/>
                <w:color w:val="auto"/>
              </w:rPr>
            </w:pPr>
            <w:r>
              <w:rPr>
                <w:rFonts w:ascii="Arial" w:cs="Arial" w:eastAsia="Arial" w:hAnsi="Arial"/>
                <w:sz w:val="18"/>
                <w:szCs w:val="18"/>
                <w:color w:val="auto"/>
              </w:rPr>
              <w:t>(35)</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w:t>
            </w:r>
          </w:p>
        </w:tc>
      </w:tr>
      <w:tr>
        <w:trPr>
          <w:trHeight w:val="248"/>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gain (loss) from commodity derivatives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160" w:type="dxa"/>
            <w:vAlign w:val="bottom"/>
            <w:tcBorders>
              <w:bottom w:val="single" w:sz="8" w:color="auto"/>
            </w:tcBorders>
            <w:shd w:val="clear" w:color="auto" w:fill="CCEEFF"/>
          </w:tcPr>
          <w:p>
            <w:pPr>
              <w:ind w:left="1780"/>
              <w:spacing w:after="0"/>
              <w:rPr>
                <w:sz w:val="20"/>
                <w:szCs w:val="20"/>
                <w:color w:val="auto"/>
              </w:rPr>
            </w:pPr>
            <w:r>
              <w:rPr>
                <w:rFonts w:ascii="Arial" w:cs="Arial" w:eastAsia="Arial" w:hAnsi="Arial"/>
                <w:sz w:val="18"/>
                <w:szCs w:val="18"/>
                <w:color w:val="auto"/>
              </w:rPr>
              <w:t>290</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50" w:name="page51"/>
    <w:bookmarkEnd w:id="50"/>
    <w:p>
      <w:pPr>
        <w:ind w:right="80" w:firstLine="324"/>
        <w:spacing w:after="0" w:line="257" w:lineRule="auto"/>
        <w:rPr>
          <w:sz w:val="20"/>
          <w:szCs w:val="20"/>
          <w:color w:val="auto"/>
        </w:rPr>
      </w:pPr>
      <w:r>
        <w:rPr>
          <w:rFonts w:ascii="Arial" w:cs="Arial" w:eastAsia="Arial" w:hAnsi="Arial"/>
          <w:sz w:val="18"/>
          <w:szCs w:val="18"/>
          <w:b w:val="1"/>
          <w:bCs w:val="1"/>
          <w:i w:val="1"/>
          <w:iCs w:val="1"/>
          <w:color w:val="auto"/>
        </w:rPr>
        <w:t xml:space="preserve">Revenue from marketing of purchased commodities </w:t>
      </w:r>
      <w:r>
        <w:rPr>
          <w:rFonts w:ascii="Arial" w:cs="Arial" w:eastAsia="Arial" w:hAnsi="Arial"/>
          <w:sz w:val="18"/>
          <w:szCs w:val="18"/>
          <w:color w:val="auto"/>
        </w:rPr>
        <w:t>— Revenue from marketing of purchased commodities was $176 million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nine months ended September 30, 2024, which was a decrease of $ 160 million from $336 million during the nine months ended September 30, 2023. The decrease was primarily the result of lower natural gas prices in 2024 compared to 2023. This decrease was partially offset by higher sales of purchased crude oil used in our marketing activities in 2024 as compared to 2023. Revenue from marketing of purchased commodities net of costs related to marketing of purchased commodities was $36 million for the nine months ended September 30, 2024 compared to $154 million for the nine months ended September 30, 2023.</w:t>
      </w:r>
    </w:p>
    <w:p>
      <w:pPr>
        <w:spacing w:after="0" w:line="209" w:lineRule="exact"/>
        <w:rPr>
          <w:sz w:val="20"/>
          <w:szCs w:val="20"/>
          <w:color w:val="auto"/>
        </w:rPr>
      </w:pPr>
    </w:p>
    <w:p>
      <w:pPr>
        <w:ind w:right="60" w:firstLine="324"/>
        <w:spacing w:after="0" w:line="262" w:lineRule="auto"/>
        <w:rPr>
          <w:sz w:val="20"/>
          <w:szCs w:val="20"/>
          <w:color w:val="auto"/>
        </w:rPr>
      </w:pPr>
      <w:r>
        <w:rPr>
          <w:rFonts w:ascii="Arial" w:cs="Arial" w:eastAsia="Arial" w:hAnsi="Arial"/>
          <w:sz w:val="18"/>
          <w:szCs w:val="18"/>
          <w:b w:val="1"/>
          <w:bCs w:val="1"/>
          <w:i w:val="1"/>
          <w:iCs w:val="1"/>
          <w:color w:val="auto"/>
        </w:rPr>
        <w:t xml:space="preserve">Electricity sales </w:t>
      </w:r>
      <w:r>
        <w:rPr>
          <w:rFonts w:ascii="Arial" w:cs="Arial" w:eastAsia="Arial" w:hAnsi="Arial"/>
          <w:sz w:val="18"/>
          <w:szCs w:val="18"/>
          <w:color w:val="auto"/>
        </w:rPr>
        <w:t>— Electricity sales decreased by $49 million to $120 million for the nine months ended September 30, 2024 compared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$169 million for the nine months ended September 30, 2023 due to lower prices in 2024 compared to the same prior year period. The decrease was partially offset by higher resource adequacy revenues in the nine months ended September 30, 2024 as compared to the prior comparative period.</w:t>
      </w:r>
    </w:p>
    <w:p>
      <w:pPr>
        <w:spacing w:after="0" w:line="203" w:lineRule="exact"/>
        <w:rPr>
          <w:sz w:val="20"/>
          <w:szCs w:val="20"/>
          <w:color w:val="auto"/>
        </w:rPr>
      </w:pPr>
    </w:p>
    <w:p>
      <w:pPr>
        <w:ind w:right="80" w:firstLine="324"/>
        <w:spacing w:after="0" w:line="287" w:lineRule="auto"/>
        <w:rPr>
          <w:sz w:val="20"/>
          <w:szCs w:val="20"/>
          <w:color w:val="auto"/>
        </w:rPr>
      </w:pPr>
      <w:r>
        <w:rPr>
          <w:rFonts w:ascii="Arial" w:cs="Arial" w:eastAsia="Arial" w:hAnsi="Arial"/>
          <w:sz w:val="18"/>
          <w:szCs w:val="18"/>
          <w:color w:val="auto"/>
        </w:rPr>
        <w:t>The following table presents our operating and non-operating expenses and income for the nine months ended September 30, 2024 and 2023:</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42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3"/>
          </w:tcPr>
          <w:p>
            <w:pPr>
              <w:jc w:val="right"/>
              <w:ind w:right="190"/>
              <w:spacing w:after="0"/>
              <w:rPr>
                <w:sz w:val="20"/>
                <w:szCs w:val="20"/>
                <w:color w:val="auto"/>
              </w:rPr>
            </w:pPr>
            <w:r>
              <w:rPr>
                <w:rFonts w:ascii="Arial" w:cs="Arial" w:eastAsia="Arial" w:hAnsi="Arial"/>
                <w:sz w:val="18"/>
                <w:szCs w:val="18"/>
                <w:b w:val="1"/>
                <w:bCs w:val="1"/>
                <w:color w:val="auto"/>
              </w:rPr>
              <w:t>Nine months ended</w:t>
            </w:r>
          </w:p>
        </w:tc>
        <w:tc>
          <w:tcPr>
            <w:tcW w:w="800" w:type="dxa"/>
            <w:vAlign w:val="bottom"/>
            <w:tcBorders>
              <w:bottom w:val="single" w:sz="8" w:color="auto"/>
            </w:tcBorders>
          </w:tcPr>
          <w:p>
            <w:pPr>
              <w:spacing w:after="0"/>
              <w:rPr>
                <w:sz w:val="20"/>
                <w:szCs w:val="20"/>
                <w:color w:val="auto"/>
              </w:rPr>
            </w:pPr>
          </w:p>
        </w:tc>
      </w:tr>
      <w:tr>
        <w:trPr>
          <w:trHeight w:val="223"/>
        </w:trPr>
        <w:tc>
          <w:tcPr>
            <w:tcW w:w="7420" w:type="dxa"/>
            <w:vAlign w:val="bottom"/>
          </w:tcPr>
          <w:p>
            <w:pPr>
              <w:spacing w:after="0"/>
              <w:rPr>
                <w:sz w:val="19"/>
                <w:szCs w:val="19"/>
                <w:color w:val="auto"/>
              </w:rPr>
            </w:pPr>
          </w:p>
        </w:tc>
        <w:tc>
          <w:tcPr>
            <w:tcW w:w="1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September 30, 2024</w:t>
            </w:r>
          </w:p>
        </w:tc>
        <w:tc>
          <w:tcPr>
            <w:tcW w:w="100" w:type="dxa"/>
            <w:vAlign w:val="bottom"/>
          </w:tcPr>
          <w:p>
            <w:pPr>
              <w:spacing w:after="0"/>
              <w:rPr>
                <w:sz w:val="19"/>
                <w:szCs w:val="19"/>
                <w:color w:val="auto"/>
              </w:rPr>
            </w:pPr>
          </w:p>
        </w:tc>
        <w:tc>
          <w:tcPr>
            <w:tcW w:w="18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September 30, 2023</w:t>
            </w:r>
          </w:p>
        </w:tc>
      </w:tr>
      <w:tr>
        <w:trPr>
          <w:trHeight w:val="233"/>
        </w:trPr>
        <w:tc>
          <w:tcPr>
            <w:tcW w:w="74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20" w:type="dxa"/>
            <w:vAlign w:val="bottom"/>
            <w:gridSpan w:val="3"/>
          </w:tcPr>
          <w:p>
            <w:pPr>
              <w:jc w:val="right"/>
              <w:ind w:right="650"/>
              <w:spacing w:after="0"/>
              <w:rPr>
                <w:sz w:val="20"/>
                <w:szCs w:val="20"/>
                <w:color w:val="auto"/>
              </w:rPr>
            </w:pPr>
            <w:r>
              <w:rPr>
                <w:rFonts w:ascii="Arial" w:cs="Arial" w:eastAsia="Arial" w:hAnsi="Arial"/>
                <w:sz w:val="14"/>
                <w:szCs w:val="14"/>
                <w:color w:val="auto"/>
              </w:rPr>
              <w:t>(in millions)</w:t>
            </w:r>
          </w:p>
        </w:tc>
        <w:tc>
          <w:tcPr>
            <w:tcW w:w="800" w:type="dxa"/>
            <w:vAlign w:val="bottom"/>
          </w:tcPr>
          <w:p>
            <w:pPr>
              <w:spacing w:after="0"/>
              <w:rPr>
                <w:sz w:val="20"/>
                <w:szCs w:val="20"/>
                <w:color w:val="auto"/>
              </w:rPr>
            </w:pPr>
          </w:p>
        </w:tc>
      </w:tr>
      <w:tr>
        <w:trPr>
          <w:trHeight w:val="233"/>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6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r>
      <w:tr>
        <w:trPr>
          <w:trHeight w:val="230"/>
        </w:trPr>
        <w:tc>
          <w:tcPr>
            <w:tcW w:w="7420" w:type="dxa"/>
            <w:vAlign w:val="bottom"/>
          </w:tcPr>
          <w:p>
            <w:pPr>
              <w:ind w:left="20"/>
              <w:spacing w:after="0"/>
              <w:rPr>
                <w:sz w:val="20"/>
                <w:szCs w:val="20"/>
                <w:color w:val="auto"/>
              </w:rPr>
            </w:pPr>
            <w:r>
              <w:rPr>
                <w:rFonts w:ascii="Arial" w:cs="Arial" w:eastAsia="Arial" w:hAnsi="Arial"/>
                <w:sz w:val="18"/>
                <w:szCs w:val="18"/>
                <w:color w:val="auto"/>
              </w:rPr>
              <w:t>Energy operating costs</w:t>
            </w: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19"/>
                <w:szCs w:val="19"/>
                <w:color w:val="auto"/>
              </w:rPr>
            </w:pPr>
          </w:p>
        </w:tc>
        <w:tc>
          <w:tcPr>
            <w:tcW w:w="1060" w:type="dxa"/>
            <w:vAlign w:val="bottom"/>
          </w:tcPr>
          <w:p>
            <w:pPr>
              <w:jc w:val="right"/>
              <w:ind w:right="85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258</w:t>
            </w:r>
          </w:p>
        </w:tc>
      </w:tr>
      <w:tr>
        <w:trPr>
          <w:trHeight w:val="229"/>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Gas processing costs</w:t>
            </w:r>
          </w:p>
        </w:tc>
        <w:tc>
          <w:tcPr>
            <w:tcW w:w="6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29"/>
        </w:trPr>
        <w:tc>
          <w:tcPr>
            <w:tcW w:w="7420" w:type="dxa"/>
            <w:vAlign w:val="bottom"/>
          </w:tcPr>
          <w:p>
            <w:pPr>
              <w:ind w:left="20"/>
              <w:spacing w:after="0"/>
              <w:rPr>
                <w:sz w:val="20"/>
                <w:szCs w:val="20"/>
                <w:color w:val="auto"/>
              </w:rPr>
            </w:pPr>
            <w:r>
              <w:rPr>
                <w:rFonts w:ascii="Arial" w:cs="Arial" w:eastAsia="Arial" w:hAnsi="Arial"/>
                <w:sz w:val="18"/>
                <w:szCs w:val="18"/>
                <w:color w:val="auto"/>
              </w:rPr>
              <w:t>Non-energy operating costs</w:t>
            </w:r>
          </w:p>
        </w:tc>
        <w:tc>
          <w:tcPr>
            <w:tcW w:w="6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445</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364</w:t>
            </w:r>
          </w:p>
        </w:tc>
      </w:tr>
      <w:tr>
        <w:trPr>
          <w:trHeight w:val="230"/>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6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r>
      <w:tr>
        <w:trPr>
          <w:trHeight w:val="229"/>
        </w:trPr>
        <w:tc>
          <w:tcPr>
            <w:tcW w:w="7420" w:type="dxa"/>
            <w:vAlign w:val="bottom"/>
          </w:tcPr>
          <w:p>
            <w:pPr>
              <w:ind w:left="20"/>
              <w:spacing w:after="0"/>
              <w:rPr>
                <w:sz w:val="20"/>
                <w:szCs w:val="20"/>
                <w:color w:val="auto"/>
              </w:rPr>
            </w:pPr>
            <w:r>
              <w:rPr>
                <w:rFonts w:ascii="Arial" w:cs="Arial" w:eastAsia="Arial" w:hAnsi="Arial"/>
                <w:sz w:val="18"/>
                <w:szCs w:val="18"/>
                <w:color w:val="auto"/>
              </w:rPr>
              <w:t>Depreciation, depletion and amortization</w:t>
            </w:r>
          </w:p>
        </w:tc>
        <w:tc>
          <w:tcPr>
            <w:tcW w:w="6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170</w:t>
            </w:r>
          </w:p>
        </w:tc>
      </w:tr>
      <w:tr>
        <w:trPr>
          <w:trHeight w:val="230"/>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 impairment</w:t>
            </w:r>
          </w:p>
        </w:tc>
        <w:tc>
          <w:tcPr>
            <w:tcW w:w="6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7420" w:type="dxa"/>
            <w:vAlign w:val="bottom"/>
          </w:tcPr>
          <w:p>
            <w:pPr>
              <w:ind w:left="20"/>
              <w:spacing w:after="0"/>
              <w:rPr>
                <w:sz w:val="20"/>
                <w:szCs w:val="20"/>
                <w:color w:val="auto"/>
              </w:rPr>
            </w:pPr>
            <w:r>
              <w:rPr>
                <w:rFonts w:ascii="Arial" w:cs="Arial" w:eastAsia="Arial" w:hAnsi="Arial"/>
                <w:sz w:val="18"/>
                <w:szCs w:val="18"/>
                <w:color w:val="auto"/>
              </w:rPr>
              <w:t>Taxes other than on income</w:t>
            </w:r>
          </w:p>
        </w:tc>
        <w:tc>
          <w:tcPr>
            <w:tcW w:w="6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30"/>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Exploration expense</w:t>
            </w:r>
          </w:p>
        </w:tc>
        <w:tc>
          <w:tcPr>
            <w:tcW w:w="6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7420" w:type="dxa"/>
            <w:vAlign w:val="bottom"/>
          </w:tcPr>
          <w:p>
            <w:pPr>
              <w:ind w:left="20"/>
              <w:spacing w:after="0"/>
              <w:rPr>
                <w:sz w:val="20"/>
                <w:szCs w:val="20"/>
                <w:color w:val="auto"/>
              </w:rPr>
            </w:pPr>
            <w:r>
              <w:rPr>
                <w:rFonts w:ascii="Arial" w:cs="Arial" w:eastAsia="Arial" w:hAnsi="Arial"/>
                <w:sz w:val="18"/>
                <w:szCs w:val="18"/>
                <w:color w:val="auto"/>
              </w:rPr>
              <w:t>Purchased natural gas marketing expense</w:t>
            </w:r>
          </w:p>
        </w:tc>
        <w:tc>
          <w:tcPr>
            <w:tcW w:w="6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182</w:t>
            </w:r>
          </w:p>
        </w:tc>
      </w:tr>
      <w:tr>
        <w:trPr>
          <w:trHeight w:val="230"/>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Electricity generation expenses</w:t>
            </w:r>
          </w:p>
        </w:tc>
        <w:tc>
          <w:tcPr>
            <w:tcW w:w="6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30"/>
        </w:trPr>
        <w:tc>
          <w:tcPr>
            <w:tcW w:w="7420" w:type="dxa"/>
            <w:vAlign w:val="bottom"/>
          </w:tcPr>
          <w:p>
            <w:pPr>
              <w:ind w:left="20"/>
              <w:spacing w:after="0"/>
              <w:rPr>
                <w:sz w:val="20"/>
                <w:szCs w:val="20"/>
                <w:color w:val="auto"/>
              </w:rPr>
            </w:pPr>
            <w:r>
              <w:rPr>
                <w:rFonts w:ascii="Arial" w:cs="Arial" w:eastAsia="Arial" w:hAnsi="Arial"/>
                <w:sz w:val="18"/>
                <w:szCs w:val="18"/>
                <w:color w:val="auto"/>
              </w:rPr>
              <w:t>Transportation costs</w:t>
            </w:r>
          </w:p>
        </w:tc>
        <w:tc>
          <w:tcPr>
            <w:tcW w:w="6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30"/>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Accretion expense</w:t>
            </w:r>
          </w:p>
        </w:tc>
        <w:tc>
          <w:tcPr>
            <w:tcW w:w="6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29"/>
        </w:trPr>
        <w:tc>
          <w:tcPr>
            <w:tcW w:w="7420" w:type="dxa"/>
            <w:vAlign w:val="bottom"/>
          </w:tcPr>
          <w:p>
            <w:pPr>
              <w:ind w:left="20"/>
              <w:spacing w:after="0"/>
              <w:rPr>
                <w:sz w:val="20"/>
                <w:szCs w:val="20"/>
                <w:color w:val="auto"/>
              </w:rPr>
            </w:pPr>
            <w:r>
              <w:rPr>
                <w:rFonts w:ascii="Arial" w:cs="Arial" w:eastAsia="Arial" w:hAnsi="Arial"/>
                <w:sz w:val="18"/>
                <w:szCs w:val="18"/>
                <w:color w:val="auto"/>
              </w:rPr>
              <w:t>Carbon management business expenses</w:t>
            </w:r>
          </w:p>
        </w:tc>
        <w:tc>
          <w:tcPr>
            <w:tcW w:w="6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operating expenses, net</w:t>
            </w:r>
          </w:p>
        </w:tc>
        <w:tc>
          <w:tcPr>
            <w:tcW w:w="6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23"/>
        </w:trPr>
        <w:tc>
          <w:tcPr>
            <w:tcW w:w="74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operating expenses</w:t>
            </w:r>
          </w:p>
        </w:tc>
        <w:tc>
          <w:tcPr>
            <w:tcW w:w="6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1,776</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1,557</w:t>
            </w:r>
          </w:p>
        </w:tc>
      </w:tr>
      <w:tr>
        <w:trPr>
          <w:trHeight w:val="223"/>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asset divestitures</w:t>
            </w:r>
          </w:p>
        </w:tc>
        <w:tc>
          <w:tcPr>
            <w:tcW w:w="6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23"/>
        </w:trPr>
        <w:tc>
          <w:tcPr>
            <w:tcW w:w="74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Operating income</w:t>
            </w:r>
          </w:p>
        </w:tc>
        <w:tc>
          <w:tcPr>
            <w:tcW w:w="6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w:t>
            </w:r>
          </w:p>
        </w:tc>
      </w:tr>
      <w:tr>
        <w:trPr>
          <w:trHeight w:val="236"/>
        </w:trPr>
        <w:tc>
          <w:tcPr>
            <w:tcW w:w="74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r>
      <w:tr>
        <w:trPr>
          <w:trHeight w:val="230"/>
        </w:trPr>
        <w:tc>
          <w:tcPr>
            <w:tcW w:w="7420" w:type="dxa"/>
            <w:vAlign w:val="bottom"/>
          </w:tcPr>
          <w:p>
            <w:pPr>
              <w:ind w:left="20"/>
              <w:spacing w:after="0"/>
              <w:rPr>
                <w:sz w:val="20"/>
                <w:szCs w:val="20"/>
                <w:color w:val="auto"/>
              </w:rPr>
            </w:pPr>
            <w:r>
              <w:rPr>
                <w:rFonts w:ascii="Arial" w:cs="Arial" w:eastAsia="Arial" w:hAnsi="Arial"/>
                <w:sz w:val="18"/>
                <w:szCs w:val="18"/>
                <w:b w:val="1"/>
                <w:bCs w:val="1"/>
                <w:color w:val="auto"/>
              </w:rPr>
              <w:t>Non-operating (expenses) income</w:t>
            </w:r>
          </w:p>
        </w:tc>
        <w:tc>
          <w:tcPr>
            <w:tcW w:w="6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and debt expense</w:t>
            </w:r>
          </w:p>
        </w:tc>
        <w:tc>
          <w:tcPr>
            <w:tcW w:w="6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29"/>
        </w:trPr>
        <w:tc>
          <w:tcPr>
            <w:tcW w:w="7420" w:type="dxa"/>
            <w:vAlign w:val="bottom"/>
          </w:tcPr>
          <w:p>
            <w:pPr>
              <w:ind w:left="20"/>
              <w:spacing w:after="0"/>
              <w:rPr>
                <w:sz w:val="20"/>
                <w:szCs w:val="20"/>
                <w:color w:val="auto"/>
              </w:rPr>
            </w:pPr>
            <w:r>
              <w:rPr>
                <w:rFonts w:ascii="Arial" w:cs="Arial" w:eastAsia="Arial" w:hAnsi="Arial"/>
                <w:sz w:val="18"/>
                <w:szCs w:val="18"/>
                <w:color w:val="auto"/>
              </w:rPr>
              <w:t>Loss on early extinguishment of debt</w:t>
            </w:r>
          </w:p>
        </w:tc>
        <w:tc>
          <w:tcPr>
            <w:tcW w:w="6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investment in unconsolidated subsidiary</w:t>
            </w:r>
          </w:p>
        </w:tc>
        <w:tc>
          <w:tcPr>
            <w:tcW w:w="6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non-operating (expense) income</w:t>
            </w:r>
          </w:p>
        </w:tc>
        <w:tc>
          <w:tcPr>
            <w:tcW w:w="6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7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Income before income taxes</w:t>
            </w:r>
          </w:p>
        </w:tc>
        <w:tc>
          <w:tcPr>
            <w:tcW w:w="6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w:t>
            </w:r>
          </w:p>
        </w:tc>
      </w:tr>
      <w:tr>
        <w:trPr>
          <w:trHeight w:val="230"/>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provision</w:t>
            </w:r>
          </w:p>
        </w:tc>
        <w:tc>
          <w:tcPr>
            <w:tcW w:w="6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r>
      <w:tr>
        <w:trPr>
          <w:trHeight w:val="248"/>
        </w:trPr>
        <w:tc>
          <w:tcPr>
            <w:tcW w:w="74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Net income</w:t>
            </w: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w:t>
            </w: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51" w:name="page52"/>
    <w:bookmarkEnd w:id="51"/>
    <w:p>
      <w:pPr>
        <w:ind w:right="200" w:firstLine="324"/>
        <w:spacing w:after="0" w:line="257" w:lineRule="auto"/>
        <w:rPr>
          <w:sz w:val="20"/>
          <w:szCs w:val="20"/>
          <w:color w:val="auto"/>
        </w:rPr>
      </w:pPr>
      <w:r>
        <w:rPr>
          <w:rFonts w:ascii="Arial" w:cs="Arial" w:eastAsia="Arial" w:hAnsi="Arial"/>
          <w:sz w:val="18"/>
          <w:szCs w:val="18"/>
          <w:b w:val="1"/>
          <w:bCs w:val="1"/>
          <w:i w:val="1"/>
          <w:iCs w:val="1"/>
          <w:color w:val="auto"/>
        </w:rPr>
        <w:t xml:space="preserve">Energy operating costs </w:t>
      </w:r>
      <w:r>
        <w:rPr>
          <w:rFonts w:ascii="Arial" w:cs="Arial" w:eastAsia="Arial" w:hAnsi="Arial"/>
          <w:sz w:val="18"/>
          <w:szCs w:val="18"/>
          <w:color w:val="auto"/>
        </w:rPr>
        <w:t>— Energy operating costs for the nine months ended September 30, 2024 were $ 186 million, which was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decrease of $72 million from $258 million for the nine months ended September 30, 2023. This decrease was a result of lower natural gas prices in the nine months of 2024 compared to the same prior year period as well as lower costs related to the divestiture of our share of a non-operated field in December 2023. This decrease was partially offset by higher energy costs in nine months ended September 30, 2024 of which $45 million related to energy and purchase injectant for the Aera fields following the completion of the Aera Merger. For more information on our natural gas market prices, see </w:t>
      </w:r>
      <w:r>
        <w:rPr>
          <w:rFonts w:ascii="Arial" w:cs="Arial" w:eastAsia="Arial" w:hAnsi="Arial"/>
          <w:sz w:val="18"/>
          <w:szCs w:val="18"/>
          <w:i w:val="1"/>
          <w:iCs w:val="1"/>
          <w:color w:val="auto"/>
        </w:rPr>
        <w:t>Prices and Realizations</w:t>
      </w:r>
      <w:r>
        <w:rPr>
          <w:rFonts w:ascii="Arial" w:cs="Arial" w:eastAsia="Arial" w:hAnsi="Arial"/>
          <w:sz w:val="18"/>
          <w:szCs w:val="18"/>
          <w:color w:val="auto"/>
        </w:rPr>
        <w:t xml:space="preserve"> above.</w:t>
      </w:r>
    </w:p>
    <w:p>
      <w:pPr>
        <w:spacing w:after="0" w:line="209"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b w:val="1"/>
          <w:bCs w:val="1"/>
          <w:i w:val="1"/>
          <w:iCs w:val="1"/>
          <w:color w:val="auto"/>
        </w:rPr>
        <w:t xml:space="preserve">Non-energy operating costs </w:t>
      </w:r>
      <w:r>
        <w:rPr>
          <w:rFonts w:ascii="Arial" w:cs="Arial" w:eastAsia="Arial" w:hAnsi="Arial"/>
          <w:sz w:val="18"/>
          <w:szCs w:val="18"/>
          <w:color w:val="auto"/>
        </w:rPr>
        <w:t>— Non-energy operating costs were $445 million for the nine months ended September 30, 2024,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was an increase of $81 million from $364 million for the nine months ended September 30, 2023. The increase was predominately a result of the additional fields acquired in the Aera Merger. Non-energy operating costs for the nine months ended September 30, 2024 include $99 million related to Aera's operations. Excluding Aera, non-energy operating costs for the nine months ended September 30, 2024 were lower than the prior year period as a result of lower costs for downhole and surface maintenance and lower costs from more favorable vendor pricing for certain items in 2024 as a result of cost savings initiatives undertaken during 2023.</w:t>
      </w:r>
    </w:p>
    <w:p>
      <w:pPr>
        <w:spacing w:after="0" w:line="20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b w:val="1"/>
          <w:bCs w:val="1"/>
          <w:i w:val="1"/>
          <w:iCs w:val="1"/>
          <w:color w:val="auto"/>
        </w:rPr>
        <w:t xml:space="preserve">General and administrative expenses </w:t>
      </w:r>
      <w:r>
        <w:rPr>
          <w:rFonts w:ascii="Arial" w:cs="Arial" w:eastAsia="Arial" w:hAnsi="Arial"/>
          <w:sz w:val="18"/>
          <w:szCs w:val="18"/>
          <w:color w:val="auto"/>
        </w:rPr>
        <w:t>— General and administrative (G&amp;A) expenses were $226 million for the nine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30, 2024, which was an increase of $25 million from $201 million for the nine months ended September 30, 2023. The increase in G&amp;A expenses was primarily attributable to the Aera Merger. Excluding Aera, G&amp;A expenses were lower in the nine months ended September 30, 2024 compared to the same prior year period as a result of reduced spending on information technology infrastructure and lower stock-based compensation expense. Stock-based compensation awards are discussed further below.</w:t>
      </w:r>
    </w:p>
    <w:p>
      <w:pPr>
        <w:spacing w:after="0" w:line="206" w:lineRule="exact"/>
        <w:rPr>
          <w:sz w:val="20"/>
          <w:szCs w:val="20"/>
          <w:color w:val="auto"/>
        </w:rPr>
      </w:pPr>
    </w:p>
    <w:p>
      <w:pPr>
        <w:ind w:right="260" w:firstLine="324"/>
        <w:spacing w:after="0" w:line="268" w:lineRule="auto"/>
        <w:rPr>
          <w:sz w:val="20"/>
          <w:szCs w:val="20"/>
          <w:color w:val="auto"/>
        </w:rPr>
      </w:pPr>
      <w:r>
        <w:rPr>
          <w:rFonts w:ascii="Arial" w:cs="Arial" w:eastAsia="Arial" w:hAnsi="Arial"/>
          <w:sz w:val="18"/>
          <w:szCs w:val="18"/>
          <w:color w:val="auto"/>
        </w:rPr>
        <w:t>The table below shows G&amp;A expenses for our exploration and production business (in addition to unallocated corporate overhead and other) separately from our carbon management business. The amounts shown for our carbon management business do not include expenses borne by the Carbon TerraVault JV.</w:t>
      </w:r>
    </w:p>
    <w:p>
      <w:pPr>
        <w:sectPr>
          <w:pgSz w:w="11900" w:h="16838" w:orient="portrait"/>
          <w:cols w:equalWidth="0" w:num="1">
            <w:col w:w="11240"/>
          </w:cols>
          <w:pgMar w:left="320" w:top="89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20" w:right="2860"/>
        <w:spacing w:after="0" w:line="289" w:lineRule="auto"/>
        <w:rPr>
          <w:sz w:val="20"/>
          <w:szCs w:val="20"/>
          <w:color w:val="auto"/>
        </w:rPr>
      </w:pPr>
      <w:r>
        <w:rPr>
          <w:rFonts w:ascii="Arial" w:cs="Arial" w:eastAsia="Arial" w:hAnsi="Arial"/>
          <w:sz w:val="18"/>
          <w:szCs w:val="18"/>
          <w:color w:val="auto"/>
        </w:rPr>
        <w:t>Exploration and production, corporate and other Carbon management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-312420</wp:posOffset>
            </wp:positionV>
            <wp:extent cx="7132320" cy="1460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1714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140"/>
        <w:spacing w:after="0"/>
        <w:rPr>
          <w:sz w:val="20"/>
          <w:szCs w:val="20"/>
          <w:color w:val="auto"/>
        </w:rPr>
      </w:pPr>
      <w:r>
        <w:rPr>
          <w:rFonts w:ascii="Arial" w:cs="Arial" w:eastAsia="Arial" w:hAnsi="Arial"/>
          <w:sz w:val="18"/>
          <w:szCs w:val="18"/>
          <w:color w:val="auto"/>
        </w:rPr>
        <w:t>Total general and administrative expenses</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Nine months ended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8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September 30, 2024</w:t>
            </w:r>
          </w:p>
        </w:tc>
        <w:tc>
          <w:tcPr>
            <w:tcW w:w="100" w:type="dxa"/>
            <w:vAlign w:val="bottom"/>
            <w:tcBorders>
              <w:top w:val="single" w:sz="8" w:color="auto"/>
            </w:tcBorders>
          </w:tcPr>
          <w:p>
            <w:pPr>
              <w:spacing w:after="0"/>
              <w:rPr>
                <w:sz w:val="19"/>
                <w:szCs w:val="19"/>
                <w:color w:val="auto"/>
              </w:rPr>
            </w:pPr>
          </w:p>
        </w:tc>
        <w:tc>
          <w:tcPr>
            <w:tcW w:w="186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September 30, 2023</w:t>
            </w:r>
          </w:p>
        </w:tc>
      </w:tr>
      <w:tr>
        <w:trPr>
          <w:trHeight w:val="228"/>
        </w:trPr>
        <w:tc>
          <w:tcPr>
            <w:tcW w:w="800" w:type="dxa"/>
            <w:vAlign w:val="bottom"/>
          </w:tcPr>
          <w:p>
            <w:pPr>
              <w:spacing w:after="0"/>
              <w:rPr>
                <w:sz w:val="19"/>
                <w:szCs w:val="19"/>
                <w:color w:val="auto"/>
              </w:rPr>
            </w:pPr>
          </w:p>
        </w:tc>
        <w:tc>
          <w:tcPr>
            <w:tcW w:w="2060" w:type="dxa"/>
            <w:vAlign w:val="bottom"/>
            <w:gridSpan w:val="3"/>
          </w:tcPr>
          <w:p>
            <w:pPr>
              <w:jc w:val="right"/>
              <w:ind w:right="490"/>
              <w:spacing w:after="0"/>
              <w:rPr>
                <w:sz w:val="20"/>
                <w:szCs w:val="20"/>
                <w:color w:val="auto"/>
              </w:rPr>
            </w:pPr>
            <w:r>
              <w:rPr>
                <w:rFonts w:ascii="Arial" w:cs="Arial" w:eastAsia="Arial" w:hAnsi="Arial"/>
                <w:sz w:val="14"/>
                <w:szCs w:val="14"/>
                <w:color w:val="auto"/>
              </w:rPr>
              <w:t>(in millions)</w:t>
            </w:r>
          </w:p>
        </w:tc>
        <w:tc>
          <w:tcPr>
            <w:tcW w:w="960" w:type="dxa"/>
            <w:vAlign w:val="bottom"/>
          </w:tcPr>
          <w:p>
            <w:pPr>
              <w:spacing w:after="0"/>
              <w:rPr>
                <w:sz w:val="19"/>
                <w:szCs w:val="19"/>
                <w:color w:val="auto"/>
              </w:rPr>
            </w:pPr>
          </w:p>
        </w:tc>
      </w:tr>
      <w:tr>
        <w:trPr>
          <w:trHeight w:val="232"/>
        </w:trPr>
        <w:tc>
          <w:tcPr>
            <w:tcW w:w="800" w:type="dxa"/>
            <w:vAlign w:val="bottom"/>
          </w:tcPr>
          <w:p>
            <w:pPr>
              <w:jc w:val="right"/>
              <w:ind w:right="5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20"/>
                <w:szCs w:val="20"/>
                <w:color w:val="auto"/>
              </w:rPr>
            </w:pPr>
          </w:p>
        </w:tc>
        <w:tc>
          <w:tcPr>
            <w:tcW w:w="900" w:type="dxa"/>
            <w:vAlign w:val="bottom"/>
          </w:tcPr>
          <w:p>
            <w:pPr>
              <w:jc w:val="right"/>
              <w:ind w:right="6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191</w:t>
            </w:r>
          </w:p>
        </w:tc>
      </w:tr>
      <w:tr>
        <w:trPr>
          <w:trHeight w:val="235"/>
        </w:trPr>
        <w:tc>
          <w:tcPr>
            <w:tcW w:w="8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23"/>
        </w:trPr>
        <w:tc>
          <w:tcPr>
            <w:tcW w:w="8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19"/>
                <w:szCs w:val="19"/>
                <w:color w:val="auto"/>
              </w:rPr>
            </w:pPr>
          </w:p>
        </w:tc>
        <w:tc>
          <w:tcPr>
            <w:tcW w:w="90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w:t>
            </w:r>
          </w:p>
        </w:tc>
      </w:tr>
      <w:tr>
        <w:trPr>
          <w:trHeight w:val="21"/>
        </w:trPr>
        <w:tc>
          <w:tcPr>
            <w:tcW w:w="8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700" w:space="720"/>
            <w:col w:w="3820"/>
          </w:cols>
          <w:pgMar w:left="320" w:top="890" w:right="339" w:bottom="1440" w:gutter="0" w:footer="0" w:header="0"/>
          <w:type w:val="continuous"/>
        </w:sectPr>
      </w:pPr>
    </w:p>
    <w:p>
      <w:pPr>
        <w:spacing w:after="0" w:line="119"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Awards are granted under our stock-based compensation plans to executives, non-executive employees and non-employee directors that are either settled with shares of our common stock or cash. Our equity-settled awards granted to executives include performance stock units and restricted stock units that either cliff vest at the end of a two- or three-year period or vest ratably over a two- or three-year period. Our equity-settled awards granted to non-employee directors are restricted stock units that vest ratably over a three-year period. Our cash-settled awards granted to non-executive employees vest ratably over a three-year period.</w:t>
      </w:r>
    </w:p>
    <w:p>
      <w:pPr>
        <w:spacing w:after="0" w:line="206" w:lineRule="exact"/>
        <w:rPr>
          <w:sz w:val="20"/>
          <w:szCs w:val="20"/>
          <w:color w:val="auto"/>
        </w:rPr>
      </w:pPr>
    </w:p>
    <w:p>
      <w:pPr>
        <w:ind w:right="180" w:firstLine="324"/>
        <w:spacing w:after="0" w:line="268" w:lineRule="auto"/>
        <w:rPr>
          <w:sz w:val="20"/>
          <w:szCs w:val="20"/>
          <w:color w:val="auto"/>
        </w:rPr>
      </w:pPr>
      <w:r>
        <w:rPr>
          <w:rFonts w:ascii="Arial" w:cs="Arial" w:eastAsia="Arial" w:hAnsi="Arial"/>
          <w:sz w:val="18"/>
          <w:szCs w:val="18"/>
          <w:color w:val="auto"/>
        </w:rPr>
        <w:t>Changes in our stock price introduce volatility in our results of operations because we pay half of our cash-settled awards based on our stock price performance and we adjust our obligation for unvested cash-settled awards at the end of each reporting period. Equity-settled awards are not similarly adjusted for changes in our stock price.</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type w:val="continuous"/>
        </w:sectPr>
      </w:pPr>
    </w:p>
    <w:bookmarkStart w:id="52" w:name="page53"/>
    <w:bookmarkEnd w:id="52"/>
    <w:tbl>
      <w:tblPr>
        <w:tblLayout w:type="fixed"/>
        <w:tblInd w:w="0" w:type="dxa"/>
        <w:tblCellMar>
          <w:top w:w="0" w:type="dxa"/>
          <w:left w:w="0" w:type="dxa"/>
          <w:bottom w:w="0" w:type="dxa"/>
          <w:right w:w="0" w:type="dxa"/>
        </w:tblCellMar>
      </w:tblPr>
      <w:tr>
        <w:trPr>
          <w:trHeight w:val="239"/>
        </w:trPr>
        <w:tc>
          <w:tcPr>
            <w:tcW w:w="7420" w:type="dxa"/>
            <w:vAlign w:val="bottom"/>
          </w:tcPr>
          <w:p>
            <w:pPr>
              <w:ind w:left="340"/>
              <w:spacing w:after="0"/>
              <w:rPr>
                <w:sz w:val="20"/>
                <w:szCs w:val="20"/>
                <w:color w:val="auto"/>
              </w:rPr>
            </w:pPr>
            <w:r>
              <w:rPr>
                <w:rFonts w:ascii="Arial" w:cs="Arial" w:eastAsia="Arial" w:hAnsi="Arial"/>
                <w:sz w:val="18"/>
                <w:szCs w:val="18"/>
                <w:color w:val="auto"/>
              </w:rPr>
              <w:t>Stock-based compensation included in G&amp;A expense is shown in the table below:</w:t>
            </w:r>
          </w:p>
        </w:tc>
        <w:tc>
          <w:tcPr>
            <w:tcW w:w="6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495"/>
        </w:trPr>
        <w:tc>
          <w:tcPr>
            <w:tcW w:w="742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8"/>
                <w:szCs w:val="18"/>
                <w:b w:val="1"/>
                <w:bCs w:val="1"/>
                <w:color w:val="auto"/>
              </w:rPr>
              <w:t>Nine months ended</w:t>
            </w:r>
          </w:p>
        </w:tc>
        <w:tc>
          <w:tcPr>
            <w:tcW w:w="680" w:type="dxa"/>
            <w:vAlign w:val="bottom"/>
            <w:tcBorders>
              <w:bottom w:val="single" w:sz="8" w:color="auto"/>
            </w:tcBorders>
          </w:tcPr>
          <w:p>
            <w:pPr>
              <w:spacing w:after="0"/>
              <w:rPr>
                <w:sz w:val="24"/>
                <w:szCs w:val="24"/>
                <w:color w:val="auto"/>
              </w:rPr>
            </w:pPr>
          </w:p>
        </w:tc>
      </w:tr>
      <w:tr>
        <w:trPr>
          <w:trHeight w:val="223"/>
        </w:trPr>
        <w:tc>
          <w:tcPr>
            <w:tcW w:w="7420" w:type="dxa"/>
            <w:vAlign w:val="bottom"/>
          </w:tcPr>
          <w:p>
            <w:pPr>
              <w:spacing w:after="0"/>
              <w:rPr>
                <w:sz w:val="19"/>
                <w:szCs w:val="19"/>
                <w:color w:val="auto"/>
              </w:rPr>
            </w:pPr>
          </w:p>
        </w:tc>
        <w:tc>
          <w:tcPr>
            <w:tcW w:w="1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September 30, 2024</w:t>
            </w:r>
          </w:p>
        </w:tc>
        <w:tc>
          <w:tcPr>
            <w:tcW w:w="100" w:type="dxa"/>
            <w:vAlign w:val="bottom"/>
          </w:tcPr>
          <w:p>
            <w:pPr>
              <w:spacing w:after="0"/>
              <w:rPr>
                <w:sz w:val="19"/>
                <w:szCs w:val="19"/>
                <w:color w:val="auto"/>
              </w:rPr>
            </w:pPr>
          </w:p>
        </w:tc>
        <w:tc>
          <w:tcPr>
            <w:tcW w:w="18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September 30, 2023</w:t>
            </w:r>
          </w:p>
        </w:tc>
      </w:tr>
      <w:tr>
        <w:trPr>
          <w:trHeight w:val="233"/>
        </w:trPr>
        <w:tc>
          <w:tcPr>
            <w:tcW w:w="74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540" w:type="dxa"/>
            <w:vAlign w:val="bottom"/>
            <w:gridSpan w:val="3"/>
          </w:tcPr>
          <w:p>
            <w:pPr>
              <w:jc w:val="right"/>
              <w:ind w:right="770"/>
              <w:spacing w:after="0"/>
              <w:rPr>
                <w:sz w:val="20"/>
                <w:szCs w:val="20"/>
                <w:color w:val="auto"/>
              </w:rPr>
            </w:pPr>
            <w:r>
              <w:rPr>
                <w:rFonts w:ascii="Arial" w:cs="Arial" w:eastAsia="Arial" w:hAnsi="Arial"/>
                <w:sz w:val="14"/>
                <w:szCs w:val="14"/>
                <w:color w:val="auto"/>
              </w:rPr>
              <w:t>(in millions)</w:t>
            </w:r>
          </w:p>
        </w:tc>
        <w:tc>
          <w:tcPr>
            <w:tcW w:w="680" w:type="dxa"/>
            <w:vAlign w:val="bottom"/>
          </w:tcPr>
          <w:p>
            <w:pPr>
              <w:spacing w:after="0"/>
              <w:rPr>
                <w:sz w:val="20"/>
                <w:szCs w:val="20"/>
                <w:color w:val="auto"/>
              </w:rPr>
            </w:pPr>
          </w:p>
        </w:tc>
      </w:tr>
      <w:tr>
        <w:trPr>
          <w:trHeight w:val="233"/>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Cash-settled awards</w:t>
            </w: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Stock-settled awards</w:t>
            </w:r>
          </w:p>
        </w:tc>
        <w:tc>
          <w:tcPr>
            <w:tcW w:w="6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r>
      <w:tr>
        <w:trPr>
          <w:trHeight w:val="248"/>
        </w:trPr>
        <w:tc>
          <w:tcPr>
            <w:tcW w:w="74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included in general and administrative expenses</w:t>
            </w: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100" w:firstLine="324"/>
        <w:spacing w:after="0" w:line="268" w:lineRule="auto"/>
        <w:rPr>
          <w:sz w:val="20"/>
          <w:szCs w:val="20"/>
          <w:color w:val="auto"/>
        </w:rPr>
      </w:pPr>
      <w:r>
        <w:rPr>
          <w:rFonts w:ascii="Arial" w:cs="Arial" w:eastAsia="Arial" w:hAnsi="Arial"/>
          <w:sz w:val="18"/>
          <w:szCs w:val="18"/>
          <w:b w:val="1"/>
          <w:bCs w:val="1"/>
          <w:color w:val="auto"/>
        </w:rPr>
        <w:t xml:space="preserve">Depreciation, depletion and amortization </w:t>
      </w:r>
      <w:r>
        <w:rPr>
          <w:rFonts w:ascii="Arial" w:cs="Arial" w:eastAsia="Arial" w:hAnsi="Arial"/>
          <w:sz w:val="18"/>
          <w:szCs w:val="18"/>
          <w:color w:val="auto"/>
        </w:rPr>
        <w:t>— Depreciation, depletion and amortization for the nine months ended September 30, 2024</w:t>
      </w:r>
      <w:r>
        <w:rPr>
          <w:rFonts w:ascii="Arial" w:cs="Arial" w:eastAsia="Arial" w:hAnsi="Arial"/>
          <w:sz w:val="18"/>
          <w:szCs w:val="18"/>
          <w:b w:val="1"/>
          <w:bCs w:val="1"/>
          <w:color w:val="auto"/>
        </w:rPr>
        <w:t xml:space="preserve"> </w:t>
      </w:r>
      <w:r>
        <w:rPr>
          <w:rFonts w:ascii="Arial" w:cs="Arial" w:eastAsia="Arial" w:hAnsi="Arial"/>
          <w:sz w:val="18"/>
          <w:szCs w:val="18"/>
          <w:color w:val="auto"/>
        </w:rPr>
        <w:t>was $246 million compared to $170 million during the nine months ended September 30, 2023. The increase was the result of a higher carrying value for our property, plant and equipment as a result of the Aera Merger.</w:t>
      </w:r>
    </w:p>
    <w:p>
      <w:pPr>
        <w:spacing w:after="0" w:line="198" w:lineRule="exact"/>
        <w:rPr>
          <w:sz w:val="20"/>
          <w:szCs w:val="20"/>
          <w:color w:val="auto"/>
        </w:rPr>
      </w:pPr>
    </w:p>
    <w:p>
      <w:pPr>
        <w:ind w:right="200" w:firstLine="324"/>
        <w:spacing w:after="0" w:line="262" w:lineRule="auto"/>
        <w:rPr>
          <w:sz w:val="20"/>
          <w:szCs w:val="20"/>
          <w:color w:val="auto"/>
        </w:rPr>
      </w:pPr>
      <w:r>
        <w:rPr>
          <w:rFonts w:ascii="Arial" w:cs="Arial" w:eastAsia="Arial" w:hAnsi="Arial"/>
          <w:sz w:val="18"/>
          <w:szCs w:val="18"/>
          <w:b w:val="1"/>
          <w:bCs w:val="1"/>
          <w:i w:val="1"/>
          <w:iCs w:val="1"/>
          <w:color w:val="auto"/>
        </w:rPr>
        <w:t xml:space="preserve">Asset impairments </w:t>
      </w:r>
      <w:r>
        <w:rPr>
          <w:rFonts w:ascii="Arial" w:cs="Arial" w:eastAsia="Arial" w:hAnsi="Arial"/>
          <w:sz w:val="18"/>
          <w:szCs w:val="18"/>
          <w:color w:val="auto"/>
        </w:rPr>
        <w:t>— Asset impairments increased $10 million to $13 million for the nine months ended September 30, 2024 from $3</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for the nine months ended September 30, 2023. In the nine months ended September 30, 2024, our asset impairment related to the write-down of excess and obsolete materials and supplies inventory related to our oilfield operations. In the nine months ended September 30, 2023, our asset impairment related to the write-down of a property to fair value when it was classified as held for sale.</w:t>
      </w:r>
    </w:p>
    <w:p>
      <w:pPr>
        <w:spacing w:after="0" w:line="203"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b w:val="1"/>
          <w:bCs w:val="1"/>
          <w:i w:val="1"/>
          <w:iCs w:val="1"/>
          <w:color w:val="auto"/>
        </w:rPr>
        <w:t xml:space="preserve">Taxes other than on income </w:t>
      </w:r>
      <w:r>
        <w:rPr>
          <w:rFonts w:ascii="Arial" w:cs="Arial" w:eastAsia="Arial" w:hAnsi="Arial"/>
          <w:sz w:val="18"/>
          <w:szCs w:val="18"/>
          <w:color w:val="auto"/>
        </w:rPr>
        <w:t>— Taxes other than on income were $162 million for the nine months ended September 30, 2024,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was an increase of $30 million from $132 million for the nine months ended September 30, 2023. This increase was due to higher production taxes, ad valorem taxes and greenhouse gas expense related to the Aera assets following the completion of the Aera Merger on July 1, 2024. Excluding Aera, taxes other than on income was lower for the nine months ended September 30, 2024 compared to the same period in 2023 primarily due to lower greenhouse gas expense.</w:t>
      </w:r>
    </w:p>
    <w:p>
      <w:pPr>
        <w:spacing w:after="0" w:line="206" w:lineRule="exact"/>
        <w:rPr>
          <w:sz w:val="20"/>
          <w:szCs w:val="20"/>
          <w:color w:val="auto"/>
        </w:rPr>
      </w:pPr>
    </w:p>
    <w:p>
      <w:pPr>
        <w:ind w:right="60" w:firstLine="324"/>
        <w:spacing w:after="0" w:line="268" w:lineRule="auto"/>
        <w:rPr>
          <w:sz w:val="20"/>
          <w:szCs w:val="20"/>
          <w:color w:val="auto"/>
        </w:rPr>
      </w:pPr>
      <w:r>
        <w:rPr>
          <w:rFonts w:ascii="Arial" w:cs="Arial" w:eastAsia="Arial" w:hAnsi="Arial"/>
          <w:sz w:val="18"/>
          <w:szCs w:val="18"/>
          <w:b w:val="1"/>
          <w:bCs w:val="1"/>
          <w:i w:val="1"/>
          <w:iCs w:val="1"/>
          <w:color w:val="auto"/>
        </w:rPr>
        <w:t xml:space="preserve">Costs related to marketing of purchased commodities </w:t>
      </w:r>
      <w:r>
        <w:rPr>
          <w:rFonts w:ascii="Arial" w:cs="Arial" w:eastAsia="Arial" w:hAnsi="Arial"/>
          <w:sz w:val="18"/>
          <w:szCs w:val="18"/>
          <w:color w:val="auto"/>
        </w:rPr>
        <w:t>— Costs related to marketing of purchased commodities were $140 million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nine months ended September 30, 2024, which was a decrease of $42 million from $182 million for the nine months ended September 30, 2023. The decrease primarily related to lower natural gas prices in 2024 compared to 2023.</w:t>
      </w:r>
    </w:p>
    <w:p>
      <w:pPr>
        <w:spacing w:after="0" w:line="198" w:lineRule="exact"/>
        <w:rPr>
          <w:sz w:val="20"/>
          <w:szCs w:val="20"/>
          <w:color w:val="auto"/>
        </w:rPr>
      </w:pPr>
    </w:p>
    <w:p>
      <w:pPr>
        <w:ind w:right="320" w:firstLine="324"/>
        <w:spacing w:after="0" w:line="268" w:lineRule="auto"/>
        <w:rPr>
          <w:sz w:val="20"/>
          <w:szCs w:val="20"/>
          <w:color w:val="auto"/>
        </w:rPr>
      </w:pPr>
      <w:r>
        <w:rPr>
          <w:rFonts w:ascii="Arial" w:cs="Arial" w:eastAsia="Arial" w:hAnsi="Arial"/>
          <w:sz w:val="18"/>
          <w:szCs w:val="18"/>
          <w:b w:val="1"/>
          <w:bCs w:val="1"/>
          <w:i w:val="1"/>
          <w:iCs w:val="1"/>
          <w:color w:val="auto"/>
        </w:rPr>
        <w:t xml:space="preserve">Electricity generation expense </w:t>
      </w:r>
      <w:r>
        <w:rPr>
          <w:rFonts w:ascii="Arial" w:cs="Arial" w:eastAsia="Arial" w:hAnsi="Arial"/>
          <w:sz w:val="18"/>
          <w:szCs w:val="18"/>
          <w:color w:val="auto"/>
        </w:rPr>
        <w:t>— Electricity generation expenses for the nine months ended September 30, 2024 were $31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was a decrease of $54 million from $85 million for the same prior year period. This decrease was primarily due to lower prices for natural gas as well as downtime at our Elk Hills power plant for maintenance.</w:t>
      </w:r>
    </w:p>
    <w:p>
      <w:pPr>
        <w:spacing w:after="0" w:line="198" w:lineRule="exact"/>
        <w:rPr>
          <w:sz w:val="20"/>
          <w:szCs w:val="20"/>
          <w:color w:val="auto"/>
        </w:rPr>
      </w:pPr>
    </w:p>
    <w:p>
      <w:pPr>
        <w:ind w:right="180" w:firstLine="324"/>
        <w:spacing w:after="0" w:line="268" w:lineRule="auto"/>
        <w:rPr>
          <w:sz w:val="20"/>
          <w:szCs w:val="20"/>
          <w:color w:val="auto"/>
        </w:rPr>
      </w:pPr>
      <w:r>
        <w:rPr>
          <w:rFonts w:ascii="Arial" w:cs="Arial" w:eastAsia="Arial" w:hAnsi="Arial"/>
          <w:sz w:val="18"/>
          <w:szCs w:val="18"/>
          <w:b w:val="1"/>
          <w:bCs w:val="1"/>
          <w:i w:val="1"/>
          <w:iCs w:val="1"/>
          <w:color w:val="auto"/>
        </w:rPr>
        <w:t xml:space="preserve">Transportation costs </w:t>
      </w:r>
      <w:r>
        <w:rPr>
          <w:rFonts w:ascii="Arial" w:cs="Arial" w:eastAsia="Arial" w:hAnsi="Arial"/>
          <w:sz w:val="18"/>
          <w:szCs w:val="18"/>
          <w:color w:val="auto"/>
        </w:rPr>
        <w:t>— Transportation costs for the nine months ended September 30, 2024 were $60 million which is an increase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$11 million from $49 million for the nine months ended September 30, 2023. The increase in transportation costs was primarily a result of higher volumes transported as well as additional transportation contracts assumed in the Aera Merger.</w:t>
      </w:r>
    </w:p>
    <w:p>
      <w:pPr>
        <w:spacing w:after="0" w:line="198" w:lineRule="exact"/>
        <w:rPr>
          <w:sz w:val="20"/>
          <w:szCs w:val="20"/>
          <w:color w:val="auto"/>
        </w:rPr>
      </w:pPr>
    </w:p>
    <w:p>
      <w:pPr>
        <w:ind w:right="60" w:firstLine="324"/>
        <w:spacing w:after="0" w:line="268" w:lineRule="auto"/>
        <w:rPr>
          <w:sz w:val="20"/>
          <w:szCs w:val="20"/>
          <w:color w:val="auto"/>
        </w:rPr>
      </w:pPr>
      <w:r>
        <w:rPr>
          <w:rFonts w:ascii="Arial" w:cs="Arial" w:eastAsia="Arial" w:hAnsi="Arial"/>
          <w:sz w:val="18"/>
          <w:szCs w:val="18"/>
          <w:b w:val="1"/>
          <w:bCs w:val="1"/>
          <w:i w:val="1"/>
          <w:iCs w:val="1"/>
          <w:color w:val="auto"/>
        </w:rPr>
        <w:t xml:space="preserve">Accretion expense </w:t>
      </w:r>
      <w:r>
        <w:rPr>
          <w:rFonts w:ascii="Arial" w:cs="Arial" w:eastAsia="Arial" w:hAnsi="Arial"/>
          <w:sz w:val="18"/>
          <w:szCs w:val="18"/>
          <w:color w:val="auto"/>
        </w:rPr>
        <w:t>— Accretion expense for the nine months ended September 30, 2024 was $56 million compared to $35 million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nine months ended September 30, 2023. The increase was primarily due to the addition of the Aera asset retirement liability assumed as of July 1, 2024 as part of the Aera Merger.</w:t>
      </w:r>
    </w:p>
    <w:p>
      <w:pPr>
        <w:spacing w:after="0" w:line="198" w:lineRule="exact"/>
        <w:rPr>
          <w:sz w:val="20"/>
          <w:szCs w:val="20"/>
          <w:color w:val="auto"/>
        </w:rPr>
      </w:pPr>
    </w:p>
    <w:p>
      <w:pPr>
        <w:ind w:right="220" w:firstLine="324"/>
        <w:spacing w:after="0" w:line="268" w:lineRule="auto"/>
        <w:rPr>
          <w:sz w:val="20"/>
          <w:szCs w:val="20"/>
          <w:color w:val="auto"/>
        </w:rPr>
      </w:pPr>
      <w:r>
        <w:rPr>
          <w:rFonts w:ascii="Arial" w:cs="Arial" w:eastAsia="Arial" w:hAnsi="Arial"/>
          <w:sz w:val="18"/>
          <w:szCs w:val="18"/>
          <w:b w:val="1"/>
          <w:bCs w:val="1"/>
          <w:i w:val="1"/>
          <w:iCs w:val="1"/>
          <w:color w:val="auto"/>
        </w:rPr>
        <w:t xml:space="preserve">Carbon management business expenses </w:t>
      </w:r>
      <w:r>
        <w:rPr>
          <w:rFonts w:ascii="Arial" w:cs="Arial" w:eastAsia="Arial" w:hAnsi="Arial"/>
          <w:sz w:val="18"/>
          <w:szCs w:val="18"/>
          <w:color w:val="auto"/>
        </w:rPr>
        <w:t>— Carbon management business expenses increased by $16 million to $ 36 million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nine months ended September 30, 2024 from $20 million for the nine months ended September 30, 2023. The increase in carbon management business expenses was predominantly due to higher lease cost for easements and compensation-related expenses.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53" w:name="page54"/>
    <w:bookmarkEnd w:id="53"/>
    <w:p>
      <w:pPr>
        <w:ind w:right="40" w:firstLine="324"/>
        <w:spacing w:after="0" w:line="259" w:lineRule="auto"/>
        <w:rPr>
          <w:sz w:val="20"/>
          <w:szCs w:val="20"/>
          <w:color w:val="auto"/>
        </w:rPr>
      </w:pPr>
      <w:r>
        <w:rPr>
          <w:rFonts w:ascii="Arial" w:cs="Arial" w:eastAsia="Arial" w:hAnsi="Arial"/>
          <w:sz w:val="18"/>
          <w:szCs w:val="18"/>
          <w:b w:val="1"/>
          <w:bCs w:val="1"/>
          <w:i w:val="1"/>
          <w:iCs w:val="1"/>
          <w:color w:val="auto"/>
        </w:rPr>
        <w:t xml:space="preserve">Other operating expenses, net </w:t>
      </w:r>
      <w:r>
        <w:rPr>
          <w:rFonts w:ascii="Arial" w:cs="Arial" w:eastAsia="Arial" w:hAnsi="Arial"/>
          <w:sz w:val="18"/>
          <w:szCs w:val="18"/>
          <w:color w:val="auto"/>
        </w:rPr>
        <w:t>— Other operating expenses, net increased $119 million to $161 million for the nine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30, 2024 compared to $42 million for the nine months ended September 30, 2023. The increase was primarily related to transaction and integration costs for the Aera Merger as well as additional expenses related to electricity purchased during the ongoing maintenance at our Elk Hills power plant. We also incurred higher severance costs in the nine months ended September 30, 2024 as a result of our headcount reduction compared to the same prior year period.</w:t>
      </w:r>
    </w:p>
    <w:p>
      <w:pPr>
        <w:spacing w:after="0" w:line="206" w:lineRule="exact"/>
        <w:rPr>
          <w:sz w:val="20"/>
          <w:szCs w:val="20"/>
          <w:color w:val="auto"/>
        </w:rPr>
      </w:pPr>
    </w:p>
    <w:p>
      <w:pPr>
        <w:ind w:right="260" w:firstLine="324"/>
        <w:spacing w:after="0" w:line="262" w:lineRule="auto"/>
        <w:rPr>
          <w:sz w:val="20"/>
          <w:szCs w:val="20"/>
          <w:color w:val="auto"/>
        </w:rPr>
      </w:pPr>
      <w:r>
        <w:rPr>
          <w:rFonts w:ascii="Arial" w:cs="Arial" w:eastAsia="Arial" w:hAnsi="Arial"/>
          <w:sz w:val="18"/>
          <w:szCs w:val="18"/>
          <w:b w:val="1"/>
          <w:bCs w:val="1"/>
          <w:i w:val="1"/>
          <w:iCs w:val="1"/>
          <w:color w:val="auto"/>
        </w:rPr>
        <w:t xml:space="preserve">Interest and debt expense, net </w:t>
      </w:r>
      <w:r>
        <w:rPr>
          <w:rFonts w:ascii="Arial" w:cs="Arial" w:eastAsia="Arial" w:hAnsi="Arial"/>
          <w:sz w:val="18"/>
          <w:szCs w:val="18"/>
          <w:color w:val="auto"/>
        </w:rPr>
        <w:t>— Interest and debt expense, net was $ 59 million for the nine months ended September 30, 2024</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$43 million for the nine months ended September 30, 2023. The increase was predominately a result from higher interest expense from the issuance of our 2029 Senior Notes. In June 2024, we issued $600 million in aggregate principal amount of 8.25% senior notes due 2029 and in August 2024, we completed a follow-on offer of $300 million in aggregate principal amount for those notes.</w:t>
      </w:r>
    </w:p>
    <w:p>
      <w:pPr>
        <w:spacing w:after="0" w:line="203" w:lineRule="exact"/>
        <w:rPr>
          <w:sz w:val="20"/>
          <w:szCs w:val="20"/>
          <w:color w:val="auto"/>
        </w:rPr>
      </w:pPr>
    </w:p>
    <w:p>
      <w:pPr>
        <w:jc w:val="both"/>
        <w:ind w:right="180" w:firstLine="324"/>
        <w:spacing w:after="0" w:line="268"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 The income tax benefit for the nine months ended September 30, 2024 was $132 million (representing an effective tax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rate of 28%), compared to a provision of $105 million (representing an effective tax rate of 22%) for the nine months ended September 30, 2023. See </w:t>
      </w:r>
      <w:r>
        <w:rPr>
          <w:rFonts w:ascii="Arial" w:cs="Arial" w:eastAsia="Arial" w:hAnsi="Arial"/>
          <w:sz w:val="18"/>
          <w:szCs w:val="18"/>
          <w:i w:val="1"/>
          <w:iCs w:val="1"/>
          <w:color w:val="auto"/>
        </w:rPr>
        <w:t>Part I, Item 1 – Financial Statements, Note 7 Income Taxes</w:t>
      </w:r>
      <w:r>
        <w:rPr>
          <w:rFonts w:ascii="Arial" w:cs="Arial" w:eastAsia="Arial" w:hAnsi="Arial"/>
          <w:sz w:val="18"/>
          <w:szCs w:val="18"/>
          <w:color w:val="auto"/>
        </w:rPr>
        <w:t xml:space="preserve"> for more information on our effective tax rate.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50" w:lineRule="exact"/>
        <w:rPr>
          <w:sz w:val="20"/>
          <w:szCs w:val="20"/>
          <w:color w:val="auto"/>
        </w:rPr>
      </w:pPr>
    </w:p>
    <w:p>
      <w:pPr>
        <w:ind w:right="300" w:firstLine="324"/>
        <w:spacing w:after="0" w:line="262" w:lineRule="auto"/>
        <w:rPr>
          <w:sz w:val="20"/>
          <w:szCs w:val="20"/>
          <w:color w:val="auto"/>
        </w:rPr>
      </w:pPr>
      <w:r>
        <w:rPr>
          <w:rFonts w:ascii="Arial" w:cs="Arial" w:eastAsia="Arial" w:hAnsi="Arial"/>
          <w:sz w:val="18"/>
          <w:szCs w:val="18"/>
          <w:color w:val="auto"/>
        </w:rPr>
        <w:t>Our primary sources of liquidity and capital resources are cash flows from operations, cash and cash equivalents and available borrowing capacity under our Revolving Credit Facility. We consider our low leverage and ability to control costs to be a core strength and strategic advantage, which we are focused on maintaining. Our primary uses of operating cash flow for the three months ended September 30, 2024 were for capital investments, repurchases of our common stock and dividends.</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liquidity:</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86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tcPr>
          <w:p>
            <w:pPr>
              <w:jc w:val="right"/>
              <w:ind w:right="393"/>
              <w:spacing w:after="0"/>
              <w:rPr>
                <w:sz w:val="20"/>
                <w:szCs w:val="20"/>
                <w:color w:val="auto"/>
              </w:rPr>
            </w:pPr>
            <w:r>
              <w:rPr>
                <w:rFonts w:ascii="Arial" w:cs="Arial" w:eastAsia="Arial" w:hAnsi="Arial"/>
                <w:sz w:val="18"/>
                <w:szCs w:val="18"/>
                <w:b w:val="1"/>
                <w:bCs w:val="1"/>
                <w:color w:val="auto"/>
              </w:rPr>
              <w:t>September 30, 2024</w:t>
            </w:r>
          </w:p>
        </w:tc>
        <w:tc>
          <w:tcPr>
            <w:tcW w:w="0" w:type="dxa"/>
            <w:vAlign w:val="bottom"/>
          </w:tcPr>
          <w:p>
            <w:pPr>
              <w:spacing w:after="0"/>
              <w:rPr>
                <w:sz w:val="1"/>
                <w:szCs w:val="1"/>
                <w:color w:val="auto"/>
              </w:rPr>
            </w:pPr>
          </w:p>
        </w:tc>
      </w:tr>
      <w:tr>
        <w:trPr>
          <w:trHeight w:val="192"/>
        </w:trPr>
        <w:tc>
          <w:tcPr>
            <w:tcW w:w="8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40" w:type="dxa"/>
            <w:vAlign w:val="bottom"/>
          </w:tcPr>
          <w:p>
            <w:pPr>
              <w:jc w:val="right"/>
              <w:ind w:right="873"/>
              <w:spacing w:after="0"/>
              <w:rPr>
                <w:sz w:val="20"/>
                <w:szCs w:val="20"/>
                <w:color w:val="auto"/>
              </w:rPr>
            </w:pPr>
            <w:r>
              <w:rPr>
                <w:rFonts w:ascii="Arial" w:cs="Arial" w:eastAsia="Arial" w:hAnsi="Arial"/>
                <w:sz w:val="14"/>
                <w:szCs w:val="14"/>
                <w:color w:val="auto"/>
              </w:rPr>
              <w:t>(in millions)</w:t>
            </w:r>
          </w:p>
        </w:tc>
        <w:tc>
          <w:tcPr>
            <w:tcW w:w="0" w:type="dxa"/>
            <w:vAlign w:val="bottom"/>
          </w:tcPr>
          <w:p>
            <w:pPr>
              <w:spacing w:after="0"/>
              <w:rPr>
                <w:sz w:val="1"/>
                <w:szCs w:val="1"/>
                <w:color w:val="auto"/>
              </w:rPr>
            </w:pPr>
          </w:p>
        </w:tc>
      </w:tr>
      <w:tr>
        <w:trPr>
          <w:trHeight w:val="234"/>
        </w:trPr>
        <w:tc>
          <w:tcPr>
            <w:tcW w:w="8600" w:type="dxa"/>
            <w:vAlign w:val="bottom"/>
            <w:shd w:val="clear" w:color="auto" w:fill="CCEEFF"/>
          </w:tcPr>
          <w:p>
            <w:pPr>
              <w:ind w:left="20"/>
              <w:spacing w:after="0" w:line="233" w:lineRule="exact"/>
              <w:rPr>
                <w:sz w:val="20"/>
                <w:szCs w:val="20"/>
                <w:color w:val="auto"/>
              </w:rPr>
            </w:pPr>
            <w:r>
              <w:rPr>
                <w:rFonts w:ascii="Arial" w:cs="Arial" w:eastAsia="Arial" w:hAnsi="Arial"/>
                <w:sz w:val="18"/>
                <w:szCs w:val="18"/>
                <w:color w:val="auto"/>
              </w:rPr>
              <w:t>Available cash and cash equivalents</w:t>
            </w:r>
            <w:r>
              <w:rPr>
                <w:rFonts w:ascii="Arial" w:cs="Arial" w:eastAsia="Arial" w:hAnsi="Arial"/>
                <w:sz w:val="23"/>
                <w:szCs w:val="23"/>
                <w:color w:val="auto"/>
                <w:vertAlign w:val="superscript"/>
              </w:rPr>
              <w:t>(a)</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29"/>
        </w:trPr>
        <w:tc>
          <w:tcPr>
            <w:tcW w:w="8600" w:type="dxa"/>
            <w:vAlign w:val="bottom"/>
          </w:tcPr>
          <w:p>
            <w:pPr>
              <w:ind w:left="20"/>
              <w:spacing w:after="0"/>
              <w:rPr>
                <w:sz w:val="20"/>
                <w:szCs w:val="20"/>
                <w:color w:val="auto"/>
              </w:rPr>
            </w:pPr>
            <w:r>
              <w:rPr>
                <w:rFonts w:ascii="Arial" w:cs="Arial" w:eastAsia="Arial" w:hAnsi="Arial"/>
                <w:sz w:val="18"/>
                <w:szCs w:val="18"/>
                <w:color w:val="auto"/>
              </w:rPr>
              <w:t>Revolving Credit Facility:</w:t>
            </w:r>
          </w:p>
        </w:tc>
        <w:tc>
          <w:tcPr>
            <w:tcW w:w="30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Borrowing capacity</w:t>
            </w:r>
          </w:p>
        </w:tc>
        <w:tc>
          <w:tcPr>
            <w:tcW w:w="300" w:type="dxa"/>
            <w:vAlign w:val="bottom"/>
            <w:shd w:val="clear" w:color="auto" w:fill="CCEEFF"/>
          </w:tcPr>
          <w:p>
            <w:pPr>
              <w:spacing w:after="0"/>
              <w:rPr>
                <w:sz w:val="19"/>
                <w:szCs w:val="19"/>
                <w:color w:val="auto"/>
              </w:rPr>
            </w:pP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0" w:type="dxa"/>
            <w:vAlign w:val="bottom"/>
          </w:tcPr>
          <w:p>
            <w:pPr>
              <w:spacing w:after="0"/>
              <w:rPr>
                <w:sz w:val="1"/>
                <w:szCs w:val="1"/>
                <w:color w:val="auto"/>
              </w:rPr>
            </w:pPr>
          </w:p>
        </w:tc>
      </w:tr>
      <w:tr>
        <w:trPr>
          <w:trHeight w:val="230"/>
        </w:trPr>
        <w:tc>
          <w:tcPr>
            <w:tcW w:w="86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Outstanding letters of credit</w:t>
            </w:r>
          </w:p>
        </w:tc>
        <w:tc>
          <w:tcPr>
            <w:tcW w:w="30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23"/>
        </w:trPr>
        <w:tc>
          <w:tcPr>
            <w:tcW w:w="860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rPr>
              <w:t>Availability</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0" w:type="dxa"/>
            <w:vAlign w:val="bottom"/>
          </w:tcPr>
          <w:p>
            <w:pPr>
              <w:spacing w:after="0"/>
              <w:rPr>
                <w:sz w:val="1"/>
                <w:szCs w:val="1"/>
                <w:color w:val="auto"/>
              </w:rPr>
            </w:pPr>
          </w:p>
        </w:tc>
      </w:tr>
      <w:tr>
        <w:trPr>
          <w:trHeight w:val="257"/>
        </w:trPr>
        <w:tc>
          <w:tcPr>
            <w:tcW w:w="86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3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86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b w:val="1"/>
                <w:bCs w:val="1"/>
                <w:color w:val="auto"/>
              </w:rPr>
              <w:t>Liquidity</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1,138</w:t>
            </w: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(a)  Excludes restricted cash of $28 million.</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860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5" w:lineRule="exact"/>
        <w:rPr>
          <w:sz w:val="20"/>
          <w:szCs w:val="20"/>
          <w:color w:val="auto"/>
        </w:rPr>
      </w:pPr>
    </w:p>
    <w:p>
      <w:pPr>
        <w:ind w:right="100" w:firstLine="324"/>
        <w:spacing w:after="0" w:line="287" w:lineRule="auto"/>
        <w:rPr>
          <w:sz w:val="20"/>
          <w:szCs w:val="20"/>
          <w:color w:val="auto"/>
        </w:rPr>
      </w:pPr>
      <w:r>
        <w:rPr>
          <w:rFonts w:ascii="Arial" w:cs="Arial" w:eastAsia="Arial" w:hAnsi="Arial"/>
          <w:sz w:val="18"/>
          <w:szCs w:val="18"/>
          <w:color w:val="auto"/>
        </w:rPr>
        <w:t xml:space="preserve">We recently amended our Revolving Credit Facility as described in </w:t>
      </w:r>
      <w:r>
        <w:rPr>
          <w:rFonts w:ascii="Arial" w:cs="Arial" w:eastAsia="Arial" w:hAnsi="Arial"/>
          <w:sz w:val="18"/>
          <w:szCs w:val="18"/>
          <w:i w:val="1"/>
          <w:iCs w:val="1"/>
          <w:color w:val="auto"/>
        </w:rPr>
        <w:t>Part I, Item 1 – Financial Statements, Note 4 Debt</w:t>
      </w:r>
      <w:r>
        <w:rPr>
          <w:rFonts w:ascii="Arial" w:cs="Arial" w:eastAsia="Arial" w:hAnsi="Arial"/>
          <w:sz w:val="18"/>
          <w:szCs w:val="18"/>
          <w:color w:val="auto"/>
        </w:rPr>
        <w:t>. We also intend to pursue financing options for our carbon management business that are separate from the rest of our business.</w:t>
      </w:r>
    </w:p>
    <w:p>
      <w:pPr>
        <w:spacing w:after="0" w:line="180"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At current commodity prices and based upon our planned 2024 capital program described below, we expect to generate operating cash flow to support and invest in our core assets and preserve financial flexibility. We regularly review our financial position and evaluate whether to (i) adjust our drilling program, (ii) return available cash to shareholders through dividends or stock buybacks to the extent permitted under our Revolving Credit Facility and the indentures for our 2026 Senior Notes and our 2029 Senior Notes, (iii) reduce outstanding indebtedness,</w:t>
      </w:r>
    </w:p>
    <w:p>
      <w:pPr>
        <w:spacing w:after="0" w:line="2" w:lineRule="exact"/>
        <w:rPr>
          <w:sz w:val="20"/>
          <w:szCs w:val="20"/>
          <w:color w:val="auto"/>
        </w:rPr>
      </w:pPr>
    </w:p>
    <w:p>
      <w:pPr>
        <w:ind w:right="200" w:firstLine="8"/>
        <w:spacing w:after="0" w:line="266" w:lineRule="auto"/>
        <w:tabs>
          <w:tab w:leader="none" w:pos="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advance carbon management activities, or (v) maintain cash and cash equivalents on our balance sheet. We believe we have sufficient sources of liquidity to meet our obligations for the next twelve months.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i w:val="1"/>
          <w:iCs w:val="1"/>
          <w:color w:val="auto"/>
        </w:rPr>
        <w:t>Revolving Credit Facility and Recent Amendment</w:t>
      </w:r>
    </w:p>
    <w:p>
      <w:pPr>
        <w:spacing w:after="0" w:line="250" w:lineRule="exact"/>
        <w:rPr>
          <w:sz w:val="20"/>
          <w:szCs w:val="20"/>
          <w:color w:val="auto"/>
        </w:rPr>
      </w:pPr>
    </w:p>
    <w:p>
      <w:pPr>
        <w:ind w:right="60" w:firstLine="324"/>
        <w:spacing w:after="0" w:line="262" w:lineRule="auto"/>
        <w:rPr>
          <w:sz w:val="20"/>
          <w:szCs w:val="20"/>
          <w:color w:val="auto"/>
        </w:rPr>
      </w:pPr>
      <w:r>
        <w:rPr>
          <w:rFonts w:ascii="Arial" w:cs="Arial" w:eastAsia="Arial" w:hAnsi="Arial"/>
          <w:sz w:val="18"/>
          <w:szCs w:val="18"/>
          <w:color w:val="auto"/>
        </w:rPr>
        <w:t>The borrowing base under our Revolving Credit Facility is redetermined semi-annually and was reaffirmed at $1.5 billion on November 1, 2024. The borrowing base takes into account the estimated value of our proved reserves, total indebtedness and other relevant factors consistent with customary reserves-based lending criteria. The amount we are able to borrow under our Revolving Credit Facility is limited to the amount of the commitments from our lenders.</w:t>
      </w:r>
    </w:p>
    <w:p>
      <w:pPr>
        <w:spacing w:after="0" w:line="203" w:lineRule="exact"/>
        <w:rPr>
          <w:sz w:val="20"/>
          <w:szCs w:val="20"/>
          <w:color w:val="auto"/>
        </w:rPr>
      </w:pPr>
    </w:p>
    <w:p>
      <w:pPr>
        <w:ind w:right="500" w:firstLine="324"/>
        <w:spacing w:after="0" w:line="287" w:lineRule="auto"/>
        <w:rPr>
          <w:sz w:val="20"/>
          <w:szCs w:val="20"/>
          <w:color w:val="auto"/>
        </w:rPr>
      </w:pPr>
      <w:r>
        <w:rPr>
          <w:rFonts w:ascii="Arial" w:cs="Arial" w:eastAsia="Arial" w:hAnsi="Arial"/>
          <w:sz w:val="18"/>
          <w:szCs w:val="18"/>
          <w:color w:val="auto"/>
        </w:rPr>
        <w:t>On November 1, 2024, we entered into a fifth amendment to our Revolving Credit Facility. The amendments included, among other things:</w:t>
      </w:r>
    </w:p>
    <w:p>
      <w:pPr>
        <w:spacing w:after="0" w:line="180"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increasing the amount of the revolving commitments by $50 million to $1,150 million to reflect changes to our lender group;</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extending the maturity date of the facility from July 31, 2027 to March 16, 2029;</w:t>
      </w:r>
    </w:p>
    <w:p>
      <w:pPr>
        <w:spacing w:after="0" w:line="9" w:lineRule="exact"/>
        <w:rPr>
          <w:rFonts w:ascii="Arial" w:cs="Arial" w:eastAsia="Arial" w:hAnsi="Arial"/>
          <w:sz w:val="18"/>
          <w:szCs w:val="18"/>
          <w:color w:val="auto"/>
        </w:rPr>
      </w:pPr>
    </w:p>
    <w:p>
      <w:pPr>
        <w:ind w:left="660" w:right="640" w:hanging="328"/>
        <w:spacing w:after="0" w:line="250"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amending the springing maturity to permit our 2026 Senior Notes to remain outstanding past October 31, 2025 so long as the aggregate availability (less the outstanding 2026 Senior Notes) is not less than 25% of the total revolving commitments;</w:t>
      </w: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increasing our capacity to issue letters of credit from $250 million to $300 million;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 technical amendments.</w:t>
      </w:r>
    </w:p>
    <w:p>
      <w:pPr>
        <w:spacing w:after="0" w:line="234" w:lineRule="exact"/>
        <w:rPr>
          <w:sz w:val="20"/>
          <w:szCs w:val="20"/>
          <w:color w:val="auto"/>
        </w:rPr>
      </w:pPr>
    </w:p>
    <w:p>
      <w:pPr>
        <w:ind w:right="20" w:firstLine="324"/>
        <w:spacing w:after="0" w:line="287" w:lineRule="auto"/>
        <w:rPr>
          <w:sz w:val="20"/>
          <w:szCs w:val="20"/>
          <w:color w:val="auto"/>
        </w:rPr>
      </w:pPr>
      <w:r>
        <w:rPr>
          <w:rFonts w:ascii="Arial" w:cs="Arial" w:eastAsia="Arial" w:hAnsi="Arial"/>
          <w:sz w:val="18"/>
          <w:szCs w:val="18"/>
          <w:color w:val="auto"/>
        </w:rPr>
        <w:t xml:space="preserve">For more information regarding our Revolving Credit Facility and the recent amendments, see </w:t>
      </w:r>
      <w:r>
        <w:rPr>
          <w:rFonts w:ascii="Arial" w:cs="Arial" w:eastAsia="Arial" w:hAnsi="Arial"/>
          <w:sz w:val="18"/>
          <w:szCs w:val="18"/>
          <w:i w:val="1"/>
          <w:iCs w:val="1"/>
          <w:color w:val="auto"/>
        </w:rPr>
        <w:t>Part I, Item 1 – Financial Statements, Note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4 Debt </w:t>
      </w:r>
      <w:r>
        <w:rPr>
          <w:rFonts w:ascii="Arial" w:cs="Arial" w:eastAsia="Arial" w:hAnsi="Arial"/>
          <w:sz w:val="18"/>
          <w:szCs w:val="18"/>
          <w:color w:val="auto"/>
        </w:rPr>
        <w:t>and</w:t>
      </w:r>
      <w:r>
        <w:rPr>
          <w:rFonts w:ascii="Arial" w:cs="Arial" w:eastAsia="Arial" w:hAnsi="Arial"/>
          <w:sz w:val="18"/>
          <w:szCs w:val="18"/>
          <w:i w:val="1"/>
          <w:iCs w:val="1"/>
          <w:color w:val="auto"/>
        </w:rPr>
        <w:t xml:space="preserve"> Note 15 Subsequent Events.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Analysis</w:t>
      </w:r>
    </w:p>
    <w:p>
      <w:pPr>
        <w:spacing w:after="0" w:line="25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Cash flows from operating activities </w:t>
      </w:r>
      <w:r>
        <w:rPr>
          <w:rFonts w:ascii="Arial" w:cs="Arial" w:eastAsia="Arial" w:hAnsi="Arial"/>
          <w:sz w:val="18"/>
          <w:szCs w:val="18"/>
          <w:color w:val="auto"/>
        </w:rPr>
        <w:t>— For the nine months ended September 30, 2024, our operating cash flow decreased by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$118 million to $404 million from $522 million in the same period in 2023. This decrease in operating cash flow was primarily driven by lower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natural gas prices in California markets during the nine months ended September 30, 2024 compared to the same prior year period. Our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average natural gas prices decreased $7.09 per Mcf from $9.85 per MMcf in the nine months ended September 30, 2023 to $2.76 per Mcf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during the nine months ended September 30, 2024. Further, our natural gas production decreased by 22 MMcf/d from 136 MMcf/d in the nine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months ended September 30, 2023 to 114 MMcf/d in the nine months ended September 30, 2024, also contributing to the decrease.</w:t>
      </w:r>
    </w:p>
    <w:p>
      <w:pPr>
        <w:spacing w:after="0" w:line="234" w:lineRule="exact"/>
        <w:rPr>
          <w:sz w:val="20"/>
          <w:szCs w:val="20"/>
          <w:color w:val="auto"/>
        </w:rPr>
      </w:pPr>
    </w:p>
    <w:p>
      <w:pPr>
        <w:ind w:right="220" w:firstLine="324"/>
        <w:spacing w:after="0" w:line="262" w:lineRule="auto"/>
        <w:rPr>
          <w:sz w:val="20"/>
          <w:szCs w:val="20"/>
          <w:color w:val="auto"/>
        </w:rPr>
      </w:pPr>
      <w:r>
        <w:rPr>
          <w:rFonts w:ascii="Arial" w:cs="Arial" w:eastAsia="Arial" w:hAnsi="Arial"/>
          <w:sz w:val="18"/>
          <w:szCs w:val="18"/>
          <w:color w:val="auto"/>
        </w:rPr>
        <w:t>Partially offsetting the decrease related to natural as prices and volumes, our realized oil price with derivative settlements increased by $12.85 per barrel to $77.10 in the nine months ended September 30, 2024 from $64.25 in the same prior year period and our net oil production volumes increased 16 MBbl/d from 53 MBbl/d in the nine months ended September 30, 2023 to 69 MBbl/d in the nine months ended September 30, 2024 as a result of the addition of Aera in the third quarter of 2024.</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Transaction and integration costs related to the Aera Merger decreased operating cash flow by $56 million in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55" w:name="page56"/>
    <w:bookmarkEnd w:id="55"/>
    <w:p>
      <w:pPr>
        <w:ind w:left="340"/>
        <w:spacing w:after="0"/>
        <w:rPr>
          <w:sz w:val="20"/>
          <w:szCs w:val="20"/>
          <w:color w:val="auto"/>
        </w:rPr>
      </w:pPr>
      <w:r>
        <w:rPr>
          <w:rFonts w:ascii="Arial" w:cs="Arial" w:eastAsia="Arial" w:hAnsi="Arial"/>
          <w:sz w:val="18"/>
          <w:szCs w:val="18"/>
          <w:b w:val="1"/>
          <w:bCs w:val="1"/>
          <w:i w:val="1"/>
          <w:iCs w:val="1"/>
          <w:color w:val="auto"/>
        </w:rPr>
        <w:t xml:space="preserve">Cash flows used in investing activities </w:t>
      </w:r>
      <w:r>
        <w:rPr>
          <w:rFonts w:ascii="Arial" w:cs="Arial" w:eastAsia="Arial" w:hAnsi="Arial"/>
          <w:sz w:val="18"/>
          <w:szCs w:val="18"/>
          <w:color w:val="auto"/>
        </w:rPr>
        <w:t>— The following table provides a comparative summary of net cash used in investing activities:</w:t>
      </w:r>
    </w:p>
    <w:p>
      <w:pPr>
        <w:spacing w:after="0" w:line="279" w:lineRule="exact"/>
        <w:rPr>
          <w:sz w:val="20"/>
          <w:szCs w:val="20"/>
          <w:color w:val="auto"/>
        </w:rPr>
      </w:pPr>
    </w:p>
    <w:p>
      <w:pPr>
        <w:jc w:val="center"/>
        <w:ind w:left="7400"/>
        <w:spacing w:after="0"/>
        <w:rPr>
          <w:sz w:val="20"/>
          <w:szCs w:val="20"/>
          <w:color w:val="auto"/>
        </w:rPr>
      </w:pPr>
      <w:r>
        <w:rPr>
          <w:rFonts w:ascii="Arial" w:cs="Arial" w:eastAsia="Arial" w:hAnsi="Arial"/>
          <w:sz w:val="18"/>
          <w:szCs w:val="18"/>
          <w:b w:val="1"/>
          <w:bCs w:val="1"/>
          <w:color w:val="auto"/>
        </w:rPr>
        <w:t>Nine months ended</w:t>
      </w:r>
    </w:p>
    <w:p>
      <w:pPr>
        <w:jc w:val="center"/>
        <w:ind w:left="7400"/>
        <w:spacing w:after="0"/>
        <w:rPr>
          <w:sz w:val="20"/>
          <w:szCs w:val="20"/>
          <w:color w:val="auto"/>
        </w:rPr>
      </w:pPr>
      <w:r>
        <w:rPr>
          <w:rFonts w:ascii="Arial" w:cs="Arial" w:eastAsia="Arial" w:hAnsi="Arial"/>
          <w:sz w:val="18"/>
          <w:szCs w:val="18"/>
          <w:b w:val="1"/>
          <w:bCs w:val="1"/>
          <w:color w:val="auto"/>
        </w:rPr>
        <w:t>September 30,</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42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2024</w:t>
            </w:r>
          </w:p>
        </w:tc>
        <w:tc>
          <w:tcPr>
            <w:tcW w:w="6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2023</w:t>
            </w:r>
          </w:p>
        </w:tc>
      </w:tr>
      <w:tr>
        <w:trPr>
          <w:trHeight w:val="233"/>
        </w:trPr>
        <w:tc>
          <w:tcPr>
            <w:tcW w:w="74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80" w:type="dxa"/>
            <w:vAlign w:val="bottom"/>
            <w:gridSpan w:val="3"/>
          </w:tcPr>
          <w:p>
            <w:pPr>
              <w:jc w:val="right"/>
              <w:ind w:right="110"/>
              <w:spacing w:after="0"/>
              <w:rPr>
                <w:sz w:val="20"/>
                <w:szCs w:val="20"/>
                <w:color w:val="auto"/>
              </w:rPr>
            </w:pPr>
            <w:r>
              <w:rPr>
                <w:rFonts w:ascii="Arial" w:cs="Arial" w:eastAsia="Arial" w:hAnsi="Arial"/>
                <w:sz w:val="14"/>
                <w:szCs w:val="14"/>
                <w:color w:val="auto"/>
              </w:rPr>
              <w:t>(in millions)</w:t>
            </w:r>
          </w:p>
        </w:tc>
        <w:tc>
          <w:tcPr>
            <w:tcW w:w="1340" w:type="dxa"/>
            <w:vAlign w:val="bottom"/>
          </w:tcPr>
          <w:p>
            <w:pPr>
              <w:spacing w:after="0"/>
              <w:rPr>
                <w:sz w:val="20"/>
                <w:szCs w:val="20"/>
                <w:color w:val="auto"/>
              </w:rPr>
            </w:pPr>
          </w:p>
        </w:tc>
      </w:tr>
      <w:tr>
        <w:trPr>
          <w:trHeight w:val="233"/>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investments</w:t>
            </w:r>
          </w:p>
        </w:tc>
        <w:tc>
          <w:tcPr>
            <w:tcW w:w="1200" w:type="dxa"/>
            <w:vAlign w:val="bottom"/>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r>
      <w:tr>
        <w:trPr>
          <w:trHeight w:val="229"/>
        </w:trPr>
        <w:tc>
          <w:tcPr>
            <w:tcW w:w="7420" w:type="dxa"/>
            <w:vAlign w:val="bottom"/>
          </w:tcPr>
          <w:p>
            <w:pPr>
              <w:ind w:left="20"/>
              <w:spacing w:after="0"/>
              <w:rPr>
                <w:sz w:val="20"/>
                <w:szCs w:val="20"/>
                <w:color w:val="auto"/>
              </w:rPr>
            </w:pPr>
            <w:r>
              <w:rPr>
                <w:rFonts w:ascii="Arial" w:cs="Arial" w:eastAsia="Arial" w:hAnsi="Arial"/>
                <w:sz w:val="18"/>
                <w:szCs w:val="18"/>
                <w:color w:val="auto"/>
              </w:rPr>
              <w:t>Changes in accrued capital investments</w:t>
            </w:r>
          </w:p>
        </w:tc>
        <w:tc>
          <w:tcPr>
            <w:tcW w:w="1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divestitures, net</w:t>
            </w:r>
          </w:p>
        </w:tc>
        <w:tc>
          <w:tcPr>
            <w:tcW w:w="1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420" w:type="dxa"/>
            <w:vAlign w:val="bottom"/>
          </w:tcPr>
          <w:p>
            <w:pPr>
              <w:ind w:left="20"/>
              <w:spacing w:after="0"/>
              <w:rPr>
                <w:sz w:val="20"/>
                <w:szCs w:val="20"/>
                <w:color w:val="auto"/>
              </w:rPr>
            </w:pPr>
            <w:r>
              <w:rPr>
                <w:rFonts w:ascii="Arial" w:cs="Arial" w:eastAsia="Arial" w:hAnsi="Arial"/>
                <w:sz w:val="18"/>
                <w:szCs w:val="18"/>
                <w:color w:val="auto"/>
              </w:rPr>
              <w:t>Purchase of a business, net of cash acquired</w:t>
            </w:r>
          </w:p>
        </w:tc>
        <w:tc>
          <w:tcPr>
            <w:tcW w:w="1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(853)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Acquisitions</w:t>
            </w:r>
          </w:p>
        </w:tc>
        <w:tc>
          <w:tcPr>
            <w:tcW w:w="1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net</w:t>
            </w:r>
          </w:p>
        </w:tc>
        <w:tc>
          <w:tcPr>
            <w:tcW w:w="1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48"/>
        </w:trPr>
        <w:tc>
          <w:tcPr>
            <w:tcW w:w="7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used in investing activities</w:t>
            </w:r>
          </w:p>
        </w:tc>
        <w:tc>
          <w:tcPr>
            <w:tcW w:w="1200" w:type="dxa"/>
            <w:vAlign w:val="bottom"/>
            <w:tcBorders>
              <w:bottom w:val="single" w:sz="8" w:color="auto"/>
            </w:tcBorders>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860" w:firstLine="324"/>
        <w:spacing w:after="0" w:line="287" w:lineRule="auto"/>
        <w:rPr>
          <w:sz w:val="20"/>
          <w:szCs w:val="20"/>
          <w:color w:val="auto"/>
        </w:rPr>
      </w:pPr>
      <w:r>
        <w:rPr>
          <w:rFonts w:ascii="Arial" w:cs="Arial" w:eastAsia="Arial" w:hAnsi="Arial"/>
          <w:sz w:val="18"/>
          <w:szCs w:val="18"/>
          <w:color w:val="auto"/>
        </w:rPr>
        <w:t xml:space="preserve">In March 2024, we sold our 0.9-acre Fort Apache real estate property in Huntington Beach, California for $10 million. For more information on our divestitures, see </w:t>
      </w:r>
      <w:r>
        <w:rPr>
          <w:rFonts w:ascii="Arial" w:cs="Arial" w:eastAsia="Arial" w:hAnsi="Arial"/>
          <w:sz w:val="18"/>
          <w:szCs w:val="18"/>
          <w:i w:val="1"/>
          <w:iCs w:val="1"/>
          <w:color w:val="auto"/>
        </w:rPr>
        <w:t>Part I, Item 1 – Financial Statements, Note 7 Divestitures and Acquisitions.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 xml:space="preserve">Cash flows used in financing activities </w:t>
      </w:r>
      <w:r>
        <w:rPr>
          <w:rFonts w:ascii="Arial" w:cs="Arial" w:eastAsia="Arial" w:hAnsi="Arial"/>
          <w:sz w:val="17"/>
          <w:szCs w:val="17"/>
          <w:color w:val="auto"/>
        </w:rPr>
        <w:t>— The following table provides a comparative summary of net cash used in financing activities:</w:t>
      </w:r>
    </w:p>
    <w:p>
      <w:pPr>
        <w:spacing w:after="0" w:line="291" w:lineRule="exact"/>
        <w:rPr>
          <w:sz w:val="20"/>
          <w:szCs w:val="20"/>
          <w:color w:val="auto"/>
        </w:rPr>
      </w:pPr>
    </w:p>
    <w:p>
      <w:pPr>
        <w:jc w:val="center"/>
        <w:ind w:left="7420"/>
        <w:spacing w:after="0"/>
        <w:rPr>
          <w:sz w:val="20"/>
          <w:szCs w:val="20"/>
          <w:color w:val="auto"/>
        </w:rPr>
      </w:pPr>
      <w:r>
        <w:rPr>
          <w:rFonts w:ascii="Arial" w:cs="Arial" w:eastAsia="Arial" w:hAnsi="Arial"/>
          <w:sz w:val="18"/>
          <w:szCs w:val="18"/>
          <w:b w:val="1"/>
          <w:bCs w:val="1"/>
          <w:color w:val="auto"/>
        </w:rPr>
        <w:t>Nine months ended</w:t>
      </w:r>
    </w:p>
    <w:p>
      <w:pPr>
        <w:jc w:val="center"/>
        <w:ind w:left="7420"/>
        <w:spacing w:after="0"/>
        <w:rPr>
          <w:sz w:val="20"/>
          <w:szCs w:val="20"/>
          <w:color w:val="auto"/>
        </w:rPr>
      </w:pPr>
      <w:r>
        <w:rPr>
          <w:rFonts w:ascii="Arial" w:cs="Arial" w:eastAsia="Arial" w:hAnsi="Arial"/>
          <w:sz w:val="18"/>
          <w:szCs w:val="18"/>
          <w:b w:val="1"/>
          <w:bCs w:val="1"/>
          <w:color w:val="auto"/>
        </w:rPr>
        <w:t>September 30,</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744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2024</w:t>
            </w:r>
          </w:p>
        </w:tc>
        <w:tc>
          <w:tcPr>
            <w:tcW w:w="5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2023</w:t>
            </w:r>
          </w:p>
        </w:tc>
      </w:tr>
      <w:tr>
        <w:trPr>
          <w:trHeight w:val="233"/>
        </w:trPr>
        <w:tc>
          <w:tcPr>
            <w:tcW w:w="74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0" w:type="dxa"/>
            <w:vAlign w:val="bottom"/>
            <w:gridSpan w:val="3"/>
          </w:tcPr>
          <w:p>
            <w:pPr>
              <w:jc w:val="right"/>
              <w:ind w:right="110"/>
              <w:spacing w:after="0"/>
              <w:rPr>
                <w:sz w:val="20"/>
                <w:szCs w:val="20"/>
                <w:color w:val="auto"/>
              </w:rPr>
            </w:pPr>
            <w:r>
              <w:rPr>
                <w:rFonts w:ascii="Arial" w:cs="Arial" w:eastAsia="Arial" w:hAnsi="Arial"/>
                <w:sz w:val="14"/>
                <w:szCs w:val="14"/>
                <w:color w:val="auto"/>
              </w:rPr>
              <w:t>(in millions)</w:t>
            </w:r>
          </w:p>
        </w:tc>
        <w:tc>
          <w:tcPr>
            <w:tcW w:w="1340" w:type="dxa"/>
            <w:vAlign w:val="bottom"/>
          </w:tcPr>
          <w:p>
            <w:pPr>
              <w:spacing w:after="0"/>
              <w:rPr>
                <w:sz w:val="20"/>
                <w:szCs w:val="20"/>
                <w:color w:val="auto"/>
              </w:rPr>
            </w:pPr>
          </w:p>
        </w:tc>
      </w:tr>
      <w:tr>
        <w:trPr>
          <w:trHeight w:val="234"/>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Revolving Credit Facility</w:t>
            </w:r>
          </w:p>
        </w:tc>
        <w:tc>
          <w:tcPr>
            <w:tcW w:w="1260" w:type="dxa"/>
            <w:vAlign w:val="bottom"/>
            <w:shd w:val="clear" w:color="auto" w:fill="CCEEFF"/>
          </w:tcPr>
          <w:p>
            <w:pPr>
              <w:jc w:val="right"/>
              <w:ind w:right="105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440" w:type="dxa"/>
            <w:vAlign w:val="bottom"/>
          </w:tcPr>
          <w:p>
            <w:pPr>
              <w:ind w:left="20"/>
              <w:spacing w:after="0"/>
              <w:rPr>
                <w:sz w:val="20"/>
                <w:szCs w:val="20"/>
                <w:color w:val="auto"/>
              </w:rPr>
            </w:pPr>
            <w:r>
              <w:rPr>
                <w:rFonts w:ascii="Arial" w:cs="Arial" w:eastAsia="Arial" w:hAnsi="Arial"/>
                <w:sz w:val="18"/>
                <w:szCs w:val="18"/>
                <w:color w:val="auto"/>
              </w:rPr>
              <w:t>Repayments of Revolving Credit Facility</w:t>
            </w:r>
          </w:p>
        </w:tc>
        <w:tc>
          <w:tcPr>
            <w:tcW w:w="1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2029 Senior Notes, net</w:t>
            </w:r>
          </w:p>
        </w:tc>
        <w:tc>
          <w:tcPr>
            <w:tcW w:w="12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440" w:type="dxa"/>
            <w:vAlign w:val="bottom"/>
          </w:tcPr>
          <w:p>
            <w:pPr>
              <w:ind w:left="20"/>
              <w:spacing w:after="0" w:line="230" w:lineRule="exact"/>
              <w:rPr>
                <w:sz w:val="20"/>
                <w:szCs w:val="20"/>
                <w:color w:val="auto"/>
              </w:rPr>
            </w:pPr>
            <w:r>
              <w:rPr>
                <w:rFonts w:ascii="Arial" w:cs="Arial" w:eastAsia="Arial" w:hAnsi="Arial"/>
                <w:sz w:val="18"/>
                <w:szCs w:val="18"/>
                <w:color w:val="auto"/>
              </w:rPr>
              <w:t>Repurchases of common stock</w:t>
            </w:r>
            <w:r>
              <w:rPr>
                <w:rFonts w:ascii="Arial" w:cs="Arial" w:eastAsia="Arial" w:hAnsi="Arial"/>
                <w:sz w:val="23"/>
                <w:szCs w:val="23"/>
                <w:color w:val="auto"/>
                <w:vertAlign w:val="superscript"/>
              </w:rPr>
              <w:t>(a)</w:t>
            </w:r>
          </w:p>
        </w:tc>
        <w:tc>
          <w:tcPr>
            <w:tcW w:w="1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230"/>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 dividends</w:t>
            </w:r>
          </w:p>
        </w:tc>
        <w:tc>
          <w:tcPr>
            <w:tcW w:w="12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29"/>
        </w:trPr>
        <w:tc>
          <w:tcPr>
            <w:tcW w:w="7440" w:type="dxa"/>
            <w:vAlign w:val="bottom"/>
          </w:tcPr>
          <w:p>
            <w:pPr>
              <w:ind w:left="20"/>
              <w:spacing w:after="0"/>
              <w:rPr>
                <w:sz w:val="20"/>
                <w:szCs w:val="20"/>
                <w:color w:val="auto"/>
              </w:rPr>
            </w:pPr>
            <w:r>
              <w:rPr>
                <w:rFonts w:ascii="Arial" w:cs="Arial" w:eastAsia="Arial" w:hAnsi="Arial"/>
                <w:sz w:val="18"/>
                <w:szCs w:val="18"/>
                <w:color w:val="auto"/>
              </w:rPr>
              <w:t>Payments on equity-settled awards</w:t>
            </w:r>
          </w:p>
        </w:tc>
        <w:tc>
          <w:tcPr>
            <w:tcW w:w="1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Issuance of common stock</w:t>
            </w:r>
          </w:p>
        </w:tc>
        <w:tc>
          <w:tcPr>
            <w:tcW w:w="12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7440" w:type="dxa"/>
            <w:vAlign w:val="bottom"/>
          </w:tcPr>
          <w:p>
            <w:pPr>
              <w:ind w:left="20"/>
              <w:spacing w:after="0"/>
              <w:rPr>
                <w:sz w:val="20"/>
                <w:szCs w:val="20"/>
                <w:color w:val="auto"/>
              </w:rPr>
            </w:pPr>
            <w:r>
              <w:rPr>
                <w:rFonts w:ascii="Arial" w:cs="Arial" w:eastAsia="Arial" w:hAnsi="Arial"/>
                <w:sz w:val="18"/>
                <w:szCs w:val="18"/>
                <w:color w:val="auto"/>
              </w:rPr>
              <w:t>Bridge loan commitment costs</w:t>
            </w:r>
          </w:p>
        </w:tc>
        <w:tc>
          <w:tcPr>
            <w:tcW w:w="1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 repurchases</w:t>
            </w:r>
          </w:p>
        </w:tc>
        <w:tc>
          <w:tcPr>
            <w:tcW w:w="12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7440" w:type="dxa"/>
            <w:vAlign w:val="bottom"/>
          </w:tcPr>
          <w:p>
            <w:pPr>
              <w:ind w:left="20"/>
              <w:spacing w:after="0"/>
              <w:rPr>
                <w:sz w:val="20"/>
                <w:szCs w:val="20"/>
                <w:color w:val="auto"/>
              </w:rPr>
            </w:pPr>
            <w:r>
              <w:rPr>
                <w:rFonts w:ascii="Arial" w:cs="Arial" w:eastAsia="Arial" w:hAnsi="Arial"/>
                <w:sz w:val="18"/>
                <w:szCs w:val="18"/>
                <w:color w:val="auto"/>
              </w:rPr>
              <w:t>Debt amendment costs</w:t>
            </w:r>
          </w:p>
        </w:tc>
        <w:tc>
          <w:tcPr>
            <w:tcW w:w="1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warrants exercised</w:t>
            </w:r>
          </w:p>
        </w:tc>
        <w:tc>
          <w:tcPr>
            <w:tcW w:w="12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Shares cancelled for taxes</w:t>
            </w:r>
          </w:p>
        </w:tc>
        <w:tc>
          <w:tcPr>
            <w:tcW w:w="12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48"/>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provided by (used in) financing activities</w:t>
            </w:r>
          </w:p>
        </w:tc>
        <w:tc>
          <w:tcPr>
            <w:tcW w:w="1260" w:type="dxa"/>
            <w:vAlign w:val="bottom"/>
            <w:tcBorders>
              <w:bottom w:val="single" w:sz="8" w:color="auto"/>
            </w:tcBorders>
            <w:shd w:val="clear" w:color="auto" w:fill="CCEEFF"/>
          </w:tcPr>
          <w:p>
            <w:pPr>
              <w:jc w:val="right"/>
              <w:ind w:right="105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ind w:left="340" w:right="140" w:hanging="332"/>
        <w:spacing w:after="0" w:line="283" w:lineRule="auto"/>
        <w:tabs>
          <w:tab w:leader="none" w:pos="327"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total value of shares purchased reported on our statement of cash flows includes approximately $1 million in both the nine months ended September 30, 2024 and 2023 related to excise taxes on share repurchases, which was effective beginning on January 1, 2023. Commissions paid on share repurchases were not significant in all periods presented.</w:t>
      </w:r>
    </w:p>
    <w:p>
      <w:pPr>
        <w:spacing w:after="0" w:line="190"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 xml:space="preserve">A significant number of stock-based compensation awards were settled in the first quarter of 2024. These awards were primarily granted in January 2021 following our emergence from bankruptcy. We withheld shares of common stock to satisfy the tax withholding obligations (shares cancelled for taxes). In addition to the $81 million of dividends paid in the nine months ended September 30, 2024, we paid $4 million of dividend equivalents accrued on our stock-based compensation awards. For more information on the terms of our stock-based compensation awards, refer to </w:t>
      </w:r>
      <w:r>
        <w:rPr>
          <w:rFonts w:ascii="Arial" w:cs="Arial" w:eastAsia="Arial" w:hAnsi="Arial"/>
          <w:sz w:val="18"/>
          <w:szCs w:val="18"/>
          <w:i w:val="1"/>
          <w:iCs w:val="1"/>
          <w:color w:val="auto"/>
        </w:rPr>
        <w:t>Part II, Item 8 – Financial Statements and Supplementary Data, Note 9 Stock-Based Compensation</w:t>
      </w:r>
      <w:r>
        <w:rPr>
          <w:rFonts w:ascii="Arial" w:cs="Arial" w:eastAsia="Arial" w:hAnsi="Arial"/>
          <w:sz w:val="18"/>
          <w:szCs w:val="18"/>
          <w:color w:val="auto"/>
        </w:rPr>
        <w:t xml:space="preserve"> in our 2023 Annual Report.</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i w:val="1"/>
          <w:iCs w:val="1"/>
          <w:color w:val="auto"/>
        </w:rPr>
        <w:t>2024 Capital Program</w:t>
      </w:r>
    </w:p>
    <w:p>
      <w:pPr>
        <w:spacing w:after="0" w:line="250"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 xml:space="preserve">Our capital program is dynamic in response to commodity price volatility and permit availability while focusing on oil production and maximizing our free cash flow. Our capital investment for the nine months ended September 30, 2024 was $ 167 million inclusive of $25 million for capital investment related to Aera's operations since the July 1, 2024 acquisition date. We expect our capital program for the remainder of 2024 to range between $ 85 million and $105 million under current permitting conditions. Of this amount, $77 million to $90 million is related to oil and natural gas development, $5 million to $10 million is for carbon management projects and $3 million to $5 million is for corporate and other. We expect to run a one rig program for the remainder of 2024 executing projects using existing permits. Refer to </w:t>
      </w:r>
      <w:r>
        <w:rPr>
          <w:rFonts w:ascii="Arial" w:cs="Arial" w:eastAsia="Arial" w:hAnsi="Arial"/>
          <w:sz w:val="18"/>
          <w:szCs w:val="18"/>
          <w:i w:val="1"/>
          <w:iCs w:val="1"/>
          <w:color w:val="auto"/>
        </w:rPr>
        <w:t xml:space="preserve">Regulatory Updates </w:t>
      </w:r>
      <w:r>
        <w:rPr>
          <w:rFonts w:ascii="Arial" w:cs="Arial" w:eastAsia="Arial" w:hAnsi="Arial"/>
          <w:sz w:val="18"/>
          <w:szCs w:val="18"/>
          <w:color w:val="auto"/>
        </w:rPr>
        <w:t>above for more information on permitting.</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w:t>
      </w:r>
    </w:p>
    <w:p>
      <w:pPr>
        <w:spacing w:after="0" w:line="250" w:lineRule="exact"/>
        <w:rPr>
          <w:sz w:val="20"/>
          <w:szCs w:val="20"/>
          <w:color w:val="auto"/>
        </w:rPr>
      </w:pPr>
    </w:p>
    <w:p>
      <w:pPr>
        <w:ind w:right="20" w:firstLine="324"/>
        <w:spacing w:after="0" w:line="262" w:lineRule="auto"/>
        <w:rPr>
          <w:sz w:val="20"/>
          <w:szCs w:val="20"/>
          <w:color w:val="auto"/>
        </w:rPr>
      </w:pPr>
      <w:r>
        <w:rPr>
          <w:rFonts w:ascii="Arial" w:cs="Arial" w:eastAsia="Arial" w:hAnsi="Arial"/>
          <w:sz w:val="18"/>
          <w:szCs w:val="18"/>
          <w:color w:val="auto"/>
        </w:rPr>
        <w:t>Significant changes in oil and natural gas prices may have a material impact on our liquidity. Declining commodity prices negatively affect our operating cash flow, and the inverse applies during periods of rising commodity prices. Our hedging strategy seeks to mitigate our exposure to commodity price volatility and ensure our financial strength and liquidity by protecting our cash flows. We will continue to evaluate our hedging strategy based on prevailing market prices and conditions.</w:t>
      </w:r>
    </w:p>
    <w:p>
      <w:pPr>
        <w:spacing w:after="0" w:line="203"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 xml:space="preserve">Unless otherwise indicated, we use the term “hedge” to describe derivative instruments that are designed to achieve our hedging requirements and program goals, even though they are not accounted for as cash-flow or fair-value hedges. We did not have any commodity derivatives designated as accounting hedges as of and during the nine months ended September 30, 2024. See </w:t>
      </w:r>
      <w:r>
        <w:rPr>
          <w:rFonts w:ascii="Arial" w:cs="Arial" w:eastAsia="Arial" w:hAnsi="Arial"/>
          <w:sz w:val="18"/>
          <w:szCs w:val="18"/>
          <w:i w:val="1"/>
          <w:iCs w:val="1"/>
          <w:color w:val="auto"/>
        </w:rPr>
        <w:t>Part I, Item 1 –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Statements, Note 6 Derivatives </w:t>
      </w:r>
      <w:r>
        <w:rPr>
          <w:rFonts w:ascii="Arial" w:cs="Arial" w:eastAsia="Arial" w:hAnsi="Arial"/>
          <w:sz w:val="18"/>
          <w:szCs w:val="18"/>
          <w:color w:val="auto"/>
        </w:rPr>
        <w:t>for further information on our derivatives and a summary of our open derivative contracts as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September 30, 2024 and </w:t>
      </w:r>
      <w:r>
        <w:rPr>
          <w:rFonts w:ascii="Arial" w:cs="Arial" w:eastAsia="Arial" w:hAnsi="Arial"/>
          <w:sz w:val="18"/>
          <w:szCs w:val="18"/>
          <w:i w:val="1"/>
          <w:iCs w:val="1"/>
          <w:color w:val="auto"/>
        </w:rPr>
        <w:t>Part II, Item 8 – Financial Statements and Supplementary Data, Note 4 Debt</w:t>
      </w:r>
      <w:r>
        <w:rPr>
          <w:rFonts w:ascii="Arial" w:cs="Arial" w:eastAsia="Arial" w:hAnsi="Arial"/>
          <w:sz w:val="18"/>
          <w:szCs w:val="18"/>
          <w:color w:val="auto"/>
        </w:rPr>
        <w:t xml:space="preserve"> in our 2023 Annual Report for information on the hedging requirements included in our Revolving Credit Facility.</w:t>
      </w:r>
    </w:p>
    <w:p>
      <w:pPr>
        <w:sectPr>
          <w:pgSz w:w="11900" w:h="16838" w:orient="portrait"/>
          <w:cols w:equalWidth="0" w:num="1">
            <w:col w:w="11240"/>
          </w:cols>
          <w:pgMar w:left="320" w:top="892" w:right="339" w:bottom="144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Related to Our Common Stock</w:t>
      </w:r>
    </w:p>
    <w:p>
      <w:pPr>
        <w:spacing w:after="0" w:line="25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is a summary of common stock issuances:</w:t>
      </w: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at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Issued as part of the Aera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460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Shares repurchased</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Shares issued for exercised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460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Other shares issued, net</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at September 30, 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-457200</wp:posOffset>
            </wp:positionH>
            <wp:positionV relativeFrom="paragraph">
              <wp:posOffset>17780</wp:posOffset>
            </wp:positionV>
            <wp:extent cx="17399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739900" cy="8890"/>
                    </a:xfrm>
                    <a:prstGeom prst="rect">
                      <a:avLst/>
                    </a:prstGeom>
                    <a:noFill/>
                  </pic:spPr>
                </pic:pic>
              </a:graphicData>
            </a:graphic>
          </wp:anchor>
        </w:drawing>
      </w:r>
    </w:p>
    <w:p>
      <w:pPr>
        <w:spacing w:after="0" w:line="57"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68,693,885</w:t>
      </w:r>
    </w:p>
    <w:p>
      <w:pPr>
        <w:spacing w:after="0" w:line="32"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21,315,707</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(2,604,922)</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1,139,163</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917,840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-457200</wp:posOffset>
            </wp:positionH>
            <wp:positionV relativeFrom="paragraph">
              <wp:posOffset>12065</wp:posOffset>
            </wp:positionV>
            <wp:extent cx="173990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739900" cy="8255"/>
                    </a:xfrm>
                    <a:prstGeom prst="rect">
                      <a:avLst/>
                    </a:prstGeom>
                    <a:noFill/>
                  </pic:spPr>
                </pic:pic>
              </a:graphicData>
            </a:graphic>
          </wp:anchor>
        </w:drawing>
      </w:r>
    </w:p>
    <w:p>
      <w:pPr>
        <w:spacing w:after="0" w:line="7"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89,461,673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-457200</wp:posOffset>
            </wp:positionH>
            <wp:positionV relativeFrom="paragraph">
              <wp:posOffset>17780</wp:posOffset>
            </wp:positionV>
            <wp:extent cx="173990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739900" cy="8255"/>
                    </a:xfrm>
                    <a:prstGeom prst="rect">
                      <a:avLst/>
                    </a:prstGeom>
                    <a:noFill/>
                  </pic:spPr>
                </pic:pic>
              </a:graphicData>
            </a:graphic>
          </wp:anchor>
        </w:drawing>
        <w:drawing>
          <wp:anchor simplePos="0" relativeHeight="251657728" behindDoc="1" locked="0" layoutInCell="0" allowOverlap="1">
            <wp:simplePos x="0" y="0"/>
            <wp:positionH relativeFrom="column">
              <wp:posOffset>-457200</wp:posOffset>
            </wp:positionH>
            <wp:positionV relativeFrom="paragraph">
              <wp:posOffset>43180</wp:posOffset>
            </wp:positionV>
            <wp:extent cx="173990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739900" cy="8255"/>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2">
            <w:col w:w="8500" w:space="720"/>
            <w:col w:w="2020"/>
          </w:cols>
          <w:pgMar w:left="320" w:top="892" w:right="339" w:bottom="1440" w:gutter="0" w:footer="0" w:header="0"/>
          <w:type w:val="continuous"/>
        </w:sectPr>
      </w:pP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Common Stock Issued as Part of the Aera Merger</w:t>
      </w:r>
    </w:p>
    <w:p>
      <w:pPr>
        <w:spacing w:after="0" w:line="250" w:lineRule="exact"/>
        <w:rPr>
          <w:sz w:val="20"/>
          <w:szCs w:val="20"/>
          <w:color w:val="auto"/>
        </w:rPr>
      </w:pPr>
    </w:p>
    <w:p>
      <w:pPr>
        <w:ind w:right="160" w:firstLine="324"/>
        <w:spacing w:after="0" w:line="262" w:lineRule="auto"/>
        <w:rPr>
          <w:sz w:val="20"/>
          <w:szCs w:val="20"/>
          <w:color w:val="auto"/>
        </w:rPr>
      </w:pPr>
      <w:r>
        <w:rPr>
          <w:rFonts w:ascii="Arial" w:cs="Arial" w:eastAsia="Arial" w:hAnsi="Arial"/>
          <w:sz w:val="18"/>
          <w:szCs w:val="18"/>
          <w:color w:val="auto"/>
        </w:rPr>
        <w:t xml:space="preserve">In connection with the Aera Merger, as described in </w:t>
      </w:r>
      <w:r>
        <w:rPr>
          <w:rFonts w:ascii="Arial" w:cs="Arial" w:eastAsia="Arial" w:hAnsi="Arial"/>
          <w:sz w:val="18"/>
          <w:szCs w:val="18"/>
          <w:i w:val="1"/>
          <w:iCs w:val="1"/>
          <w:color w:val="auto"/>
        </w:rPr>
        <w:t>Part I, Item 1 – Financial Statements, Note 2 Aera Merger,</w:t>
      </w:r>
      <w:r>
        <w:rPr>
          <w:rFonts w:ascii="Arial" w:cs="Arial" w:eastAsia="Arial" w:hAnsi="Arial"/>
          <w:sz w:val="18"/>
          <w:szCs w:val="18"/>
          <w:color w:val="auto"/>
        </w:rPr>
        <w:t xml:space="preserve"> on July 1, 2024 we entered into a registration rights agreement (Registration Rights Agreement) with the Sellers. In accordance with the Registration Rights Agreement, a total of 21,315,707 shares of common stock were registered pursuant to a registration statement on Form S-3 filed on August 5, 2024.</w:t>
      </w:r>
    </w:p>
    <w:p>
      <w:pPr>
        <w:spacing w:after="0" w:line="203"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Registration Rights Agreement contemplates that each Seller is subject to certain lock-up provisions whereby such Seller agreed not to transfer (1) any shares of common stock issued to such Seller to any non-affiliate until January 1, 2025; (2) more than one-third of the shares of common stock issued to such Seller to any non-affiliate until July 1, 2025; and (3) more than two-thirds of the shares of common stock issued to such Seller to any non-affiliate until January 1, 2026. The lock up provisions are subject to certain exceptions as more particularly described in the Registration Rights Agreement, included as Exhibit 10.4 thereto.</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type w:val="continuous"/>
        </w:sectPr>
      </w:pPr>
    </w:p>
    <w:bookmarkStart w:id="57" w:name="page58"/>
    <w:bookmarkEnd w:id="57"/>
    <w:p>
      <w:pPr>
        <w:spacing w:after="0"/>
        <w:rPr>
          <w:sz w:val="20"/>
          <w:szCs w:val="20"/>
          <w:color w:val="auto"/>
        </w:rPr>
      </w:pPr>
      <w:r>
        <w:rPr>
          <w:rFonts w:ascii="Arial" w:cs="Arial" w:eastAsia="Arial" w:hAnsi="Arial"/>
          <w:sz w:val="18"/>
          <w:szCs w:val="18"/>
          <w:i w:val="1"/>
          <w:iCs w:val="1"/>
          <w:u w:val="single" w:color="auto"/>
          <w:color w:val="auto"/>
        </w:rPr>
        <w:t>Dividends</w:t>
      </w:r>
    </w:p>
    <w:p>
      <w:pPr>
        <w:spacing w:after="0" w:line="250" w:lineRule="exact"/>
        <w:rPr>
          <w:sz w:val="20"/>
          <w:szCs w:val="20"/>
          <w:color w:val="auto"/>
        </w:rPr>
      </w:pPr>
    </w:p>
    <w:p>
      <w:pPr>
        <w:ind w:right="260" w:firstLine="324"/>
        <w:spacing w:after="0" w:line="262" w:lineRule="auto"/>
        <w:rPr>
          <w:sz w:val="20"/>
          <w:szCs w:val="20"/>
          <w:color w:val="auto"/>
        </w:rPr>
      </w:pPr>
      <w:r>
        <w:rPr>
          <w:rFonts w:ascii="Arial" w:cs="Arial" w:eastAsia="Arial" w:hAnsi="Arial"/>
          <w:sz w:val="18"/>
          <w:szCs w:val="18"/>
          <w:color w:val="auto"/>
        </w:rPr>
        <w:t>On August 2, 2024, our Board of Directors increased the cash dividend policy to anticipate a total annual dividend of $1.55, payable to shareholders in quarterly increments of $0.3875 per share of common stock. The actual declaration of future cash dividends, and the establishment of record and payment dates, is subject to final determination by our Board of Directors each quarter after reviewing our financial performance and position.</w:t>
      </w:r>
    </w:p>
    <w:p>
      <w:pPr>
        <w:spacing w:after="0" w:line="190" w:lineRule="exact"/>
        <w:rPr>
          <w:sz w:val="20"/>
          <w:szCs w:val="20"/>
          <w:color w:val="auto"/>
        </w:rPr>
      </w:pPr>
    </w:p>
    <w:p>
      <w:pPr>
        <w:ind w:right="60" w:firstLine="324"/>
        <w:spacing w:after="0" w:line="271" w:lineRule="auto"/>
        <w:rPr>
          <w:sz w:val="20"/>
          <w:szCs w:val="20"/>
          <w:color w:val="auto"/>
        </w:rPr>
      </w:pPr>
      <w:r>
        <w:rPr>
          <w:rFonts w:ascii="Arial" w:cs="Arial" w:eastAsia="Arial" w:hAnsi="Arial"/>
          <w:sz w:val="18"/>
          <w:szCs w:val="18"/>
          <w:color w:val="auto"/>
        </w:rPr>
        <w:t>On November 5, 2024, our Board of Directors declared a quarterly cash dividend of $0.3875 per share of common stock. The dividend is payable to shareholders of record at the close of business on December 2, 2024 and is expected to be paid on December 16, 2024.</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Board of Directors declared the following cash dividends in each of the periods presented.</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780" w:type="dxa"/>
            <w:vAlign w:val="bottom"/>
          </w:tcPr>
          <w:p>
            <w:pPr>
              <w:spacing w:after="0"/>
              <w:rPr>
                <w:sz w:val="20"/>
                <w:szCs w:val="20"/>
                <w:color w:val="auto"/>
              </w:rPr>
            </w:pPr>
          </w:p>
        </w:tc>
        <w:tc>
          <w:tcPr>
            <w:tcW w:w="18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Total Dividend</w:t>
            </w:r>
          </w:p>
        </w:tc>
        <w:tc>
          <w:tcPr>
            <w:tcW w:w="3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180" w:type="dxa"/>
            <w:vAlign w:val="bottom"/>
            <w:tcBorders>
              <w:bottom w:val="single" w:sz="8" w:color="auto"/>
            </w:tcBorders>
            <w:gridSpan w:val="2"/>
          </w:tcPr>
          <w:p>
            <w:pPr>
              <w:jc w:val="right"/>
              <w:ind w:right="373"/>
              <w:spacing w:after="0"/>
              <w:rPr>
                <w:sz w:val="20"/>
                <w:szCs w:val="20"/>
                <w:color w:val="auto"/>
              </w:rPr>
            </w:pPr>
            <w:r>
              <w:rPr>
                <w:rFonts w:ascii="Arial" w:cs="Arial" w:eastAsia="Arial" w:hAnsi="Arial"/>
                <w:sz w:val="18"/>
                <w:szCs w:val="18"/>
                <w:b w:val="1"/>
                <w:bCs w:val="1"/>
                <w:color w:val="auto"/>
              </w:rPr>
              <w:t>Rate Per Share</w:t>
            </w:r>
          </w:p>
        </w:tc>
      </w:tr>
      <w:tr>
        <w:trPr>
          <w:trHeight w:val="188"/>
        </w:trPr>
        <w:tc>
          <w:tcPr>
            <w:tcW w:w="6780" w:type="dxa"/>
            <w:vAlign w:val="bottom"/>
          </w:tcPr>
          <w:p>
            <w:pPr>
              <w:spacing w:after="0"/>
              <w:rPr>
                <w:sz w:val="16"/>
                <w:szCs w:val="16"/>
                <w:color w:val="auto"/>
              </w:rPr>
            </w:pPr>
          </w:p>
        </w:tc>
        <w:tc>
          <w:tcPr>
            <w:tcW w:w="1800" w:type="dxa"/>
            <w:vAlign w:val="bottom"/>
          </w:tcPr>
          <w:p>
            <w:pPr>
              <w:jc w:val="right"/>
              <w:ind w:right="273"/>
              <w:spacing w:after="0"/>
              <w:rPr>
                <w:sz w:val="20"/>
                <w:szCs w:val="20"/>
                <w:color w:val="auto"/>
              </w:rPr>
            </w:pPr>
            <w:r>
              <w:rPr>
                <w:rFonts w:ascii="Arial" w:cs="Arial" w:eastAsia="Arial" w:hAnsi="Arial"/>
                <w:sz w:val="14"/>
                <w:szCs w:val="14"/>
                <w:color w:val="auto"/>
              </w:rPr>
              <w:t>(in millions)</w:t>
            </w:r>
          </w:p>
        </w:tc>
        <w:tc>
          <w:tcPr>
            <w:tcW w:w="380" w:type="dxa"/>
            <w:vAlign w:val="bottom"/>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593"/>
              <w:spacing w:after="0"/>
              <w:rPr>
                <w:sz w:val="20"/>
                <w:szCs w:val="20"/>
                <w:color w:val="auto"/>
              </w:rPr>
            </w:pPr>
            <w:r>
              <w:rPr>
                <w:rFonts w:ascii="Arial" w:cs="Arial" w:eastAsia="Arial" w:hAnsi="Arial"/>
                <w:sz w:val="14"/>
                <w:szCs w:val="14"/>
                <w:color w:val="auto"/>
              </w:rPr>
              <w:t>per share)</w:t>
            </w:r>
          </w:p>
        </w:tc>
      </w:tr>
      <w:tr>
        <w:trPr>
          <w:trHeight w:val="238"/>
        </w:trPr>
        <w:tc>
          <w:tcPr>
            <w:tcW w:w="6780" w:type="dxa"/>
            <w:vAlign w:val="bottom"/>
          </w:tcPr>
          <w:p>
            <w:pPr>
              <w:ind w:left="20"/>
              <w:spacing w:after="0"/>
              <w:rPr>
                <w:sz w:val="20"/>
                <w:szCs w:val="20"/>
                <w:color w:val="auto"/>
              </w:rPr>
            </w:pPr>
            <w:r>
              <w:rPr>
                <w:rFonts w:ascii="Arial" w:cs="Arial" w:eastAsia="Arial" w:hAnsi="Arial"/>
                <w:sz w:val="18"/>
                <w:szCs w:val="18"/>
                <w:b w:val="1"/>
                <w:bCs w:val="1"/>
                <w:color w:val="auto"/>
              </w:rPr>
              <w:t>2024</w:t>
            </w:r>
          </w:p>
        </w:tc>
        <w:tc>
          <w:tcPr>
            <w:tcW w:w="1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29"/>
        </w:trPr>
        <w:tc>
          <w:tcPr>
            <w:tcW w:w="67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Three months ended March 31, 2024</w:t>
            </w:r>
          </w:p>
        </w:tc>
        <w:tc>
          <w:tcPr>
            <w:tcW w:w="1800" w:type="dxa"/>
            <w:vAlign w:val="bottom"/>
            <w:shd w:val="clear" w:color="auto" w:fill="CCEEFF"/>
          </w:tcPr>
          <w:p>
            <w:pPr>
              <w:jc w:val="right"/>
              <w:ind w:right="1613"/>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920" w:type="dxa"/>
            <w:vAlign w:val="bottom"/>
            <w:gridSpan w:val="2"/>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w:t>
            </w:r>
          </w:p>
        </w:tc>
      </w:tr>
      <w:tr>
        <w:trPr>
          <w:trHeight w:val="230"/>
        </w:trPr>
        <w:tc>
          <w:tcPr>
            <w:tcW w:w="6780" w:type="dxa"/>
            <w:vAlign w:val="bottom"/>
          </w:tcPr>
          <w:p>
            <w:pPr>
              <w:ind w:left="240"/>
              <w:spacing w:after="0"/>
              <w:rPr>
                <w:sz w:val="20"/>
                <w:szCs w:val="20"/>
                <w:color w:val="auto"/>
              </w:rPr>
            </w:pPr>
            <w:r>
              <w:rPr>
                <w:rFonts w:ascii="Arial" w:cs="Arial" w:eastAsia="Arial" w:hAnsi="Arial"/>
                <w:sz w:val="18"/>
                <w:szCs w:val="18"/>
                <w:color w:val="auto"/>
              </w:rPr>
              <w:t>Three months ended June 30, 2024</w:t>
            </w:r>
          </w:p>
        </w:tc>
        <w:tc>
          <w:tcPr>
            <w:tcW w:w="18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22</w:t>
            </w:r>
          </w:p>
        </w:tc>
        <w:tc>
          <w:tcPr>
            <w:tcW w:w="920" w:type="dxa"/>
            <w:vAlign w:val="bottom"/>
            <w:gridSpan w:val="2"/>
          </w:tcPr>
          <w:p>
            <w:pPr>
              <w:jc w:val="right"/>
              <w:ind w:right="6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0.31</w:t>
            </w:r>
          </w:p>
        </w:tc>
      </w:tr>
      <w:tr>
        <w:trPr>
          <w:trHeight w:val="229"/>
        </w:trPr>
        <w:tc>
          <w:tcPr>
            <w:tcW w:w="67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Three months ended September 30, 2024</w:t>
            </w:r>
          </w:p>
        </w:tc>
        <w:tc>
          <w:tcPr>
            <w:tcW w:w="18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920" w:type="dxa"/>
            <w:vAlign w:val="bottom"/>
            <w:gridSpan w:val="2"/>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0.3875</w:t>
            </w:r>
          </w:p>
        </w:tc>
      </w:tr>
      <w:tr>
        <w:trPr>
          <w:trHeight w:val="223"/>
        </w:trPr>
        <w:tc>
          <w:tcPr>
            <w:tcW w:w="6780" w:type="dxa"/>
            <w:vAlign w:val="bottom"/>
          </w:tcPr>
          <w:p>
            <w:pPr>
              <w:ind w:left="240"/>
              <w:spacing w:after="0"/>
              <w:rPr>
                <w:sz w:val="20"/>
                <w:szCs w:val="20"/>
                <w:color w:val="auto"/>
              </w:rPr>
            </w:pPr>
            <w:r>
              <w:rPr>
                <w:rFonts w:ascii="Arial" w:cs="Arial" w:eastAsia="Arial" w:hAnsi="Arial"/>
                <w:sz w:val="18"/>
                <w:szCs w:val="18"/>
                <w:color w:val="auto"/>
              </w:rPr>
              <w:t>Nine months ended September 30, 2024</w:t>
            </w:r>
          </w:p>
        </w:tc>
        <w:tc>
          <w:tcPr>
            <w:tcW w:w="1800" w:type="dxa"/>
            <w:vAlign w:val="bottom"/>
            <w:tcBorders>
              <w:bottom w:val="single" w:sz="8" w:color="auto"/>
            </w:tcBorders>
          </w:tcPr>
          <w:p>
            <w:pPr>
              <w:jc w:val="right"/>
              <w:ind w:right="1613"/>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0"/>
        </w:trPr>
        <w:tc>
          <w:tcPr>
            <w:tcW w:w="678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r>
      <w:tr>
        <w:trPr>
          <w:trHeight w:val="197"/>
        </w:trPr>
        <w:tc>
          <w:tcPr>
            <w:tcW w:w="67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2023</w:t>
            </w:r>
          </w:p>
        </w:tc>
        <w:tc>
          <w:tcPr>
            <w:tcW w:w="18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30"/>
        </w:trPr>
        <w:tc>
          <w:tcPr>
            <w:tcW w:w="6780" w:type="dxa"/>
            <w:vAlign w:val="bottom"/>
          </w:tcPr>
          <w:p>
            <w:pPr>
              <w:ind w:left="240"/>
              <w:spacing w:after="0"/>
              <w:rPr>
                <w:sz w:val="20"/>
                <w:szCs w:val="20"/>
                <w:color w:val="auto"/>
              </w:rPr>
            </w:pPr>
            <w:r>
              <w:rPr>
                <w:rFonts w:ascii="Arial" w:cs="Arial" w:eastAsia="Arial" w:hAnsi="Arial"/>
                <w:sz w:val="18"/>
                <w:szCs w:val="18"/>
                <w:color w:val="auto"/>
              </w:rPr>
              <w:t>Three months ended March 31, 2023</w:t>
            </w:r>
          </w:p>
        </w:tc>
        <w:tc>
          <w:tcPr>
            <w:tcW w:w="1800" w:type="dxa"/>
            <w:vAlign w:val="bottom"/>
          </w:tcPr>
          <w:p>
            <w:pPr>
              <w:jc w:val="right"/>
              <w:ind w:right="1613"/>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20</w:t>
            </w:r>
          </w:p>
        </w:tc>
        <w:tc>
          <w:tcPr>
            <w:tcW w:w="920" w:type="dxa"/>
            <w:vAlign w:val="bottom"/>
            <w:gridSpan w:val="2"/>
          </w:tcPr>
          <w:p>
            <w:pPr>
              <w:jc w:val="right"/>
              <w:ind w:right="6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0.2825</w:t>
            </w:r>
          </w:p>
        </w:tc>
      </w:tr>
      <w:tr>
        <w:trPr>
          <w:trHeight w:val="229"/>
        </w:trPr>
        <w:tc>
          <w:tcPr>
            <w:tcW w:w="67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Three months ended June 30, 2023</w:t>
            </w:r>
          </w:p>
        </w:tc>
        <w:tc>
          <w:tcPr>
            <w:tcW w:w="180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920" w:type="dxa"/>
            <w:vAlign w:val="bottom"/>
            <w:gridSpan w:val="2"/>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0.2825</w:t>
            </w:r>
          </w:p>
        </w:tc>
      </w:tr>
      <w:tr>
        <w:trPr>
          <w:trHeight w:val="229"/>
        </w:trPr>
        <w:tc>
          <w:tcPr>
            <w:tcW w:w="67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Three months ended September 30, 2023</w:t>
            </w:r>
          </w:p>
        </w:tc>
        <w:tc>
          <w:tcPr>
            <w:tcW w:w="18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920" w:type="dxa"/>
            <w:vAlign w:val="bottom"/>
            <w:tcBorders>
              <w:bottom w:val="single" w:sz="8" w:color="CCEEFF"/>
            </w:tcBorders>
            <w:gridSpan w:val="2"/>
          </w:tcPr>
          <w:p>
            <w:pPr>
              <w:jc w:val="right"/>
              <w:ind w:right="61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0.2825</w:t>
            </w:r>
          </w:p>
        </w:tc>
      </w:tr>
      <w:tr>
        <w:trPr>
          <w:trHeight w:val="248"/>
        </w:trPr>
        <w:tc>
          <w:tcPr>
            <w:tcW w:w="67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Nine months ended September 30, 2023</w:t>
            </w:r>
          </w:p>
        </w:tc>
        <w:tc>
          <w:tcPr>
            <w:tcW w:w="1800" w:type="dxa"/>
            <w:vAlign w:val="bottom"/>
            <w:tcBorders>
              <w:bottom w:val="single" w:sz="8" w:color="auto"/>
            </w:tcBorders>
            <w:shd w:val="clear" w:color="auto" w:fill="CCEEFF"/>
          </w:tcPr>
          <w:p>
            <w:pPr>
              <w:jc w:val="right"/>
              <w:ind w:right="1613"/>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r>
    </w:tbl>
    <w:p>
      <w:pPr>
        <w:spacing w:after="0" w:line="31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 xml:space="preserve">In addition to dividends declared, we paid $4 million of dividend equivalents related to stock-based compensation awards which were settled in the nine months ended September 30, 2024. The declaration of future cash dividends, and the establishment of record and payment dates, is subject to final determination by our Board of Directors each quarter after reviewing our financial performance and position. Since the adoption of our dividend policy in 2021, we have returned $231 million to shareholders through dividends (excluding dividend equivalents). For information regarding past dividends paid, see </w:t>
      </w:r>
      <w:r>
        <w:rPr>
          <w:rFonts w:ascii="Arial" w:cs="Arial" w:eastAsia="Arial" w:hAnsi="Arial"/>
          <w:sz w:val="18"/>
          <w:szCs w:val="18"/>
          <w:i w:val="1"/>
          <w:iCs w:val="1"/>
          <w:color w:val="auto"/>
        </w:rPr>
        <w:t>Cash Flow Analysis, Cash Flow Used in Financing Activities</w:t>
      </w:r>
      <w:r>
        <w:rPr>
          <w:rFonts w:ascii="Arial" w:cs="Arial" w:eastAsia="Arial" w:hAnsi="Arial"/>
          <w:sz w:val="18"/>
          <w:szCs w:val="18"/>
          <w:color w:val="auto"/>
        </w:rPr>
        <w:t xml:space="preserve"> above.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i w:val="1"/>
          <w:iCs w:val="1"/>
          <w:u w:val="single" w:color="auto"/>
          <w:color w:val="auto"/>
        </w:rPr>
        <w:t>Share Repurchase Program</w:t>
      </w:r>
    </w:p>
    <w:p>
      <w:pPr>
        <w:spacing w:after="0" w:line="250"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Our Board of Directors has authorized a Share Repurchase Program to acquire up to $1.35 billion of our common stock through December 31, 2025. The aggregate value of shares that may yet be purchased under the Share Repurchase Program totaled $614 million, excluding commissions and excise taxes on repurchases, as of September 30, 2024. The repurchases may be effected from time-to-time through open market purchases, privately negotiated transactions, Rule 10b5-1 plans, accelerated stock repurchases, derivative contracts or otherwise in compliance with Rule 10b-18, subject to market conditions and contractual limitations in our debt agreements. The Share Repurchase Program does not obligate us to repurchase any dollar amount or number of shares and our Board of Directors may modify, suspend or discontinue authorization of the program at any time. The following is a summary of our share repurchases, which are held as treasury stock, for the periods presented: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20" w:type="dxa"/>
            <w:vAlign w:val="bottom"/>
          </w:tcPr>
          <w:p>
            <w:pPr>
              <w:spacing w:after="0"/>
              <w:rPr>
                <w:sz w:val="17"/>
                <w:szCs w:val="17"/>
                <w:color w:val="auto"/>
              </w:rPr>
            </w:pPr>
          </w:p>
        </w:tc>
        <w:tc>
          <w:tcPr>
            <w:tcW w:w="23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9"/>
              </w:rPr>
              <w:t>Total Number of Shares</w:t>
            </w:r>
          </w:p>
        </w:tc>
        <w:tc>
          <w:tcPr>
            <w:tcW w:w="140" w:type="dxa"/>
            <w:vAlign w:val="bottom"/>
          </w:tcPr>
          <w:p>
            <w:pPr>
              <w:spacing w:after="0"/>
              <w:rPr>
                <w:sz w:val="17"/>
                <w:szCs w:val="17"/>
                <w:color w:val="auto"/>
              </w:rPr>
            </w:pPr>
          </w:p>
        </w:tc>
        <w:tc>
          <w:tcPr>
            <w:tcW w:w="2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8"/>
              </w:rPr>
              <w:t>Total Value of Shares</w:t>
            </w:r>
          </w:p>
        </w:tc>
        <w:tc>
          <w:tcPr>
            <w:tcW w:w="2180" w:type="dxa"/>
            <w:vAlign w:val="bottom"/>
            <w:gridSpan w:val="2"/>
          </w:tcPr>
          <w:p>
            <w:pPr>
              <w:jc w:val="right"/>
              <w:ind w:right="13"/>
              <w:spacing w:after="0"/>
              <w:rPr>
                <w:sz w:val="20"/>
                <w:szCs w:val="20"/>
                <w:color w:val="auto"/>
              </w:rPr>
            </w:pPr>
            <w:r>
              <w:rPr>
                <w:rFonts w:ascii="Arial" w:cs="Arial" w:eastAsia="Arial" w:hAnsi="Arial"/>
                <w:sz w:val="18"/>
                <w:szCs w:val="18"/>
                <w:b w:val="1"/>
                <w:bCs w:val="1"/>
                <w:color w:val="auto"/>
              </w:rPr>
              <w:t>Average Price Paid per</w:t>
            </w:r>
          </w:p>
        </w:tc>
        <w:tc>
          <w:tcPr>
            <w:tcW w:w="0" w:type="dxa"/>
            <w:vAlign w:val="bottom"/>
          </w:tcPr>
          <w:p>
            <w:pPr>
              <w:spacing w:after="0"/>
              <w:rPr>
                <w:sz w:val="1"/>
                <w:szCs w:val="1"/>
                <w:color w:val="auto"/>
              </w:rPr>
            </w:pPr>
          </w:p>
        </w:tc>
      </w:tr>
      <w:tr>
        <w:trPr>
          <w:trHeight w:val="243"/>
        </w:trPr>
        <w:tc>
          <w:tcPr>
            <w:tcW w:w="4320" w:type="dxa"/>
            <w:vAlign w:val="bottom"/>
          </w:tcPr>
          <w:p>
            <w:pPr>
              <w:spacing w:after="0"/>
              <w:rPr>
                <w:sz w:val="21"/>
                <w:szCs w:val="21"/>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Purchased</w:t>
            </w: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b w:val="1"/>
                <w:bCs w:val="1"/>
                <w:color w:val="auto"/>
                <w:w w:val="99"/>
              </w:rPr>
              <w:t>Purchased</w:t>
            </w:r>
          </w:p>
        </w:tc>
        <w:tc>
          <w:tcPr>
            <w:tcW w:w="200" w:type="dxa"/>
            <w:vAlign w:val="bottom"/>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Share</w:t>
            </w:r>
          </w:p>
        </w:tc>
        <w:tc>
          <w:tcPr>
            <w:tcW w:w="0" w:type="dxa"/>
            <w:vAlign w:val="bottom"/>
          </w:tcPr>
          <w:p>
            <w:pPr>
              <w:spacing w:after="0"/>
              <w:rPr>
                <w:sz w:val="1"/>
                <w:szCs w:val="1"/>
                <w:color w:val="auto"/>
              </w:rPr>
            </w:pPr>
          </w:p>
        </w:tc>
      </w:tr>
      <w:tr>
        <w:trPr>
          <w:trHeight w:val="192"/>
        </w:trPr>
        <w:tc>
          <w:tcPr>
            <w:tcW w:w="4320" w:type="dxa"/>
            <w:vAlign w:val="bottom"/>
          </w:tcPr>
          <w:p>
            <w:pPr>
              <w:spacing w:after="0"/>
              <w:rPr>
                <w:sz w:val="16"/>
                <w:szCs w:val="16"/>
                <w:color w:val="auto"/>
              </w:rPr>
            </w:pPr>
          </w:p>
        </w:tc>
        <w:tc>
          <w:tcPr>
            <w:tcW w:w="2380" w:type="dxa"/>
            <w:vAlign w:val="bottom"/>
            <w:gridSpan w:val="2"/>
          </w:tcPr>
          <w:p>
            <w:pPr>
              <w:jc w:val="center"/>
              <w:ind w:right="200"/>
              <w:spacing w:after="0"/>
              <w:rPr>
                <w:sz w:val="20"/>
                <w:szCs w:val="20"/>
                <w:color w:val="auto"/>
              </w:rPr>
            </w:pPr>
            <w:r>
              <w:rPr>
                <w:rFonts w:ascii="Arial" w:cs="Arial" w:eastAsia="Arial" w:hAnsi="Arial"/>
                <w:sz w:val="14"/>
                <w:szCs w:val="14"/>
                <w:color w:val="auto"/>
              </w:rPr>
              <w:t>(number of shares)</w:t>
            </w:r>
          </w:p>
        </w:tc>
        <w:tc>
          <w:tcPr>
            <w:tcW w:w="140" w:type="dxa"/>
            <w:vAlign w:val="bottom"/>
          </w:tcPr>
          <w:p>
            <w:pPr>
              <w:spacing w:after="0"/>
              <w:rPr>
                <w:sz w:val="16"/>
                <w:szCs w:val="16"/>
                <w:color w:val="auto"/>
              </w:rPr>
            </w:pPr>
          </w:p>
        </w:tc>
        <w:tc>
          <w:tcPr>
            <w:tcW w:w="2220" w:type="dxa"/>
            <w:vAlign w:val="bottom"/>
            <w:gridSpan w:val="2"/>
          </w:tcPr>
          <w:p>
            <w:pPr>
              <w:jc w:val="center"/>
              <w:ind w:right="340"/>
              <w:spacing w:after="0"/>
              <w:rPr>
                <w:sz w:val="20"/>
                <w:szCs w:val="20"/>
                <w:color w:val="auto"/>
              </w:rPr>
            </w:pPr>
            <w:r>
              <w:rPr>
                <w:rFonts w:ascii="Arial" w:cs="Arial" w:eastAsia="Arial" w:hAnsi="Arial"/>
                <w:sz w:val="14"/>
                <w:szCs w:val="14"/>
                <w:color w:val="auto"/>
              </w:rPr>
              <w:t>(in millions)</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360" w:type="dxa"/>
            <w:vAlign w:val="bottom"/>
          </w:tcPr>
          <w:p>
            <w:pPr>
              <w:ind w:left="20"/>
              <w:spacing w:after="0"/>
              <w:rPr>
                <w:sz w:val="20"/>
                <w:szCs w:val="20"/>
                <w:color w:val="auto"/>
              </w:rPr>
            </w:pPr>
            <w:r>
              <w:rPr>
                <w:rFonts w:ascii="Arial" w:cs="Arial" w:eastAsia="Arial" w:hAnsi="Arial"/>
                <w:sz w:val="14"/>
                <w:szCs w:val="14"/>
                <w:color w:val="auto"/>
              </w:rPr>
              <w:t>per share)</w:t>
            </w:r>
          </w:p>
        </w:tc>
        <w:tc>
          <w:tcPr>
            <w:tcW w:w="0" w:type="dxa"/>
            <w:vAlign w:val="bottom"/>
          </w:tcPr>
          <w:p>
            <w:pPr>
              <w:spacing w:after="0"/>
              <w:rPr>
                <w:sz w:val="1"/>
                <w:szCs w:val="1"/>
                <w:color w:val="auto"/>
              </w:rPr>
            </w:pPr>
          </w:p>
        </w:tc>
      </w:tr>
      <w:tr>
        <w:trPr>
          <w:trHeight w:val="233"/>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Three months ended September 30, 2023</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365,145</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613"/>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54.75</w:t>
            </w:r>
          </w:p>
        </w:tc>
        <w:tc>
          <w:tcPr>
            <w:tcW w:w="0" w:type="dxa"/>
            <w:vAlign w:val="bottom"/>
          </w:tcPr>
          <w:p>
            <w:pPr>
              <w:spacing w:after="0"/>
              <w:rPr>
                <w:sz w:val="1"/>
                <w:szCs w:val="1"/>
                <w:color w:val="auto"/>
              </w:rPr>
            </w:pPr>
          </w:p>
        </w:tc>
      </w:tr>
      <w:tr>
        <w:trPr>
          <w:trHeight w:val="229"/>
        </w:trPr>
        <w:tc>
          <w:tcPr>
            <w:tcW w:w="4320" w:type="dxa"/>
            <w:vAlign w:val="bottom"/>
          </w:tcPr>
          <w:p>
            <w:pPr>
              <w:ind w:left="20"/>
              <w:spacing w:after="0"/>
              <w:rPr>
                <w:sz w:val="20"/>
                <w:szCs w:val="20"/>
                <w:color w:val="auto"/>
              </w:rPr>
            </w:pPr>
            <w:r>
              <w:rPr>
                <w:rFonts w:ascii="Arial" w:cs="Arial" w:eastAsia="Arial" w:hAnsi="Arial"/>
                <w:sz w:val="18"/>
                <w:szCs w:val="18"/>
                <w:color w:val="auto"/>
              </w:rPr>
              <w:t>Three months ended September 30, 2024</w:t>
            </w:r>
          </w:p>
        </w:tc>
        <w:tc>
          <w:tcPr>
            <w:tcW w:w="2160" w:type="dxa"/>
            <w:vAlign w:val="bottom"/>
          </w:tcPr>
          <w:p>
            <w:pPr>
              <w:jc w:val="right"/>
              <w:spacing w:after="0"/>
              <w:rPr>
                <w:sz w:val="20"/>
                <w:szCs w:val="20"/>
                <w:color w:val="auto"/>
              </w:rPr>
            </w:pPr>
            <w:r>
              <w:rPr>
                <w:rFonts w:ascii="Arial" w:cs="Arial" w:eastAsia="Arial" w:hAnsi="Arial"/>
                <w:sz w:val="18"/>
                <w:szCs w:val="18"/>
                <w:color w:val="auto"/>
              </w:rPr>
              <w:t>835,319</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20" w:type="dxa"/>
            <w:vAlign w:val="bottom"/>
          </w:tcPr>
          <w:p>
            <w:pPr>
              <w:jc w:val="right"/>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19"/>
                <w:szCs w:val="19"/>
                <w:color w:val="auto"/>
              </w:rPr>
            </w:pPr>
          </w:p>
        </w:tc>
        <w:tc>
          <w:tcPr>
            <w:tcW w:w="820" w:type="dxa"/>
            <w:vAlign w:val="bottom"/>
          </w:tcPr>
          <w:p>
            <w:pPr>
              <w:jc w:val="right"/>
              <w:ind w:right="613"/>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50.23</w:t>
            </w:r>
          </w:p>
        </w:tc>
        <w:tc>
          <w:tcPr>
            <w:tcW w:w="0" w:type="dxa"/>
            <w:vAlign w:val="bottom"/>
          </w:tcPr>
          <w:p>
            <w:pPr>
              <w:spacing w:after="0"/>
              <w:rPr>
                <w:sz w:val="1"/>
                <w:szCs w:val="1"/>
                <w:color w:val="auto"/>
              </w:rPr>
            </w:pPr>
          </w:p>
        </w:tc>
      </w:tr>
      <w:tr>
        <w:trPr>
          <w:trHeight w:val="270"/>
        </w:trPr>
        <w:tc>
          <w:tcPr>
            <w:tcW w:w="4320" w:type="dxa"/>
            <w:vAlign w:val="bottom"/>
            <w:shd w:val="clear" w:color="auto" w:fill="CCEEFF"/>
          </w:tcPr>
          <w:p>
            <w:pPr>
              <w:spacing w:after="0"/>
              <w:rPr>
                <w:sz w:val="23"/>
                <w:szCs w:val="23"/>
                <w:color w:val="auto"/>
              </w:rPr>
            </w:pPr>
          </w:p>
        </w:tc>
        <w:tc>
          <w:tcPr>
            <w:tcW w:w="21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0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Nine months ended September 30, 2023</w:t>
            </w:r>
          </w:p>
        </w:tc>
        <w:tc>
          <w:tcPr>
            <w:tcW w:w="2160" w:type="dxa"/>
            <w:vAlign w:val="bottom"/>
          </w:tcPr>
          <w:p>
            <w:pPr>
              <w:jc w:val="right"/>
              <w:spacing w:after="0"/>
              <w:rPr>
                <w:sz w:val="20"/>
                <w:szCs w:val="20"/>
                <w:color w:val="auto"/>
              </w:rPr>
            </w:pPr>
            <w:r>
              <w:rPr>
                <w:rFonts w:ascii="Arial" w:cs="Arial" w:eastAsia="Arial" w:hAnsi="Arial"/>
                <w:sz w:val="18"/>
                <w:szCs w:val="18"/>
                <w:color w:val="auto"/>
              </w:rPr>
              <w:t>3,407,655</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20" w:type="dxa"/>
            <w:vAlign w:val="bottom"/>
          </w:tcPr>
          <w:p>
            <w:pPr>
              <w:jc w:val="right"/>
              <w:spacing w:after="0"/>
              <w:rPr>
                <w:sz w:val="20"/>
                <w:szCs w:val="20"/>
                <w:color w:val="auto"/>
              </w:rPr>
            </w:pPr>
            <w:r>
              <w:rPr>
                <w:rFonts w:ascii="Arial" w:cs="Arial" w:eastAsia="Arial" w:hAnsi="Arial"/>
                <w:sz w:val="18"/>
                <w:szCs w:val="18"/>
                <w:color w:val="auto"/>
              </w:rPr>
              <w:t>143</w:t>
            </w:r>
          </w:p>
        </w:tc>
        <w:tc>
          <w:tcPr>
            <w:tcW w:w="200" w:type="dxa"/>
            <w:vAlign w:val="bottom"/>
          </w:tcPr>
          <w:p>
            <w:pPr>
              <w:spacing w:after="0"/>
              <w:rPr>
                <w:sz w:val="19"/>
                <w:szCs w:val="19"/>
                <w:color w:val="auto"/>
              </w:rPr>
            </w:pPr>
          </w:p>
        </w:tc>
        <w:tc>
          <w:tcPr>
            <w:tcW w:w="820" w:type="dxa"/>
            <w:vAlign w:val="bottom"/>
          </w:tcPr>
          <w:p>
            <w:pPr>
              <w:jc w:val="right"/>
              <w:ind w:right="613"/>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41.69</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Nine months ended September 30, 2024</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2,604,922</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13"/>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51.33</w:t>
            </w:r>
          </w:p>
        </w:tc>
        <w:tc>
          <w:tcPr>
            <w:tcW w:w="0" w:type="dxa"/>
            <w:vAlign w:val="bottom"/>
          </w:tcPr>
          <w:p>
            <w:pPr>
              <w:spacing w:after="0"/>
              <w:rPr>
                <w:sz w:val="1"/>
                <w:szCs w:val="1"/>
                <w:color w:val="auto"/>
              </w:rPr>
            </w:pPr>
          </w:p>
        </w:tc>
      </w:tr>
      <w:tr>
        <w:trPr>
          <w:trHeight w:val="270"/>
        </w:trPr>
        <w:tc>
          <w:tcPr>
            <w:tcW w:w="4320" w:type="dxa"/>
            <w:vAlign w:val="bottom"/>
          </w:tcPr>
          <w:p>
            <w:pPr>
              <w:spacing w:after="0"/>
              <w:rPr>
                <w:sz w:val="23"/>
                <w:szCs w:val="23"/>
                <w:color w:val="auto"/>
              </w:rPr>
            </w:pPr>
          </w:p>
        </w:tc>
        <w:tc>
          <w:tcPr>
            <w:tcW w:w="2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43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Inception of Program (May 2021) through</w:t>
            </w:r>
          </w:p>
        </w:tc>
        <w:tc>
          <w:tcPr>
            <w:tcW w:w="2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17,468,837</w:t>
            </w:r>
          </w:p>
        </w:tc>
        <w:tc>
          <w:tcPr>
            <w:tcW w:w="22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20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ind w:right="613"/>
              <w:spacing w:after="0"/>
              <w:rPr>
                <w:sz w:val="20"/>
                <w:szCs w:val="20"/>
                <w:color w:val="auto"/>
              </w:rPr>
            </w:pPr>
            <w:r>
              <w:rPr>
                <w:rFonts w:ascii="Arial" w:cs="Arial" w:eastAsia="Arial" w:hAnsi="Arial"/>
                <w:sz w:val="18"/>
                <w:szCs w:val="18"/>
                <w:color w:val="auto"/>
                <w:w w:val="99"/>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42.14</w:t>
            </w:r>
          </w:p>
        </w:tc>
        <w:tc>
          <w:tcPr>
            <w:tcW w:w="0" w:type="dxa"/>
            <w:vAlign w:val="bottom"/>
          </w:tcPr>
          <w:p>
            <w:pPr>
              <w:spacing w:after="0"/>
              <w:rPr>
                <w:sz w:val="1"/>
                <w:szCs w:val="1"/>
                <w:color w:val="auto"/>
              </w:rPr>
            </w:pPr>
          </w:p>
        </w:tc>
      </w:tr>
      <w:tr>
        <w:trPr>
          <w:trHeight w:val="243"/>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September 30, 2024</w:t>
            </w:r>
          </w:p>
        </w:tc>
        <w:tc>
          <w:tcPr>
            <w:tcW w:w="2160" w:type="dxa"/>
            <w:vAlign w:val="bottom"/>
            <w:vMerge w:val="continue"/>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 w:type="dxa"/>
            <w:vAlign w:val="bottom"/>
            <w:vMerge w:val="continue"/>
            <w:shd w:val="clear" w:color="auto" w:fill="CCEEFF"/>
          </w:tcPr>
          <w:p>
            <w:pPr>
              <w:spacing w:after="0"/>
              <w:rPr>
                <w:sz w:val="21"/>
                <w:szCs w:val="21"/>
                <w:color w:val="auto"/>
              </w:rPr>
            </w:pPr>
          </w:p>
        </w:tc>
        <w:tc>
          <w:tcPr>
            <w:tcW w:w="2020" w:type="dxa"/>
            <w:vAlign w:val="bottom"/>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vMerge w:val="continue"/>
            <w:shd w:val="clear" w:color="auto" w:fill="CCEEFF"/>
          </w:tcPr>
          <w:p>
            <w:pPr>
              <w:spacing w:after="0"/>
              <w:rPr>
                <w:sz w:val="21"/>
                <w:szCs w:val="21"/>
                <w:color w:val="auto"/>
              </w:rPr>
            </w:pPr>
          </w:p>
        </w:tc>
        <w:tc>
          <w:tcPr>
            <w:tcW w:w="13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right="380"/>
        <w:spacing w:after="0" w:line="285" w:lineRule="auto"/>
        <w:rPr>
          <w:sz w:val="20"/>
          <w:szCs w:val="20"/>
          <w:color w:val="auto"/>
        </w:rPr>
      </w:pPr>
      <w:r>
        <w:rPr>
          <w:rFonts w:ascii="Arial" w:cs="Arial" w:eastAsia="Arial" w:hAnsi="Arial"/>
          <w:sz w:val="14"/>
          <w:szCs w:val="14"/>
          <w:color w:val="auto"/>
        </w:rPr>
        <w:t>Note: The total value of shares purchased includes approximately $1 million in both the nine months ended September 30, 2024 and 2023 related to excise taxes on share repurchases, which was effective beginning on January 1, 2023. Commissions paid on share repurchases were not significant in all periods presented.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Warrants</w:t>
      </w:r>
    </w:p>
    <w:p>
      <w:pPr>
        <w:spacing w:after="0" w:line="250" w:lineRule="exact"/>
        <w:rPr>
          <w:sz w:val="20"/>
          <w:szCs w:val="20"/>
          <w:color w:val="auto"/>
        </w:rPr>
      </w:pPr>
    </w:p>
    <w:p>
      <w:pPr>
        <w:ind w:right="580" w:firstLine="324"/>
        <w:spacing w:after="0" w:line="287" w:lineRule="auto"/>
        <w:rPr>
          <w:sz w:val="20"/>
          <w:szCs w:val="20"/>
          <w:color w:val="auto"/>
        </w:rPr>
      </w:pPr>
      <w:r>
        <w:rPr>
          <w:rFonts w:ascii="Arial" w:cs="Arial" w:eastAsia="Arial" w:hAnsi="Arial"/>
          <w:sz w:val="18"/>
          <w:szCs w:val="18"/>
          <w:color w:val="auto"/>
        </w:rPr>
        <w:t>In October 2020, we reserved an aggregate 4,384,182 shares of our common stock for warrants for issuance upon the exercise of warrants, which were exercisable at $36 per share through October 28, 2024.</w:t>
      </w:r>
    </w:p>
    <w:p>
      <w:pPr>
        <w:spacing w:after="0" w:line="180" w:lineRule="exact"/>
        <w:rPr>
          <w:sz w:val="20"/>
          <w:szCs w:val="20"/>
          <w:color w:val="auto"/>
        </w:rPr>
      </w:pPr>
    </w:p>
    <w:p>
      <w:pPr>
        <w:ind w:right="20" w:firstLine="324"/>
        <w:spacing w:after="0" w:line="262" w:lineRule="auto"/>
        <w:rPr>
          <w:sz w:val="20"/>
          <w:szCs w:val="20"/>
          <w:color w:val="auto"/>
        </w:rPr>
      </w:pPr>
      <w:r>
        <w:rPr>
          <w:rFonts w:ascii="Arial" w:cs="Arial" w:eastAsia="Arial" w:hAnsi="Arial"/>
          <w:sz w:val="18"/>
          <w:szCs w:val="18"/>
          <w:color w:val="auto"/>
        </w:rPr>
        <w:t>As of September 30, 2024, we had outstanding warrants exercisable into 2,812,754 shares of our common stock (subject to adjustments pursuant to the terms of the warrants). During the three and nine months ended September 30, 2024, we issued 1,085,838 and 1,139,163 shares of our common stock in exchange for warrants, respectively. During the three and nine months ended September 30, 2023, we issued 1,958 and 2,179 shares of our common stock in exchange for warrants, respectively.</w:t>
      </w:r>
    </w:p>
    <w:p>
      <w:pPr>
        <w:spacing w:after="0" w:line="203" w:lineRule="exact"/>
        <w:rPr>
          <w:sz w:val="20"/>
          <w:szCs w:val="20"/>
          <w:color w:val="auto"/>
        </w:rPr>
      </w:pPr>
    </w:p>
    <w:p>
      <w:pPr>
        <w:ind w:right="20" w:firstLine="324"/>
        <w:spacing w:after="0" w:line="262" w:lineRule="auto"/>
        <w:rPr>
          <w:sz w:val="20"/>
          <w:szCs w:val="20"/>
          <w:color w:val="auto"/>
        </w:rPr>
      </w:pPr>
      <w:r>
        <w:rPr>
          <w:rFonts w:ascii="Arial" w:cs="Arial" w:eastAsia="Arial" w:hAnsi="Arial"/>
          <w:sz w:val="18"/>
          <w:szCs w:val="18"/>
          <w:color w:val="auto"/>
        </w:rPr>
        <w:t>During October 2024, we issued 2,630,540 shares of our common stock in connection with warrant exercises. Since the issuance date of the warrants in October 2020, 3,856,833 shares have been issued upon the exercise of warrants and 469,429 shares were cancelled due to net settlement. On October 28, 2024, any unexercised warrants expired in accordance with their terms and 57,920 shares underlying such warrants were never issued.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Divestitures, Acquisitions and Assets Held for Sale</w:t>
      </w:r>
    </w:p>
    <w:p>
      <w:pPr>
        <w:spacing w:after="0" w:line="252" w:lineRule="exact"/>
        <w:rPr>
          <w:sz w:val="20"/>
          <w:szCs w:val="20"/>
          <w:color w:val="auto"/>
        </w:rPr>
      </w:pPr>
    </w:p>
    <w:p>
      <w:pPr>
        <w:ind w:right="200" w:firstLine="324"/>
        <w:spacing w:after="0" w:line="287"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Part I, Item 1 – Financial Statements, Note 7 Divestitures, Acquisitions and Assets Held for Sale</w:t>
      </w:r>
      <w:r>
        <w:rPr>
          <w:rFonts w:ascii="Arial" w:cs="Arial" w:eastAsia="Arial" w:hAnsi="Arial"/>
          <w:sz w:val="18"/>
          <w:szCs w:val="18"/>
          <w:color w:val="auto"/>
        </w:rPr>
        <w:t xml:space="preserve"> for information on our divestitures and acquisitions during the three and nine months ended September 30, 2024 and 2023.</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Lawsuits, Claims, Commitments and Contingencies</w:t>
      </w:r>
    </w:p>
    <w:p>
      <w:pPr>
        <w:spacing w:after="0" w:line="252"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We are involved, in the normal course of business, in lawsuits, environmental and other claims and other contingencies that seek, among other things, compensation for alleged personal injury, breach of contract, property damage or other losses, punitive damages, civil penalties or injunctive or declaratory relief.</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59" w:name="page60"/>
    <w:bookmarkEnd w:id="59"/>
    <w:p>
      <w:pPr>
        <w:ind w:firstLine="324"/>
        <w:spacing w:after="0" w:line="259" w:lineRule="auto"/>
        <w:rPr>
          <w:sz w:val="20"/>
          <w:szCs w:val="20"/>
          <w:color w:val="auto"/>
        </w:rPr>
      </w:pPr>
      <w:r>
        <w:rPr>
          <w:rFonts w:ascii="Arial" w:cs="Arial" w:eastAsia="Arial" w:hAnsi="Arial"/>
          <w:sz w:val="18"/>
          <w:szCs w:val="18"/>
          <w:color w:val="auto"/>
        </w:rPr>
        <w:t>We accrue reserves for currently outstanding lawsuits, claims and proceedings when it is probable that a liability has been incurred and the liability can be reasonably estimated. Reserve balances at September 30, 2024 and December 31, 2023 were not material to our condensed consolidated balance sheets as of such dates. We also evaluate the amount of reasonably possible losses that we could incur as a result of these matters. We believe that reasonably possible losses that we could incur in excess of reserves cannot be accurately determined.</w:t>
      </w:r>
    </w:p>
    <w:p>
      <w:pPr>
        <w:spacing w:after="0" w:line="20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Part I, Item 1 – Financial Statements, Note 5 Lawsuits, Claims, Commitments and Contingencies</w:t>
      </w:r>
      <w:r>
        <w:rPr>
          <w:rFonts w:ascii="Arial" w:cs="Arial" w:eastAsia="Arial" w:hAnsi="Arial"/>
          <w:sz w:val="18"/>
          <w:szCs w:val="18"/>
          <w:color w:val="auto"/>
        </w:rPr>
        <w:t xml:space="preserve"> for further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 and Significant Accounting and Disclosure Changes</w:t>
      </w:r>
    </w:p>
    <w:p>
      <w:pPr>
        <w:spacing w:after="0" w:line="252" w:lineRule="exact"/>
        <w:rPr>
          <w:sz w:val="20"/>
          <w:szCs w:val="20"/>
          <w:color w:val="auto"/>
        </w:rPr>
      </w:pPr>
    </w:p>
    <w:p>
      <w:pPr>
        <w:ind w:right="180" w:firstLine="324"/>
        <w:spacing w:after="0" w:line="287" w:lineRule="auto"/>
        <w:rPr>
          <w:sz w:val="20"/>
          <w:szCs w:val="20"/>
          <w:color w:val="auto"/>
        </w:rPr>
      </w:pPr>
      <w:r>
        <w:rPr>
          <w:rFonts w:ascii="Arial" w:cs="Arial" w:eastAsia="Arial" w:hAnsi="Arial"/>
          <w:sz w:val="18"/>
          <w:szCs w:val="18"/>
          <w:color w:val="auto"/>
        </w:rPr>
        <w:t xml:space="preserve">There have been no changes to our critical accounting estimates, which are summarized in </w:t>
      </w:r>
      <w:r>
        <w:rPr>
          <w:rFonts w:ascii="Arial" w:cs="Arial" w:eastAsia="Arial" w:hAnsi="Arial"/>
          <w:sz w:val="18"/>
          <w:szCs w:val="18"/>
          <w:i w:val="1"/>
          <w:iCs w:val="1"/>
          <w:color w:val="auto"/>
        </w:rPr>
        <w:t>Part II, Item 7 – Management’s Discussion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Analysis of Financial Condition and Results of Operations, Critical Accounting Estimates </w:t>
      </w:r>
      <w:r>
        <w:rPr>
          <w:rFonts w:ascii="Arial" w:cs="Arial" w:eastAsia="Arial" w:hAnsi="Arial"/>
          <w:sz w:val="18"/>
          <w:szCs w:val="18"/>
          <w:color w:val="auto"/>
        </w:rPr>
        <w:t>of our 2023 Annual Report.</w:t>
      </w:r>
    </w:p>
    <w:p>
      <w:pPr>
        <w:spacing w:after="0" w:line="200" w:lineRule="exact"/>
        <w:rPr>
          <w:sz w:val="20"/>
          <w:szCs w:val="20"/>
          <w:color w:val="auto"/>
        </w:rPr>
      </w:pPr>
    </w:p>
    <w:p>
      <w:pPr>
        <w:spacing w:after="0" w:line="2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90" w:right="39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Forward-Looking Statements</w:t>
      </w:r>
    </w:p>
    <w:p>
      <w:pPr>
        <w:spacing w:after="0" w:line="144"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This document contains statements that we believe to be “forward-looking statements” within the meaning of Section 27A of the Securities Act of 1933 and Section 21E of the Securities Exchange Act of 1934. All statements other than historical facts are forward-looking statements, and include statements regarding our future financial position, business strategy, projected revenues, earnings, costs, capital expenditures and plans and objectives of management for the future. Words such as "expect," “could,” “may,” "anticipate," "intend," "plan," “ability,” "believe," "seek," "see," "will," "would," “estimate,” “forecast,” "target," “guidance,” “outlook,” “opportunity,” “strategy” or similar expressions are generally intended to identify forward-looking statements. Such forward-looking statements are subject to risks and uncertainties that could cause actual results to differ materially from those expressed in, or implied by, such statements.</w:t>
      </w:r>
    </w:p>
    <w:p>
      <w:pPr>
        <w:spacing w:after="0" w:line="210"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Although we believe the expectations and forecasts reflected in our forward-looking statements are reasonable, they are inherently subject to numerous risks and uncertainties, most of which are difficult to predict and many of which are beyond our control. No assurance can be given that such forward-looking statements will be correct or achieved or that the assumptions are accurate or will not change over time. Particular uncertainties that could cause our actual results to be materially different than those expressed in our forward-looking statements include:</w:t>
      </w:r>
    </w:p>
    <w:p>
      <w:pPr>
        <w:sectPr>
          <w:pgSz w:w="11900" w:h="16838" w:orient="portrait"/>
          <w:cols w:equalWidth="0" w:num="1">
            <w:col w:w="11140"/>
          </w:cols>
          <w:pgMar w:left="320" w:top="1039" w:right="439" w:bottom="1440" w:gutter="0" w:footer="0" w:header="0"/>
        </w:sectPr>
      </w:pPr>
    </w:p>
    <w:p>
      <w:pPr>
        <w:spacing w:after="0" w:line="206" w:lineRule="exact"/>
        <w:rPr>
          <w:sz w:val="20"/>
          <w:szCs w:val="20"/>
          <w:color w:val="auto"/>
        </w:rPr>
      </w:pPr>
    </w:p>
    <w:p>
      <w:pPr>
        <w:ind w:left="660" w:right="569" w:hanging="328"/>
        <w:spacing w:after="0" w:line="25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fluctuations in commodity prices, including supply and demand considerations for our products and services, and the impact of such fluctuations on revenues and operating expenses;</w:t>
      </w:r>
    </w:p>
    <w:p>
      <w:pPr>
        <w:ind w:left="660" w:right="329" w:hanging="328"/>
        <w:spacing w:after="0" w:line="237" w:lineRule="auto"/>
        <w:tabs>
          <w:tab w:leader="none" w:pos="648" w:val="left"/>
        </w:tabs>
        <w:numPr>
          <w:ilvl w:val="0"/>
          <w:numId w:val="17"/>
        </w:numPr>
        <w:rPr>
          <w:rFonts w:ascii="Arial" w:cs="Arial" w:eastAsia="Arial" w:hAnsi="Arial"/>
          <w:sz w:val="20"/>
          <w:szCs w:val="20"/>
          <w:color w:val="auto"/>
        </w:rPr>
      </w:pPr>
      <w:r>
        <w:rPr>
          <w:rFonts w:ascii="Arial" w:cs="Arial" w:eastAsia="Arial" w:hAnsi="Arial"/>
          <w:sz w:val="18"/>
          <w:szCs w:val="18"/>
          <w:color w:val="auto"/>
        </w:rPr>
        <w:t>decisions as to production levels and/or pricing by OPEC or U.S. producers in future periods;</w:t>
      </w:r>
    </w:p>
    <w:p>
      <w:pPr>
        <w:ind w:left="660" w:right="369" w:hanging="328"/>
        <w:spacing w:after="0" w:line="236" w:lineRule="auto"/>
        <w:tabs>
          <w:tab w:leader="none" w:pos="648" w:val="left"/>
        </w:tabs>
        <w:numPr>
          <w:ilvl w:val="0"/>
          <w:numId w:val="17"/>
        </w:numPr>
        <w:rPr>
          <w:rFonts w:ascii="Arial" w:cs="Arial" w:eastAsia="Arial" w:hAnsi="Arial"/>
          <w:sz w:val="20"/>
          <w:szCs w:val="20"/>
          <w:color w:val="auto"/>
        </w:rPr>
      </w:pPr>
      <w:r>
        <w:rPr>
          <w:rFonts w:ascii="Arial" w:cs="Arial" w:eastAsia="Arial" w:hAnsi="Arial"/>
          <w:sz w:val="18"/>
          <w:szCs w:val="18"/>
          <w:color w:val="auto"/>
        </w:rPr>
        <w:t>government policy, war and political conditions and events, including the military conflicts in Israel, Lebanon, Ukraine and Yemen and the Red Sea;</w:t>
      </w:r>
    </w:p>
    <w:p>
      <w:pPr>
        <w:spacing w:after="0" w:line="1" w:lineRule="exact"/>
        <w:rPr>
          <w:rFonts w:ascii="Arial" w:cs="Arial" w:eastAsia="Arial" w:hAnsi="Arial"/>
          <w:sz w:val="20"/>
          <w:szCs w:val="20"/>
          <w:color w:val="auto"/>
        </w:rPr>
      </w:pPr>
    </w:p>
    <w:p>
      <w:pPr>
        <w:ind w:left="660" w:right="489" w:hanging="328"/>
        <w:spacing w:after="0" w:line="236" w:lineRule="auto"/>
        <w:tabs>
          <w:tab w:leader="none" w:pos="648" w:val="left"/>
        </w:tabs>
        <w:numPr>
          <w:ilvl w:val="0"/>
          <w:numId w:val="17"/>
        </w:numPr>
        <w:rPr>
          <w:rFonts w:ascii="Arial" w:cs="Arial" w:eastAsia="Arial" w:hAnsi="Arial"/>
          <w:sz w:val="20"/>
          <w:szCs w:val="20"/>
          <w:color w:val="auto"/>
        </w:rPr>
      </w:pPr>
      <w:r>
        <w:rPr>
          <w:rFonts w:ascii="Arial" w:cs="Arial" w:eastAsia="Arial" w:hAnsi="Arial"/>
          <w:sz w:val="18"/>
          <w:szCs w:val="18"/>
          <w:color w:val="auto"/>
        </w:rPr>
        <w:t>the ability to successfully execute integration efforts in connection with our merger with Aera Energy LLC, and achieve projected synergies and ensure that such synergies are sustainable;</w:t>
      </w:r>
    </w:p>
    <w:p>
      <w:pPr>
        <w:ind w:left="660" w:right="309" w:hanging="328"/>
        <w:spacing w:after="0" w:line="231" w:lineRule="auto"/>
        <w:tabs>
          <w:tab w:leader="none" w:pos="648" w:val="left"/>
        </w:tabs>
        <w:numPr>
          <w:ilvl w:val="0"/>
          <w:numId w:val="17"/>
        </w:numPr>
        <w:rPr>
          <w:rFonts w:ascii="Arial" w:cs="Arial" w:eastAsia="Arial" w:hAnsi="Arial"/>
          <w:sz w:val="20"/>
          <w:szCs w:val="20"/>
          <w:color w:val="auto"/>
        </w:rPr>
      </w:pPr>
      <w:r>
        <w:rPr>
          <w:rFonts w:ascii="Arial" w:cs="Arial" w:eastAsia="Arial" w:hAnsi="Arial"/>
          <w:sz w:val="18"/>
          <w:szCs w:val="18"/>
          <w:color w:val="auto"/>
        </w:rPr>
        <w:t>regulatory actions and changes that affect the oil and gas industry generally and us in particular, including (1) the availability or timing of, or conditions imposed on, EPA and other governmental permits and approvals necessary for drilling or development activities or our carbon management business; (2) the management of energy, water, land, greenhouse gases (GHGs) or other emissions, (3) the protection of health, safety and the environment, or (4) the transportation, marketing and sale of our products;</w:t>
      </w:r>
    </w:p>
    <w:p>
      <w:pPr>
        <w:spacing w:after="0" w:line="5" w:lineRule="exact"/>
        <w:rPr>
          <w:rFonts w:ascii="Arial" w:cs="Arial" w:eastAsia="Arial" w:hAnsi="Arial"/>
          <w:sz w:val="20"/>
          <w:szCs w:val="20"/>
          <w:color w:val="auto"/>
        </w:rPr>
      </w:pPr>
    </w:p>
    <w:p>
      <w:pPr>
        <w:ind w:left="660" w:right="369" w:hanging="328"/>
        <w:spacing w:after="0" w:line="256" w:lineRule="auto"/>
        <w:tabs>
          <w:tab w:leader="none" w:pos="655"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efforts of activists to delay prevent oil and gas activities or the development of our carbon management business through a variety of tactics, including litigation;</w:t>
      </w:r>
    </w:p>
    <w:p>
      <w:pPr>
        <w:ind w:left="660" w:right="509" w:hanging="328"/>
        <w:spacing w:after="0" w:line="234" w:lineRule="auto"/>
        <w:tabs>
          <w:tab w:leader="none" w:pos="648" w:val="left"/>
        </w:tabs>
        <w:numPr>
          <w:ilvl w:val="0"/>
          <w:numId w:val="17"/>
        </w:numPr>
        <w:rPr>
          <w:rFonts w:ascii="Arial" w:cs="Arial" w:eastAsia="Arial" w:hAnsi="Arial"/>
          <w:sz w:val="20"/>
          <w:szCs w:val="20"/>
          <w:color w:val="auto"/>
        </w:rPr>
      </w:pPr>
      <w:r>
        <w:rPr>
          <w:rFonts w:ascii="Arial" w:cs="Arial" w:eastAsia="Arial" w:hAnsi="Arial"/>
          <w:sz w:val="18"/>
          <w:szCs w:val="18"/>
          <w:color w:val="auto"/>
        </w:rPr>
        <w:t>the impact of inflation on future expenses and changes generally in the prices of goods and services;</w:t>
      </w:r>
    </w:p>
    <w:p>
      <w:pPr>
        <w:spacing w:after="0" w:line="1" w:lineRule="exact"/>
        <w:rPr>
          <w:rFonts w:ascii="Arial" w:cs="Arial" w:eastAsia="Arial" w:hAnsi="Arial"/>
          <w:sz w:val="20"/>
          <w:szCs w:val="20"/>
          <w:color w:val="auto"/>
        </w:rPr>
      </w:pPr>
    </w:p>
    <w:p>
      <w:pPr>
        <w:ind w:left="640" w:hanging="308"/>
        <w:spacing w:after="0" w:line="230" w:lineRule="auto"/>
        <w:tabs>
          <w:tab w:leader="none" w:pos="640" w:val="left"/>
        </w:tabs>
        <w:numPr>
          <w:ilvl w:val="0"/>
          <w:numId w:val="17"/>
        </w:numPr>
        <w:rPr>
          <w:rFonts w:ascii="Arial" w:cs="Arial" w:eastAsia="Arial" w:hAnsi="Arial"/>
          <w:sz w:val="20"/>
          <w:szCs w:val="20"/>
          <w:color w:val="auto"/>
        </w:rPr>
      </w:pPr>
      <w:r>
        <w:rPr>
          <w:rFonts w:ascii="Arial" w:cs="Arial" w:eastAsia="Arial" w:hAnsi="Arial"/>
          <w:sz w:val="18"/>
          <w:szCs w:val="18"/>
          <w:color w:val="auto"/>
        </w:rPr>
        <w:t>changes in business strategy and our capital plan;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ind w:left="331" w:right="120" w:hanging="331"/>
        <w:spacing w:after="0" w:line="242" w:lineRule="auto"/>
        <w:tabs>
          <w:tab w:leader="none" w:pos="319" w:val="left"/>
        </w:tabs>
        <w:numPr>
          <w:ilvl w:val="0"/>
          <w:numId w:val="18"/>
        </w:numPr>
        <w:rPr>
          <w:rFonts w:ascii="Arial" w:cs="Arial" w:eastAsia="Arial" w:hAnsi="Arial"/>
          <w:sz w:val="20"/>
          <w:szCs w:val="20"/>
          <w:color w:val="auto"/>
        </w:rPr>
      </w:pPr>
      <w:r>
        <w:rPr>
          <w:rFonts w:ascii="Arial" w:cs="Arial" w:eastAsia="Arial" w:hAnsi="Arial"/>
          <w:sz w:val="18"/>
          <w:szCs w:val="18"/>
          <w:color w:val="auto"/>
        </w:rPr>
        <w:t>lower-than-expected production or higher-than-expected production decline rates;</w:t>
      </w:r>
    </w:p>
    <w:p>
      <w:pPr>
        <w:ind w:left="331" w:right="60" w:hanging="331"/>
        <w:spacing w:after="0" w:line="236" w:lineRule="auto"/>
        <w:tabs>
          <w:tab w:leader="none" w:pos="319" w:val="left"/>
        </w:tabs>
        <w:numPr>
          <w:ilvl w:val="0"/>
          <w:numId w:val="18"/>
        </w:numPr>
        <w:rPr>
          <w:rFonts w:ascii="Arial" w:cs="Arial" w:eastAsia="Arial" w:hAnsi="Arial"/>
          <w:sz w:val="20"/>
          <w:szCs w:val="20"/>
          <w:color w:val="auto"/>
        </w:rPr>
      </w:pPr>
      <w:r>
        <w:rPr>
          <w:rFonts w:ascii="Arial" w:cs="Arial" w:eastAsia="Arial" w:hAnsi="Arial"/>
          <w:sz w:val="18"/>
          <w:szCs w:val="18"/>
          <w:color w:val="auto"/>
        </w:rPr>
        <w:t>changes to our estimates of reserves and related future cash flows, including changes arising from our inability to develop such reserves in a timely manner, and any inability to replace such reserves;</w:t>
      </w:r>
    </w:p>
    <w:p>
      <w:pPr>
        <w:ind w:left="331" w:right="140" w:hanging="331"/>
        <w:spacing w:after="0" w:line="237" w:lineRule="auto"/>
        <w:tabs>
          <w:tab w:leader="none" w:pos="319" w:val="left"/>
        </w:tabs>
        <w:numPr>
          <w:ilvl w:val="0"/>
          <w:numId w:val="18"/>
        </w:numPr>
        <w:rPr>
          <w:rFonts w:ascii="Arial" w:cs="Arial" w:eastAsia="Arial" w:hAnsi="Arial"/>
          <w:sz w:val="20"/>
          <w:szCs w:val="20"/>
          <w:color w:val="auto"/>
        </w:rPr>
      </w:pPr>
      <w:r>
        <w:rPr>
          <w:rFonts w:ascii="Arial" w:cs="Arial" w:eastAsia="Arial" w:hAnsi="Arial"/>
          <w:sz w:val="18"/>
          <w:szCs w:val="18"/>
          <w:color w:val="auto"/>
        </w:rPr>
        <w:t>the recoverability of resources and unexpected geologic conditions;</w:t>
      </w:r>
    </w:p>
    <w:p>
      <w:pPr>
        <w:ind w:left="331" w:right="380" w:hanging="331"/>
        <w:spacing w:after="0" w:line="234" w:lineRule="auto"/>
        <w:tabs>
          <w:tab w:leader="none" w:pos="319" w:val="left"/>
        </w:tabs>
        <w:numPr>
          <w:ilvl w:val="0"/>
          <w:numId w:val="18"/>
        </w:numPr>
        <w:rPr>
          <w:rFonts w:ascii="Arial" w:cs="Arial" w:eastAsia="Arial" w:hAnsi="Arial"/>
          <w:sz w:val="20"/>
          <w:szCs w:val="20"/>
          <w:color w:val="auto"/>
        </w:rPr>
      </w:pPr>
      <w:r>
        <w:rPr>
          <w:rFonts w:ascii="Arial" w:cs="Arial" w:eastAsia="Arial" w:hAnsi="Arial"/>
          <w:sz w:val="18"/>
          <w:szCs w:val="18"/>
          <w:color w:val="auto"/>
        </w:rPr>
        <w:t>general economic conditions and trends, including conditions in the worldwide financial, trade and credit markets;</w:t>
      </w:r>
    </w:p>
    <w:p>
      <w:pPr>
        <w:spacing w:after="0" w:line="1" w:lineRule="exact"/>
        <w:rPr>
          <w:rFonts w:ascii="Arial" w:cs="Arial" w:eastAsia="Arial" w:hAnsi="Arial"/>
          <w:sz w:val="20"/>
          <w:szCs w:val="20"/>
          <w:color w:val="auto"/>
        </w:rPr>
      </w:pPr>
    </w:p>
    <w:p>
      <w:pPr>
        <w:ind w:left="331" w:right="220" w:hanging="331"/>
        <w:spacing w:after="0" w:line="232" w:lineRule="auto"/>
        <w:tabs>
          <w:tab w:leader="none" w:pos="319" w:val="left"/>
        </w:tabs>
        <w:numPr>
          <w:ilvl w:val="0"/>
          <w:numId w:val="18"/>
        </w:numPr>
        <w:rPr>
          <w:rFonts w:ascii="Arial" w:cs="Arial" w:eastAsia="Arial" w:hAnsi="Arial"/>
          <w:sz w:val="20"/>
          <w:szCs w:val="20"/>
          <w:color w:val="auto"/>
        </w:rPr>
      </w:pPr>
      <w:r>
        <w:rPr>
          <w:rFonts w:ascii="Arial" w:cs="Arial" w:eastAsia="Arial" w:hAnsi="Arial"/>
          <w:sz w:val="18"/>
          <w:szCs w:val="18"/>
          <w:color w:val="auto"/>
        </w:rPr>
        <w:t>production-sharing contracts' effects on production and operating costs;</w:t>
      </w:r>
    </w:p>
    <w:p>
      <w:pPr>
        <w:ind w:left="331" w:right="360" w:hanging="331"/>
        <w:spacing w:after="0" w:line="237" w:lineRule="auto"/>
        <w:tabs>
          <w:tab w:leader="none" w:pos="319" w:val="left"/>
        </w:tabs>
        <w:numPr>
          <w:ilvl w:val="0"/>
          <w:numId w:val="18"/>
        </w:numPr>
        <w:rPr>
          <w:rFonts w:ascii="Arial" w:cs="Arial" w:eastAsia="Arial" w:hAnsi="Arial"/>
          <w:sz w:val="20"/>
          <w:szCs w:val="20"/>
          <w:color w:val="auto"/>
        </w:rPr>
      </w:pPr>
      <w:r>
        <w:rPr>
          <w:rFonts w:ascii="Arial" w:cs="Arial" w:eastAsia="Arial" w:hAnsi="Arial"/>
          <w:sz w:val="18"/>
          <w:szCs w:val="18"/>
          <w:color w:val="auto"/>
        </w:rPr>
        <w:t>the lack of available equipment, service or labor price inflation;</w:t>
      </w:r>
    </w:p>
    <w:p>
      <w:pPr>
        <w:ind w:left="331" w:right="180" w:hanging="331"/>
        <w:spacing w:after="0" w:line="237" w:lineRule="auto"/>
        <w:tabs>
          <w:tab w:leader="none" w:pos="319" w:val="left"/>
        </w:tabs>
        <w:numPr>
          <w:ilvl w:val="0"/>
          <w:numId w:val="18"/>
        </w:numPr>
        <w:rPr>
          <w:rFonts w:ascii="Arial" w:cs="Arial" w:eastAsia="Arial" w:hAnsi="Arial"/>
          <w:sz w:val="20"/>
          <w:szCs w:val="20"/>
          <w:color w:val="auto"/>
        </w:rPr>
      </w:pPr>
      <w:r>
        <w:rPr>
          <w:rFonts w:ascii="Arial" w:cs="Arial" w:eastAsia="Arial" w:hAnsi="Arial"/>
          <w:sz w:val="18"/>
          <w:szCs w:val="18"/>
          <w:color w:val="auto"/>
        </w:rPr>
        <w:t>limitations on transportation or storage capacity and the need to shut-in wells;</w:t>
      </w:r>
    </w:p>
    <w:p>
      <w:pPr>
        <w:ind w:left="311" w:hanging="311"/>
        <w:spacing w:after="0"/>
        <w:tabs>
          <w:tab w:leader="none" w:pos="311" w:val="left"/>
        </w:tabs>
        <w:numPr>
          <w:ilvl w:val="0"/>
          <w:numId w:val="18"/>
        </w:numPr>
        <w:rPr>
          <w:rFonts w:ascii="Arial" w:cs="Arial" w:eastAsia="Arial" w:hAnsi="Arial"/>
          <w:sz w:val="20"/>
          <w:szCs w:val="20"/>
          <w:color w:val="auto"/>
        </w:rPr>
      </w:pPr>
      <w:r>
        <w:rPr>
          <w:rFonts w:ascii="Arial" w:cs="Arial" w:eastAsia="Arial" w:hAnsi="Arial"/>
          <w:sz w:val="18"/>
          <w:szCs w:val="18"/>
          <w:color w:val="auto"/>
        </w:rPr>
        <w:t>any failure of risk management;</w:t>
      </w:r>
    </w:p>
    <w:p>
      <w:pPr>
        <w:spacing w:after="0" w:line="5" w:lineRule="exact"/>
        <w:rPr>
          <w:rFonts w:ascii="Arial" w:cs="Arial" w:eastAsia="Arial" w:hAnsi="Arial"/>
          <w:sz w:val="20"/>
          <w:szCs w:val="20"/>
          <w:color w:val="auto"/>
        </w:rPr>
      </w:pPr>
    </w:p>
    <w:p>
      <w:pPr>
        <w:ind w:left="331" w:right="140" w:hanging="331"/>
        <w:spacing w:after="0" w:line="233" w:lineRule="auto"/>
        <w:tabs>
          <w:tab w:leader="none" w:pos="319" w:val="left"/>
        </w:tabs>
        <w:numPr>
          <w:ilvl w:val="0"/>
          <w:numId w:val="18"/>
        </w:numPr>
        <w:rPr>
          <w:rFonts w:ascii="Arial" w:cs="Arial" w:eastAsia="Arial" w:hAnsi="Arial"/>
          <w:sz w:val="20"/>
          <w:szCs w:val="20"/>
          <w:color w:val="auto"/>
        </w:rPr>
      </w:pPr>
      <w:r>
        <w:rPr>
          <w:rFonts w:ascii="Arial" w:cs="Arial" w:eastAsia="Arial" w:hAnsi="Arial"/>
          <w:sz w:val="18"/>
          <w:szCs w:val="18"/>
          <w:color w:val="auto"/>
        </w:rPr>
        <w:t>results from operations and competition in the industries in which we operate;</w:t>
      </w:r>
    </w:p>
    <w:p>
      <w:pPr>
        <w:spacing w:after="0" w:line="1" w:lineRule="exact"/>
        <w:rPr>
          <w:rFonts w:ascii="Arial" w:cs="Arial" w:eastAsia="Arial" w:hAnsi="Arial"/>
          <w:sz w:val="20"/>
          <w:szCs w:val="20"/>
          <w:color w:val="auto"/>
        </w:rPr>
      </w:pPr>
    </w:p>
    <w:p>
      <w:pPr>
        <w:ind w:left="331" w:right="80" w:hanging="331"/>
        <w:spacing w:after="0" w:line="237" w:lineRule="auto"/>
        <w:tabs>
          <w:tab w:leader="none" w:pos="319" w:val="left"/>
        </w:tabs>
        <w:numPr>
          <w:ilvl w:val="0"/>
          <w:numId w:val="18"/>
        </w:numPr>
        <w:rPr>
          <w:rFonts w:ascii="Arial" w:cs="Arial" w:eastAsia="Arial" w:hAnsi="Arial"/>
          <w:sz w:val="20"/>
          <w:szCs w:val="20"/>
          <w:color w:val="auto"/>
        </w:rPr>
      </w:pPr>
      <w:r>
        <w:rPr>
          <w:rFonts w:ascii="Arial" w:cs="Arial" w:eastAsia="Arial" w:hAnsi="Arial"/>
          <w:sz w:val="18"/>
          <w:szCs w:val="18"/>
          <w:color w:val="auto"/>
        </w:rPr>
        <w:t>Our ability to realize the anticipated benefits from prior or future efforts to reduce costs;</w:t>
      </w:r>
    </w:p>
    <w:p>
      <w:pPr>
        <w:ind w:left="331" w:right="200" w:hanging="331"/>
        <w:spacing w:after="0" w:line="232" w:lineRule="auto"/>
        <w:tabs>
          <w:tab w:leader="none" w:pos="319" w:val="left"/>
        </w:tabs>
        <w:numPr>
          <w:ilvl w:val="0"/>
          <w:numId w:val="18"/>
        </w:numPr>
        <w:rPr>
          <w:rFonts w:ascii="Arial" w:cs="Arial" w:eastAsia="Arial" w:hAnsi="Arial"/>
          <w:sz w:val="20"/>
          <w:szCs w:val="20"/>
          <w:color w:val="auto"/>
        </w:rPr>
      </w:pPr>
      <w:r>
        <w:rPr>
          <w:rFonts w:ascii="Arial" w:cs="Arial" w:eastAsia="Arial" w:hAnsi="Arial"/>
          <w:sz w:val="18"/>
          <w:szCs w:val="18"/>
          <w:color w:val="auto"/>
        </w:rPr>
        <w:t>environmental risks and liability under federal, regional, state, provincial, tribal, local and international environmental laws and regulations (including remedial actions);</w:t>
      </w:r>
    </w:p>
    <w:p>
      <w:pPr>
        <w:ind w:left="331" w:right="180" w:hanging="331"/>
        <w:spacing w:after="0" w:line="249" w:lineRule="auto"/>
        <w:tabs>
          <w:tab w:leader="none" w:pos="319" w:val="left"/>
        </w:tabs>
        <w:numPr>
          <w:ilvl w:val="0"/>
          <w:numId w:val="18"/>
        </w:numPr>
        <w:rPr>
          <w:rFonts w:ascii="Arial" w:cs="Arial" w:eastAsia="Arial" w:hAnsi="Arial"/>
          <w:sz w:val="19"/>
          <w:szCs w:val="19"/>
          <w:color w:val="auto"/>
        </w:rPr>
      </w:pPr>
      <w:r>
        <w:rPr>
          <w:rFonts w:ascii="Arial" w:cs="Arial" w:eastAsia="Arial" w:hAnsi="Arial"/>
          <w:sz w:val="17"/>
          <w:szCs w:val="17"/>
          <w:color w:val="auto"/>
        </w:rPr>
        <w:t>the creditworthiness and performance of our counterparties, including financial institutions, operating partners, CCS project participants and other parties;</w:t>
      </w:r>
    </w:p>
    <w:p>
      <w:pPr>
        <w:spacing w:after="0" w:line="2" w:lineRule="exact"/>
        <w:rPr>
          <w:rFonts w:ascii="Arial" w:cs="Arial" w:eastAsia="Arial" w:hAnsi="Arial"/>
          <w:sz w:val="19"/>
          <w:szCs w:val="19"/>
          <w:color w:val="auto"/>
        </w:rPr>
      </w:pPr>
    </w:p>
    <w:p>
      <w:pPr>
        <w:ind w:left="311" w:hanging="311"/>
        <w:spacing w:after="0"/>
        <w:tabs>
          <w:tab w:leader="none" w:pos="311" w:val="left"/>
        </w:tabs>
        <w:numPr>
          <w:ilvl w:val="0"/>
          <w:numId w:val="18"/>
        </w:numPr>
        <w:rPr>
          <w:rFonts w:ascii="Arial" w:cs="Arial" w:eastAsia="Arial" w:hAnsi="Arial"/>
          <w:sz w:val="20"/>
          <w:szCs w:val="20"/>
          <w:color w:val="auto"/>
        </w:rPr>
      </w:pPr>
      <w:r>
        <w:rPr>
          <w:rFonts w:ascii="Arial" w:cs="Arial" w:eastAsia="Arial" w:hAnsi="Arial"/>
          <w:sz w:val="18"/>
          <w:szCs w:val="18"/>
          <w:color w:val="auto"/>
        </w:rPr>
        <w:t>reorganization or restructuring of our operations;</w:t>
      </w:r>
    </w:p>
    <w:p>
      <w:pPr>
        <w:spacing w:after="0" w:line="5" w:lineRule="exact"/>
        <w:rPr>
          <w:rFonts w:ascii="Arial" w:cs="Arial" w:eastAsia="Arial" w:hAnsi="Arial"/>
          <w:sz w:val="20"/>
          <w:szCs w:val="20"/>
          <w:color w:val="auto"/>
        </w:rPr>
      </w:pPr>
    </w:p>
    <w:p>
      <w:pPr>
        <w:ind w:left="331" w:right="720" w:hanging="331"/>
        <w:spacing w:after="0" w:line="246" w:lineRule="auto"/>
        <w:tabs>
          <w:tab w:leader="none" w:pos="319" w:val="left"/>
        </w:tabs>
        <w:numPr>
          <w:ilvl w:val="0"/>
          <w:numId w:val="18"/>
        </w:numPr>
        <w:rPr>
          <w:rFonts w:ascii="Arial" w:cs="Arial" w:eastAsia="Arial" w:hAnsi="Arial"/>
          <w:sz w:val="19"/>
          <w:szCs w:val="19"/>
          <w:color w:val="auto"/>
        </w:rPr>
      </w:pPr>
      <w:r>
        <w:rPr>
          <w:rFonts w:ascii="Arial" w:cs="Arial" w:eastAsia="Arial" w:hAnsi="Arial"/>
          <w:sz w:val="17"/>
          <w:szCs w:val="17"/>
          <w:color w:val="auto"/>
        </w:rPr>
        <w:t>Our ability to claim and utilize tax credits or other incentives in connection with our CCS projects;</w:t>
      </w:r>
    </w:p>
    <w:p>
      <w:pPr>
        <w:spacing w:after="0" w:line="1" w:lineRule="exact"/>
        <w:rPr>
          <w:rFonts w:ascii="Arial" w:cs="Arial" w:eastAsia="Arial" w:hAnsi="Arial"/>
          <w:sz w:val="19"/>
          <w:szCs w:val="19"/>
          <w:color w:val="auto"/>
        </w:rPr>
      </w:pPr>
    </w:p>
    <w:p>
      <w:pPr>
        <w:ind w:left="331" w:right="40" w:hanging="331"/>
        <w:spacing w:after="0" w:line="236" w:lineRule="auto"/>
        <w:tabs>
          <w:tab w:leader="none" w:pos="319" w:val="left"/>
        </w:tabs>
        <w:numPr>
          <w:ilvl w:val="0"/>
          <w:numId w:val="18"/>
        </w:numPr>
        <w:rPr>
          <w:rFonts w:ascii="Arial" w:cs="Arial" w:eastAsia="Arial" w:hAnsi="Arial"/>
          <w:sz w:val="20"/>
          <w:szCs w:val="20"/>
          <w:color w:val="auto"/>
        </w:rPr>
      </w:pPr>
      <w:r>
        <w:rPr>
          <w:rFonts w:ascii="Arial" w:cs="Arial" w:eastAsia="Arial" w:hAnsi="Arial"/>
          <w:sz w:val="18"/>
          <w:szCs w:val="18"/>
          <w:color w:val="auto"/>
        </w:rPr>
        <w:t>Our ability to realize the benefits contemplated by our energy transition strategies and initiatives, including CCS projects and other renewable energy efforts;</w:t>
      </w:r>
    </w:p>
    <w:p>
      <w:pPr>
        <w:spacing w:after="0" w:line="200" w:lineRule="exact"/>
        <w:rPr>
          <w:sz w:val="20"/>
          <w:szCs w:val="20"/>
          <w:color w:val="auto"/>
        </w:rPr>
      </w:pPr>
    </w:p>
    <w:p>
      <w:pPr>
        <w:sectPr>
          <w:pgSz w:w="11900" w:h="16838" w:orient="portrait"/>
          <w:cols w:equalWidth="0" w:num="2">
            <w:col w:w="5509" w:space="720"/>
            <w:col w:w="4911"/>
          </w:cols>
          <w:pgMar w:left="320" w:top="1039" w:right="439" w:bottom="1440" w:gutter="0" w:footer="0" w:header="0"/>
          <w:type w:val="continuous"/>
        </w:sectPr>
      </w:pPr>
    </w:p>
    <w:p>
      <w:pPr>
        <w:spacing w:after="0" w:line="318"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039" w:right="439" w:bottom="1440" w:gutter="0" w:footer="0" w:header="0"/>
          <w:type w:val="continuous"/>
        </w:sectPr>
      </w:pPr>
    </w:p>
    <w:bookmarkStart w:id="61" w:name="page62"/>
    <w:bookmarkEnd w:id="61"/>
    <w:p>
      <w:pPr>
        <w:spacing w:after="0" w:line="27" w:lineRule="exact"/>
        <w:rPr>
          <w:sz w:val="20"/>
          <w:szCs w:val="20"/>
          <w:color w:val="auto"/>
        </w:rPr>
      </w:pPr>
    </w:p>
    <w:p>
      <w:pPr>
        <w:ind w:left="660" w:right="289" w:hanging="328"/>
        <w:spacing w:after="0" w:line="237" w:lineRule="auto"/>
        <w:tabs>
          <w:tab w:leader="none" w:pos="648" w:val="left"/>
        </w:tabs>
        <w:numPr>
          <w:ilvl w:val="0"/>
          <w:numId w:val="19"/>
        </w:numPr>
        <w:rPr>
          <w:rFonts w:ascii="Arial" w:cs="Arial" w:eastAsia="Arial" w:hAnsi="Arial"/>
          <w:sz w:val="20"/>
          <w:szCs w:val="20"/>
          <w:color w:val="auto"/>
        </w:rPr>
      </w:pPr>
      <w:r>
        <w:rPr>
          <w:rFonts w:ascii="Arial" w:cs="Arial" w:eastAsia="Arial" w:hAnsi="Arial"/>
          <w:sz w:val="18"/>
          <w:szCs w:val="18"/>
          <w:color w:val="auto"/>
        </w:rPr>
        <w:t>Our ability to successfully identify, develop and finance carbon capture and storage projects and other renewable energy efforts, including those in connection with the Carbon TerraVault JV, and our ability to convert our CDMAs to definitive agreements and enter into other offtake agreements;</w:t>
      </w:r>
    </w:p>
    <w:p>
      <w:pPr>
        <w:spacing w:after="0" w:line="2" w:lineRule="exact"/>
        <w:rPr>
          <w:rFonts w:ascii="Arial" w:cs="Arial" w:eastAsia="Arial" w:hAnsi="Arial"/>
          <w:sz w:val="20"/>
          <w:szCs w:val="20"/>
          <w:color w:val="auto"/>
        </w:rPr>
      </w:pPr>
    </w:p>
    <w:p>
      <w:pPr>
        <w:ind w:left="660" w:right="509" w:hanging="328"/>
        <w:spacing w:after="0" w:line="231" w:lineRule="auto"/>
        <w:tabs>
          <w:tab w:leader="none" w:pos="648" w:val="left"/>
        </w:tabs>
        <w:numPr>
          <w:ilvl w:val="0"/>
          <w:numId w:val="19"/>
        </w:numPr>
        <w:rPr>
          <w:rFonts w:ascii="Arial" w:cs="Arial" w:eastAsia="Arial" w:hAnsi="Arial"/>
          <w:sz w:val="20"/>
          <w:szCs w:val="20"/>
          <w:color w:val="auto"/>
        </w:rPr>
      </w:pPr>
      <w:r>
        <w:rPr>
          <w:rFonts w:ascii="Arial" w:cs="Arial" w:eastAsia="Arial" w:hAnsi="Arial"/>
          <w:sz w:val="18"/>
          <w:szCs w:val="18"/>
          <w:color w:val="auto"/>
        </w:rPr>
        <w:t>Our ability to maximize the value of our carbon management business and operate it on a stand alone basis;</w:t>
      </w:r>
    </w:p>
    <w:p>
      <w:pPr>
        <w:spacing w:after="0" w:line="1" w:lineRule="exact"/>
        <w:rPr>
          <w:rFonts w:ascii="Arial" w:cs="Arial" w:eastAsia="Arial" w:hAnsi="Arial"/>
          <w:sz w:val="20"/>
          <w:szCs w:val="20"/>
          <w:color w:val="auto"/>
        </w:rPr>
      </w:pPr>
    </w:p>
    <w:p>
      <w:pPr>
        <w:ind w:left="660" w:right="369" w:hanging="328"/>
        <w:spacing w:after="0" w:line="236" w:lineRule="auto"/>
        <w:tabs>
          <w:tab w:leader="none" w:pos="648" w:val="left"/>
        </w:tabs>
        <w:numPr>
          <w:ilvl w:val="0"/>
          <w:numId w:val="19"/>
        </w:numPr>
        <w:rPr>
          <w:rFonts w:ascii="Arial" w:cs="Arial" w:eastAsia="Arial" w:hAnsi="Arial"/>
          <w:sz w:val="20"/>
          <w:szCs w:val="20"/>
          <w:color w:val="auto"/>
        </w:rPr>
      </w:pPr>
      <w:r>
        <w:rPr>
          <w:rFonts w:ascii="Arial" w:cs="Arial" w:eastAsia="Arial" w:hAnsi="Arial"/>
          <w:sz w:val="18"/>
          <w:szCs w:val="18"/>
          <w:color w:val="auto"/>
        </w:rPr>
        <w:t>Our ability to successfully develop infrastructure projects and enter into third party contracts on contemplated terms;</w:t>
      </w:r>
    </w:p>
    <w:p>
      <w:pPr>
        <w:spacing w:after="0" w:line="1" w:lineRule="exact"/>
        <w:rPr>
          <w:rFonts w:ascii="Arial" w:cs="Arial" w:eastAsia="Arial" w:hAnsi="Arial"/>
          <w:sz w:val="20"/>
          <w:szCs w:val="20"/>
          <w:color w:val="auto"/>
        </w:rPr>
      </w:pPr>
    </w:p>
    <w:p>
      <w:pPr>
        <w:ind w:left="660" w:right="449" w:hanging="328"/>
        <w:spacing w:after="0" w:line="236" w:lineRule="auto"/>
        <w:tabs>
          <w:tab w:leader="none" w:pos="648" w:val="left"/>
        </w:tabs>
        <w:numPr>
          <w:ilvl w:val="0"/>
          <w:numId w:val="19"/>
        </w:numPr>
        <w:rPr>
          <w:rFonts w:ascii="Arial" w:cs="Arial" w:eastAsia="Arial" w:hAnsi="Arial"/>
          <w:sz w:val="20"/>
          <w:szCs w:val="20"/>
          <w:color w:val="auto"/>
        </w:rPr>
      </w:pPr>
      <w:r>
        <w:rPr>
          <w:rFonts w:ascii="Arial" w:cs="Arial" w:eastAsia="Arial" w:hAnsi="Arial"/>
          <w:sz w:val="18"/>
          <w:szCs w:val="18"/>
          <w:color w:val="auto"/>
        </w:rPr>
        <w:t>uncertainty around the accounting of emissions and our ability to successfully gather and verify emissions data and other environmental impacts;</w:t>
      </w:r>
    </w:p>
    <w:p>
      <w:pPr>
        <w:spacing w:after="0" w:line="1" w:lineRule="exact"/>
        <w:rPr>
          <w:rFonts w:ascii="Arial" w:cs="Arial" w:eastAsia="Arial" w:hAnsi="Arial"/>
          <w:sz w:val="20"/>
          <w:szCs w:val="20"/>
          <w:color w:val="auto"/>
        </w:rPr>
      </w:pPr>
    </w:p>
    <w:p>
      <w:pPr>
        <w:jc w:val="both"/>
        <w:ind w:left="660" w:right="589" w:hanging="328"/>
        <w:spacing w:after="0" w:line="236" w:lineRule="auto"/>
        <w:tabs>
          <w:tab w:leader="none" w:pos="648" w:val="left"/>
        </w:tabs>
        <w:numPr>
          <w:ilvl w:val="0"/>
          <w:numId w:val="19"/>
        </w:numPr>
        <w:rPr>
          <w:rFonts w:ascii="Arial" w:cs="Arial" w:eastAsia="Arial" w:hAnsi="Arial"/>
          <w:sz w:val="20"/>
          <w:szCs w:val="20"/>
          <w:color w:val="auto"/>
        </w:rPr>
      </w:pPr>
      <w:r>
        <w:rPr>
          <w:rFonts w:ascii="Arial" w:cs="Arial" w:eastAsia="Arial" w:hAnsi="Arial"/>
          <w:sz w:val="18"/>
          <w:szCs w:val="18"/>
          <w:color w:val="auto"/>
        </w:rPr>
        <w:t>changes to our dividend policy and share repurchase program, and our ability to declare future dividends or repurchase shares under our debt agreements;</w:t>
      </w:r>
    </w:p>
    <w:p>
      <w:pPr>
        <w:spacing w:after="0" w:line="1" w:lineRule="exact"/>
        <w:rPr>
          <w:rFonts w:ascii="Arial" w:cs="Arial" w:eastAsia="Arial" w:hAnsi="Arial"/>
          <w:sz w:val="20"/>
          <w:szCs w:val="20"/>
          <w:color w:val="auto"/>
        </w:rPr>
      </w:pPr>
    </w:p>
    <w:p>
      <w:pPr>
        <w:ind w:left="660" w:right="509" w:hanging="328"/>
        <w:spacing w:after="0" w:line="234" w:lineRule="auto"/>
        <w:tabs>
          <w:tab w:leader="none" w:pos="648" w:val="left"/>
        </w:tabs>
        <w:numPr>
          <w:ilvl w:val="0"/>
          <w:numId w:val="19"/>
        </w:numPr>
        <w:rPr>
          <w:rFonts w:ascii="Arial" w:cs="Arial" w:eastAsia="Arial" w:hAnsi="Arial"/>
          <w:sz w:val="20"/>
          <w:szCs w:val="20"/>
          <w:color w:val="auto"/>
        </w:rPr>
      </w:pPr>
      <w:r>
        <w:rPr>
          <w:rFonts w:ascii="Arial" w:cs="Arial" w:eastAsia="Arial" w:hAnsi="Arial"/>
          <w:sz w:val="18"/>
          <w:szCs w:val="18"/>
          <w:color w:val="auto"/>
        </w:rPr>
        <w:t>limitations on our financial flexibility due to existing and future debt;</w:t>
      </w:r>
    </w:p>
    <w:p>
      <w:pPr>
        <w:spacing w:after="0" w:line="1" w:lineRule="exact"/>
        <w:rPr>
          <w:rFonts w:ascii="Arial" w:cs="Arial" w:eastAsia="Arial" w:hAnsi="Arial"/>
          <w:sz w:val="20"/>
          <w:szCs w:val="20"/>
          <w:color w:val="auto"/>
        </w:rPr>
      </w:pPr>
    </w:p>
    <w:p>
      <w:pPr>
        <w:ind w:left="660" w:right="429" w:hanging="328"/>
        <w:spacing w:after="0" w:line="245" w:lineRule="auto"/>
        <w:tabs>
          <w:tab w:leader="none" w:pos="648" w:val="left"/>
        </w:tabs>
        <w:numPr>
          <w:ilvl w:val="0"/>
          <w:numId w:val="19"/>
        </w:numPr>
        <w:rPr>
          <w:rFonts w:ascii="Arial" w:cs="Arial" w:eastAsia="Arial" w:hAnsi="Arial"/>
          <w:sz w:val="19"/>
          <w:szCs w:val="19"/>
          <w:color w:val="auto"/>
        </w:rPr>
      </w:pPr>
      <w:r>
        <w:rPr>
          <w:rFonts w:ascii="Arial" w:cs="Arial" w:eastAsia="Arial" w:hAnsi="Arial"/>
          <w:sz w:val="17"/>
          <w:szCs w:val="17"/>
          <w:color w:val="auto"/>
        </w:rPr>
        <w:t>insufficient cash flow to fund our capital plan and other planned investments and return capital to shareholders;</w:t>
      </w:r>
    </w:p>
    <w:p>
      <w:pPr>
        <w:ind w:left="640" w:hanging="308"/>
        <w:spacing w:after="0"/>
        <w:tabs>
          <w:tab w:leader="none" w:pos="640" w:val="left"/>
        </w:tabs>
        <w:numPr>
          <w:ilvl w:val="0"/>
          <w:numId w:val="19"/>
        </w:numPr>
        <w:rPr>
          <w:rFonts w:ascii="Arial" w:cs="Arial" w:eastAsia="Arial" w:hAnsi="Arial"/>
          <w:sz w:val="20"/>
          <w:szCs w:val="20"/>
          <w:color w:val="auto"/>
        </w:rPr>
      </w:pPr>
      <w:r>
        <w:rPr>
          <w:rFonts w:ascii="Arial" w:cs="Arial" w:eastAsia="Arial" w:hAnsi="Arial"/>
          <w:sz w:val="18"/>
          <w:szCs w:val="18"/>
          <w:color w:val="auto"/>
        </w:rPr>
        <w:t>changes in interest rates;</w:t>
      </w:r>
    </w:p>
    <w:p>
      <w:pPr>
        <w:spacing w:after="0" w:line="5" w:lineRule="exact"/>
        <w:rPr>
          <w:rFonts w:ascii="Arial" w:cs="Arial" w:eastAsia="Arial" w:hAnsi="Arial"/>
          <w:sz w:val="20"/>
          <w:szCs w:val="20"/>
          <w:color w:val="auto"/>
        </w:rPr>
      </w:pPr>
    </w:p>
    <w:p>
      <w:pPr>
        <w:ind w:left="660" w:right="749" w:hanging="328"/>
        <w:spacing w:after="0" w:line="233" w:lineRule="auto"/>
        <w:tabs>
          <w:tab w:leader="none" w:pos="648" w:val="left"/>
        </w:tabs>
        <w:numPr>
          <w:ilvl w:val="0"/>
          <w:numId w:val="19"/>
        </w:numPr>
        <w:rPr>
          <w:rFonts w:ascii="Arial" w:cs="Arial" w:eastAsia="Arial" w:hAnsi="Arial"/>
          <w:sz w:val="20"/>
          <w:szCs w:val="20"/>
          <w:color w:val="auto"/>
        </w:rPr>
      </w:pPr>
      <w:r>
        <w:rPr>
          <w:rFonts w:ascii="Arial" w:cs="Arial" w:eastAsia="Arial" w:hAnsi="Arial"/>
          <w:sz w:val="18"/>
          <w:szCs w:val="18"/>
          <w:color w:val="auto"/>
        </w:rPr>
        <w:t>Our access to and the terms of credit in commercial banking and capital markets,</w:t>
      </w:r>
    </w:p>
    <w:p>
      <w:pPr>
        <w:spacing w:after="0" w:line="20" w:lineRule="exact"/>
        <w:rPr>
          <w:sz w:val="20"/>
          <w:szCs w:val="20"/>
          <w:color w:val="auto"/>
        </w:rPr>
      </w:pPr>
      <w:r>
        <w:rPr>
          <w:sz w:val="20"/>
          <w:szCs w:val="20"/>
          <w:color w:val="auto"/>
        </w:rPr>
        <w:br w:type="column"/>
      </w:r>
    </w:p>
    <w:p>
      <w:pPr>
        <w:ind w:left="331" w:right="40"/>
        <w:spacing w:after="0" w:line="266" w:lineRule="auto"/>
        <w:rPr>
          <w:sz w:val="20"/>
          <w:szCs w:val="20"/>
          <w:color w:val="auto"/>
        </w:rPr>
      </w:pPr>
      <w:r>
        <w:rPr>
          <w:rFonts w:ascii="Arial" w:cs="Arial" w:eastAsia="Arial" w:hAnsi="Arial"/>
          <w:sz w:val="17"/>
          <w:szCs w:val="17"/>
          <w:color w:val="auto"/>
        </w:rPr>
        <w:t>including our ability to refinance our debt or obtain separate financing for our carbon management business;</w:t>
      </w:r>
    </w:p>
    <w:p>
      <w:pPr>
        <w:jc w:val="both"/>
        <w:ind w:left="331" w:right="500" w:hanging="331"/>
        <w:spacing w:after="0" w:line="252" w:lineRule="auto"/>
        <w:tabs>
          <w:tab w:leader="none" w:pos="319" w:val="left"/>
        </w:tabs>
        <w:numPr>
          <w:ilvl w:val="0"/>
          <w:numId w:val="20"/>
        </w:numPr>
        <w:rPr>
          <w:rFonts w:ascii="Arial" w:cs="Arial" w:eastAsia="Arial" w:hAnsi="Arial"/>
          <w:sz w:val="19"/>
          <w:szCs w:val="19"/>
          <w:color w:val="auto"/>
        </w:rPr>
      </w:pPr>
      <w:r>
        <w:rPr>
          <w:rFonts w:ascii="Arial" w:cs="Arial" w:eastAsia="Arial" w:hAnsi="Arial"/>
          <w:sz w:val="17"/>
          <w:szCs w:val="17"/>
          <w:color w:val="auto"/>
        </w:rPr>
        <w:t>changes in state, federal or international tax rates, including our ability to utilize our net operating loss carryforwards to reduce our income tax obligations;</w:t>
      </w:r>
    </w:p>
    <w:p>
      <w:pPr>
        <w:spacing w:after="0" w:line="2" w:lineRule="exact"/>
        <w:rPr>
          <w:rFonts w:ascii="Arial" w:cs="Arial" w:eastAsia="Arial" w:hAnsi="Arial"/>
          <w:sz w:val="19"/>
          <w:szCs w:val="19"/>
          <w:color w:val="auto"/>
        </w:rPr>
      </w:pPr>
    </w:p>
    <w:p>
      <w:pPr>
        <w:ind w:left="311" w:hanging="311"/>
        <w:spacing w:after="0"/>
        <w:tabs>
          <w:tab w:leader="none" w:pos="311" w:val="left"/>
        </w:tabs>
        <w:numPr>
          <w:ilvl w:val="0"/>
          <w:numId w:val="20"/>
        </w:numPr>
        <w:rPr>
          <w:rFonts w:ascii="Arial" w:cs="Arial" w:eastAsia="Arial" w:hAnsi="Arial"/>
          <w:sz w:val="20"/>
          <w:szCs w:val="20"/>
          <w:color w:val="auto"/>
        </w:rPr>
      </w:pPr>
      <w:r>
        <w:rPr>
          <w:rFonts w:ascii="Arial" w:cs="Arial" w:eastAsia="Arial" w:hAnsi="Arial"/>
          <w:sz w:val="18"/>
          <w:szCs w:val="18"/>
          <w:color w:val="auto"/>
        </w:rPr>
        <w:t>effects of hedging transactions;</w:t>
      </w:r>
    </w:p>
    <w:p>
      <w:pPr>
        <w:spacing w:after="0" w:line="5" w:lineRule="exact"/>
        <w:rPr>
          <w:rFonts w:ascii="Arial" w:cs="Arial" w:eastAsia="Arial" w:hAnsi="Arial"/>
          <w:sz w:val="20"/>
          <w:szCs w:val="20"/>
          <w:color w:val="auto"/>
        </w:rPr>
      </w:pPr>
    </w:p>
    <w:p>
      <w:pPr>
        <w:ind w:left="331" w:right="440" w:hanging="331"/>
        <w:spacing w:after="0" w:line="226" w:lineRule="auto"/>
        <w:tabs>
          <w:tab w:leader="none" w:pos="319" w:val="left"/>
        </w:tabs>
        <w:numPr>
          <w:ilvl w:val="0"/>
          <w:numId w:val="20"/>
        </w:numPr>
        <w:rPr>
          <w:rFonts w:ascii="Arial" w:cs="Arial" w:eastAsia="Arial" w:hAnsi="Arial"/>
          <w:sz w:val="20"/>
          <w:szCs w:val="20"/>
          <w:color w:val="auto"/>
        </w:rPr>
      </w:pPr>
      <w:r>
        <w:rPr>
          <w:rFonts w:ascii="Arial" w:cs="Arial" w:eastAsia="Arial" w:hAnsi="Arial"/>
          <w:sz w:val="18"/>
          <w:szCs w:val="18"/>
          <w:color w:val="auto"/>
        </w:rPr>
        <w:t>the effect of our stock price on costs associated with incentive compensation;</w:t>
      </w:r>
    </w:p>
    <w:p>
      <w:pPr>
        <w:spacing w:after="0" w:line="1" w:lineRule="exact"/>
        <w:rPr>
          <w:rFonts w:ascii="Arial" w:cs="Arial" w:eastAsia="Arial" w:hAnsi="Arial"/>
          <w:sz w:val="20"/>
          <w:szCs w:val="20"/>
          <w:color w:val="auto"/>
        </w:rPr>
      </w:pPr>
    </w:p>
    <w:p>
      <w:pPr>
        <w:ind w:left="331" w:right="380" w:hanging="331"/>
        <w:spacing w:after="0" w:line="249" w:lineRule="auto"/>
        <w:tabs>
          <w:tab w:leader="none" w:pos="319" w:val="left"/>
        </w:tabs>
        <w:numPr>
          <w:ilvl w:val="0"/>
          <w:numId w:val="20"/>
        </w:numPr>
        <w:rPr>
          <w:rFonts w:ascii="Arial" w:cs="Arial" w:eastAsia="Arial" w:hAnsi="Arial"/>
          <w:sz w:val="19"/>
          <w:szCs w:val="19"/>
          <w:color w:val="auto"/>
        </w:rPr>
      </w:pPr>
      <w:r>
        <w:rPr>
          <w:rFonts w:ascii="Arial" w:cs="Arial" w:eastAsia="Arial" w:hAnsi="Arial"/>
          <w:sz w:val="17"/>
          <w:szCs w:val="17"/>
          <w:color w:val="auto"/>
        </w:rPr>
        <w:t>inability to enter into desirable transactions, including joint ventures, divestitures of oil and natural gas properties and real estate, and acquisitions, and our ability to achieve any expected synergies;</w:t>
      </w:r>
    </w:p>
    <w:p>
      <w:pPr>
        <w:spacing w:after="0" w:line="1" w:lineRule="exact"/>
        <w:rPr>
          <w:rFonts w:ascii="Arial" w:cs="Arial" w:eastAsia="Arial" w:hAnsi="Arial"/>
          <w:sz w:val="19"/>
          <w:szCs w:val="19"/>
          <w:color w:val="auto"/>
        </w:rPr>
      </w:pPr>
    </w:p>
    <w:p>
      <w:pPr>
        <w:ind w:left="331" w:right="220" w:hanging="331"/>
        <w:spacing w:after="0" w:line="232" w:lineRule="auto"/>
        <w:tabs>
          <w:tab w:leader="none" w:pos="319" w:val="left"/>
        </w:tabs>
        <w:numPr>
          <w:ilvl w:val="0"/>
          <w:numId w:val="20"/>
        </w:numPr>
        <w:rPr>
          <w:rFonts w:ascii="Arial" w:cs="Arial" w:eastAsia="Arial" w:hAnsi="Arial"/>
          <w:sz w:val="20"/>
          <w:szCs w:val="20"/>
          <w:color w:val="auto"/>
        </w:rPr>
      </w:pPr>
      <w:r>
        <w:rPr>
          <w:rFonts w:ascii="Arial" w:cs="Arial" w:eastAsia="Arial" w:hAnsi="Arial"/>
          <w:sz w:val="18"/>
          <w:szCs w:val="18"/>
          <w:color w:val="auto"/>
        </w:rPr>
        <w:t>disruptions due to earthquakes, forest fires, floods, extreme weather events or other natural occurrences, accidents, mechanical failures, power outages, transportation or storage constraints, labor difficulties, cybersecurity breaches or attacks or other catastrophic events;</w:t>
      </w:r>
    </w:p>
    <w:p>
      <w:pPr>
        <w:ind w:left="331" w:right="140" w:hanging="331"/>
        <w:spacing w:after="0" w:line="234" w:lineRule="auto"/>
        <w:tabs>
          <w:tab w:leader="none" w:pos="326"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pandemics, epidemics, outbreaks, or other public health events, such as the COVID-19 pandemic; and</w:t>
      </w:r>
    </w:p>
    <w:p>
      <w:pPr>
        <w:spacing w:after="0" w:line="1" w:lineRule="exact"/>
        <w:rPr>
          <w:rFonts w:ascii="Arial" w:cs="Arial" w:eastAsia="Arial" w:hAnsi="Arial"/>
          <w:sz w:val="18"/>
          <w:szCs w:val="18"/>
          <w:color w:val="auto"/>
        </w:rPr>
      </w:pPr>
    </w:p>
    <w:p>
      <w:pPr>
        <w:ind w:left="331" w:right="160" w:hanging="331"/>
        <w:spacing w:after="0" w:line="266" w:lineRule="auto"/>
        <w:tabs>
          <w:tab w:leader="none" w:pos="326"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other factors discussed in </w:t>
      </w:r>
      <w:r>
        <w:rPr>
          <w:rFonts w:ascii="Arial" w:cs="Arial" w:eastAsia="Arial" w:hAnsi="Arial"/>
          <w:sz w:val="18"/>
          <w:szCs w:val="18"/>
          <w:i w:val="1"/>
          <w:iCs w:val="1"/>
          <w:color w:val="auto"/>
        </w:rPr>
        <w:t>Part I, Item 1A – Risk Factors</w:t>
      </w:r>
      <w:r>
        <w:rPr>
          <w:rFonts w:ascii="Arial" w:cs="Arial" w:eastAsia="Arial" w:hAnsi="Arial"/>
          <w:sz w:val="18"/>
          <w:szCs w:val="18"/>
          <w:color w:val="auto"/>
        </w:rPr>
        <w:t xml:space="preserve"> in our 2023 Annual Report</w:t>
      </w:r>
      <w:r>
        <w:rPr>
          <w:rFonts w:ascii="Arial" w:cs="Arial" w:eastAsia="Arial" w:hAnsi="Arial"/>
          <w:sz w:val="18"/>
          <w:szCs w:val="18"/>
          <w:i w:val="1"/>
          <w:iCs w:val="1"/>
          <w:color w:val="auto"/>
        </w:rPr>
        <w:t>.</w:t>
      </w:r>
    </w:p>
    <w:p>
      <w:pPr>
        <w:spacing w:after="0" w:line="864" w:lineRule="exact"/>
        <w:rPr>
          <w:sz w:val="20"/>
          <w:szCs w:val="20"/>
          <w:color w:val="auto"/>
        </w:rPr>
      </w:pPr>
    </w:p>
    <w:p>
      <w:pPr>
        <w:sectPr>
          <w:pgSz w:w="11900" w:h="16838" w:orient="portrait"/>
          <w:cols w:equalWidth="0" w:num="2">
            <w:col w:w="5509" w:space="720"/>
            <w:col w:w="4911"/>
          </w:cols>
          <w:pgMar w:left="320" w:top="877" w:right="439" w:bottom="1440" w:gutter="0" w:footer="0" w:header="0"/>
        </w:sectPr>
      </w:pPr>
    </w:p>
    <w:p>
      <w:pPr>
        <w:spacing w:after="0" w:line="265"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We caution you not to place undue reliance on forward-looking statements contained in this document, which speak only as of the filing date, and we undertake no obligation to update this information. This document may also contain information from third party sources. This data may involve a number of assumptions and limitations, and we have not independently verified them and do not warrant the accuracy or completeness of such third-party information.</w:t>
      </w:r>
    </w:p>
    <w:p>
      <w:pPr>
        <w:spacing w:after="0" w:line="200" w:lineRule="exact"/>
        <w:rPr>
          <w:sz w:val="20"/>
          <w:szCs w:val="20"/>
          <w:color w:val="auto"/>
        </w:rPr>
      </w:pPr>
    </w:p>
    <w:p>
      <w:pPr>
        <w:spacing w:after="0" w:line="3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877" w:right="439" w:bottom="1440" w:gutter="0" w:footer="0" w:header="0"/>
          <w:type w:val="continuous"/>
        </w:sectPr>
      </w:pPr>
    </w:p>
    <w:bookmarkStart w:id="62" w:name="page63"/>
    <w:bookmarkEnd w:id="62"/>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52" w:lineRule="exact"/>
        <w:rPr>
          <w:sz w:val="20"/>
          <w:szCs w:val="20"/>
          <w:color w:val="auto"/>
        </w:rPr>
      </w:pPr>
    </w:p>
    <w:p>
      <w:pPr>
        <w:jc w:val="both"/>
        <w:ind w:right="20" w:firstLine="324"/>
        <w:spacing w:after="0" w:line="268" w:lineRule="auto"/>
        <w:rPr>
          <w:sz w:val="20"/>
          <w:szCs w:val="20"/>
          <w:color w:val="auto"/>
        </w:rPr>
      </w:pPr>
      <w:r>
        <w:rPr>
          <w:rFonts w:ascii="Arial" w:cs="Arial" w:eastAsia="Arial" w:hAnsi="Arial"/>
          <w:sz w:val="18"/>
          <w:szCs w:val="18"/>
          <w:color w:val="auto"/>
        </w:rPr>
        <w:t xml:space="preserve">For the three and nine months ended September 30, 2024, there were no material changes to market risks from the information provided under Item 305 of Regulation S-K included under the caption </w:t>
      </w:r>
      <w:r>
        <w:rPr>
          <w:rFonts w:ascii="Arial" w:cs="Arial" w:eastAsia="Arial" w:hAnsi="Arial"/>
          <w:sz w:val="18"/>
          <w:szCs w:val="18"/>
          <w:i w:val="1"/>
          <w:iCs w:val="1"/>
          <w:color w:val="auto"/>
        </w:rPr>
        <w:t>Part II, Item 7A – Quantitative and Qualitative Disclosures About Market Risk</w:t>
      </w:r>
      <w:r>
        <w:rPr>
          <w:rFonts w:ascii="Arial" w:cs="Arial" w:eastAsia="Arial" w:hAnsi="Arial"/>
          <w:sz w:val="18"/>
          <w:szCs w:val="18"/>
          <w:color w:val="auto"/>
        </w:rPr>
        <w:t xml:space="preserve"> in the 2023 Annual Report.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250" w:lineRule="exact"/>
        <w:rPr>
          <w:sz w:val="20"/>
          <w:szCs w:val="20"/>
          <w:color w:val="auto"/>
        </w:rPr>
      </w:pPr>
    </w:p>
    <w:p>
      <w:pPr>
        <w:ind w:firstLine="405"/>
        <w:spacing w:after="0" w:line="256" w:lineRule="auto"/>
        <w:rPr>
          <w:sz w:val="20"/>
          <w:szCs w:val="20"/>
          <w:color w:val="auto"/>
        </w:rPr>
      </w:pPr>
      <w:r>
        <w:rPr>
          <w:rFonts w:ascii="Arial" w:cs="Arial" w:eastAsia="Arial" w:hAnsi="Arial"/>
          <w:sz w:val="18"/>
          <w:szCs w:val="18"/>
          <w:color w:val="auto"/>
        </w:rPr>
        <w:t xml:space="preserve">Our financial results are sensitive to fluctuations in oil, NGL and natural gas prices. These commodity price changes also impact the volume changes under our PSCs. We maintain a commodity hedging program focused on hedging crude oil sales and natural gas purchases to help protect our cash flows, margins and capital program from the volatility of commodity prices. As of September 30, 2024, we had a net liability of $6 million for our commodity derivative positions which are carried at fair value. For more information on our derivative positions as of September 30, 2024, refer to </w:t>
      </w:r>
      <w:r>
        <w:rPr>
          <w:rFonts w:ascii="Arial" w:cs="Arial" w:eastAsia="Arial" w:hAnsi="Arial"/>
          <w:sz w:val="18"/>
          <w:szCs w:val="18"/>
          <w:i w:val="1"/>
          <w:iCs w:val="1"/>
          <w:color w:val="auto"/>
        </w:rPr>
        <w:t>Part I, Item 1 – Financial Statements, Note 6 Derivatives.</w:t>
      </w:r>
      <w:r>
        <w:rPr>
          <w:rFonts w:ascii="Arial" w:cs="Arial" w:eastAsia="Arial" w:hAnsi="Arial"/>
          <w:sz w:val="18"/>
          <w:szCs w:val="18"/>
          <w:color w:val="auto"/>
        </w:rPr>
        <w:t xml:space="preserve"> We have price exposure for natural gas we purchase and use in our business. We used natural gas to generate electricity for our operations and higher natural gas prices will also result in an increase to our electricity costs.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Counterparty Credit Risk</w:t>
      </w:r>
    </w:p>
    <w:p>
      <w:pPr>
        <w:spacing w:after="0" w:line="250" w:lineRule="exact"/>
        <w:rPr>
          <w:sz w:val="20"/>
          <w:szCs w:val="20"/>
          <w:color w:val="auto"/>
        </w:rPr>
      </w:pPr>
    </w:p>
    <w:p>
      <w:pPr>
        <w:ind w:right="80" w:firstLine="324"/>
        <w:spacing w:after="0" w:line="262" w:lineRule="auto"/>
        <w:rPr>
          <w:sz w:val="20"/>
          <w:szCs w:val="20"/>
          <w:color w:val="auto"/>
        </w:rPr>
      </w:pPr>
      <w:r>
        <w:rPr>
          <w:rFonts w:ascii="Arial" w:cs="Arial" w:eastAsia="Arial" w:hAnsi="Arial"/>
          <w:sz w:val="18"/>
          <w:szCs w:val="18"/>
          <w:color w:val="auto"/>
        </w:rPr>
        <w:t>Our credit risk relates primarily to trade receivables and derivative financial instruments. Credit exposure for each customer is monitored for outstanding balances and current activity. Counterparty credit limits have been established based upon the financial health of our counterparties, and these limits are actively monitored. In the event counterparty credit risk is heightened, we may request collateral and accelerate payment dates. Concentration of credit risk is regularly reviewed to ensure that counterparty credit risk is adequately diversified.</w:t>
      </w:r>
    </w:p>
    <w:p>
      <w:pPr>
        <w:spacing w:after="0" w:line="203" w:lineRule="exact"/>
        <w:rPr>
          <w:sz w:val="20"/>
          <w:szCs w:val="20"/>
          <w:color w:val="auto"/>
        </w:rPr>
      </w:pPr>
    </w:p>
    <w:p>
      <w:pPr>
        <w:ind w:right="200" w:firstLine="324"/>
        <w:spacing w:after="0" w:line="268" w:lineRule="auto"/>
        <w:rPr>
          <w:sz w:val="20"/>
          <w:szCs w:val="20"/>
          <w:color w:val="auto"/>
        </w:rPr>
      </w:pPr>
      <w:r>
        <w:rPr>
          <w:rFonts w:ascii="Arial" w:cs="Arial" w:eastAsia="Arial" w:hAnsi="Arial"/>
          <w:sz w:val="18"/>
          <w:szCs w:val="18"/>
          <w:color w:val="auto"/>
        </w:rPr>
        <w:t>As of September 30, 2024, the majority of our credit exposure was with investment-grade counterparties. We believe exposure to counterparty credit-related losses related to our business at September 30, 2024 was not material and losses associated with counterparty credit risk have been insignificant for all periods presented.</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Interest-Rate Risk</w:t>
      </w:r>
    </w:p>
    <w:p>
      <w:pPr>
        <w:spacing w:after="0" w:line="250"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Changes in interest rates may affect the amount of interest we pay on our long-term debt. We had no variable-rate debt outstanding as of September 30, 2024. Our 2026 Senior Notes bear interest at a fixed rate of 7.125% per annum. Our 2029 Senior Notes bear interest at a fixed rate of 8.250% per annum.</w:t>
      </w:r>
    </w:p>
    <w:p>
      <w:pPr>
        <w:spacing w:after="0" w:line="19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52" w:lineRule="exact"/>
        <w:rPr>
          <w:sz w:val="20"/>
          <w:szCs w:val="20"/>
          <w:color w:val="auto"/>
        </w:rPr>
      </w:pPr>
    </w:p>
    <w:p>
      <w:pPr>
        <w:ind w:right="140" w:firstLine="324"/>
        <w:spacing w:after="0" w:line="256" w:lineRule="auto"/>
        <w:rPr>
          <w:sz w:val="20"/>
          <w:szCs w:val="20"/>
          <w:color w:val="auto"/>
        </w:rPr>
      </w:pPr>
      <w:r>
        <w:rPr>
          <w:rFonts w:ascii="Arial" w:cs="Arial" w:eastAsia="Arial" w:hAnsi="Arial"/>
          <w:sz w:val="18"/>
          <w:szCs w:val="18"/>
          <w:color w:val="auto"/>
        </w:rPr>
        <w:t xml:space="preserve">Our Chief Executive Officer and Chief Financial Officer supervised and participated in management's evaluation of our disclosure controls and procedures (as defined in Rules 13a-15(e) and 15d-15(e) under the Securities Exchange Act of 1934) as of the end of the period covered by this report. Based upon that evaluation, our Chief Executive Officer and our Chief Financial Officer concluded that our disclosure controls and procedures were effective as of September 30, 2024. As disclosed in </w:t>
      </w:r>
      <w:r>
        <w:rPr>
          <w:rFonts w:ascii="Arial" w:cs="Arial" w:eastAsia="Arial" w:hAnsi="Arial"/>
          <w:sz w:val="18"/>
          <w:szCs w:val="18"/>
          <w:i w:val="1"/>
          <w:iCs w:val="1"/>
          <w:color w:val="auto"/>
        </w:rPr>
        <w:t>Part I, Item 1 – Financial Statements, Note 2</w:t>
      </w:r>
      <w:r>
        <w:rPr>
          <w:rFonts w:ascii="Arial" w:cs="Arial" w:eastAsia="Arial" w:hAnsi="Arial"/>
          <w:sz w:val="18"/>
          <w:szCs w:val="18"/>
          <w:color w:val="auto"/>
        </w:rPr>
        <w:t xml:space="preserve"> </w:t>
      </w:r>
      <w:r>
        <w:rPr>
          <w:rFonts w:ascii="Arial" w:cs="Arial" w:eastAsia="Arial" w:hAnsi="Arial"/>
          <w:sz w:val="18"/>
          <w:szCs w:val="18"/>
          <w:i w:val="1"/>
          <w:iCs w:val="1"/>
          <w:color w:val="auto"/>
        </w:rPr>
        <w:t>Aera Merger</w:t>
      </w:r>
      <w:r>
        <w:rPr>
          <w:rFonts w:ascii="Arial" w:cs="Arial" w:eastAsia="Arial" w:hAnsi="Arial"/>
          <w:sz w:val="18"/>
          <w:szCs w:val="18"/>
          <w:color w:val="auto"/>
        </w:rPr>
        <w:t>, we completed the Aera Merger on July 1, 2024. As part of the ongoing integration of Aera, we are in process of incorporating</w:t>
      </w:r>
      <w:r>
        <w:rPr>
          <w:rFonts w:ascii="Arial" w:cs="Arial" w:eastAsia="Arial" w:hAnsi="Arial"/>
          <w:sz w:val="18"/>
          <w:szCs w:val="18"/>
          <w:i w:val="1"/>
          <w:iCs w:val="1"/>
          <w:color w:val="auto"/>
        </w:rPr>
        <w:t xml:space="preserve"> </w:t>
      </w:r>
      <w:r>
        <w:rPr>
          <w:rFonts w:ascii="Arial" w:cs="Arial" w:eastAsia="Arial" w:hAnsi="Arial"/>
          <w:sz w:val="18"/>
          <w:szCs w:val="18"/>
          <w:color w:val="auto"/>
        </w:rPr>
        <w:t>the controls and related procedures of Aera. Management's evaluation of our disclosure controls and procedures as of September 30, 2024 excludes an evaluation of the disclosure controls and procedures of Aera.</w:t>
      </w:r>
    </w:p>
    <w:p>
      <w:pPr>
        <w:spacing w:after="0" w:line="21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Other than incorporating Aera's controls, there were no other changes in our internal controls over financial reporting (as defined in Rules</w:t>
      </w:r>
    </w:p>
    <w:p>
      <w:pPr>
        <w:spacing w:after="0" w:line="39" w:lineRule="exact"/>
        <w:rPr>
          <w:sz w:val="20"/>
          <w:szCs w:val="20"/>
          <w:color w:val="auto"/>
        </w:rPr>
      </w:pPr>
    </w:p>
    <w:p>
      <w:pPr>
        <w:ind w:right="480"/>
        <w:spacing w:after="0" w:line="266" w:lineRule="auto"/>
        <w:rPr>
          <w:sz w:val="20"/>
          <w:szCs w:val="20"/>
          <w:color w:val="auto"/>
        </w:rPr>
      </w:pPr>
      <w:r>
        <w:rPr>
          <w:rFonts w:ascii="Arial" w:cs="Arial" w:eastAsia="Arial" w:hAnsi="Arial"/>
          <w:sz w:val="18"/>
          <w:szCs w:val="18"/>
          <w:color w:val="auto"/>
        </w:rPr>
        <w:t>13a-15(f) and 15d-15(f) under the Securities Exchange Act of 1934) during the three months ended September 30, 2024 that materially affected, or are reasonably likely to materially affect, our internal controls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63" w:name="page64"/>
    <w:bookmarkEnd w:id="63"/>
    <w:p>
      <w:pPr>
        <w:jc w:val="center"/>
        <w:ind w:right="-19"/>
        <w:spacing w:after="0"/>
        <w:tabs>
          <w:tab w:leader="none" w:pos="180" w:val="left"/>
        </w:tabs>
        <w:rPr>
          <w:sz w:val="20"/>
          <w:szCs w:val="20"/>
          <w:color w:val="auto"/>
        </w:rPr>
      </w:pPr>
      <w:r>
        <w:rPr>
          <w:rFonts w:ascii="Arial" w:cs="Arial" w:eastAsia="Arial" w:hAnsi="Arial"/>
          <w:sz w:val="18"/>
          <w:szCs w:val="18"/>
          <w:b w:val="1"/>
          <w:bCs w:val="1"/>
          <w:color w:val="auto"/>
        </w:rPr>
        <w:t>PART II</w:t>
      </w:r>
      <w:r>
        <w:rPr>
          <w:sz w:val="20"/>
          <w:szCs w:val="20"/>
          <w:color w:val="auto"/>
        </w:rPr>
        <w:tab/>
      </w:r>
      <w:r>
        <w:rPr>
          <w:rFonts w:ascii="Arial" w:cs="Arial" w:eastAsia="Arial" w:hAnsi="Arial"/>
          <w:sz w:val="17"/>
          <w:szCs w:val="17"/>
          <w:b w:val="1"/>
          <w:bCs w:val="1"/>
          <w:color w:val="auto"/>
        </w:rPr>
        <w:t>OTHER INFORMATION</w:t>
      </w:r>
    </w:p>
    <w:p>
      <w:pPr>
        <w:spacing w:after="0" w:line="200" w:lineRule="exact"/>
        <w:rPr>
          <w:sz w:val="20"/>
          <w:szCs w:val="20"/>
          <w:color w:val="auto"/>
        </w:rPr>
      </w:pPr>
    </w:p>
    <w:p>
      <w:pPr>
        <w:spacing w:after="0" w:line="24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52" w:lineRule="exact"/>
        <w:rPr>
          <w:sz w:val="20"/>
          <w:szCs w:val="20"/>
          <w:color w:val="auto"/>
        </w:rPr>
      </w:pPr>
    </w:p>
    <w:p>
      <w:pPr>
        <w:ind w:right="180" w:firstLine="324"/>
        <w:spacing w:after="0" w:line="262" w:lineRule="auto"/>
        <w:rPr>
          <w:sz w:val="20"/>
          <w:szCs w:val="20"/>
          <w:color w:val="auto"/>
        </w:rPr>
      </w:pPr>
      <w:r>
        <w:rPr>
          <w:rFonts w:ascii="Arial" w:cs="Arial" w:eastAsia="Arial" w:hAnsi="Arial"/>
          <w:sz w:val="18"/>
          <w:szCs w:val="18"/>
          <w:color w:val="auto"/>
        </w:rPr>
        <w:t xml:space="preserve">For additional information regarding legal proceedings, see </w:t>
      </w:r>
      <w:r>
        <w:rPr>
          <w:rFonts w:ascii="Arial" w:cs="Arial" w:eastAsia="Arial" w:hAnsi="Arial"/>
          <w:sz w:val="18"/>
          <w:szCs w:val="18"/>
          <w:i w:val="1"/>
          <w:iCs w:val="1"/>
          <w:color w:val="auto"/>
        </w:rPr>
        <w:t>Item 1</w:t>
      </w:r>
      <w:r>
        <w:rPr>
          <w:rFonts w:ascii="Arial" w:cs="Arial" w:eastAsia="Arial" w:hAnsi="Arial"/>
          <w:sz w:val="18"/>
          <w:szCs w:val="18"/>
          <w:color w:val="auto"/>
        </w:rPr>
        <w:t xml:space="preserve"> – </w:t>
      </w:r>
      <w:r>
        <w:rPr>
          <w:rFonts w:ascii="Arial" w:cs="Arial" w:eastAsia="Arial" w:hAnsi="Arial"/>
          <w:sz w:val="18"/>
          <w:szCs w:val="18"/>
          <w:i w:val="1"/>
          <w:iCs w:val="1"/>
          <w:color w:val="auto"/>
        </w:rPr>
        <w:t>Financial Statements, Note 4 Lawsuits, Claims, Commitments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Contingencies </w:t>
      </w:r>
      <w:r>
        <w:rPr>
          <w:rFonts w:ascii="Arial" w:cs="Arial" w:eastAsia="Arial" w:hAnsi="Arial"/>
          <w:sz w:val="18"/>
          <w:szCs w:val="18"/>
          <w:color w:val="auto"/>
        </w:rPr>
        <w:t>in the Notes to the Condensed Consolidated Financial Statements included in Part I of this Form 10-Q,</w:t>
      </w:r>
      <w:r>
        <w:rPr>
          <w:rFonts w:ascii="Arial" w:cs="Arial" w:eastAsia="Arial" w:hAnsi="Arial"/>
          <w:sz w:val="18"/>
          <w:szCs w:val="18"/>
          <w:i w:val="1"/>
          <w:iCs w:val="1"/>
          <w:color w:val="auto"/>
        </w:rPr>
        <w:t xml:space="preserve"> Part I, Item 2 – Management's Discussion and Analysis of Financial Condition and Results of Operations, Lawsuits, Claims, Commitments and Contingencies </w:t>
      </w:r>
      <w:r>
        <w:rPr>
          <w:rFonts w:ascii="Arial" w:cs="Arial" w:eastAsia="Arial" w:hAnsi="Arial"/>
          <w:sz w:val="18"/>
          <w:szCs w:val="18"/>
          <w:color w:val="auto"/>
        </w:rPr>
        <w:t>in this Form 10-Q, and</w:t>
      </w:r>
      <w:r>
        <w:rPr>
          <w:rFonts w:ascii="Arial" w:cs="Arial" w:eastAsia="Arial" w:hAnsi="Arial"/>
          <w:sz w:val="18"/>
          <w:szCs w:val="18"/>
          <w:i w:val="1"/>
          <w:iCs w:val="1"/>
          <w:color w:val="auto"/>
        </w:rPr>
        <w:t xml:space="preserve"> Part I, Item 3, Legal Proceedings </w:t>
      </w:r>
      <w:r>
        <w:rPr>
          <w:rFonts w:ascii="Arial" w:cs="Arial" w:eastAsia="Arial" w:hAnsi="Arial"/>
          <w:sz w:val="18"/>
          <w:szCs w:val="18"/>
          <w:color w:val="auto"/>
        </w:rPr>
        <w:t>in our 2023 Annual Report.</w:t>
      </w:r>
    </w:p>
    <w:p>
      <w:pPr>
        <w:spacing w:after="0" w:line="20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52" w:lineRule="exact"/>
        <w:rPr>
          <w:sz w:val="20"/>
          <w:szCs w:val="20"/>
          <w:color w:val="auto"/>
        </w:rPr>
      </w:pPr>
    </w:p>
    <w:p>
      <w:pPr>
        <w:ind w:right="320" w:firstLine="324"/>
        <w:spacing w:after="0" w:line="268" w:lineRule="auto"/>
        <w:rPr>
          <w:sz w:val="20"/>
          <w:szCs w:val="20"/>
          <w:color w:val="auto"/>
        </w:rPr>
      </w:pPr>
      <w:r>
        <w:rPr>
          <w:rFonts w:ascii="Arial" w:cs="Arial" w:eastAsia="Arial" w:hAnsi="Arial"/>
          <w:sz w:val="18"/>
          <w:szCs w:val="18"/>
          <w:color w:val="auto"/>
        </w:rPr>
        <w:t xml:space="preserve">We are subject to various risks and uncertainties in the course of our business. A discussion of such risks and uncertainties may be found under the heading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our 2023 Annual Report. Except as set forth below, there were no material changes to those risk factors during the three months ended September 30, 2024.</w:t>
      </w:r>
    </w:p>
    <w:p>
      <w:pPr>
        <w:spacing w:after="0" w:line="200" w:lineRule="exact"/>
        <w:rPr>
          <w:sz w:val="20"/>
          <w:szCs w:val="20"/>
          <w:color w:val="auto"/>
        </w:rPr>
      </w:pPr>
    </w:p>
    <w:p>
      <w:pPr>
        <w:ind w:right="480" w:firstLine="324"/>
        <w:spacing w:after="0" w:line="294" w:lineRule="auto"/>
        <w:rPr>
          <w:sz w:val="20"/>
          <w:szCs w:val="20"/>
          <w:color w:val="auto"/>
        </w:rPr>
      </w:pPr>
      <w:r>
        <w:rPr>
          <w:rFonts w:ascii="Arial" w:cs="Arial" w:eastAsia="Arial" w:hAnsi="Arial"/>
          <w:sz w:val="18"/>
          <w:szCs w:val="18"/>
          <w:b w:val="1"/>
          <w:bCs w:val="1"/>
          <w:i w:val="1"/>
          <w:iCs w:val="1"/>
          <w:color w:val="auto"/>
        </w:rPr>
        <w:t>We may face increased local restrictions on oil and gas exploration and production operations or even be prohibited from operating in certain areas as a result of recently enacted California legislation</w:t>
      </w:r>
      <w:r>
        <w:rPr>
          <w:rFonts w:ascii="Arial" w:cs="Arial" w:eastAsia="Arial" w:hAnsi="Arial"/>
          <w:sz w:val="18"/>
          <w:szCs w:val="18"/>
          <w:b w:val="1"/>
          <w:bCs w:val="1"/>
          <w:color w:val="auto"/>
        </w:rPr>
        <w:t>.</w:t>
      </w:r>
    </w:p>
    <w:p>
      <w:pPr>
        <w:spacing w:after="0" w:line="166"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On September 25, 2024, Assembly Bill 3233 (AB 3233) was enacted which authorizes local governments to limit methods for, or even prohibit, oil and gas operations or development within their jurisdiction, including with respect to existing operations. Prior to the passage of this law, certain local governments within California had previously taken steps to limit oil and gas operations that were struck down by California courts. Monterey County previously sought to ban only new production and prohibit the use of wastewater injection as a production method. The City and County of Los Angeles previously sought to both ban new wells and phaseout existing wells over a certain period of time. Although both those local measures were struck down in court, following the adoption of AB 3233, certain legal arguments used to challenge these local actions are no longer valid and it is possible that these or other local governments in places where we operate may pass similar regulations. For the three months ended September 30, 2024, approximately 12% of our gross production is located in Los Angeles County and approximately 3% is in Monterey County. It is difficult to predict how local governments in California may choose to exercise their new authority under AB 3233.</w:t>
      </w:r>
    </w:p>
    <w:p>
      <w:pPr>
        <w:spacing w:after="0" w:line="212"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While there may be future legal challenges to AB 3233 and any local ordinances enacted thereunder, we cannot predict whether or not such challenges will be successful. Notwithstanding any potential claims for regulatory takings we may have in the event local jurisdictions seek to prohibit any of our existing operations, to the extent that the local governments in the areas where we operate in California enact new restrictions or prohibitions with respect to oil and gas exploration and production activities, we could face increased operating costs, loss of revenues, and other material and adverse impacts to our business and results of operations.</w:t>
      </w:r>
    </w:p>
    <w:p>
      <w:pPr>
        <w:spacing w:after="0" w:line="20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52"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Our Board of Directors has authorized a Share Repurchase Program to acquire up to $1.35 billion of our common stock through December 31, 2025. The repurchases may be affected from time-to-time through open market purchases, privately negotiated transactions, Rule 10b5-1 plans, accelerated stock repurchases, derivative contracts or otherwise in compliance with Rule 10b-18, subject to market and contractual limitations in our debt agreements. The Share Repurchase Program does not obligate us to repurchase any dollar amount or number of shares and our Board of Directors may modify, suspend or discontinue authorization of the program at any time. Shares repurchased are held as treasury stock.</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64" w:name="page65"/>
    <w:bookmarkEnd w:id="64"/>
    <w:p>
      <w:pPr>
        <w:ind w:left="340"/>
        <w:spacing w:after="0"/>
        <w:rPr>
          <w:sz w:val="20"/>
          <w:szCs w:val="20"/>
          <w:color w:val="auto"/>
        </w:rPr>
      </w:pPr>
      <w:r>
        <w:rPr>
          <w:rFonts w:ascii="Arial" w:cs="Arial" w:eastAsia="Arial" w:hAnsi="Arial"/>
          <w:sz w:val="18"/>
          <w:szCs w:val="18"/>
          <w:color w:val="auto"/>
        </w:rPr>
        <w:t>Our share repurchase activity for the three months ended September 30, 2024 was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0" w:type="dxa"/>
            <w:vAlign w:val="bottom"/>
          </w:tcPr>
          <w:p>
            <w:pPr>
              <w:spacing w:after="0"/>
              <w:rPr>
                <w:sz w:val="17"/>
                <w:szCs w:val="17"/>
                <w:color w:val="auto"/>
              </w:rPr>
            </w:pPr>
          </w:p>
        </w:tc>
        <w:tc>
          <w:tcPr>
            <w:tcW w:w="134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9"/>
              </w:rPr>
              <w:t>Total Number</w:t>
            </w:r>
          </w:p>
        </w:tc>
        <w:tc>
          <w:tcPr>
            <w:tcW w:w="140" w:type="dxa"/>
            <w:vAlign w:val="bottom"/>
          </w:tcPr>
          <w:p>
            <w:pPr>
              <w:spacing w:after="0"/>
              <w:rPr>
                <w:sz w:val="17"/>
                <w:szCs w:val="17"/>
                <w:color w:val="auto"/>
              </w:rPr>
            </w:pPr>
          </w:p>
        </w:tc>
        <w:tc>
          <w:tcPr>
            <w:tcW w:w="96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98"/>
              </w:rPr>
              <w:t>Average</w:t>
            </w:r>
          </w:p>
        </w:tc>
        <w:tc>
          <w:tcPr>
            <w:tcW w:w="2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Total Number of Shares</w:t>
            </w:r>
          </w:p>
        </w:tc>
        <w:tc>
          <w:tcPr>
            <w:tcW w:w="23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Maximum Dollar Value of</w:t>
            </w:r>
          </w:p>
        </w:tc>
        <w:tc>
          <w:tcPr>
            <w:tcW w:w="0" w:type="dxa"/>
            <w:vAlign w:val="bottom"/>
          </w:tcPr>
          <w:p>
            <w:pPr>
              <w:spacing w:after="0"/>
              <w:rPr>
                <w:sz w:val="1"/>
                <w:szCs w:val="1"/>
                <w:color w:val="auto"/>
              </w:rPr>
            </w:pPr>
          </w:p>
        </w:tc>
      </w:tr>
      <w:tr>
        <w:trPr>
          <w:trHeight w:val="176"/>
        </w:trPr>
        <w:tc>
          <w:tcPr>
            <w:tcW w:w="420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2260" w:type="dxa"/>
            <w:vAlign w:val="bottom"/>
            <w:gridSpan w:val="2"/>
          </w:tcPr>
          <w:p>
            <w:pPr>
              <w:jc w:val="center"/>
              <w:ind w:right="100"/>
              <w:spacing w:after="0" w:line="176" w:lineRule="exact"/>
              <w:rPr>
                <w:sz w:val="20"/>
                <w:szCs w:val="20"/>
                <w:color w:val="auto"/>
              </w:rPr>
            </w:pPr>
            <w:r>
              <w:rPr>
                <w:rFonts w:ascii="Arial" w:cs="Arial" w:eastAsia="Arial" w:hAnsi="Arial"/>
                <w:sz w:val="18"/>
                <w:szCs w:val="18"/>
                <w:b w:val="1"/>
                <w:bCs w:val="1"/>
                <w:color w:val="auto"/>
              </w:rPr>
              <w:t>Purchased as Part of</w:t>
            </w:r>
          </w:p>
        </w:tc>
        <w:tc>
          <w:tcPr>
            <w:tcW w:w="140" w:type="dxa"/>
            <w:vAlign w:val="bottom"/>
          </w:tcPr>
          <w:p>
            <w:pPr>
              <w:spacing w:after="0"/>
              <w:rPr>
                <w:sz w:val="15"/>
                <w:szCs w:val="15"/>
                <w:color w:val="auto"/>
              </w:rPr>
            </w:pPr>
          </w:p>
        </w:tc>
        <w:tc>
          <w:tcPr>
            <w:tcW w:w="220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w w:val="99"/>
              </w:rPr>
              <w:t>Shares that May Yet be</w:t>
            </w:r>
          </w:p>
        </w:tc>
        <w:tc>
          <w:tcPr>
            <w:tcW w:w="0" w:type="dxa"/>
            <w:vAlign w:val="bottom"/>
          </w:tcPr>
          <w:p>
            <w:pPr>
              <w:spacing w:after="0"/>
              <w:rPr>
                <w:sz w:val="1"/>
                <w:szCs w:val="1"/>
                <w:color w:val="auto"/>
              </w:rPr>
            </w:pPr>
          </w:p>
        </w:tc>
      </w:tr>
      <w:tr>
        <w:trPr>
          <w:trHeight w:val="189"/>
        </w:trPr>
        <w:tc>
          <w:tcPr>
            <w:tcW w:w="4200" w:type="dxa"/>
            <w:vAlign w:val="bottom"/>
            <w:vMerge w:val="restart"/>
          </w:tcPr>
          <w:p>
            <w:pPr>
              <w:ind w:left="1820"/>
              <w:spacing w:after="0"/>
              <w:rPr>
                <w:sz w:val="20"/>
                <w:szCs w:val="20"/>
                <w:color w:val="auto"/>
              </w:rPr>
            </w:pPr>
            <w:r>
              <w:rPr>
                <w:rFonts w:ascii="Arial" w:cs="Arial" w:eastAsia="Arial" w:hAnsi="Arial"/>
                <w:sz w:val="18"/>
                <w:szCs w:val="18"/>
                <w:b w:val="1"/>
                <w:bCs w:val="1"/>
                <w:color w:val="auto"/>
              </w:rPr>
              <w:t>Period</w:t>
            </w:r>
          </w:p>
        </w:tc>
        <w:tc>
          <w:tcPr>
            <w:tcW w:w="1340" w:type="dxa"/>
            <w:vAlign w:val="bottom"/>
            <w:gridSpan w:val="2"/>
          </w:tcPr>
          <w:p>
            <w:pPr>
              <w:jc w:val="center"/>
              <w:ind w:right="80"/>
              <w:spacing w:after="0" w:line="189" w:lineRule="exact"/>
              <w:rPr>
                <w:sz w:val="20"/>
                <w:szCs w:val="20"/>
                <w:color w:val="auto"/>
              </w:rPr>
            </w:pPr>
            <w:r>
              <w:rPr>
                <w:rFonts w:ascii="Arial" w:cs="Arial" w:eastAsia="Arial" w:hAnsi="Arial"/>
                <w:sz w:val="18"/>
                <w:szCs w:val="18"/>
                <w:b w:val="1"/>
                <w:bCs w:val="1"/>
                <w:color w:val="auto"/>
                <w:w w:val="99"/>
              </w:rPr>
              <w:t>of Shares</w:t>
            </w:r>
          </w:p>
        </w:tc>
        <w:tc>
          <w:tcPr>
            <w:tcW w:w="1100" w:type="dxa"/>
            <w:vAlign w:val="bottom"/>
            <w:gridSpan w:val="3"/>
          </w:tcPr>
          <w:p>
            <w:pPr>
              <w:jc w:val="center"/>
              <w:ind w:right="100"/>
              <w:spacing w:after="0" w:line="189" w:lineRule="exact"/>
              <w:rPr>
                <w:sz w:val="20"/>
                <w:szCs w:val="20"/>
                <w:color w:val="auto"/>
              </w:rPr>
            </w:pPr>
            <w:r>
              <w:rPr>
                <w:rFonts w:ascii="Arial" w:cs="Arial" w:eastAsia="Arial" w:hAnsi="Arial"/>
                <w:sz w:val="18"/>
                <w:szCs w:val="18"/>
                <w:b w:val="1"/>
                <w:bCs w:val="1"/>
                <w:color w:val="auto"/>
              </w:rPr>
              <w:t>Price Paid</w:t>
            </w:r>
          </w:p>
        </w:tc>
        <w:tc>
          <w:tcPr>
            <w:tcW w:w="2260" w:type="dxa"/>
            <w:vAlign w:val="bottom"/>
            <w:gridSpan w:val="2"/>
          </w:tcPr>
          <w:p>
            <w:pPr>
              <w:jc w:val="center"/>
              <w:ind w:right="100"/>
              <w:spacing w:after="0" w:line="189" w:lineRule="exact"/>
              <w:rPr>
                <w:sz w:val="20"/>
                <w:szCs w:val="20"/>
                <w:color w:val="auto"/>
              </w:rPr>
            </w:pPr>
            <w:r>
              <w:rPr>
                <w:rFonts w:ascii="Arial" w:cs="Arial" w:eastAsia="Arial" w:hAnsi="Arial"/>
                <w:sz w:val="18"/>
                <w:szCs w:val="18"/>
                <w:b w:val="1"/>
                <w:bCs w:val="1"/>
                <w:color w:val="auto"/>
                <w:w w:val="99"/>
              </w:rPr>
              <w:t>Publicly Announced</w:t>
            </w:r>
          </w:p>
        </w:tc>
        <w:tc>
          <w:tcPr>
            <w:tcW w:w="140" w:type="dxa"/>
            <w:vAlign w:val="bottom"/>
          </w:tcPr>
          <w:p>
            <w:pPr>
              <w:spacing w:after="0"/>
              <w:rPr>
                <w:sz w:val="16"/>
                <w:szCs w:val="16"/>
                <w:color w:val="auto"/>
              </w:rPr>
            </w:pPr>
          </w:p>
        </w:tc>
        <w:tc>
          <w:tcPr>
            <w:tcW w:w="2200" w:type="dxa"/>
            <w:vAlign w:val="bottom"/>
          </w:tcPr>
          <w:p>
            <w:pPr>
              <w:jc w:val="center"/>
              <w:ind w:right="50"/>
              <w:spacing w:after="0" w:line="189" w:lineRule="exact"/>
              <w:rPr>
                <w:sz w:val="20"/>
                <w:szCs w:val="20"/>
                <w:color w:val="auto"/>
              </w:rPr>
            </w:pPr>
            <w:r>
              <w:rPr>
                <w:rFonts w:ascii="Arial" w:cs="Arial" w:eastAsia="Arial" w:hAnsi="Arial"/>
                <w:sz w:val="18"/>
                <w:szCs w:val="18"/>
                <w:b w:val="1"/>
                <w:bCs w:val="1"/>
                <w:color w:val="auto"/>
              </w:rPr>
              <w:t>Purchased Under the</w:t>
            </w:r>
          </w:p>
        </w:tc>
        <w:tc>
          <w:tcPr>
            <w:tcW w:w="0" w:type="dxa"/>
            <w:vAlign w:val="bottom"/>
          </w:tcPr>
          <w:p>
            <w:pPr>
              <w:spacing w:after="0"/>
              <w:rPr>
                <w:sz w:val="1"/>
                <w:szCs w:val="1"/>
                <w:color w:val="auto"/>
              </w:rPr>
            </w:pPr>
          </w:p>
        </w:tc>
      </w:tr>
      <w:tr>
        <w:trPr>
          <w:trHeight w:val="230"/>
        </w:trPr>
        <w:tc>
          <w:tcPr>
            <w:tcW w:w="4200" w:type="dxa"/>
            <w:vAlign w:val="bottom"/>
            <w:vMerge w:val="continue"/>
          </w:tcPr>
          <w:p>
            <w:pPr>
              <w:spacing w:after="0"/>
              <w:rPr>
                <w:sz w:val="19"/>
                <w:szCs w:val="19"/>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Purchased</w:t>
            </w:r>
          </w:p>
        </w:tc>
        <w:tc>
          <w:tcPr>
            <w:tcW w:w="11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rPr>
              <w:t>per Share</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Plans or Programs</w:t>
            </w:r>
          </w:p>
        </w:tc>
        <w:tc>
          <w:tcPr>
            <w:tcW w:w="140" w:type="dxa"/>
            <w:vAlign w:val="bottom"/>
          </w:tcPr>
          <w:p>
            <w:pPr>
              <w:spacing w:after="0"/>
              <w:rPr>
                <w:sz w:val="19"/>
                <w:szCs w:val="19"/>
                <w:color w:val="auto"/>
              </w:rPr>
            </w:pPr>
          </w:p>
        </w:tc>
        <w:tc>
          <w:tcPr>
            <w:tcW w:w="2200" w:type="dxa"/>
            <w:vAlign w:val="bottom"/>
          </w:tcPr>
          <w:p>
            <w:pPr>
              <w:jc w:val="center"/>
              <w:ind w:right="50"/>
              <w:spacing w:after="0" w:line="230" w:lineRule="exact"/>
              <w:rPr>
                <w:sz w:val="20"/>
                <w:szCs w:val="20"/>
                <w:color w:val="auto"/>
              </w:rPr>
            </w:pPr>
            <w:r>
              <w:rPr>
                <w:rFonts w:ascii="Arial" w:cs="Arial" w:eastAsia="Arial" w:hAnsi="Arial"/>
                <w:sz w:val="18"/>
                <w:szCs w:val="18"/>
                <w:b w:val="1"/>
                <w:bCs w:val="1"/>
                <w:color w:val="auto"/>
                <w:w w:val="97"/>
              </w:rPr>
              <w:t>Plans or Programs</w:t>
            </w:r>
            <w:r>
              <w:rPr>
                <w:rFonts w:ascii="Arial" w:cs="Arial" w:eastAsia="Arial" w:hAnsi="Arial"/>
                <w:sz w:val="23"/>
                <w:szCs w:val="23"/>
                <w:b w:val="1"/>
                <w:bCs w:val="1"/>
                <w:color w:val="auto"/>
                <w:w w:val="97"/>
                <w:vertAlign w:val="superscript"/>
              </w:rPr>
              <w:t>(a)</w:t>
            </w:r>
          </w:p>
        </w:tc>
        <w:tc>
          <w:tcPr>
            <w:tcW w:w="0" w:type="dxa"/>
            <w:vAlign w:val="bottom"/>
          </w:tcPr>
          <w:p>
            <w:pPr>
              <w:spacing w:after="0"/>
              <w:rPr>
                <w:sz w:val="1"/>
                <w:szCs w:val="1"/>
                <w:color w:val="auto"/>
              </w:rPr>
            </w:pPr>
          </w:p>
        </w:tc>
      </w:tr>
      <w:tr>
        <w:trPr>
          <w:trHeight w:val="223"/>
        </w:trPr>
        <w:tc>
          <w:tcPr>
            <w:tcW w:w="4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July 1, 2024 - July 31, 2024</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00" w:type="dxa"/>
            <w:vAlign w:val="bottom"/>
            <w:tcBorders>
              <w:top w:val="single" w:sz="8" w:color="auto"/>
            </w:tcBorders>
            <w:shd w:val="clear" w:color="auto" w:fill="CCEEFF"/>
          </w:tcPr>
          <w:p>
            <w:pPr>
              <w:ind w:left="1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Arial" w:cs="Arial" w:eastAsia="Arial" w:hAnsi="Arial"/>
                <w:sz w:val="18"/>
                <w:szCs w:val="18"/>
                <w:color w:val="auto"/>
              </w:rPr>
              <w:t>August 1, 2024 - August 31, 2024</w:t>
            </w:r>
          </w:p>
        </w:tc>
        <w:tc>
          <w:tcPr>
            <w:tcW w:w="1240" w:type="dxa"/>
            <w:vAlign w:val="bottom"/>
          </w:tcPr>
          <w:p>
            <w:pPr>
              <w:jc w:val="right"/>
              <w:spacing w:after="0"/>
              <w:rPr>
                <w:sz w:val="20"/>
                <w:szCs w:val="20"/>
                <w:color w:val="auto"/>
              </w:rPr>
            </w:pPr>
            <w:r>
              <w:rPr>
                <w:rFonts w:ascii="Arial" w:cs="Arial" w:eastAsia="Arial" w:hAnsi="Arial"/>
                <w:sz w:val="18"/>
                <w:szCs w:val="18"/>
                <w:color w:val="auto"/>
              </w:rPr>
              <w:t>256,953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50.64</w:t>
            </w:r>
          </w:p>
        </w:tc>
        <w:tc>
          <w:tcPr>
            <w:tcW w:w="10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256,953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0" w:type="dxa"/>
            <w:vAlign w:val="bottom"/>
          </w:tcPr>
          <w:p>
            <w:pPr>
              <w:ind w:left="1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September 1, 2024 - September 30, 2024</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578,366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50.05</w:t>
            </w:r>
          </w:p>
        </w:tc>
        <w:tc>
          <w:tcPr>
            <w:tcW w:w="100" w:type="dxa"/>
            <w:vAlign w:val="bottom"/>
            <w:shd w:val="clear" w:color="auto" w:fill="CCEEFF"/>
          </w:tcPr>
          <w:p>
            <w:pPr>
              <w:spacing w:after="0"/>
              <w:rPr>
                <w:sz w:val="19"/>
                <w:szCs w:val="19"/>
                <w:color w:val="auto"/>
              </w:rPr>
            </w:pPr>
          </w:p>
        </w:tc>
        <w:tc>
          <w:tcPr>
            <w:tcW w:w="2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578,366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2200" w:type="dxa"/>
            <w:vAlign w:val="bottom"/>
            <w:tcBorders>
              <w:bottom w:val="single" w:sz="8" w:color="auto"/>
            </w:tcBorders>
            <w:shd w:val="clear" w:color="auto" w:fill="CCEEFF"/>
          </w:tcPr>
          <w:p>
            <w:pPr>
              <w:ind w:left="1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200" w:type="dxa"/>
            <w:vAlign w:val="bottom"/>
          </w:tcPr>
          <w:p>
            <w:pPr>
              <w:ind w:left="140"/>
              <w:spacing w:after="0"/>
              <w:rPr>
                <w:sz w:val="20"/>
                <w:szCs w:val="20"/>
                <w:color w:val="auto"/>
              </w:rPr>
            </w:pPr>
            <w:r>
              <w:rPr>
                <w:rFonts w:ascii="Arial" w:cs="Arial" w:eastAsia="Arial" w:hAnsi="Arial"/>
                <w:sz w:val="18"/>
                <w:szCs w:val="18"/>
                <w:color w:val="auto"/>
              </w:rPr>
              <w:t>Total</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835,319</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50.23</w:t>
            </w:r>
          </w:p>
        </w:tc>
        <w:tc>
          <w:tcPr>
            <w:tcW w:w="100" w:type="dxa"/>
            <w:vAlign w:val="bottom"/>
          </w:tcPr>
          <w:p>
            <w:pPr>
              <w:spacing w:after="0"/>
              <w:rPr>
                <w:sz w:val="19"/>
                <w:szCs w:val="19"/>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835,319</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200" w:type="dxa"/>
            <w:vAlign w:val="bottom"/>
            <w:tcBorders>
              <w:bottom w:val="single" w:sz="8" w:color="auto"/>
            </w:tcBorders>
          </w:tcPr>
          <w:p>
            <w:pPr>
              <w:ind w:left="1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(a)</w:t>
        <w:tab/>
        <w:t>The total value of shares that may yet be purchased under the Share Repurchase Program totaled $614 million as of September 30, 2024.</w:t>
      </w:r>
    </w:p>
    <w:p>
      <w:pPr>
        <w:spacing w:after="0" w:line="234"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Disclosures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Rule 10b5-1 Trading Arrangements</w:t>
      </w:r>
    </w:p>
    <w:p>
      <w:pPr>
        <w:spacing w:after="0" w:line="250" w:lineRule="exact"/>
        <w:rPr>
          <w:sz w:val="20"/>
          <w:szCs w:val="20"/>
          <w:color w:val="auto"/>
        </w:rPr>
      </w:pPr>
    </w:p>
    <w:p>
      <w:pPr>
        <w:jc w:val="both"/>
        <w:ind w:right="160" w:firstLine="324"/>
        <w:spacing w:after="0" w:line="268" w:lineRule="auto"/>
        <w:rPr>
          <w:sz w:val="20"/>
          <w:szCs w:val="20"/>
          <w:color w:val="auto"/>
        </w:rPr>
      </w:pPr>
      <w:r>
        <w:rPr>
          <w:rFonts w:ascii="Arial" w:cs="Arial" w:eastAsia="Arial" w:hAnsi="Arial"/>
          <w:sz w:val="18"/>
          <w:szCs w:val="18"/>
          <w:color w:val="auto"/>
        </w:rPr>
        <w:t>On September 12, 2024, Omar Hayat, our Executive Vice President of Operations, entered into a 10b5-1 trading arrangement intended to satisfy the affirmative defense conditions of Rule 10b5-1(c). The trading arrangement will be in effect from December 12, 2024 to March 12, 2025. An aggregate of up to 16,016 shares may be sold pursuant to this trading arrangement.</w:t>
      </w:r>
    </w:p>
    <w:p>
      <w:pPr>
        <w:spacing w:after="0" w:line="198" w:lineRule="exact"/>
        <w:rPr>
          <w:sz w:val="20"/>
          <w:szCs w:val="20"/>
          <w:color w:val="auto"/>
        </w:rPr>
      </w:pPr>
    </w:p>
    <w:p>
      <w:pPr>
        <w:ind w:right="20" w:firstLine="324"/>
        <w:spacing w:after="0" w:line="268" w:lineRule="auto"/>
        <w:rPr>
          <w:sz w:val="20"/>
          <w:szCs w:val="20"/>
          <w:color w:val="auto"/>
        </w:rPr>
      </w:pPr>
      <w:r>
        <w:rPr>
          <w:rFonts w:ascii="Arial" w:cs="Arial" w:eastAsia="Arial" w:hAnsi="Arial"/>
          <w:sz w:val="18"/>
          <w:szCs w:val="18"/>
          <w:color w:val="auto"/>
        </w:rPr>
        <w:t>On September 12, 2024, Michael L. Preston, our Executive Vice President, Chief Strategy Officer and General Counsel entered into a 10b5-1 trading arrangement intended to satisfy the affirmative defense conditions of Rule 10b5-1(c). The trading arrangement will be in effect from December 12, 2024 to January 9, 2025. An aggregate of up to 83,000 shares may be sold pursuant to this trading arrangement.</w:t>
      </w:r>
    </w:p>
    <w:p>
      <w:pPr>
        <w:spacing w:after="0" w:line="198" w:lineRule="exact"/>
        <w:rPr>
          <w:sz w:val="20"/>
          <w:szCs w:val="20"/>
          <w:color w:val="auto"/>
        </w:rPr>
      </w:pPr>
    </w:p>
    <w:p>
      <w:pPr>
        <w:ind w:right="760" w:firstLine="324"/>
        <w:spacing w:after="0" w:line="287" w:lineRule="auto"/>
        <w:rPr>
          <w:sz w:val="20"/>
          <w:szCs w:val="20"/>
          <w:color w:val="auto"/>
        </w:rPr>
      </w:pPr>
      <w:r>
        <w:rPr>
          <w:rFonts w:ascii="Arial" w:cs="Arial" w:eastAsia="Arial" w:hAnsi="Arial"/>
          <w:sz w:val="18"/>
          <w:szCs w:val="18"/>
          <w:color w:val="auto"/>
        </w:rPr>
        <w:t>During the three months ended September 30, 2024, no other directors or officers adopted or terminated a “Rule 10b5-1 trading arrangement” or “non-Rule 10b5-1 trading arrangement,” as each term is defined in Item 408 of Regulation S-K.</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47"/>
        </w:trPr>
        <w:tc>
          <w:tcPr>
            <w:tcW w:w="74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480" w:type="dxa"/>
            <w:vAlign w:val="bottom"/>
            <w:gridSpan w:val="35"/>
          </w:tcPr>
          <w:p>
            <w:pPr>
              <w:ind w:left="22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12"/>
        </w:trPr>
        <w:tc>
          <w:tcPr>
            <w:tcW w:w="740" w:type="dxa"/>
            <w:vAlign w:val="bottom"/>
          </w:tcPr>
          <w:p>
            <w:pPr>
              <w:ind w:left="20"/>
              <w:spacing w:after="0"/>
              <w:rPr>
                <w:sz w:val="20"/>
                <w:szCs w:val="20"/>
                <w:color w:val="auto"/>
              </w:rPr>
            </w:pPr>
            <w:r>
              <w:rPr>
                <w:rFonts w:ascii="Arial" w:cs="Arial" w:eastAsia="Arial" w:hAnsi="Arial"/>
                <w:sz w:val="18"/>
                <w:szCs w:val="18"/>
                <w:color w:val="auto"/>
              </w:rPr>
              <w:t>3.1</w:t>
            </w:r>
          </w:p>
        </w:tc>
        <w:tc>
          <w:tcPr>
            <w:tcW w:w="380" w:type="dxa"/>
            <w:vAlign w:val="bottom"/>
          </w:tcPr>
          <w:p>
            <w:pPr>
              <w:spacing w:after="0"/>
              <w:rPr>
                <w:sz w:val="24"/>
                <w:szCs w:val="24"/>
                <w:color w:val="auto"/>
              </w:rPr>
            </w:pPr>
          </w:p>
        </w:tc>
        <w:tc>
          <w:tcPr>
            <w:tcW w:w="10100" w:type="dxa"/>
            <w:vAlign w:val="bottom"/>
            <w:gridSpan w:val="34"/>
          </w:tcPr>
          <w:p>
            <w:pPr>
              <w:spacing w:after="0"/>
              <w:rPr>
                <w:rFonts w:ascii="Arial" w:cs="Arial" w:eastAsia="Arial" w:hAnsi="Arial"/>
                <w:sz w:val="18"/>
                <w:szCs w:val="18"/>
                <w:color w:val="0000FF"/>
              </w:rPr>
            </w:pPr>
            <w:hyperlink r:id="rId124">
              <w:r>
                <w:rPr>
                  <w:rFonts w:ascii="Arial" w:cs="Arial" w:eastAsia="Arial" w:hAnsi="Arial"/>
                  <w:sz w:val="18"/>
                  <w:szCs w:val="18"/>
                  <w:color w:val="0000FF"/>
                </w:rPr>
                <w:t>Amended and Restated Certificate of Incorporation of California Resources Corporation (filed as Exhibit 3.1 to Registrant’s</w:t>
              </w:r>
            </w:hyperlink>
          </w:p>
        </w:tc>
        <w:tc>
          <w:tcPr>
            <w:tcW w:w="0" w:type="dxa"/>
            <w:vAlign w:val="bottom"/>
          </w:tcPr>
          <w:p>
            <w:pPr>
              <w:spacing w:after="0"/>
              <w:rPr>
                <w:sz w:val="1"/>
                <w:szCs w:val="1"/>
                <w:color w:val="auto"/>
              </w:rPr>
            </w:pPr>
          </w:p>
        </w:tc>
      </w:tr>
      <w:tr>
        <w:trPr>
          <w:trHeight w:val="183"/>
        </w:trPr>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20" w:type="dxa"/>
            <w:vAlign w:val="bottom"/>
            <w:tcBorders>
              <w:top w:val="single" w:sz="8" w:color="0000FF"/>
              <w:bottom w:val="single" w:sz="8" w:color="0000FF"/>
            </w:tcBorders>
            <w:gridSpan w:val="6"/>
          </w:tcPr>
          <w:p>
            <w:pPr>
              <w:spacing w:after="0" w:line="182" w:lineRule="exact"/>
              <w:rPr>
                <w:rFonts w:ascii="Arial" w:cs="Arial" w:eastAsia="Arial" w:hAnsi="Arial"/>
                <w:sz w:val="18"/>
                <w:szCs w:val="18"/>
                <w:color w:val="0000FF"/>
                <w:w w:val="99"/>
              </w:rPr>
            </w:pPr>
            <w:hyperlink r:id="rId124">
              <w:r>
                <w:rPr>
                  <w:rFonts w:ascii="Arial" w:cs="Arial" w:eastAsia="Arial" w:hAnsi="Arial"/>
                  <w:sz w:val="18"/>
                  <w:szCs w:val="18"/>
                  <w:color w:val="0000FF"/>
                  <w:w w:val="99"/>
                </w:rPr>
                <w:t>Registration Statement on Form 8-A filed October 27, 2020 and incorporated herein by reference).</w:t>
              </w:r>
            </w:hyperlink>
          </w:p>
        </w:tc>
        <w:tc>
          <w:tcPr>
            <w:tcW w:w="1940" w:type="dxa"/>
            <w:vAlign w:val="bottom"/>
            <w:tcBorders>
              <w:top w:val="single" w:sz="8" w:color="0000FF"/>
            </w:tcBorders>
            <w:gridSpan w:val="1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740" w:type="dxa"/>
            <w:vAlign w:val="bottom"/>
          </w:tcPr>
          <w:p>
            <w:pPr>
              <w:ind w:left="20"/>
              <w:spacing w:after="0"/>
              <w:rPr>
                <w:sz w:val="20"/>
                <w:szCs w:val="20"/>
                <w:color w:val="auto"/>
              </w:rPr>
            </w:pPr>
            <w:r>
              <w:rPr>
                <w:rFonts w:ascii="Arial" w:cs="Arial" w:eastAsia="Arial" w:hAnsi="Arial"/>
                <w:sz w:val="18"/>
                <w:szCs w:val="18"/>
                <w:color w:val="auto"/>
              </w:rPr>
              <w:t>3.2</w:t>
            </w:r>
          </w:p>
        </w:tc>
        <w:tc>
          <w:tcPr>
            <w:tcW w:w="380" w:type="dxa"/>
            <w:vAlign w:val="bottom"/>
          </w:tcPr>
          <w:p>
            <w:pPr>
              <w:spacing w:after="0"/>
              <w:rPr>
                <w:sz w:val="24"/>
                <w:szCs w:val="24"/>
                <w:color w:val="auto"/>
              </w:rPr>
            </w:pPr>
          </w:p>
        </w:tc>
        <w:tc>
          <w:tcPr>
            <w:tcW w:w="10100" w:type="dxa"/>
            <w:vAlign w:val="bottom"/>
            <w:gridSpan w:val="34"/>
          </w:tcPr>
          <w:p>
            <w:pPr>
              <w:spacing w:after="0"/>
              <w:rPr>
                <w:rFonts w:ascii="Arial" w:cs="Arial" w:eastAsia="Arial" w:hAnsi="Arial"/>
                <w:sz w:val="18"/>
                <w:szCs w:val="18"/>
                <w:color w:val="0000FF"/>
              </w:rPr>
            </w:pPr>
            <w:hyperlink r:id="rId125">
              <w:r>
                <w:rPr>
                  <w:rFonts w:ascii="Arial" w:cs="Arial" w:eastAsia="Arial" w:hAnsi="Arial"/>
                  <w:sz w:val="18"/>
                  <w:szCs w:val="18"/>
                  <w:color w:val="0000FF"/>
                </w:rPr>
                <w:t>Certificate of Amendment of Amended and Restated Certificate of Incorporation of California Resources Corporation (filed as</w:t>
              </w:r>
            </w:hyperlink>
          </w:p>
        </w:tc>
        <w:tc>
          <w:tcPr>
            <w:tcW w:w="0" w:type="dxa"/>
            <w:vAlign w:val="bottom"/>
          </w:tcPr>
          <w:p>
            <w:pPr>
              <w:spacing w:after="0"/>
              <w:rPr>
                <w:sz w:val="1"/>
                <w:szCs w:val="1"/>
                <w:color w:val="auto"/>
              </w:rPr>
            </w:pPr>
          </w:p>
        </w:tc>
      </w:tr>
      <w:tr>
        <w:trPr>
          <w:trHeight w:val="183"/>
        </w:trPr>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940" w:type="dxa"/>
            <w:vAlign w:val="bottom"/>
            <w:tcBorders>
              <w:top w:val="single" w:sz="8" w:color="0000FF"/>
            </w:tcBorders>
            <w:gridSpan w:val="27"/>
          </w:tcPr>
          <w:p>
            <w:pPr>
              <w:spacing w:after="0" w:line="182" w:lineRule="exact"/>
              <w:rPr>
                <w:rFonts w:ascii="Arial" w:cs="Arial" w:eastAsia="Arial" w:hAnsi="Arial"/>
                <w:sz w:val="18"/>
                <w:szCs w:val="18"/>
                <w:color w:val="0000FF"/>
              </w:rPr>
            </w:pPr>
            <w:hyperlink r:id="rId125">
              <w:r>
                <w:rPr>
                  <w:rFonts w:ascii="Arial" w:cs="Arial" w:eastAsia="Arial" w:hAnsi="Arial"/>
                  <w:sz w:val="18"/>
                  <w:szCs w:val="18"/>
                  <w:color w:val="0000FF"/>
                </w:rPr>
                <w:t>Exhibit 3.1 to Registrant's Current Report on Form 8-K filed on May 6, 2022 and incorporated herein by reference).</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40" w:type="dxa"/>
            <w:vAlign w:val="bottom"/>
            <w:vMerge w:val="restart"/>
          </w:tcPr>
          <w:p>
            <w:pPr>
              <w:ind w:left="20"/>
              <w:spacing w:after="0"/>
              <w:rPr>
                <w:sz w:val="20"/>
                <w:szCs w:val="20"/>
                <w:color w:val="auto"/>
              </w:rPr>
            </w:pPr>
            <w:r>
              <w:rPr>
                <w:rFonts w:ascii="Arial" w:cs="Arial" w:eastAsia="Arial" w:hAnsi="Arial"/>
                <w:sz w:val="18"/>
                <w:szCs w:val="18"/>
                <w:color w:val="auto"/>
              </w:rPr>
              <w:t>3.3</w:t>
            </w:r>
          </w:p>
        </w:tc>
        <w:tc>
          <w:tcPr>
            <w:tcW w:w="380" w:type="dxa"/>
            <w:vAlign w:val="bottom"/>
          </w:tcPr>
          <w:p>
            <w:pPr>
              <w:spacing w:after="0" w:line="20" w:lineRule="exact"/>
              <w:rPr>
                <w:sz w:val="1"/>
                <w:szCs w:val="1"/>
                <w:color w:val="auto"/>
              </w:rPr>
            </w:pPr>
          </w:p>
        </w:tc>
        <w:tc>
          <w:tcPr>
            <w:tcW w:w="2720" w:type="dxa"/>
            <w:vAlign w:val="bottom"/>
            <w:shd w:val="clear" w:color="auto" w:fill="0000FF"/>
          </w:tcPr>
          <w:p>
            <w:pPr>
              <w:spacing w:after="0" w:line="20" w:lineRule="exact"/>
              <w:rPr>
                <w:sz w:val="1"/>
                <w:szCs w:val="1"/>
                <w:color w:val="auto"/>
              </w:rPr>
            </w:pPr>
          </w:p>
        </w:tc>
        <w:tc>
          <w:tcPr>
            <w:tcW w:w="314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4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0100" w:type="dxa"/>
            <w:vAlign w:val="bottom"/>
            <w:gridSpan w:val="34"/>
          </w:tcPr>
          <w:p>
            <w:pPr>
              <w:spacing w:after="0"/>
              <w:rPr>
                <w:rFonts w:ascii="Arial" w:cs="Arial" w:eastAsia="Arial" w:hAnsi="Arial"/>
                <w:sz w:val="18"/>
                <w:szCs w:val="18"/>
                <w:color w:val="0000FF"/>
              </w:rPr>
            </w:pPr>
            <w:hyperlink r:id="rId126">
              <w:r>
                <w:rPr>
                  <w:rFonts w:ascii="Arial" w:cs="Arial" w:eastAsia="Arial" w:hAnsi="Arial"/>
                  <w:sz w:val="18"/>
                  <w:szCs w:val="18"/>
                  <w:color w:val="0000FF"/>
                </w:rPr>
                <w:t>Certificate of Amendment of Amended and Restated Certificate of Incorporation of California Resources Corporation (filed as</w:t>
              </w:r>
            </w:hyperlink>
          </w:p>
        </w:tc>
        <w:tc>
          <w:tcPr>
            <w:tcW w:w="0" w:type="dxa"/>
            <w:vAlign w:val="bottom"/>
          </w:tcPr>
          <w:p>
            <w:pPr>
              <w:spacing w:after="0"/>
              <w:rPr>
                <w:sz w:val="1"/>
                <w:szCs w:val="1"/>
                <w:color w:val="auto"/>
              </w:rPr>
            </w:pPr>
          </w:p>
        </w:tc>
      </w:tr>
      <w:tr>
        <w:trPr>
          <w:trHeight w:val="183"/>
        </w:trPr>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940" w:type="dxa"/>
            <w:vAlign w:val="bottom"/>
            <w:tcBorders>
              <w:top w:val="single" w:sz="8" w:color="0000FF"/>
            </w:tcBorders>
            <w:gridSpan w:val="27"/>
          </w:tcPr>
          <w:p>
            <w:pPr>
              <w:spacing w:after="0" w:line="182" w:lineRule="exact"/>
              <w:rPr>
                <w:rFonts w:ascii="Arial" w:cs="Arial" w:eastAsia="Arial" w:hAnsi="Arial"/>
                <w:sz w:val="18"/>
                <w:szCs w:val="18"/>
                <w:color w:val="0000FF"/>
              </w:rPr>
            </w:pPr>
            <w:hyperlink r:id="rId126">
              <w:r>
                <w:rPr>
                  <w:rFonts w:ascii="Arial" w:cs="Arial" w:eastAsia="Arial" w:hAnsi="Arial"/>
                  <w:sz w:val="18"/>
                  <w:szCs w:val="18"/>
                  <w:color w:val="0000FF"/>
                </w:rPr>
                <w:t>Exhibit 3.1 to Registrant's Current Report on Form 8-K filed on May 1, 2023 and incorporated herein by reference).</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40" w:type="dxa"/>
            <w:vAlign w:val="bottom"/>
            <w:vMerge w:val="restart"/>
          </w:tcPr>
          <w:p>
            <w:pPr>
              <w:ind w:left="20"/>
              <w:spacing w:after="0"/>
              <w:rPr>
                <w:sz w:val="20"/>
                <w:szCs w:val="20"/>
                <w:color w:val="auto"/>
              </w:rPr>
            </w:pPr>
            <w:r>
              <w:rPr>
                <w:rFonts w:ascii="Arial" w:cs="Arial" w:eastAsia="Arial" w:hAnsi="Arial"/>
                <w:sz w:val="18"/>
                <w:szCs w:val="18"/>
                <w:color w:val="auto"/>
              </w:rPr>
              <w:t>3.4</w:t>
            </w:r>
          </w:p>
        </w:tc>
        <w:tc>
          <w:tcPr>
            <w:tcW w:w="380" w:type="dxa"/>
            <w:vAlign w:val="bottom"/>
          </w:tcPr>
          <w:p>
            <w:pPr>
              <w:spacing w:after="0" w:line="20" w:lineRule="exact"/>
              <w:rPr>
                <w:sz w:val="1"/>
                <w:szCs w:val="1"/>
                <w:color w:val="auto"/>
              </w:rPr>
            </w:pPr>
          </w:p>
        </w:tc>
        <w:tc>
          <w:tcPr>
            <w:tcW w:w="2720" w:type="dxa"/>
            <w:vAlign w:val="bottom"/>
            <w:shd w:val="clear" w:color="auto" w:fill="0000FF"/>
          </w:tcPr>
          <w:p>
            <w:pPr>
              <w:spacing w:after="0" w:line="20" w:lineRule="exact"/>
              <w:rPr>
                <w:sz w:val="1"/>
                <w:szCs w:val="1"/>
                <w:color w:val="auto"/>
              </w:rPr>
            </w:pPr>
          </w:p>
        </w:tc>
        <w:tc>
          <w:tcPr>
            <w:tcW w:w="314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4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0100" w:type="dxa"/>
            <w:vAlign w:val="bottom"/>
            <w:gridSpan w:val="34"/>
          </w:tcPr>
          <w:p>
            <w:pPr>
              <w:spacing w:after="0"/>
              <w:rPr>
                <w:rFonts w:ascii="Arial" w:cs="Arial" w:eastAsia="Arial" w:hAnsi="Arial"/>
                <w:sz w:val="18"/>
                <w:szCs w:val="18"/>
                <w:color w:val="0000FF"/>
              </w:rPr>
            </w:pPr>
            <w:hyperlink r:id="rId127">
              <w:r>
                <w:rPr>
                  <w:rFonts w:ascii="Arial" w:cs="Arial" w:eastAsia="Arial" w:hAnsi="Arial"/>
                  <w:sz w:val="18"/>
                  <w:szCs w:val="18"/>
                  <w:color w:val="0000FF"/>
                </w:rPr>
                <w:t>Amended and Restated Bylaws of California Resources Corporation (filed as Exhibit 3.2 to the Registrant’s Registration</w:t>
              </w:r>
            </w:hyperlink>
          </w:p>
        </w:tc>
        <w:tc>
          <w:tcPr>
            <w:tcW w:w="0" w:type="dxa"/>
            <w:vAlign w:val="bottom"/>
          </w:tcPr>
          <w:p>
            <w:pPr>
              <w:spacing w:after="0"/>
              <w:rPr>
                <w:sz w:val="1"/>
                <w:szCs w:val="1"/>
                <w:color w:val="auto"/>
              </w:rPr>
            </w:pPr>
          </w:p>
        </w:tc>
      </w:tr>
      <w:tr>
        <w:trPr>
          <w:trHeight w:val="183"/>
        </w:trPr>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500" w:type="dxa"/>
            <w:vAlign w:val="bottom"/>
            <w:tcBorders>
              <w:top w:val="single" w:sz="8" w:color="0000FF"/>
            </w:tcBorders>
            <w:gridSpan w:val="11"/>
          </w:tcPr>
          <w:p>
            <w:pPr>
              <w:spacing w:after="0" w:line="182" w:lineRule="exact"/>
              <w:rPr>
                <w:rFonts w:ascii="Arial" w:cs="Arial" w:eastAsia="Arial" w:hAnsi="Arial"/>
                <w:sz w:val="18"/>
                <w:szCs w:val="18"/>
                <w:color w:val="0000FF"/>
              </w:rPr>
            </w:pPr>
            <w:hyperlink r:id="rId127">
              <w:r>
                <w:rPr>
                  <w:rFonts w:ascii="Arial" w:cs="Arial" w:eastAsia="Arial" w:hAnsi="Arial"/>
                  <w:sz w:val="18"/>
                  <w:szCs w:val="18"/>
                  <w:color w:val="0000FF"/>
                </w:rPr>
                <w:t>Statement on Form 8-A filed October 27, 2020 and incorporated herein by reference).</w:t>
              </w:r>
            </w:hyperlink>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720" w:type="dxa"/>
            <w:vAlign w:val="bottom"/>
            <w:shd w:val="clear" w:color="auto" w:fill="0000FF"/>
          </w:tcPr>
          <w:p>
            <w:pPr>
              <w:spacing w:after="0" w:line="20" w:lineRule="exact"/>
              <w:rPr>
                <w:sz w:val="1"/>
                <w:szCs w:val="1"/>
                <w:color w:val="auto"/>
              </w:rPr>
            </w:pPr>
          </w:p>
        </w:tc>
        <w:tc>
          <w:tcPr>
            <w:tcW w:w="314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40" w:type="dxa"/>
            <w:vAlign w:val="bottom"/>
          </w:tcPr>
          <w:p>
            <w:pPr>
              <w:ind w:left="20"/>
              <w:spacing w:after="0"/>
              <w:rPr>
                <w:sz w:val="20"/>
                <w:szCs w:val="20"/>
                <w:color w:val="auto"/>
              </w:rPr>
            </w:pPr>
            <w:r>
              <w:rPr>
                <w:rFonts w:ascii="Arial" w:cs="Arial" w:eastAsia="Arial" w:hAnsi="Arial"/>
                <w:sz w:val="18"/>
                <w:szCs w:val="18"/>
                <w:color w:val="auto"/>
              </w:rPr>
              <w:t>4.1</w:t>
            </w:r>
          </w:p>
        </w:tc>
        <w:tc>
          <w:tcPr>
            <w:tcW w:w="380" w:type="dxa"/>
            <w:vAlign w:val="bottom"/>
          </w:tcPr>
          <w:p>
            <w:pPr>
              <w:spacing w:after="0"/>
              <w:rPr>
                <w:sz w:val="24"/>
                <w:szCs w:val="24"/>
                <w:color w:val="auto"/>
              </w:rPr>
            </w:pPr>
          </w:p>
        </w:tc>
        <w:tc>
          <w:tcPr>
            <w:tcW w:w="10100" w:type="dxa"/>
            <w:vAlign w:val="bottom"/>
            <w:gridSpan w:val="34"/>
          </w:tcPr>
          <w:p>
            <w:pPr>
              <w:spacing w:after="0"/>
              <w:rPr>
                <w:rFonts w:ascii="Arial" w:cs="Arial" w:eastAsia="Arial" w:hAnsi="Arial"/>
                <w:sz w:val="18"/>
                <w:szCs w:val="18"/>
                <w:color w:val="0000FF"/>
              </w:rPr>
            </w:pPr>
            <w:hyperlink r:id="rId128">
              <w:r>
                <w:rPr>
                  <w:rFonts w:ascii="Arial" w:cs="Arial" w:eastAsia="Arial" w:hAnsi="Arial"/>
                  <w:sz w:val="18"/>
                  <w:szCs w:val="18"/>
                  <w:color w:val="0000FF"/>
                </w:rPr>
                <w:t>Indenture, dated June 5, 2024, by and among the Company, the Guarantors and the Trustee (filed as Exhibit 4.1 to</w:t>
              </w:r>
            </w:hyperlink>
          </w:p>
        </w:tc>
        <w:tc>
          <w:tcPr>
            <w:tcW w:w="0" w:type="dxa"/>
            <w:vAlign w:val="bottom"/>
          </w:tcPr>
          <w:p>
            <w:pPr>
              <w:spacing w:after="0"/>
              <w:rPr>
                <w:sz w:val="1"/>
                <w:szCs w:val="1"/>
                <w:color w:val="auto"/>
              </w:rPr>
            </w:pPr>
          </w:p>
        </w:tc>
      </w:tr>
      <w:tr>
        <w:trPr>
          <w:trHeight w:val="156"/>
        </w:trPr>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120" w:type="dxa"/>
            <w:vAlign w:val="bottom"/>
            <w:tcBorders>
              <w:top w:val="single" w:sz="8" w:color="0000FF"/>
            </w:tcBorders>
            <w:gridSpan w:val="9"/>
          </w:tcPr>
          <w:p>
            <w:pPr>
              <w:spacing w:after="0" w:line="156" w:lineRule="exact"/>
              <w:rPr>
                <w:rFonts w:ascii="Arial" w:cs="Arial" w:eastAsia="Arial" w:hAnsi="Arial"/>
                <w:sz w:val="18"/>
                <w:szCs w:val="18"/>
                <w:color w:val="0000FF"/>
              </w:rPr>
            </w:pPr>
            <w:hyperlink r:id="rId128">
              <w:r>
                <w:rPr>
                  <w:rFonts w:ascii="Arial" w:cs="Arial" w:eastAsia="Arial" w:hAnsi="Arial"/>
                  <w:sz w:val="18"/>
                  <w:szCs w:val="18"/>
                  <w:color w:val="0000FF"/>
                </w:rPr>
                <w:t>Registrant's Current Report on Form 8-K filed on June 5, 2024 and incorporated herein by reference).</w:t>
              </w:r>
            </w:hyperlink>
          </w:p>
        </w:tc>
        <w:tc>
          <w:tcPr>
            <w:tcW w:w="200" w:type="dxa"/>
            <w:vAlign w:val="bottom"/>
          </w:tcPr>
          <w:p>
            <w:pPr>
              <w:spacing w:after="0"/>
              <w:rPr>
                <w:sz w:val="13"/>
                <w:szCs w:val="13"/>
                <w:color w:val="auto"/>
              </w:rPr>
            </w:pPr>
          </w:p>
        </w:tc>
        <w:tc>
          <w:tcPr>
            <w:tcW w:w="2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720" w:type="dxa"/>
            <w:vAlign w:val="bottom"/>
            <w:shd w:val="clear" w:color="auto" w:fill="0000FF"/>
          </w:tcPr>
          <w:p>
            <w:pPr>
              <w:spacing w:after="0" w:line="20" w:lineRule="exact"/>
              <w:rPr>
                <w:sz w:val="1"/>
                <w:szCs w:val="1"/>
                <w:color w:val="auto"/>
              </w:rPr>
            </w:pPr>
          </w:p>
        </w:tc>
        <w:tc>
          <w:tcPr>
            <w:tcW w:w="3140" w:type="dxa"/>
            <w:vAlign w:val="bottom"/>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740" w:type="dxa"/>
            <w:vAlign w:val="bottom"/>
          </w:tcPr>
          <w:p>
            <w:pPr>
              <w:ind w:left="20"/>
              <w:spacing w:after="0"/>
              <w:rPr>
                <w:sz w:val="20"/>
                <w:szCs w:val="20"/>
                <w:color w:val="auto"/>
              </w:rPr>
            </w:pPr>
            <w:r>
              <w:rPr>
                <w:rFonts w:ascii="Arial" w:cs="Arial" w:eastAsia="Arial" w:hAnsi="Arial"/>
                <w:sz w:val="18"/>
                <w:szCs w:val="18"/>
                <w:color w:val="auto"/>
              </w:rPr>
              <w:t>4.2</w:t>
            </w:r>
          </w:p>
        </w:tc>
        <w:tc>
          <w:tcPr>
            <w:tcW w:w="380" w:type="dxa"/>
            <w:vAlign w:val="bottom"/>
          </w:tcPr>
          <w:p>
            <w:pPr>
              <w:spacing w:after="0"/>
              <w:rPr>
                <w:sz w:val="24"/>
                <w:szCs w:val="24"/>
                <w:color w:val="auto"/>
              </w:rPr>
            </w:pPr>
          </w:p>
        </w:tc>
        <w:tc>
          <w:tcPr>
            <w:tcW w:w="10100" w:type="dxa"/>
            <w:vAlign w:val="bottom"/>
            <w:gridSpan w:val="34"/>
          </w:tcPr>
          <w:p>
            <w:pPr>
              <w:spacing w:after="0"/>
              <w:rPr>
                <w:rFonts w:ascii="Arial" w:cs="Arial" w:eastAsia="Arial" w:hAnsi="Arial"/>
                <w:sz w:val="18"/>
                <w:szCs w:val="18"/>
                <w:color w:val="0000FF"/>
              </w:rPr>
            </w:pPr>
            <w:hyperlink r:id="rId129">
              <w:r>
                <w:rPr>
                  <w:rFonts w:ascii="Arial" w:cs="Arial" w:eastAsia="Arial" w:hAnsi="Arial"/>
                  <w:sz w:val="18"/>
                  <w:szCs w:val="18"/>
                  <w:color w:val="0000FF"/>
                </w:rPr>
                <w:t>Supplemental Indenture to the 2026 Indenture, dated as of July 1, 2024, by and among Aera Energy LLC, a California limited</w:t>
              </w:r>
            </w:hyperlink>
          </w:p>
        </w:tc>
        <w:tc>
          <w:tcPr>
            <w:tcW w:w="0" w:type="dxa"/>
            <w:vAlign w:val="bottom"/>
          </w:tcPr>
          <w:p>
            <w:pPr>
              <w:spacing w:after="0"/>
              <w:rPr>
                <w:sz w:val="1"/>
                <w:szCs w:val="1"/>
                <w:color w:val="auto"/>
              </w:rPr>
            </w:pPr>
          </w:p>
        </w:tc>
      </w:tr>
      <w:tr>
        <w:trPr>
          <w:trHeight w:val="149"/>
        </w:trPr>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960" w:type="dxa"/>
            <w:vAlign w:val="bottom"/>
            <w:tcBorders>
              <w:top w:val="single" w:sz="8" w:color="0000FF"/>
            </w:tcBorders>
            <w:gridSpan w:val="28"/>
          </w:tcPr>
          <w:p>
            <w:pPr>
              <w:spacing w:after="0" w:line="142" w:lineRule="exact"/>
              <w:rPr>
                <w:rFonts w:ascii="Arial" w:cs="Arial" w:eastAsia="Arial" w:hAnsi="Arial"/>
                <w:sz w:val="16"/>
                <w:szCs w:val="16"/>
                <w:color w:val="0000FF"/>
              </w:rPr>
            </w:pPr>
            <w:hyperlink r:id="rId129">
              <w:r>
                <w:rPr>
                  <w:rFonts w:ascii="Arial" w:cs="Arial" w:eastAsia="Arial" w:hAnsi="Arial"/>
                  <w:sz w:val="16"/>
                  <w:szCs w:val="16"/>
                  <w:color w:val="0000FF"/>
                </w:rPr>
                <w:t>liability company, Aera Energy Services Company, a Delaware corporation, Aera Federal LLC, a Delaware limited liability</w:t>
              </w:r>
            </w:hyperlink>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0" w:type="dxa"/>
            <w:vAlign w:val="bottom"/>
            <w:tcBorders>
              <w:top w:val="single" w:sz="8" w:color="0000FF"/>
            </w:tcBorders>
            <w:gridSpan w:val="13"/>
          </w:tcPr>
          <w:p>
            <w:pPr>
              <w:spacing w:after="0" w:line="162" w:lineRule="exact"/>
              <w:rPr>
                <w:rFonts w:ascii="Arial" w:cs="Arial" w:eastAsia="Arial" w:hAnsi="Arial"/>
                <w:sz w:val="18"/>
                <w:szCs w:val="18"/>
                <w:color w:val="0000FF"/>
              </w:rPr>
            </w:pPr>
            <w:hyperlink r:id="rId129">
              <w:r>
                <w:rPr>
                  <w:rFonts w:ascii="Arial" w:cs="Arial" w:eastAsia="Arial" w:hAnsi="Arial"/>
                  <w:sz w:val="18"/>
                  <w:szCs w:val="18"/>
                  <w:color w:val="0000FF"/>
                </w:rPr>
                <w:t>company, Belridge Farms &amp; Packing LLC, a California limited liability company, Green Gate San Ardo LLC, a Delaware</w:t>
              </w:r>
            </w:hyperlink>
          </w:p>
        </w:tc>
        <w:tc>
          <w:tcPr>
            <w:tcW w:w="500" w:type="dxa"/>
            <w:vAlign w:val="bottom"/>
            <w:gridSpan w:val="21"/>
          </w:tcPr>
          <w:p>
            <w:pPr>
              <w:spacing w:after="0" w:line="162" w:lineRule="exact"/>
              <w:rPr>
                <w:rFonts w:ascii="Arial" w:cs="Arial" w:eastAsia="Arial" w:hAnsi="Arial"/>
                <w:sz w:val="18"/>
                <w:szCs w:val="18"/>
                <w:color w:val="0000FF"/>
                <w:w w:val="92"/>
              </w:rPr>
            </w:pPr>
            <w:hyperlink r:id="rId129">
              <w:r>
                <w:rPr>
                  <w:rFonts w:ascii="Arial" w:cs="Arial" w:eastAsia="Arial" w:hAnsi="Arial"/>
                  <w:sz w:val="18"/>
                  <w:szCs w:val="18"/>
                  <w:color w:val="0000FF"/>
                  <w:w w:val="92"/>
                </w:rPr>
                <w:t>limited</w:t>
              </w:r>
            </w:hyperlink>
          </w:p>
        </w:tc>
        <w:tc>
          <w:tcPr>
            <w:tcW w:w="0" w:type="dxa"/>
            <w:vAlign w:val="bottom"/>
          </w:tcPr>
          <w:p>
            <w:pPr>
              <w:spacing w:after="0"/>
              <w:rPr>
                <w:sz w:val="1"/>
                <w:szCs w:val="1"/>
                <w:color w:val="auto"/>
              </w:rPr>
            </w:pPr>
          </w:p>
        </w:tc>
      </w:tr>
      <w:tr>
        <w:trPr>
          <w:trHeight w:val="169"/>
        </w:trPr>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20" w:type="dxa"/>
            <w:vAlign w:val="bottom"/>
            <w:tcBorders>
              <w:top w:val="single" w:sz="8" w:color="0000FF"/>
            </w:tcBorders>
            <w:gridSpan w:val="30"/>
          </w:tcPr>
          <w:p>
            <w:pPr>
              <w:spacing w:after="0" w:line="169" w:lineRule="exact"/>
              <w:rPr>
                <w:rFonts w:ascii="Arial" w:cs="Arial" w:eastAsia="Arial" w:hAnsi="Arial"/>
                <w:sz w:val="18"/>
                <w:szCs w:val="18"/>
                <w:color w:val="0000FF"/>
              </w:rPr>
            </w:pPr>
            <w:hyperlink r:id="rId129">
              <w:r>
                <w:rPr>
                  <w:rFonts w:ascii="Arial" w:cs="Arial" w:eastAsia="Arial" w:hAnsi="Arial"/>
                  <w:sz w:val="18"/>
                  <w:szCs w:val="18"/>
                  <w:color w:val="0000FF"/>
                </w:rPr>
                <w:t>liability company, Terrain Technology Inc., a California corporation, Green Gate Intermediate LLC, a Delaware limited liability</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900" w:type="dxa"/>
            <w:vAlign w:val="bottom"/>
            <w:tcBorders>
              <w:top w:val="single" w:sz="8" w:color="0000FF"/>
            </w:tcBorders>
            <w:gridSpan w:val="25"/>
          </w:tcPr>
          <w:p>
            <w:pPr>
              <w:spacing w:after="0" w:line="156" w:lineRule="exact"/>
              <w:rPr>
                <w:rFonts w:ascii="Arial" w:cs="Arial" w:eastAsia="Arial" w:hAnsi="Arial"/>
                <w:sz w:val="18"/>
                <w:szCs w:val="18"/>
                <w:color w:val="0000FF"/>
              </w:rPr>
            </w:pPr>
            <w:hyperlink r:id="rId129">
              <w:r>
                <w:rPr>
                  <w:rFonts w:ascii="Arial" w:cs="Arial" w:eastAsia="Arial" w:hAnsi="Arial"/>
                  <w:sz w:val="18"/>
                  <w:szCs w:val="18"/>
                  <w:color w:val="0000FF"/>
                </w:rPr>
                <w:t>company, Green Gate Resources E LLC, a Delaware limited liability company, Green Gate Resources S LLC, a Delaware</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660" w:type="dxa"/>
            <w:vAlign w:val="bottom"/>
            <w:tcBorders>
              <w:top w:val="single" w:sz="8" w:color="0000FF"/>
              <w:bottom w:val="single" w:sz="8" w:color="0000FF"/>
            </w:tcBorders>
            <w:gridSpan w:val="14"/>
          </w:tcPr>
          <w:p>
            <w:pPr>
              <w:spacing w:after="0" w:line="156" w:lineRule="exact"/>
              <w:rPr>
                <w:rFonts w:ascii="Arial" w:cs="Arial" w:eastAsia="Arial" w:hAnsi="Arial"/>
                <w:sz w:val="18"/>
                <w:szCs w:val="18"/>
                <w:color w:val="0000FF"/>
                <w:w w:val="97"/>
              </w:rPr>
            </w:pPr>
            <w:hyperlink r:id="rId129">
              <w:r>
                <w:rPr>
                  <w:rFonts w:ascii="Arial" w:cs="Arial" w:eastAsia="Arial" w:hAnsi="Arial"/>
                  <w:sz w:val="18"/>
                  <w:szCs w:val="18"/>
                  <w:color w:val="0000FF"/>
                  <w:w w:val="97"/>
                </w:rPr>
                <w:t>limited liability company, Green Gate Resources Holdings LLC, a Delaware limited liability company, Green Gate Resources</w:t>
              </w:r>
            </w:hyperlink>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40" w:type="dxa"/>
            <w:vAlign w:val="bottom"/>
            <w:gridSpan w:val="22"/>
          </w:tcPr>
          <w:p>
            <w:pPr>
              <w:spacing w:after="0" w:line="169" w:lineRule="exact"/>
              <w:rPr>
                <w:rFonts w:ascii="Arial" w:cs="Arial" w:eastAsia="Arial" w:hAnsi="Arial"/>
                <w:sz w:val="18"/>
                <w:szCs w:val="18"/>
                <w:color w:val="0000FF"/>
              </w:rPr>
            </w:pPr>
            <w:hyperlink r:id="rId129">
              <w:r>
                <w:rPr>
                  <w:rFonts w:ascii="Arial" w:cs="Arial" w:eastAsia="Arial" w:hAnsi="Arial"/>
                  <w:sz w:val="18"/>
                  <w:szCs w:val="18"/>
                  <w:color w:val="0000FF"/>
                </w:rPr>
                <w:t>Parent LLC, a Delaware limited liability company, Petra Merger Sub S, LLC, a Delaware limited liability company, the other</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720" w:type="dxa"/>
            <w:vAlign w:val="bottom"/>
            <w:tcBorders>
              <w:top w:val="single" w:sz="8" w:color="0000FF"/>
              <w:bottom w:val="single" w:sz="8" w:color="0000FF"/>
            </w:tcBorders>
            <w:gridSpan w:val="16"/>
          </w:tcPr>
          <w:p>
            <w:pPr>
              <w:spacing w:after="0" w:line="156" w:lineRule="exact"/>
              <w:rPr>
                <w:rFonts w:ascii="Arial" w:cs="Arial" w:eastAsia="Arial" w:hAnsi="Arial"/>
                <w:sz w:val="18"/>
                <w:szCs w:val="18"/>
                <w:color w:val="0000FF"/>
                <w:w w:val="97"/>
              </w:rPr>
            </w:pPr>
            <w:hyperlink r:id="rId129">
              <w:r>
                <w:rPr>
                  <w:rFonts w:ascii="Arial" w:cs="Arial" w:eastAsia="Arial" w:hAnsi="Arial"/>
                  <w:sz w:val="18"/>
                  <w:szCs w:val="18"/>
                  <w:color w:val="0000FF"/>
                  <w:w w:val="97"/>
                </w:rPr>
                <w:t>guarantors party thereto, CRC and Wilmington Trust, National Association, as trustee (filed as Exhibit 10.6 to the Registrant’s</w:t>
              </w:r>
            </w:hyperlink>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20" w:type="dxa"/>
            <w:vAlign w:val="bottom"/>
            <w:tcBorders>
              <w:bottom w:val="single" w:sz="8" w:color="0000FF"/>
            </w:tcBorders>
            <w:gridSpan w:val="5"/>
          </w:tcPr>
          <w:p>
            <w:pPr>
              <w:spacing w:after="0" w:line="156" w:lineRule="exact"/>
              <w:rPr>
                <w:rFonts w:ascii="Arial" w:cs="Arial" w:eastAsia="Arial" w:hAnsi="Arial"/>
                <w:sz w:val="18"/>
                <w:szCs w:val="18"/>
                <w:color w:val="0000FF"/>
                <w:w w:val="99"/>
              </w:rPr>
            </w:pPr>
            <w:hyperlink r:id="rId129">
              <w:r>
                <w:rPr>
                  <w:rFonts w:ascii="Arial" w:cs="Arial" w:eastAsia="Arial" w:hAnsi="Arial"/>
                  <w:sz w:val="18"/>
                  <w:szCs w:val="18"/>
                  <w:color w:val="0000FF"/>
                  <w:w w:val="99"/>
                </w:rPr>
                <w:t>Current Report on Form 8-K filed on July 1, 2024 and incorporated herein by reference).</w:t>
              </w:r>
            </w:hyperlink>
          </w:p>
        </w:tc>
        <w:tc>
          <w:tcPr>
            <w:tcW w:w="2960" w:type="dxa"/>
            <w:vAlign w:val="bottom"/>
            <w:gridSpan w:val="24"/>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740" w:type="dxa"/>
            <w:vAlign w:val="bottom"/>
          </w:tcPr>
          <w:p>
            <w:pPr>
              <w:ind w:left="20"/>
              <w:spacing w:after="0"/>
              <w:rPr>
                <w:sz w:val="20"/>
                <w:szCs w:val="20"/>
                <w:color w:val="auto"/>
              </w:rPr>
            </w:pPr>
            <w:r>
              <w:rPr>
                <w:rFonts w:ascii="Arial" w:cs="Arial" w:eastAsia="Arial" w:hAnsi="Arial"/>
                <w:sz w:val="18"/>
                <w:szCs w:val="18"/>
                <w:color w:val="auto"/>
              </w:rPr>
              <w:t>4.3</w:t>
            </w:r>
          </w:p>
        </w:tc>
        <w:tc>
          <w:tcPr>
            <w:tcW w:w="380" w:type="dxa"/>
            <w:vAlign w:val="bottom"/>
          </w:tcPr>
          <w:p>
            <w:pPr>
              <w:spacing w:after="0"/>
              <w:rPr>
                <w:sz w:val="24"/>
                <w:szCs w:val="24"/>
                <w:color w:val="auto"/>
              </w:rPr>
            </w:pPr>
          </w:p>
        </w:tc>
        <w:tc>
          <w:tcPr>
            <w:tcW w:w="10100" w:type="dxa"/>
            <w:vAlign w:val="bottom"/>
            <w:gridSpan w:val="34"/>
          </w:tcPr>
          <w:p>
            <w:pPr>
              <w:spacing w:after="0"/>
              <w:rPr>
                <w:rFonts w:ascii="Arial" w:cs="Arial" w:eastAsia="Arial" w:hAnsi="Arial"/>
                <w:sz w:val="18"/>
                <w:szCs w:val="18"/>
                <w:color w:val="0000FF"/>
              </w:rPr>
            </w:pPr>
            <w:hyperlink r:id="rId130">
              <w:r>
                <w:rPr>
                  <w:rFonts w:ascii="Arial" w:cs="Arial" w:eastAsia="Arial" w:hAnsi="Arial"/>
                  <w:sz w:val="18"/>
                  <w:szCs w:val="18"/>
                  <w:color w:val="0000FF"/>
                </w:rPr>
                <w:t>Supplemental Indenture to the 2029 Indenture, dated as of July 1, 2024, by and among Aera Energy LLC, a California limited</w:t>
              </w:r>
            </w:hyperlink>
          </w:p>
        </w:tc>
        <w:tc>
          <w:tcPr>
            <w:tcW w:w="0" w:type="dxa"/>
            <w:vAlign w:val="bottom"/>
          </w:tcPr>
          <w:p>
            <w:pPr>
              <w:spacing w:after="0"/>
              <w:rPr>
                <w:sz w:val="1"/>
                <w:szCs w:val="1"/>
                <w:color w:val="auto"/>
              </w:rPr>
            </w:pPr>
          </w:p>
        </w:tc>
      </w:tr>
      <w:tr>
        <w:trPr>
          <w:trHeight w:val="149"/>
        </w:trPr>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960" w:type="dxa"/>
            <w:vAlign w:val="bottom"/>
            <w:tcBorders>
              <w:top w:val="single" w:sz="8" w:color="0000FF"/>
            </w:tcBorders>
            <w:gridSpan w:val="28"/>
          </w:tcPr>
          <w:p>
            <w:pPr>
              <w:spacing w:after="0" w:line="142" w:lineRule="exact"/>
              <w:rPr>
                <w:rFonts w:ascii="Arial" w:cs="Arial" w:eastAsia="Arial" w:hAnsi="Arial"/>
                <w:sz w:val="16"/>
                <w:szCs w:val="16"/>
                <w:color w:val="0000FF"/>
              </w:rPr>
            </w:pPr>
            <w:hyperlink r:id="rId130">
              <w:r>
                <w:rPr>
                  <w:rFonts w:ascii="Arial" w:cs="Arial" w:eastAsia="Arial" w:hAnsi="Arial"/>
                  <w:sz w:val="16"/>
                  <w:szCs w:val="16"/>
                  <w:color w:val="0000FF"/>
                </w:rPr>
                <w:t>liability company, Aera Energy Services Company, a Delaware corporation, Aera Federal LLC, a Delaware limited liability</w:t>
              </w:r>
            </w:hyperlink>
          </w:p>
        </w:tc>
        <w:tc>
          <w:tcPr>
            <w:tcW w:w="8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0" w:type="dxa"/>
            <w:vAlign w:val="bottom"/>
            <w:tcBorders>
              <w:top w:val="single" w:sz="8" w:color="0000FF"/>
            </w:tcBorders>
            <w:gridSpan w:val="13"/>
          </w:tcPr>
          <w:p>
            <w:pPr>
              <w:spacing w:after="0" w:line="162" w:lineRule="exact"/>
              <w:rPr>
                <w:rFonts w:ascii="Arial" w:cs="Arial" w:eastAsia="Arial" w:hAnsi="Arial"/>
                <w:sz w:val="18"/>
                <w:szCs w:val="18"/>
                <w:color w:val="0000FF"/>
              </w:rPr>
            </w:pPr>
            <w:hyperlink r:id="rId130">
              <w:r>
                <w:rPr>
                  <w:rFonts w:ascii="Arial" w:cs="Arial" w:eastAsia="Arial" w:hAnsi="Arial"/>
                  <w:sz w:val="18"/>
                  <w:szCs w:val="18"/>
                  <w:color w:val="0000FF"/>
                </w:rPr>
                <w:t>company, Belridge Farms &amp; Packing LLC, a California limited liability company, Green Gate San Ardo LLC, a Delaware</w:t>
              </w:r>
            </w:hyperlink>
          </w:p>
        </w:tc>
        <w:tc>
          <w:tcPr>
            <w:tcW w:w="500" w:type="dxa"/>
            <w:vAlign w:val="bottom"/>
            <w:gridSpan w:val="21"/>
          </w:tcPr>
          <w:p>
            <w:pPr>
              <w:spacing w:after="0" w:line="162" w:lineRule="exact"/>
              <w:rPr>
                <w:rFonts w:ascii="Arial" w:cs="Arial" w:eastAsia="Arial" w:hAnsi="Arial"/>
                <w:sz w:val="18"/>
                <w:szCs w:val="18"/>
                <w:color w:val="0000FF"/>
                <w:w w:val="92"/>
              </w:rPr>
            </w:pPr>
            <w:hyperlink r:id="rId130">
              <w:r>
                <w:rPr>
                  <w:rFonts w:ascii="Arial" w:cs="Arial" w:eastAsia="Arial" w:hAnsi="Arial"/>
                  <w:sz w:val="18"/>
                  <w:szCs w:val="18"/>
                  <w:color w:val="0000FF"/>
                  <w:w w:val="92"/>
                </w:rPr>
                <w:t>limited</w:t>
              </w:r>
            </w:hyperlink>
          </w:p>
        </w:tc>
        <w:tc>
          <w:tcPr>
            <w:tcW w:w="0" w:type="dxa"/>
            <w:vAlign w:val="bottom"/>
          </w:tcPr>
          <w:p>
            <w:pPr>
              <w:spacing w:after="0"/>
              <w:rPr>
                <w:sz w:val="1"/>
                <w:szCs w:val="1"/>
                <w:color w:val="auto"/>
              </w:rPr>
            </w:pPr>
          </w:p>
        </w:tc>
      </w:tr>
      <w:tr>
        <w:trPr>
          <w:trHeight w:val="169"/>
        </w:trPr>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20" w:type="dxa"/>
            <w:vAlign w:val="bottom"/>
            <w:tcBorders>
              <w:top w:val="single" w:sz="8" w:color="0000FF"/>
            </w:tcBorders>
            <w:gridSpan w:val="30"/>
          </w:tcPr>
          <w:p>
            <w:pPr>
              <w:spacing w:after="0" w:line="169" w:lineRule="exact"/>
              <w:rPr>
                <w:rFonts w:ascii="Arial" w:cs="Arial" w:eastAsia="Arial" w:hAnsi="Arial"/>
                <w:sz w:val="18"/>
                <w:szCs w:val="18"/>
                <w:color w:val="0000FF"/>
              </w:rPr>
            </w:pPr>
            <w:hyperlink r:id="rId130">
              <w:r>
                <w:rPr>
                  <w:rFonts w:ascii="Arial" w:cs="Arial" w:eastAsia="Arial" w:hAnsi="Arial"/>
                  <w:sz w:val="18"/>
                  <w:szCs w:val="18"/>
                  <w:color w:val="0000FF"/>
                </w:rPr>
                <w:t>liability company, Terrain Technology Inc., a California corporation, Green Gate Intermediate LLC, a Delaware limited liability</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900" w:type="dxa"/>
            <w:vAlign w:val="bottom"/>
            <w:tcBorders>
              <w:top w:val="single" w:sz="8" w:color="0000FF"/>
            </w:tcBorders>
            <w:gridSpan w:val="25"/>
          </w:tcPr>
          <w:p>
            <w:pPr>
              <w:spacing w:after="0" w:line="156" w:lineRule="exact"/>
              <w:rPr>
                <w:rFonts w:ascii="Arial" w:cs="Arial" w:eastAsia="Arial" w:hAnsi="Arial"/>
                <w:sz w:val="18"/>
                <w:szCs w:val="18"/>
                <w:color w:val="0000FF"/>
              </w:rPr>
            </w:pPr>
            <w:hyperlink r:id="rId130">
              <w:r>
                <w:rPr>
                  <w:rFonts w:ascii="Arial" w:cs="Arial" w:eastAsia="Arial" w:hAnsi="Arial"/>
                  <w:sz w:val="18"/>
                  <w:szCs w:val="18"/>
                  <w:color w:val="0000FF"/>
                </w:rPr>
                <w:t>company, Green Gate Resources E LLC, a Delaware limited liability company, Green Gate Resources S LLC, a Delaware</w:t>
              </w:r>
            </w:hyperlink>
          </w:p>
        </w:tc>
        <w:tc>
          <w:tcPr>
            <w:tcW w:w="20" w:type="dxa"/>
            <w:vAlign w:val="bottom"/>
          </w:tcPr>
          <w:p>
            <w:pPr>
              <w:spacing w:after="0"/>
              <w:rPr>
                <w:sz w:val="13"/>
                <w:szCs w:val="13"/>
                <w:color w:val="auto"/>
              </w:rPr>
            </w:pPr>
          </w:p>
        </w:tc>
        <w:tc>
          <w:tcPr>
            <w:tcW w:w="12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660" w:type="dxa"/>
            <w:vAlign w:val="bottom"/>
            <w:tcBorders>
              <w:top w:val="single" w:sz="8" w:color="0000FF"/>
            </w:tcBorders>
            <w:gridSpan w:val="14"/>
          </w:tcPr>
          <w:p>
            <w:pPr>
              <w:spacing w:after="0" w:line="156" w:lineRule="exact"/>
              <w:rPr>
                <w:rFonts w:ascii="Arial" w:cs="Arial" w:eastAsia="Arial" w:hAnsi="Arial"/>
                <w:sz w:val="18"/>
                <w:szCs w:val="18"/>
                <w:color w:val="0000FF"/>
                <w:w w:val="97"/>
              </w:rPr>
            </w:pPr>
            <w:hyperlink r:id="rId130">
              <w:r>
                <w:rPr>
                  <w:rFonts w:ascii="Arial" w:cs="Arial" w:eastAsia="Arial" w:hAnsi="Arial"/>
                  <w:sz w:val="18"/>
                  <w:szCs w:val="18"/>
                  <w:color w:val="0000FF"/>
                  <w:w w:val="97"/>
                </w:rPr>
                <w:t>limited liability company, Green Gate Resources Holdings LLC, a Delaware limited liability company, Green Gate Resources</w:t>
              </w:r>
            </w:hyperlink>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40" w:type="dxa"/>
            <w:vAlign w:val="bottom"/>
            <w:tcBorders>
              <w:top w:val="single" w:sz="8" w:color="0000FF"/>
            </w:tcBorders>
            <w:gridSpan w:val="22"/>
          </w:tcPr>
          <w:p>
            <w:pPr>
              <w:spacing w:after="0" w:line="169" w:lineRule="exact"/>
              <w:rPr>
                <w:rFonts w:ascii="Arial" w:cs="Arial" w:eastAsia="Arial" w:hAnsi="Arial"/>
                <w:sz w:val="18"/>
                <w:szCs w:val="18"/>
                <w:color w:val="0000FF"/>
              </w:rPr>
            </w:pPr>
            <w:hyperlink r:id="rId130">
              <w:r>
                <w:rPr>
                  <w:rFonts w:ascii="Arial" w:cs="Arial" w:eastAsia="Arial" w:hAnsi="Arial"/>
                  <w:sz w:val="18"/>
                  <w:szCs w:val="18"/>
                  <w:color w:val="0000FF"/>
                </w:rPr>
                <w:t>Parent LLC, a Delaware limited liability company, Petra Merger Sub S, LLC, a Delaware limited liability company, the other</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12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720" w:type="dxa"/>
            <w:vAlign w:val="bottom"/>
            <w:tcBorders>
              <w:top w:val="single" w:sz="8" w:color="0000FF"/>
            </w:tcBorders>
            <w:gridSpan w:val="16"/>
          </w:tcPr>
          <w:p>
            <w:pPr>
              <w:spacing w:after="0" w:line="156" w:lineRule="exact"/>
              <w:rPr>
                <w:rFonts w:ascii="Arial" w:cs="Arial" w:eastAsia="Arial" w:hAnsi="Arial"/>
                <w:sz w:val="18"/>
                <w:szCs w:val="18"/>
                <w:color w:val="0000FF"/>
                <w:w w:val="97"/>
              </w:rPr>
            </w:pPr>
            <w:hyperlink r:id="rId130">
              <w:r>
                <w:rPr>
                  <w:rFonts w:ascii="Arial" w:cs="Arial" w:eastAsia="Arial" w:hAnsi="Arial"/>
                  <w:sz w:val="18"/>
                  <w:szCs w:val="18"/>
                  <w:color w:val="0000FF"/>
                  <w:w w:val="97"/>
                </w:rPr>
                <w:t>guarantors party thereto, CRC and Wilmington Trust, National Association, as trustee (filed as Exhibit 10.7 to the Registrant’s</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980" w:type="dxa"/>
            <w:vAlign w:val="bottom"/>
            <w:tcBorders>
              <w:top w:val="single" w:sz="8" w:color="0000FF"/>
            </w:tcBorders>
            <w:gridSpan w:val="29"/>
          </w:tcPr>
          <w:p>
            <w:pPr>
              <w:spacing w:after="0" w:line="156" w:lineRule="exact"/>
              <w:rPr>
                <w:rFonts w:ascii="Arial" w:cs="Arial" w:eastAsia="Arial" w:hAnsi="Arial"/>
                <w:sz w:val="18"/>
                <w:szCs w:val="18"/>
                <w:color w:val="0000FF"/>
              </w:rPr>
            </w:pPr>
            <w:hyperlink r:id="rId130">
              <w:r>
                <w:rPr>
                  <w:rFonts w:ascii="Arial" w:cs="Arial" w:eastAsia="Arial" w:hAnsi="Arial"/>
                  <w:sz w:val="18"/>
                  <w:szCs w:val="18"/>
                  <w:color w:val="0000FF"/>
                </w:rPr>
                <w:t>Current Report on Form 8-K filed on July 1, 2024 and incorporated herein by reference).</w:t>
              </w:r>
            </w:hyperlink>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720" w:type="dxa"/>
            <w:vAlign w:val="bottom"/>
            <w:shd w:val="clear" w:color="auto" w:fill="0000FF"/>
          </w:tcPr>
          <w:p>
            <w:pPr>
              <w:spacing w:after="0" w:line="20" w:lineRule="exact"/>
              <w:rPr>
                <w:sz w:val="1"/>
                <w:szCs w:val="1"/>
                <w:color w:val="auto"/>
              </w:rPr>
            </w:pPr>
          </w:p>
        </w:tc>
        <w:tc>
          <w:tcPr>
            <w:tcW w:w="3140" w:type="dxa"/>
            <w:vAlign w:val="bottom"/>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2320" w:type="dxa"/>
            <w:vAlign w:val="bottom"/>
            <w:gridSpan w:val="6"/>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740" w:type="dxa"/>
            <w:vAlign w:val="bottom"/>
          </w:tcPr>
          <w:p>
            <w:pPr>
              <w:ind w:left="20"/>
              <w:spacing w:after="0"/>
              <w:rPr>
                <w:sz w:val="20"/>
                <w:szCs w:val="20"/>
                <w:color w:val="auto"/>
              </w:rPr>
            </w:pPr>
            <w:r>
              <w:rPr>
                <w:rFonts w:ascii="Arial" w:cs="Arial" w:eastAsia="Arial" w:hAnsi="Arial"/>
                <w:sz w:val="18"/>
                <w:szCs w:val="18"/>
                <w:color w:val="auto"/>
              </w:rPr>
              <w:t>4.4</w:t>
            </w:r>
          </w:p>
        </w:tc>
        <w:tc>
          <w:tcPr>
            <w:tcW w:w="380" w:type="dxa"/>
            <w:vAlign w:val="bottom"/>
          </w:tcPr>
          <w:p>
            <w:pPr>
              <w:spacing w:after="0"/>
              <w:rPr>
                <w:sz w:val="24"/>
                <w:szCs w:val="24"/>
                <w:color w:val="auto"/>
              </w:rPr>
            </w:pPr>
          </w:p>
        </w:tc>
        <w:tc>
          <w:tcPr>
            <w:tcW w:w="10100" w:type="dxa"/>
            <w:vAlign w:val="bottom"/>
            <w:gridSpan w:val="34"/>
          </w:tcPr>
          <w:p>
            <w:pPr>
              <w:spacing w:after="0"/>
              <w:rPr>
                <w:rFonts w:ascii="Arial" w:cs="Arial" w:eastAsia="Arial" w:hAnsi="Arial"/>
                <w:sz w:val="18"/>
                <w:szCs w:val="18"/>
                <w:color w:val="0000FF"/>
              </w:rPr>
            </w:pPr>
            <w:hyperlink r:id="rId131">
              <w:r>
                <w:rPr>
                  <w:rFonts w:ascii="Arial" w:cs="Arial" w:eastAsia="Arial" w:hAnsi="Arial"/>
                  <w:sz w:val="18"/>
                  <w:szCs w:val="18"/>
                  <w:color w:val="0000FF"/>
                </w:rPr>
                <w:t>Second Supplemental Indenture to the 2029 Indenture, dated as of August 22, 2024, by and among the guarantors party</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720" w:type="dxa"/>
            <w:vAlign w:val="bottom"/>
            <w:shd w:val="clear" w:color="auto" w:fill="0000FF"/>
          </w:tcPr>
          <w:p>
            <w:pPr>
              <w:spacing w:after="0" w:line="20" w:lineRule="exact"/>
              <w:rPr>
                <w:sz w:val="1"/>
                <w:szCs w:val="1"/>
                <w:color w:val="auto"/>
              </w:rPr>
            </w:pPr>
          </w:p>
        </w:tc>
        <w:tc>
          <w:tcPr>
            <w:tcW w:w="3140" w:type="dxa"/>
            <w:vAlign w:val="bottom"/>
            <w:shd w:val="clear" w:color="auto" w:fill="0000FF"/>
          </w:tcPr>
          <w:p>
            <w:pPr>
              <w:spacing w:after="0" w:line="20" w:lineRule="exact"/>
              <w:rPr>
                <w:sz w:val="1"/>
                <w:szCs w:val="1"/>
                <w:color w:val="auto"/>
              </w:rPr>
            </w:pPr>
          </w:p>
        </w:tc>
        <w:tc>
          <w:tcPr>
            <w:tcW w:w="3460" w:type="dxa"/>
            <w:vAlign w:val="bottom"/>
            <w:gridSpan w:val="8"/>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100" w:type="dxa"/>
            <w:vAlign w:val="bottom"/>
            <w:gridSpan w:val="34"/>
          </w:tcPr>
          <w:p>
            <w:pPr>
              <w:spacing w:after="0" w:line="156" w:lineRule="exact"/>
              <w:rPr>
                <w:rFonts w:ascii="Arial" w:cs="Arial" w:eastAsia="Arial" w:hAnsi="Arial"/>
                <w:sz w:val="18"/>
                <w:szCs w:val="18"/>
                <w:color w:val="0000FF"/>
              </w:rPr>
            </w:pPr>
            <w:hyperlink r:id="rId131">
              <w:r>
                <w:rPr>
                  <w:rFonts w:ascii="Arial" w:cs="Arial" w:eastAsia="Arial" w:hAnsi="Arial"/>
                  <w:sz w:val="18"/>
                  <w:szCs w:val="18"/>
                  <w:color w:val="0000FF"/>
                </w:rPr>
                <w:t>thereto, CRC and Wilmington Trust, National Association, as Trustee (filed as Exhibit 4.3 to the Registrant’s Current Report on</w:t>
              </w:r>
            </w:hyperlink>
          </w:p>
        </w:tc>
        <w:tc>
          <w:tcPr>
            <w:tcW w:w="0" w:type="dxa"/>
            <w:vAlign w:val="bottom"/>
          </w:tcPr>
          <w:p>
            <w:pPr>
              <w:spacing w:after="0"/>
              <w:rPr>
                <w:sz w:val="1"/>
                <w:szCs w:val="1"/>
                <w:color w:val="auto"/>
              </w:rPr>
            </w:pPr>
          </w:p>
        </w:tc>
      </w:tr>
      <w:tr>
        <w:trPr>
          <w:trHeight w:val="155"/>
        </w:trPr>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86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9"/>
              </w:rPr>
            </w:pPr>
            <w:hyperlink r:id="rId131">
              <w:r>
                <w:rPr>
                  <w:rFonts w:ascii="Arial" w:cs="Arial" w:eastAsia="Arial" w:hAnsi="Arial"/>
                  <w:sz w:val="18"/>
                  <w:szCs w:val="18"/>
                  <w:color w:val="0000FF"/>
                  <w:w w:val="99"/>
                </w:rPr>
                <w:t>Form 8-K filed on August 22, 2024 and incorporated herein by reference).</w:t>
              </w:r>
            </w:hyperlink>
          </w:p>
        </w:tc>
        <w:tc>
          <w:tcPr>
            <w:tcW w:w="4200" w:type="dxa"/>
            <w:vAlign w:val="bottom"/>
            <w:tcBorders>
              <w:top w:val="single" w:sz="8" w:color="0000FF"/>
            </w:tcBorders>
            <w:gridSpan w:val="3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740" w:type="dxa"/>
            <w:vAlign w:val="bottom"/>
          </w:tcPr>
          <w:p>
            <w:pPr>
              <w:ind w:left="20"/>
              <w:spacing w:after="0"/>
              <w:rPr>
                <w:sz w:val="20"/>
                <w:szCs w:val="20"/>
                <w:color w:val="auto"/>
              </w:rPr>
            </w:pPr>
            <w:r>
              <w:rPr>
                <w:rFonts w:ascii="Arial" w:cs="Arial" w:eastAsia="Arial" w:hAnsi="Arial"/>
                <w:sz w:val="18"/>
                <w:szCs w:val="18"/>
                <w:color w:val="auto"/>
              </w:rPr>
              <w:t>10.1</w:t>
            </w:r>
          </w:p>
        </w:tc>
        <w:tc>
          <w:tcPr>
            <w:tcW w:w="380" w:type="dxa"/>
            <w:vAlign w:val="bottom"/>
          </w:tcPr>
          <w:p>
            <w:pPr>
              <w:spacing w:after="0"/>
              <w:rPr>
                <w:sz w:val="24"/>
                <w:szCs w:val="24"/>
                <w:color w:val="auto"/>
              </w:rPr>
            </w:pPr>
          </w:p>
        </w:tc>
        <w:tc>
          <w:tcPr>
            <w:tcW w:w="10100" w:type="dxa"/>
            <w:vAlign w:val="bottom"/>
            <w:gridSpan w:val="34"/>
          </w:tcPr>
          <w:p>
            <w:pPr>
              <w:spacing w:after="0"/>
              <w:rPr>
                <w:rFonts w:ascii="Arial" w:cs="Arial" w:eastAsia="Arial" w:hAnsi="Arial"/>
                <w:sz w:val="18"/>
                <w:szCs w:val="18"/>
                <w:color w:val="0000FF"/>
              </w:rPr>
            </w:pPr>
            <w:hyperlink r:id="rId132">
              <w:r>
                <w:rPr>
                  <w:rFonts w:ascii="Arial" w:cs="Arial" w:eastAsia="Arial" w:hAnsi="Arial"/>
                  <w:sz w:val="18"/>
                  <w:szCs w:val="18"/>
                  <w:color w:val="0000FF"/>
                </w:rPr>
                <w:t>Agreement and Plan of Merger, dated February 7, 2024, among California Resources Corporation and Petra Merger Sub I,</w:t>
              </w:r>
            </w:hyperlink>
          </w:p>
        </w:tc>
        <w:tc>
          <w:tcPr>
            <w:tcW w:w="0" w:type="dxa"/>
            <w:vAlign w:val="bottom"/>
          </w:tcPr>
          <w:p>
            <w:pPr>
              <w:spacing w:after="0"/>
              <w:rPr>
                <w:sz w:val="1"/>
                <w:szCs w:val="1"/>
                <w:color w:val="auto"/>
              </w:rPr>
            </w:pPr>
          </w:p>
        </w:tc>
      </w:tr>
      <w:tr>
        <w:trPr>
          <w:trHeight w:val="155"/>
        </w:trPr>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80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r:id="rId132">
              <w:r>
                <w:rPr>
                  <w:rFonts w:ascii="Arial" w:cs="Arial" w:eastAsia="Arial" w:hAnsi="Arial"/>
                  <w:sz w:val="18"/>
                  <w:szCs w:val="18"/>
                  <w:color w:val="0000FF"/>
                </w:rPr>
                <w:t>LLC, Petra Merger Sub C, LLC, Petra Merger Sub O, LLC, Petra Merger Sub O2, LLC, Petra Merger Sub O3, LLC, each a</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32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9"/>
              </w:rPr>
            </w:pPr>
            <w:hyperlink r:id="rId132">
              <w:r>
                <w:rPr>
                  <w:rFonts w:ascii="Arial" w:cs="Arial" w:eastAsia="Arial" w:hAnsi="Arial"/>
                  <w:sz w:val="18"/>
                  <w:szCs w:val="18"/>
                  <w:color w:val="0000FF"/>
                  <w:w w:val="99"/>
                </w:rPr>
                <w:t>Delaware limited liability company and a wholly-owned direct subsidiary of the Company, Petra Merger Sub S, LLC, a</w:t>
              </w:r>
            </w:hyperlink>
          </w:p>
        </w:tc>
        <w:tc>
          <w:tcPr>
            <w:tcW w:w="420" w:type="dxa"/>
            <w:vAlign w:val="bottom"/>
            <w:tcBorders>
              <w:top w:val="single" w:sz="8" w:color="0000FF"/>
            </w:tcBorders>
            <w:gridSpan w:val="7"/>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100" w:type="dxa"/>
            <w:vAlign w:val="bottom"/>
            <w:gridSpan w:val="34"/>
          </w:tcPr>
          <w:p>
            <w:pPr>
              <w:spacing w:after="0" w:line="169" w:lineRule="exact"/>
              <w:rPr>
                <w:rFonts w:ascii="Arial" w:cs="Arial" w:eastAsia="Arial" w:hAnsi="Arial"/>
                <w:sz w:val="18"/>
                <w:szCs w:val="18"/>
                <w:color w:val="0000FF"/>
              </w:rPr>
            </w:pPr>
            <w:hyperlink r:id="rId132">
              <w:r>
                <w:rPr>
                  <w:rFonts w:ascii="Arial" w:cs="Arial" w:eastAsia="Arial" w:hAnsi="Arial"/>
                  <w:sz w:val="18"/>
                  <w:szCs w:val="18"/>
                  <w:color w:val="0000FF"/>
                </w:rPr>
                <w:t>Delaware limited liability company and a wholly-owned direct subsidiary of the Company, IKAV Impact USA Inc., a Delaware</w:t>
              </w:r>
            </w:hyperlink>
          </w:p>
        </w:tc>
        <w:tc>
          <w:tcPr>
            <w:tcW w:w="0" w:type="dxa"/>
            <w:vAlign w:val="bottom"/>
          </w:tcPr>
          <w:p>
            <w:pPr>
              <w:spacing w:after="0"/>
              <w:rPr>
                <w:sz w:val="1"/>
                <w:szCs w:val="1"/>
                <w:color w:val="auto"/>
              </w:rPr>
            </w:pPr>
          </w:p>
        </w:tc>
      </w:tr>
      <w:tr>
        <w:trPr>
          <w:trHeight w:val="155"/>
        </w:trPr>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880" w:type="dxa"/>
            <w:vAlign w:val="bottom"/>
            <w:tcBorders>
              <w:top w:val="single" w:sz="8" w:color="0000FF"/>
            </w:tcBorders>
            <w:gridSpan w:val="24"/>
          </w:tcPr>
          <w:p>
            <w:pPr>
              <w:spacing w:after="0" w:line="156" w:lineRule="exact"/>
              <w:rPr>
                <w:rFonts w:ascii="Arial" w:cs="Arial" w:eastAsia="Arial" w:hAnsi="Arial"/>
                <w:sz w:val="18"/>
                <w:szCs w:val="18"/>
                <w:color w:val="0000FF"/>
              </w:rPr>
            </w:pPr>
            <w:hyperlink r:id="rId132">
              <w:r>
                <w:rPr>
                  <w:rFonts w:ascii="Arial" w:cs="Arial" w:eastAsia="Arial" w:hAnsi="Arial"/>
                  <w:sz w:val="18"/>
                  <w:szCs w:val="18"/>
                  <w:color w:val="0000FF"/>
                </w:rPr>
                <w:t>corporation, CPPIB Vedder US Holdings LLC, a Delaware limited liability company, Opps Xb Aera E CTB, LLC, a Delaware</w:t>
              </w:r>
            </w:hyperlink>
          </w:p>
        </w:tc>
        <w:tc>
          <w:tcPr>
            <w:tcW w:w="40" w:type="dxa"/>
            <w:vAlign w:val="bottom"/>
            <w:gridSpan w:val="2"/>
          </w:tcPr>
          <w:p>
            <w:pPr>
              <w:spacing w:after="0"/>
              <w:rPr>
                <w:sz w:val="13"/>
                <w:szCs w:val="13"/>
                <w:color w:val="auto"/>
              </w:rPr>
            </w:pPr>
          </w:p>
        </w:tc>
        <w:tc>
          <w:tcPr>
            <w:tcW w:w="12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820" w:type="dxa"/>
            <w:vAlign w:val="bottom"/>
            <w:tcBorders>
              <w:top w:val="single" w:sz="8" w:color="0000FF"/>
              <w:bottom w:val="single" w:sz="8" w:color="0000FF"/>
            </w:tcBorders>
            <w:gridSpan w:val="21"/>
          </w:tcPr>
          <w:p>
            <w:pPr>
              <w:spacing w:after="0" w:line="156" w:lineRule="exact"/>
              <w:rPr>
                <w:rFonts w:ascii="Arial" w:cs="Arial" w:eastAsia="Arial" w:hAnsi="Arial"/>
                <w:sz w:val="18"/>
                <w:szCs w:val="18"/>
                <w:color w:val="0000FF"/>
                <w:w w:val="99"/>
              </w:rPr>
            </w:pPr>
            <w:hyperlink r:id="rId132">
              <w:r>
                <w:rPr>
                  <w:rFonts w:ascii="Arial" w:cs="Arial" w:eastAsia="Arial" w:hAnsi="Arial"/>
                  <w:sz w:val="18"/>
                  <w:szCs w:val="18"/>
                  <w:color w:val="0000FF"/>
                  <w:w w:val="99"/>
                </w:rPr>
                <w:t>limited liability company, Opps XI Aera E CTB, LLC, a Delaware limited liability company, Green Gate COI, LLC, a Delaware</w:t>
              </w:r>
            </w:hyperlink>
          </w:p>
        </w:tc>
        <w:tc>
          <w:tcPr>
            <w:tcW w:w="40" w:type="dxa"/>
            <w:vAlign w:val="bottom"/>
            <w:tcBorders>
              <w:bottom w:val="single" w:sz="8" w:color="0000FF"/>
            </w:tcBorders>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12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100" w:type="dxa"/>
            <w:vAlign w:val="bottom"/>
            <w:gridSpan w:val="34"/>
          </w:tcPr>
          <w:p>
            <w:pPr>
              <w:spacing w:after="0" w:line="169" w:lineRule="exact"/>
              <w:rPr>
                <w:rFonts w:ascii="Arial" w:cs="Arial" w:eastAsia="Arial" w:hAnsi="Arial"/>
                <w:sz w:val="18"/>
                <w:szCs w:val="18"/>
                <w:color w:val="0000FF"/>
              </w:rPr>
            </w:pPr>
            <w:hyperlink r:id="rId132">
              <w:r>
                <w:rPr>
                  <w:rFonts w:ascii="Arial" w:cs="Arial" w:eastAsia="Arial" w:hAnsi="Arial"/>
                  <w:sz w:val="18"/>
                  <w:szCs w:val="18"/>
                  <w:color w:val="0000FF"/>
                </w:rPr>
                <w:t>limited liability company and solely for purposes of the Member Provisions (as defined in the Merger Agreement), IKAV Impact</w:t>
              </w:r>
            </w:hyperlink>
          </w:p>
        </w:tc>
        <w:tc>
          <w:tcPr>
            <w:tcW w:w="0" w:type="dxa"/>
            <w:vAlign w:val="bottom"/>
          </w:tcPr>
          <w:p>
            <w:pPr>
              <w:spacing w:after="0"/>
              <w:rPr>
                <w:sz w:val="1"/>
                <w:szCs w:val="1"/>
                <w:color w:val="auto"/>
              </w:rPr>
            </w:pPr>
          </w:p>
        </w:tc>
      </w:tr>
      <w:tr>
        <w:trPr>
          <w:trHeight w:val="155"/>
        </w:trPr>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40" w:type="dxa"/>
            <w:vAlign w:val="bottom"/>
            <w:tcBorders>
              <w:top w:val="single" w:sz="8" w:color="0000FF"/>
            </w:tcBorders>
            <w:gridSpan w:val="31"/>
          </w:tcPr>
          <w:p>
            <w:pPr>
              <w:spacing w:after="0" w:line="156" w:lineRule="exact"/>
              <w:rPr>
                <w:rFonts w:ascii="Arial" w:cs="Arial" w:eastAsia="Arial" w:hAnsi="Arial"/>
                <w:sz w:val="18"/>
                <w:szCs w:val="18"/>
                <w:color w:val="0000FF"/>
              </w:rPr>
            </w:pPr>
            <w:hyperlink r:id="rId132">
              <w:r>
                <w:rPr>
                  <w:rFonts w:ascii="Arial" w:cs="Arial" w:eastAsia="Arial" w:hAnsi="Arial"/>
                  <w:sz w:val="18"/>
                  <w:szCs w:val="18"/>
                  <w:color w:val="0000FF"/>
                </w:rPr>
                <w:t>S.a.r.l., a Luxembourg corporation, Simlog Inc., a Delaware corporation, and IKAV Energy Inc., a Delaware corporation, CPP</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920" w:type="dxa"/>
            <w:vAlign w:val="bottom"/>
            <w:tcBorders>
              <w:top w:val="single" w:sz="8" w:color="0000FF"/>
              <w:bottom w:val="single" w:sz="8" w:color="0000FF"/>
            </w:tcBorders>
            <w:gridSpan w:val="26"/>
          </w:tcPr>
          <w:p>
            <w:pPr>
              <w:spacing w:after="0" w:line="156" w:lineRule="exact"/>
              <w:rPr>
                <w:rFonts w:ascii="Arial" w:cs="Arial" w:eastAsia="Arial" w:hAnsi="Arial"/>
                <w:sz w:val="18"/>
                <w:szCs w:val="18"/>
                <w:color w:val="0000FF"/>
                <w:w w:val="97"/>
              </w:rPr>
            </w:pPr>
            <w:hyperlink r:id="rId132">
              <w:r>
                <w:rPr>
                  <w:rFonts w:ascii="Arial" w:cs="Arial" w:eastAsia="Arial" w:hAnsi="Arial"/>
                  <w:sz w:val="18"/>
                  <w:szCs w:val="18"/>
                  <w:color w:val="0000FF"/>
                  <w:w w:val="97"/>
                </w:rPr>
                <w:t>Investment Board Private Holdings (6), Inc., a Canadian corporation, OCM Opps Xb AIF Holdings (Delaware), L.P., a Delaware</w:t>
              </w:r>
            </w:hyperlink>
          </w:p>
        </w:tc>
        <w:tc>
          <w:tcPr>
            <w:tcW w:w="160" w:type="dxa"/>
            <w:vAlign w:val="bottom"/>
            <w:tcBorders>
              <w:bottom w:val="single" w:sz="8" w:color="0000FF"/>
            </w:tcBorders>
            <w:gridSpan w:val="7"/>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80" w:type="dxa"/>
            <w:vAlign w:val="bottom"/>
            <w:gridSpan w:val="33"/>
          </w:tcPr>
          <w:p>
            <w:pPr>
              <w:spacing w:after="0" w:line="169" w:lineRule="exact"/>
              <w:rPr>
                <w:rFonts w:ascii="Arial" w:cs="Arial" w:eastAsia="Arial" w:hAnsi="Arial"/>
                <w:sz w:val="18"/>
                <w:szCs w:val="18"/>
                <w:color w:val="0000FF"/>
              </w:rPr>
            </w:pPr>
            <w:hyperlink r:id="rId132">
              <w:r>
                <w:rPr>
                  <w:rFonts w:ascii="Arial" w:cs="Arial" w:eastAsia="Arial" w:hAnsi="Arial"/>
                  <w:sz w:val="18"/>
                  <w:szCs w:val="18"/>
                  <w:color w:val="0000FF"/>
                </w:rPr>
                <w:t>limited partnership, Oaktree Huntington Investment Fund II AIF (Delaware), L.P. – Class C, a Delaware limited partnership,</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78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r:id="rId132">
              <w:r>
                <w:rPr>
                  <w:rFonts w:ascii="Arial" w:cs="Arial" w:eastAsia="Arial" w:hAnsi="Arial"/>
                  <w:sz w:val="18"/>
                  <w:szCs w:val="18"/>
                  <w:color w:val="0000FF"/>
                </w:rPr>
                <w:t>OCM Opps XI AIV Holdings (Delaware), L.P., a Delaware limited partnership and OCM Aera E Holdings, LLC, a Delaware</w:t>
              </w:r>
            </w:hyperlink>
          </w:p>
        </w:tc>
        <w:tc>
          <w:tcPr>
            <w:tcW w:w="320" w:type="dxa"/>
            <w:vAlign w:val="bottom"/>
            <w:gridSpan w:val="15"/>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680" w:type="dxa"/>
            <w:vAlign w:val="bottom"/>
            <w:tcBorders>
              <w:top w:val="single" w:sz="8" w:color="0000FF"/>
            </w:tcBorders>
            <w:gridSpan w:val="15"/>
          </w:tcPr>
          <w:p>
            <w:pPr>
              <w:spacing w:after="0" w:line="156" w:lineRule="exact"/>
              <w:rPr>
                <w:rFonts w:ascii="Arial" w:cs="Arial" w:eastAsia="Arial" w:hAnsi="Arial"/>
                <w:sz w:val="18"/>
                <w:szCs w:val="18"/>
                <w:color w:val="0000FF"/>
              </w:rPr>
            </w:pPr>
            <w:hyperlink r:id="rId132">
              <w:r>
                <w:rPr>
                  <w:rFonts w:ascii="Arial" w:cs="Arial" w:eastAsia="Arial" w:hAnsi="Arial"/>
                  <w:sz w:val="18"/>
                  <w:szCs w:val="18"/>
                  <w:color w:val="0000FF"/>
                </w:rPr>
                <w:t>limited liability company. (filed as Exhibit 10.1 to the Registrant's Current Report on Form 8-K filed February 9, 2024 and</w:t>
              </w:r>
            </w:hyperlink>
          </w:p>
        </w:tc>
        <w:tc>
          <w:tcPr>
            <w:tcW w:w="420" w:type="dxa"/>
            <w:vAlign w:val="bottom"/>
            <w:gridSpan w:val="19"/>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720" w:type="dxa"/>
            <w:vAlign w:val="bottom"/>
            <w:tcBorders>
              <w:top w:val="single" w:sz="8" w:color="0000FF"/>
              <w:bottom w:val="single" w:sz="8" w:color="0000FF"/>
            </w:tcBorders>
          </w:tcPr>
          <w:p>
            <w:pPr>
              <w:spacing w:after="0" w:line="169" w:lineRule="exact"/>
              <w:rPr>
                <w:rFonts w:ascii="Arial" w:cs="Arial" w:eastAsia="Arial" w:hAnsi="Arial"/>
                <w:sz w:val="18"/>
                <w:szCs w:val="18"/>
                <w:color w:val="0000FF"/>
                <w:w w:val="99"/>
              </w:rPr>
            </w:pPr>
            <w:hyperlink r:id="rId132">
              <w:r>
                <w:rPr>
                  <w:rFonts w:ascii="Arial" w:cs="Arial" w:eastAsia="Arial" w:hAnsi="Arial"/>
                  <w:sz w:val="18"/>
                  <w:szCs w:val="18"/>
                  <w:color w:val="0000FF"/>
                  <w:w w:val="99"/>
                </w:rPr>
                <w:t>incorporated herein by reference).</w:t>
              </w:r>
            </w:hyperlink>
          </w:p>
        </w:tc>
        <w:tc>
          <w:tcPr>
            <w:tcW w:w="6860" w:type="dxa"/>
            <w:vAlign w:val="bottom"/>
            <w:tcBorders>
              <w:top w:val="single" w:sz="8" w:color="0000FF"/>
            </w:tcBorders>
            <w:gridSpan w:val="11"/>
          </w:tcPr>
          <w:p>
            <w:pPr>
              <w:spacing w:after="0"/>
              <w:rPr>
                <w:sz w:val="14"/>
                <w:szCs w:val="14"/>
                <w:color w:val="auto"/>
              </w:rPr>
            </w:pPr>
          </w:p>
        </w:tc>
        <w:tc>
          <w:tcPr>
            <w:tcW w:w="520" w:type="dxa"/>
            <w:vAlign w:val="bottom"/>
            <w:gridSpan w:val="22"/>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740" w:type="dxa"/>
            <w:vAlign w:val="bottom"/>
          </w:tcPr>
          <w:p>
            <w:pPr>
              <w:ind w:left="20"/>
              <w:spacing w:after="0"/>
              <w:rPr>
                <w:sz w:val="20"/>
                <w:szCs w:val="20"/>
                <w:color w:val="auto"/>
              </w:rPr>
            </w:pPr>
            <w:r>
              <w:rPr>
                <w:rFonts w:ascii="Arial" w:cs="Arial" w:eastAsia="Arial" w:hAnsi="Arial"/>
                <w:sz w:val="18"/>
                <w:szCs w:val="18"/>
                <w:color w:val="auto"/>
              </w:rPr>
              <w:t>10.2</w:t>
            </w:r>
          </w:p>
        </w:tc>
        <w:tc>
          <w:tcPr>
            <w:tcW w:w="380" w:type="dxa"/>
            <w:vAlign w:val="bottom"/>
          </w:tcPr>
          <w:p>
            <w:pPr>
              <w:spacing w:after="0"/>
              <w:rPr>
                <w:sz w:val="22"/>
                <w:szCs w:val="22"/>
                <w:color w:val="auto"/>
              </w:rPr>
            </w:pPr>
          </w:p>
        </w:tc>
        <w:tc>
          <w:tcPr>
            <w:tcW w:w="10100" w:type="dxa"/>
            <w:vAlign w:val="bottom"/>
            <w:gridSpan w:val="34"/>
          </w:tcPr>
          <w:p>
            <w:pPr>
              <w:spacing w:after="0"/>
              <w:rPr>
                <w:rFonts w:ascii="Arial" w:cs="Arial" w:eastAsia="Arial" w:hAnsi="Arial"/>
                <w:sz w:val="18"/>
                <w:szCs w:val="18"/>
                <w:u w:val="single" w:color="auto"/>
                <w:color w:val="0000FF"/>
                <w:w w:val="99"/>
              </w:rPr>
            </w:pPr>
            <w:hyperlink r:id="rId133">
              <w:r>
                <w:rPr>
                  <w:rFonts w:ascii="Arial" w:cs="Arial" w:eastAsia="Arial" w:hAnsi="Arial"/>
                  <w:sz w:val="18"/>
                  <w:szCs w:val="18"/>
                  <w:u w:val="single" w:color="auto"/>
                  <w:color w:val="0000FF"/>
                  <w:w w:val="99"/>
                </w:rPr>
                <w:t>Fourth Amendment to Amended and Restated Credit Agreement, dated as of July 1, 2024, by and among CRC, the guarantors</w:t>
              </w:r>
            </w:hyperlink>
          </w:p>
        </w:tc>
        <w:tc>
          <w:tcPr>
            <w:tcW w:w="0" w:type="dxa"/>
            <w:vAlign w:val="bottom"/>
          </w:tcPr>
          <w:p>
            <w:pPr>
              <w:spacing w:after="0"/>
              <w:rPr>
                <w:sz w:val="1"/>
                <w:szCs w:val="1"/>
                <w:color w:val="auto"/>
              </w:rPr>
            </w:pPr>
          </w:p>
        </w:tc>
      </w:tr>
    </w:tbl>
    <w:p>
      <w:pPr>
        <w:ind w:left="1120" w:right="280"/>
        <w:spacing w:after="0" w:line="223" w:lineRule="auto"/>
        <w:rPr>
          <w:rFonts w:ascii="Arial" w:cs="Arial" w:eastAsia="Arial" w:hAnsi="Arial"/>
          <w:sz w:val="17"/>
          <w:szCs w:val="17"/>
          <w:u w:val="single" w:color="auto"/>
          <w:color w:val="0000FF"/>
        </w:rPr>
      </w:pPr>
      <w:hyperlink r:id="rId133">
        <w:r>
          <w:rPr>
            <w:rFonts w:ascii="Arial" w:cs="Arial" w:eastAsia="Arial" w:hAnsi="Arial"/>
            <w:sz w:val="17"/>
            <w:szCs w:val="17"/>
            <w:u w:val="single" w:color="auto"/>
            <w:color w:val="0000FF"/>
          </w:rPr>
          <w:t>party thereto, the banks, financial institution and other lending institutions from time to time parties as lenders thereto, and</w:t>
        </w:r>
      </w:hyperlink>
      <w:r>
        <w:rPr>
          <w:rFonts w:ascii="Arial" w:cs="Arial" w:eastAsia="Arial" w:hAnsi="Arial"/>
          <w:sz w:val="17"/>
          <w:szCs w:val="17"/>
          <w:u w:val="single" w:color="auto"/>
          <w:color w:val="0000FF"/>
        </w:rPr>
        <w:t xml:space="preserve"> </w:t>
      </w:r>
      <w:hyperlink r:id="rId133">
        <w:r>
          <w:rPr>
            <w:rFonts w:ascii="Arial" w:cs="Arial" w:eastAsia="Arial" w:hAnsi="Arial"/>
            <w:sz w:val="17"/>
            <w:szCs w:val="17"/>
            <w:u w:val="single" w:color="auto"/>
            <w:color w:val="0000FF"/>
          </w:rPr>
          <w:t>Citibank, N.A., as administrative agent and collateral agent (filed as Exhibit 10.5 to Registrant's Current Report on Form 8-K</w:t>
        </w:r>
      </w:hyperlink>
    </w:p>
    <w:p>
      <w:pPr>
        <w:spacing w:after="0" w:line="1" w:lineRule="exact"/>
        <w:rPr>
          <w:sz w:val="20"/>
          <w:szCs w:val="20"/>
          <w:color w:val="auto"/>
        </w:rPr>
      </w:pPr>
    </w:p>
    <w:p>
      <w:pPr>
        <w:ind w:left="1120"/>
        <w:spacing w:after="0"/>
        <w:rPr>
          <w:rFonts w:ascii="Arial" w:cs="Arial" w:eastAsia="Arial" w:hAnsi="Arial"/>
          <w:sz w:val="18"/>
          <w:szCs w:val="18"/>
          <w:u w:val="single" w:color="auto"/>
          <w:color w:val="0000FF"/>
        </w:rPr>
      </w:pPr>
      <w:hyperlink r:id="rId133">
        <w:r>
          <w:rPr>
            <w:rFonts w:ascii="Arial" w:cs="Arial" w:eastAsia="Arial" w:hAnsi="Arial"/>
            <w:sz w:val="18"/>
            <w:szCs w:val="18"/>
            <w:u w:val="single" w:color="auto"/>
            <w:color w:val="0000FF"/>
          </w:rPr>
          <w:t>filed on June 28, 2024 and incorporated herein by reference).</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66" w:name="page67"/>
    <w:bookmarkEnd w:id="66"/>
    <w:tbl>
      <w:tblPr>
        <w:tblLayout w:type="fixed"/>
        <w:tblInd w:w="20" w:type="dxa"/>
        <w:tblCellMar>
          <w:top w:w="0" w:type="dxa"/>
          <w:left w:w="0" w:type="dxa"/>
          <w:bottom w:w="0" w:type="dxa"/>
          <w:right w:w="0" w:type="dxa"/>
        </w:tblCellMar>
      </w:tblPr>
      <w:tr>
        <w:trPr>
          <w:trHeight w:val="207"/>
        </w:trPr>
        <w:tc>
          <w:tcPr>
            <w:tcW w:w="1100" w:type="dxa"/>
            <w:vAlign w:val="bottom"/>
          </w:tcPr>
          <w:p>
            <w:pPr>
              <w:spacing w:after="0"/>
              <w:rPr>
                <w:sz w:val="20"/>
                <w:szCs w:val="20"/>
                <w:color w:val="auto"/>
              </w:rPr>
            </w:pPr>
            <w:r>
              <w:rPr>
                <w:rFonts w:ascii="Arial" w:cs="Arial" w:eastAsia="Arial" w:hAnsi="Arial"/>
                <w:sz w:val="18"/>
                <w:szCs w:val="18"/>
                <w:color w:val="auto"/>
              </w:rPr>
              <w:t>10.3*</w:t>
            </w:r>
          </w:p>
        </w:tc>
        <w:tc>
          <w:tcPr>
            <w:tcW w:w="9960" w:type="dxa"/>
            <w:vAlign w:val="bottom"/>
            <w:gridSpan w:val="12"/>
          </w:tcPr>
          <w:p>
            <w:pPr>
              <w:spacing w:after="0"/>
              <w:rPr>
                <w:sz w:val="20"/>
                <w:szCs w:val="20"/>
                <w:color w:val="auto"/>
              </w:rPr>
            </w:pPr>
            <w:r>
              <w:rPr>
                <w:rFonts w:ascii="Arial" w:cs="Arial" w:eastAsia="Arial" w:hAnsi="Arial"/>
                <w:sz w:val="18"/>
                <w:szCs w:val="18"/>
                <w:color w:val="0000FF"/>
              </w:rPr>
              <w:t>Fifth Amendment to Amended and Restated Credit Agreement, dated as of November 1, 2024, by and among CRC, the</w:t>
            </w:r>
          </w:p>
        </w:tc>
      </w:tr>
      <w:tr>
        <w:trPr>
          <w:trHeight w:val="155"/>
        </w:trPr>
        <w:tc>
          <w:tcPr>
            <w:tcW w:w="1100" w:type="dxa"/>
            <w:vAlign w:val="bottom"/>
          </w:tcPr>
          <w:p>
            <w:pPr>
              <w:spacing w:after="0"/>
              <w:rPr>
                <w:sz w:val="13"/>
                <w:szCs w:val="13"/>
                <w:color w:val="auto"/>
              </w:rPr>
            </w:pPr>
          </w:p>
        </w:tc>
        <w:tc>
          <w:tcPr>
            <w:tcW w:w="9520" w:type="dxa"/>
            <w:vAlign w:val="bottom"/>
            <w:tcBorders>
              <w:top w:val="single" w:sz="8" w:color="0000FF"/>
              <w:bottom w:val="single" w:sz="8" w:color="0000FF"/>
            </w:tcBorders>
            <w:gridSpan w:val="8"/>
          </w:tcPr>
          <w:p>
            <w:pPr>
              <w:spacing w:after="0" w:line="156" w:lineRule="exact"/>
              <w:rPr>
                <w:sz w:val="20"/>
                <w:szCs w:val="20"/>
                <w:color w:val="auto"/>
              </w:rPr>
            </w:pPr>
            <w:r>
              <w:rPr>
                <w:rFonts w:ascii="Arial" w:cs="Arial" w:eastAsia="Arial" w:hAnsi="Arial"/>
                <w:sz w:val="18"/>
                <w:szCs w:val="18"/>
                <w:color w:val="0000FF"/>
                <w:w w:val="99"/>
              </w:rPr>
              <w:t>guarantors party thereto, the banks, financial institution and other lending institutions from time to time parties as lenders</w:t>
            </w:r>
          </w:p>
        </w:tc>
        <w:tc>
          <w:tcPr>
            <w:tcW w:w="60" w:type="dxa"/>
            <w:vAlign w:val="bottom"/>
            <w:tcBorders>
              <w:bottom w:val="single" w:sz="8" w:color="0000FF"/>
            </w:tcBorders>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100" w:type="dxa"/>
            <w:vAlign w:val="bottom"/>
          </w:tcPr>
          <w:p>
            <w:pPr>
              <w:spacing w:after="0"/>
              <w:rPr>
                <w:sz w:val="13"/>
                <w:szCs w:val="13"/>
                <w:color w:val="auto"/>
              </w:rPr>
            </w:pPr>
          </w:p>
        </w:tc>
        <w:tc>
          <w:tcPr>
            <w:tcW w:w="5740" w:type="dxa"/>
            <w:vAlign w:val="bottom"/>
            <w:tcBorders>
              <w:bottom w:val="single" w:sz="8" w:color="0000FF"/>
            </w:tcBorders>
            <w:gridSpan w:val="2"/>
          </w:tcPr>
          <w:p>
            <w:pPr>
              <w:spacing w:after="0" w:line="156" w:lineRule="exact"/>
              <w:rPr>
                <w:sz w:val="20"/>
                <w:szCs w:val="20"/>
                <w:color w:val="auto"/>
              </w:rPr>
            </w:pPr>
            <w:r>
              <w:rPr>
                <w:rFonts w:ascii="Arial" w:cs="Arial" w:eastAsia="Arial" w:hAnsi="Arial"/>
                <w:sz w:val="18"/>
                <w:szCs w:val="18"/>
                <w:color w:val="0000FF"/>
                <w:w w:val="99"/>
              </w:rPr>
              <w:t>thereto, and Citibank, N.A., as administrative agent and collateral agent.</w:t>
            </w:r>
          </w:p>
        </w:tc>
        <w:tc>
          <w:tcPr>
            <w:tcW w:w="3840" w:type="dxa"/>
            <w:vAlign w:val="bottom"/>
            <w:gridSpan w:val="7"/>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1100" w:type="dxa"/>
            <w:vAlign w:val="bottom"/>
          </w:tcPr>
          <w:p>
            <w:pPr>
              <w:spacing w:after="0"/>
              <w:rPr>
                <w:sz w:val="20"/>
                <w:szCs w:val="20"/>
                <w:color w:val="auto"/>
              </w:rPr>
            </w:pPr>
            <w:r>
              <w:rPr>
                <w:rFonts w:ascii="Arial" w:cs="Arial" w:eastAsia="Arial" w:hAnsi="Arial"/>
                <w:sz w:val="18"/>
                <w:szCs w:val="18"/>
                <w:color w:val="auto"/>
              </w:rPr>
              <w:t>10.4</w:t>
            </w:r>
          </w:p>
        </w:tc>
        <w:tc>
          <w:tcPr>
            <w:tcW w:w="9960" w:type="dxa"/>
            <w:vAlign w:val="bottom"/>
            <w:gridSpan w:val="12"/>
          </w:tcPr>
          <w:p>
            <w:pPr>
              <w:spacing w:after="0"/>
              <w:rPr>
                <w:rFonts w:ascii="Arial" w:cs="Arial" w:eastAsia="Arial" w:hAnsi="Arial"/>
                <w:sz w:val="18"/>
                <w:szCs w:val="18"/>
                <w:color w:val="0000FF"/>
              </w:rPr>
            </w:pPr>
            <w:hyperlink r:id="rId135">
              <w:r>
                <w:rPr>
                  <w:rFonts w:ascii="Arial" w:cs="Arial" w:eastAsia="Arial" w:hAnsi="Arial"/>
                  <w:sz w:val="18"/>
                  <w:szCs w:val="18"/>
                  <w:color w:val="0000FF"/>
                </w:rPr>
                <w:t>Registration Rights Agreement, by and between CRC and the Sellers, dated as of July 1, 2024 (filed as Exhibit 10.1 to the</w:t>
              </w:r>
            </w:hyperlink>
          </w:p>
        </w:tc>
      </w:tr>
      <w:tr>
        <w:trPr>
          <w:trHeight w:val="156"/>
        </w:trPr>
        <w:tc>
          <w:tcPr>
            <w:tcW w:w="1100" w:type="dxa"/>
            <w:vAlign w:val="bottom"/>
          </w:tcPr>
          <w:p>
            <w:pPr>
              <w:spacing w:after="0"/>
              <w:rPr>
                <w:sz w:val="13"/>
                <w:szCs w:val="13"/>
                <w:color w:val="auto"/>
              </w:rPr>
            </w:pPr>
          </w:p>
        </w:tc>
        <w:tc>
          <w:tcPr>
            <w:tcW w:w="800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9"/>
              </w:rPr>
            </w:pPr>
            <w:hyperlink r:id="rId135">
              <w:r>
                <w:rPr>
                  <w:rFonts w:ascii="Arial" w:cs="Arial" w:eastAsia="Arial" w:hAnsi="Arial"/>
                  <w:sz w:val="18"/>
                  <w:szCs w:val="18"/>
                  <w:color w:val="0000FF"/>
                  <w:w w:val="99"/>
                </w:rPr>
                <w:t>Registrant’s Current Report on Form 8-K filed on July 1, 2024 and incorporated herein by reference).</w:t>
              </w:r>
            </w:hyperlink>
          </w:p>
        </w:tc>
        <w:tc>
          <w:tcPr>
            <w:tcW w:w="1700" w:type="dxa"/>
            <w:vAlign w:val="bottom"/>
            <w:tcBorders>
              <w:top w:val="single" w:sz="8" w:color="0000FF"/>
            </w:tcBorders>
            <w:gridSpan w:val="7"/>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1100" w:type="dxa"/>
            <w:vAlign w:val="bottom"/>
          </w:tcPr>
          <w:p>
            <w:pPr>
              <w:spacing w:after="0"/>
              <w:rPr>
                <w:sz w:val="20"/>
                <w:szCs w:val="20"/>
                <w:color w:val="auto"/>
              </w:rPr>
            </w:pPr>
            <w:r>
              <w:rPr>
                <w:rFonts w:ascii="Arial" w:cs="Arial" w:eastAsia="Arial" w:hAnsi="Arial"/>
                <w:sz w:val="18"/>
                <w:szCs w:val="18"/>
                <w:color w:val="auto"/>
              </w:rPr>
              <w:t>10.5</w:t>
            </w:r>
          </w:p>
        </w:tc>
        <w:tc>
          <w:tcPr>
            <w:tcW w:w="9960" w:type="dxa"/>
            <w:vAlign w:val="bottom"/>
            <w:gridSpan w:val="12"/>
          </w:tcPr>
          <w:p>
            <w:pPr>
              <w:spacing w:after="0"/>
              <w:rPr>
                <w:rFonts w:ascii="Arial" w:cs="Arial" w:eastAsia="Arial" w:hAnsi="Arial"/>
                <w:sz w:val="18"/>
                <w:szCs w:val="18"/>
                <w:color w:val="0000FF"/>
              </w:rPr>
            </w:pPr>
            <w:hyperlink r:id="rId136">
              <w:r>
                <w:rPr>
                  <w:rFonts w:ascii="Arial" w:cs="Arial" w:eastAsia="Arial" w:hAnsi="Arial"/>
                  <w:sz w:val="18"/>
                  <w:szCs w:val="18"/>
                  <w:color w:val="0000FF"/>
                </w:rPr>
                <w:t>Stockholder Agreement, by and between CRC and IKAV Seller, dated as of July 1, 2024 (filed as Exhibit 10.2 to the</w:t>
              </w:r>
            </w:hyperlink>
          </w:p>
        </w:tc>
      </w:tr>
      <w:tr>
        <w:trPr>
          <w:trHeight w:val="156"/>
        </w:trPr>
        <w:tc>
          <w:tcPr>
            <w:tcW w:w="1100" w:type="dxa"/>
            <w:vAlign w:val="bottom"/>
          </w:tcPr>
          <w:p>
            <w:pPr>
              <w:spacing w:after="0"/>
              <w:rPr>
                <w:sz w:val="13"/>
                <w:szCs w:val="13"/>
                <w:color w:val="auto"/>
              </w:rPr>
            </w:pPr>
          </w:p>
        </w:tc>
        <w:tc>
          <w:tcPr>
            <w:tcW w:w="800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9"/>
              </w:rPr>
            </w:pPr>
            <w:hyperlink r:id="rId136">
              <w:r>
                <w:rPr>
                  <w:rFonts w:ascii="Arial" w:cs="Arial" w:eastAsia="Arial" w:hAnsi="Arial"/>
                  <w:sz w:val="18"/>
                  <w:szCs w:val="18"/>
                  <w:color w:val="0000FF"/>
                  <w:w w:val="99"/>
                </w:rPr>
                <w:t>Registrant’s Current Report on Form 8-K filed on July 1, 2024 and incorporated herein by reference).</w:t>
              </w:r>
            </w:hyperlink>
          </w:p>
        </w:tc>
        <w:tc>
          <w:tcPr>
            <w:tcW w:w="1160" w:type="dxa"/>
            <w:vAlign w:val="bottom"/>
            <w:tcBorders>
              <w:top w:val="single" w:sz="8" w:color="0000FF"/>
            </w:tcBorders>
            <w:gridSpan w:val="4"/>
          </w:tcPr>
          <w:p>
            <w:pPr>
              <w:spacing w:after="0"/>
              <w:rPr>
                <w:sz w:val="13"/>
                <w:szCs w:val="13"/>
                <w:color w:val="auto"/>
              </w:rPr>
            </w:pPr>
          </w:p>
        </w:tc>
        <w:tc>
          <w:tcPr>
            <w:tcW w:w="7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1100" w:type="dxa"/>
            <w:vAlign w:val="bottom"/>
          </w:tcPr>
          <w:p>
            <w:pPr>
              <w:spacing w:after="0"/>
              <w:rPr>
                <w:sz w:val="20"/>
                <w:szCs w:val="20"/>
                <w:color w:val="auto"/>
              </w:rPr>
            </w:pPr>
            <w:r>
              <w:rPr>
                <w:rFonts w:ascii="Arial" w:cs="Arial" w:eastAsia="Arial" w:hAnsi="Arial"/>
                <w:sz w:val="18"/>
                <w:szCs w:val="18"/>
                <w:color w:val="auto"/>
              </w:rPr>
              <w:t>10.6</w:t>
            </w:r>
          </w:p>
        </w:tc>
        <w:tc>
          <w:tcPr>
            <w:tcW w:w="9960" w:type="dxa"/>
            <w:vAlign w:val="bottom"/>
            <w:gridSpan w:val="12"/>
          </w:tcPr>
          <w:p>
            <w:pPr>
              <w:spacing w:after="0"/>
              <w:rPr>
                <w:rFonts w:ascii="Arial" w:cs="Arial" w:eastAsia="Arial" w:hAnsi="Arial"/>
                <w:sz w:val="18"/>
                <w:szCs w:val="18"/>
                <w:color w:val="0000FF"/>
              </w:rPr>
            </w:pPr>
            <w:hyperlink r:id="rId137">
              <w:r>
                <w:rPr>
                  <w:rFonts w:ascii="Arial" w:cs="Arial" w:eastAsia="Arial" w:hAnsi="Arial"/>
                  <w:sz w:val="18"/>
                  <w:szCs w:val="18"/>
                  <w:color w:val="0000FF"/>
                </w:rPr>
                <w:t>Stockholder Agreement, by and between CRC and CPP Seller, dated as of July 1, 2024 (filed as Exhibit 10.3 to the</w:t>
              </w:r>
            </w:hyperlink>
          </w:p>
        </w:tc>
      </w:tr>
      <w:tr>
        <w:trPr>
          <w:trHeight w:val="156"/>
        </w:trPr>
        <w:tc>
          <w:tcPr>
            <w:tcW w:w="1100" w:type="dxa"/>
            <w:vAlign w:val="bottom"/>
          </w:tcPr>
          <w:p>
            <w:pPr>
              <w:spacing w:after="0"/>
              <w:rPr>
                <w:sz w:val="13"/>
                <w:szCs w:val="13"/>
                <w:color w:val="auto"/>
              </w:rPr>
            </w:pPr>
          </w:p>
        </w:tc>
        <w:tc>
          <w:tcPr>
            <w:tcW w:w="800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9"/>
              </w:rPr>
            </w:pPr>
            <w:hyperlink r:id="rId137">
              <w:r>
                <w:rPr>
                  <w:rFonts w:ascii="Arial" w:cs="Arial" w:eastAsia="Arial" w:hAnsi="Arial"/>
                  <w:sz w:val="18"/>
                  <w:szCs w:val="18"/>
                  <w:color w:val="0000FF"/>
                  <w:w w:val="99"/>
                </w:rPr>
                <w:t>Registrant’s Current Report on Form 8-K filed on July 1, 2024 and incorporated herein by reference).</w:t>
              </w:r>
            </w:hyperlink>
          </w:p>
        </w:tc>
        <w:tc>
          <w:tcPr>
            <w:tcW w:w="1140" w:type="dxa"/>
            <w:vAlign w:val="bottom"/>
            <w:tcBorders>
              <w:top w:val="single" w:sz="8" w:color="0000FF"/>
            </w:tcBorders>
            <w:gridSpan w:val="3"/>
          </w:tcPr>
          <w:p>
            <w:pPr>
              <w:spacing w:after="0"/>
              <w:rPr>
                <w:sz w:val="13"/>
                <w:szCs w:val="13"/>
                <w:color w:val="auto"/>
              </w:rPr>
            </w:pPr>
          </w:p>
        </w:tc>
        <w:tc>
          <w:tcPr>
            <w:tcW w:w="8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1100" w:type="dxa"/>
            <w:vAlign w:val="bottom"/>
          </w:tcPr>
          <w:p>
            <w:pPr>
              <w:spacing w:after="0"/>
              <w:rPr>
                <w:sz w:val="20"/>
                <w:szCs w:val="20"/>
                <w:color w:val="auto"/>
              </w:rPr>
            </w:pPr>
            <w:r>
              <w:rPr>
                <w:rFonts w:ascii="Arial" w:cs="Arial" w:eastAsia="Arial" w:hAnsi="Arial"/>
                <w:sz w:val="18"/>
                <w:szCs w:val="18"/>
                <w:color w:val="auto"/>
              </w:rPr>
              <w:t>31.1*</w:t>
            </w:r>
          </w:p>
        </w:tc>
        <w:tc>
          <w:tcPr>
            <w:tcW w:w="812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9"/>
              </w:rPr>
              <w:t>Certification of Principal Executive Officer Pursuant to Section 302 of the Sarbanes-Oxley Act of 2002.</w:t>
            </w:r>
          </w:p>
        </w:tc>
        <w:tc>
          <w:tcPr>
            <w:tcW w:w="1840" w:type="dxa"/>
            <w:vAlign w:val="bottom"/>
            <w:gridSpan w:val="7"/>
          </w:tcPr>
          <w:p>
            <w:pPr>
              <w:spacing w:after="0"/>
              <w:rPr>
                <w:sz w:val="24"/>
                <w:szCs w:val="24"/>
                <w:color w:val="auto"/>
              </w:rPr>
            </w:pPr>
          </w:p>
        </w:tc>
      </w:tr>
      <w:tr>
        <w:trPr>
          <w:trHeight w:val="264"/>
        </w:trPr>
        <w:tc>
          <w:tcPr>
            <w:tcW w:w="1100" w:type="dxa"/>
            <w:vAlign w:val="bottom"/>
          </w:tcPr>
          <w:p>
            <w:pPr>
              <w:spacing w:after="0"/>
              <w:rPr>
                <w:sz w:val="20"/>
                <w:szCs w:val="20"/>
                <w:color w:val="auto"/>
              </w:rPr>
            </w:pPr>
            <w:r>
              <w:rPr>
                <w:rFonts w:ascii="Arial" w:cs="Arial" w:eastAsia="Arial" w:hAnsi="Arial"/>
                <w:sz w:val="18"/>
                <w:szCs w:val="18"/>
                <w:color w:val="auto"/>
              </w:rPr>
              <w:t>31.2*</w:t>
            </w:r>
          </w:p>
        </w:tc>
        <w:tc>
          <w:tcPr>
            <w:tcW w:w="806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9"/>
              </w:rPr>
              <w:t>Certification of Principal Financial Officer Pursuant to Section 302 of the Sarbanes-Oxley Act of 2002.</w:t>
            </w:r>
          </w:p>
        </w:tc>
        <w:tc>
          <w:tcPr>
            <w:tcW w:w="1900" w:type="dxa"/>
            <w:vAlign w:val="bottom"/>
            <w:gridSpan w:val="8"/>
          </w:tcPr>
          <w:p>
            <w:pPr>
              <w:spacing w:after="0"/>
              <w:rPr>
                <w:sz w:val="22"/>
                <w:szCs w:val="22"/>
                <w:color w:val="auto"/>
              </w:rPr>
            </w:pPr>
          </w:p>
        </w:tc>
      </w:tr>
      <w:tr>
        <w:trPr>
          <w:trHeight w:val="264"/>
        </w:trPr>
        <w:tc>
          <w:tcPr>
            <w:tcW w:w="1100" w:type="dxa"/>
            <w:vAlign w:val="bottom"/>
          </w:tcPr>
          <w:p>
            <w:pPr>
              <w:spacing w:after="0"/>
              <w:rPr>
                <w:sz w:val="20"/>
                <w:szCs w:val="20"/>
                <w:color w:val="auto"/>
              </w:rPr>
            </w:pPr>
            <w:r>
              <w:rPr>
                <w:rFonts w:ascii="Arial" w:cs="Arial" w:eastAsia="Arial" w:hAnsi="Arial"/>
                <w:sz w:val="18"/>
                <w:szCs w:val="18"/>
                <w:color w:val="auto"/>
              </w:rPr>
              <w:t>32.1*</w:t>
            </w:r>
          </w:p>
        </w:tc>
        <w:tc>
          <w:tcPr>
            <w:tcW w:w="9960" w:type="dxa"/>
            <w:vAlign w:val="bottom"/>
            <w:gridSpan w:val="12"/>
          </w:tcPr>
          <w:p>
            <w:pPr>
              <w:spacing w:after="0"/>
              <w:rPr>
                <w:sz w:val="20"/>
                <w:szCs w:val="20"/>
                <w:color w:val="auto"/>
              </w:rPr>
            </w:pPr>
            <w:r>
              <w:rPr>
                <w:rFonts w:ascii="Arial" w:cs="Arial" w:eastAsia="Arial" w:hAnsi="Arial"/>
                <w:sz w:val="18"/>
                <w:szCs w:val="18"/>
                <w:color w:val="0000FF"/>
                <w:w w:val="99"/>
              </w:rPr>
              <w:t>Certifications of Principal Executive Officer and Principal Financial Officer Pursuant to Section 906 of the Sarbanes-Oxley Act</w:t>
            </w:r>
          </w:p>
        </w:tc>
      </w:tr>
      <w:tr>
        <w:trPr>
          <w:trHeight w:val="155"/>
        </w:trPr>
        <w:tc>
          <w:tcPr>
            <w:tcW w:w="1100" w:type="dxa"/>
            <w:vAlign w:val="bottom"/>
          </w:tcPr>
          <w:p>
            <w:pPr>
              <w:spacing w:after="0"/>
              <w:rPr>
                <w:sz w:val="13"/>
                <w:szCs w:val="13"/>
                <w:color w:val="auto"/>
              </w:rPr>
            </w:pPr>
          </w:p>
        </w:tc>
        <w:tc>
          <w:tcPr>
            <w:tcW w:w="9940" w:type="dxa"/>
            <w:vAlign w:val="bottom"/>
            <w:tcBorders>
              <w:top w:val="single" w:sz="8" w:color="0000FF"/>
            </w:tcBorders>
            <w:gridSpan w:val="11"/>
          </w:tcPr>
          <w:p>
            <w:pPr>
              <w:spacing w:after="0" w:line="156" w:lineRule="exact"/>
              <w:rPr>
                <w:sz w:val="20"/>
                <w:szCs w:val="20"/>
                <w:color w:val="auto"/>
              </w:rPr>
            </w:pPr>
            <w:r>
              <w:rPr>
                <w:rFonts w:ascii="Arial" w:cs="Arial" w:eastAsia="Arial" w:hAnsi="Arial"/>
                <w:sz w:val="18"/>
                <w:szCs w:val="18"/>
                <w:color w:val="0000FF"/>
              </w:rPr>
              <w:t>of 2002.</w:t>
            </w:r>
          </w:p>
        </w:tc>
        <w:tc>
          <w:tcPr>
            <w:tcW w:w="20" w:type="dxa"/>
            <w:vAlign w:val="bottom"/>
          </w:tcPr>
          <w:p>
            <w:pPr>
              <w:spacing w:after="0"/>
              <w:rPr>
                <w:sz w:val="13"/>
                <w:szCs w:val="13"/>
                <w:color w:val="auto"/>
              </w:rPr>
            </w:pPr>
          </w:p>
        </w:tc>
      </w:tr>
      <w:tr>
        <w:trPr>
          <w:trHeight w:val="20"/>
        </w:trPr>
        <w:tc>
          <w:tcPr>
            <w:tcW w:w="11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9320" w:type="dxa"/>
            <w:vAlign w:val="bottom"/>
            <w:gridSpan w:val="11"/>
          </w:tcPr>
          <w:p>
            <w:pPr>
              <w:spacing w:after="0" w:line="20" w:lineRule="exact"/>
              <w:rPr>
                <w:sz w:val="1"/>
                <w:szCs w:val="1"/>
                <w:color w:val="auto"/>
              </w:rPr>
            </w:pPr>
          </w:p>
        </w:tc>
      </w:tr>
      <w:tr>
        <w:trPr>
          <w:trHeight w:val="322"/>
        </w:trPr>
        <w:tc>
          <w:tcPr>
            <w:tcW w:w="1100" w:type="dxa"/>
            <w:vAlign w:val="bottom"/>
          </w:tcPr>
          <w:p>
            <w:pPr>
              <w:spacing w:after="0"/>
              <w:rPr>
                <w:sz w:val="20"/>
                <w:szCs w:val="20"/>
                <w:color w:val="auto"/>
              </w:rPr>
            </w:pPr>
            <w:r>
              <w:rPr>
                <w:rFonts w:ascii="Arial" w:cs="Arial" w:eastAsia="Arial" w:hAnsi="Arial"/>
                <w:sz w:val="18"/>
                <w:szCs w:val="18"/>
                <w:color w:val="auto"/>
              </w:rPr>
              <w:t>101.INS*</w:t>
            </w:r>
          </w:p>
        </w:tc>
        <w:tc>
          <w:tcPr>
            <w:tcW w:w="9960" w:type="dxa"/>
            <w:vAlign w:val="bottom"/>
            <w:gridSpan w:val="12"/>
          </w:tcPr>
          <w:p>
            <w:pPr>
              <w:spacing w:after="0"/>
              <w:rPr>
                <w:sz w:val="20"/>
                <w:szCs w:val="20"/>
                <w:color w:val="auto"/>
              </w:rPr>
            </w:pPr>
            <w:r>
              <w:rPr>
                <w:rFonts w:ascii="Arial" w:cs="Arial" w:eastAsia="Arial" w:hAnsi="Arial"/>
                <w:sz w:val="18"/>
                <w:szCs w:val="18"/>
                <w:color w:val="auto"/>
              </w:rPr>
              <w:t>Inline XBRL Instance Document.</w:t>
            </w:r>
          </w:p>
        </w:tc>
      </w:tr>
      <w:tr>
        <w:trPr>
          <w:trHeight w:val="283"/>
        </w:trPr>
        <w:tc>
          <w:tcPr>
            <w:tcW w:w="1100" w:type="dxa"/>
            <w:vAlign w:val="bottom"/>
          </w:tcPr>
          <w:p>
            <w:pPr>
              <w:spacing w:after="0"/>
              <w:rPr>
                <w:sz w:val="20"/>
                <w:szCs w:val="20"/>
                <w:color w:val="auto"/>
              </w:rPr>
            </w:pPr>
            <w:r>
              <w:rPr>
                <w:rFonts w:ascii="Arial" w:cs="Arial" w:eastAsia="Arial" w:hAnsi="Arial"/>
                <w:sz w:val="18"/>
                <w:szCs w:val="18"/>
                <w:color w:val="auto"/>
              </w:rPr>
              <w:t>101.SCH*</w:t>
            </w:r>
          </w:p>
        </w:tc>
        <w:tc>
          <w:tcPr>
            <w:tcW w:w="9960" w:type="dxa"/>
            <w:vAlign w:val="bottom"/>
            <w:gridSpan w:val="12"/>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84"/>
        </w:trPr>
        <w:tc>
          <w:tcPr>
            <w:tcW w:w="1100" w:type="dxa"/>
            <w:vAlign w:val="bottom"/>
          </w:tcPr>
          <w:p>
            <w:pPr>
              <w:spacing w:after="0"/>
              <w:rPr>
                <w:sz w:val="20"/>
                <w:szCs w:val="20"/>
                <w:color w:val="auto"/>
              </w:rPr>
            </w:pPr>
            <w:r>
              <w:rPr>
                <w:rFonts w:ascii="Arial" w:cs="Arial" w:eastAsia="Arial" w:hAnsi="Arial"/>
                <w:sz w:val="18"/>
                <w:szCs w:val="18"/>
                <w:color w:val="auto"/>
              </w:rPr>
              <w:t>101.CAL*</w:t>
            </w:r>
          </w:p>
        </w:tc>
        <w:tc>
          <w:tcPr>
            <w:tcW w:w="9960" w:type="dxa"/>
            <w:vAlign w:val="bottom"/>
            <w:gridSpan w:val="12"/>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83"/>
        </w:trPr>
        <w:tc>
          <w:tcPr>
            <w:tcW w:w="1100" w:type="dxa"/>
            <w:vAlign w:val="bottom"/>
          </w:tcPr>
          <w:p>
            <w:pPr>
              <w:spacing w:after="0"/>
              <w:rPr>
                <w:sz w:val="20"/>
                <w:szCs w:val="20"/>
                <w:color w:val="auto"/>
              </w:rPr>
            </w:pPr>
            <w:r>
              <w:rPr>
                <w:rFonts w:ascii="Arial" w:cs="Arial" w:eastAsia="Arial" w:hAnsi="Arial"/>
                <w:sz w:val="18"/>
                <w:szCs w:val="18"/>
                <w:color w:val="auto"/>
              </w:rPr>
              <w:t>101.LAB*</w:t>
            </w:r>
          </w:p>
        </w:tc>
        <w:tc>
          <w:tcPr>
            <w:tcW w:w="9960" w:type="dxa"/>
            <w:vAlign w:val="bottom"/>
            <w:gridSpan w:val="12"/>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83"/>
        </w:trPr>
        <w:tc>
          <w:tcPr>
            <w:tcW w:w="1100" w:type="dxa"/>
            <w:vAlign w:val="bottom"/>
          </w:tcPr>
          <w:p>
            <w:pPr>
              <w:spacing w:after="0"/>
              <w:rPr>
                <w:sz w:val="20"/>
                <w:szCs w:val="20"/>
                <w:color w:val="auto"/>
              </w:rPr>
            </w:pPr>
            <w:r>
              <w:rPr>
                <w:rFonts w:ascii="Arial" w:cs="Arial" w:eastAsia="Arial" w:hAnsi="Arial"/>
                <w:sz w:val="18"/>
                <w:szCs w:val="18"/>
                <w:color w:val="auto"/>
              </w:rPr>
              <w:t>101.PRE*</w:t>
            </w:r>
          </w:p>
        </w:tc>
        <w:tc>
          <w:tcPr>
            <w:tcW w:w="9960" w:type="dxa"/>
            <w:vAlign w:val="bottom"/>
            <w:gridSpan w:val="12"/>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83"/>
        </w:trPr>
        <w:tc>
          <w:tcPr>
            <w:tcW w:w="1100" w:type="dxa"/>
            <w:vAlign w:val="bottom"/>
          </w:tcPr>
          <w:p>
            <w:pPr>
              <w:spacing w:after="0"/>
              <w:rPr>
                <w:sz w:val="20"/>
                <w:szCs w:val="20"/>
                <w:color w:val="auto"/>
              </w:rPr>
            </w:pPr>
            <w:r>
              <w:rPr>
                <w:rFonts w:ascii="Arial" w:cs="Arial" w:eastAsia="Arial" w:hAnsi="Arial"/>
                <w:sz w:val="18"/>
                <w:szCs w:val="18"/>
                <w:color w:val="auto"/>
              </w:rPr>
              <w:t>101.DEF*</w:t>
            </w:r>
          </w:p>
        </w:tc>
        <w:tc>
          <w:tcPr>
            <w:tcW w:w="9960" w:type="dxa"/>
            <w:vAlign w:val="bottom"/>
            <w:gridSpan w:val="12"/>
          </w:tcPr>
          <w:p>
            <w:pPr>
              <w:spacing w:after="0"/>
              <w:rPr>
                <w:sz w:val="20"/>
                <w:szCs w:val="20"/>
                <w:color w:val="auto"/>
              </w:rPr>
            </w:pPr>
            <w:r>
              <w:rPr>
                <w:rFonts w:ascii="Arial" w:cs="Arial" w:eastAsia="Arial" w:hAnsi="Arial"/>
                <w:sz w:val="18"/>
                <w:szCs w:val="18"/>
                <w:color w:val="auto"/>
              </w:rPr>
              <w:t>Inline XBRL Taxonomy Extension Definition Linkbase Document.</w:t>
            </w:r>
          </w:p>
        </w:tc>
      </w:tr>
    </w:tbl>
    <w:p>
      <w:pPr>
        <w:spacing w:after="0" w:line="45" w:lineRule="exact"/>
        <w:rPr>
          <w:sz w:val="20"/>
          <w:szCs w:val="20"/>
          <w:color w:val="auto"/>
        </w:rPr>
      </w:pPr>
    </w:p>
    <w:p>
      <w:pPr>
        <w:ind w:left="1120" w:hanging="1094"/>
        <w:spacing w:after="0"/>
        <w:tabs>
          <w:tab w:leader="none" w:pos="11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Cover Page Interactive Data File (formatted in inline XBRL and contained in Exhibits 101).</w:t>
      </w:r>
    </w:p>
    <w:p>
      <w:pPr>
        <w:spacing w:after="0" w:line="9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4"/>
          <w:szCs w:val="14"/>
          <w:color w:val="auto"/>
        </w:rPr>
        <w:t>* - Filed or furnished herewith</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**Certain portions of this exhibit (indicated by "[*****]") have been omitted pursuant to Item 601(b)(10) of Regulation S-K</w:t>
      </w:r>
    </w:p>
    <w:p>
      <w:pPr>
        <w:spacing w:after="0" w:line="200" w:lineRule="exact"/>
        <w:rPr>
          <w:sz w:val="20"/>
          <w:szCs w:val="20"/>
          <w:color w:val="auto"/>
        </w:rPr>
      </w:pPr>
    </w:p>
    <w:p>
      <w:pPr>
        <w:spacing w:after="0" w:line="34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067" w:right="519" w:bottom="1440" w:gutter="0" w:footer="0" w:header="0"/>
        </w:sectPr>
      </w:pPr>
    </w:p>
    <w:bookmarkStart w:id="67" w:name="page68"/>
    <w:bookmarkEnd w:id="67"/>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95"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63"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7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6080" w:type="dxa"/>
            <w:vAlign w:val="bottom"/>
            <w:gridSpan w:val="2"/>
          </w:tcPr>
          <w:p>
            <w:pPr>
              <w:ind w:left="820"/>
              <w:spacing w:after="0"/>
              <w:rPr>
                <w:sz w:val="20"/>
                <w:szCs w:val="20"/>
                <w:color w:val="auto"/>
              </w:rPr>
            </w:pPr>
            <w:r>
              <w:rPr>
                <w:rFonts w:ascii="Arial" w:cs="Arial" w:eastAsia="Arial" w:hAnsi="Arial"/>
                <w:sz w:val="18"/>
                <w:szCs w:val="18"/>
                <w:color w:val="auto"/>
              </w:rPr>
              <w:t>CALIFORNIA RESOURCES CORPORATION</w:t>
            </w:r>
          </w:p>
        </w:tc>
      </w:tr>
      <w:tr>
        <w:trPr>
          <w:trHeight w:val="590"/>
        </w:trPr>
        <w:tc>
          <w:tcPr>
            <w:tcW w:w="760" w:type="dxa"/>
            <w:vAlign w:val="bottom"/>
          </w:tcPr>
          <w:p>
            <w:pPr>
              <w:spacing w:after="0"/>
              <w:rPr>
                <w:sz w:val="20"/>
                <w:szCs w:val="20"/>
                <w:color w:val="auto"/>
              </w:rPr>
            </w:pPr>
            <w:r>
              <w:rPr>
                <w:rFonts w:ascii="Arial" w:cs="Arial" w:eastAsia="Arial" w:hAnsi="Arial"/>
                <w:sz w:val="18"/>
                <w:szCs w:val="18"/>
                <w:color w:val="auto"/>
              </w:rPr>
              <w:t>DATE:</w:t>
            </w:r>
          </w:p>
        </w:tc>
        <w:tc>
          <w:tcPr>
            <w:tcW w:w="2540" w:type="dxa"/>
            <w:vAlign w:val="bottom"/>
          </w:tcPr>
          <w:p>
            <w:pPr>
              <w:ind w:left="240"/>
              <w:spacing w:after="0"/>
              <w:rPr>
                <w:sz w:val="20"/>
                <w:szCs w:val="20"/>
                <w:color w:val="auto"/>
              </w:rPr>
            </w:pPr>
            <w:r>
              <w:rPr>
                <w:rFonts w:ascii="Arial" w:cs="Arial" w:eastAsia="Arial" w:hAnsi="Arial"/>
                <w:sz w:val="18"/>
                <w:szCs w:val="18"/>
                <w:color w:val="auto"/>
              </w:rPr>
              <w:t>November 6, 2024</w:t>
            </w:r>
          </w:p>
        </w:tc>
        <w:tc>
          <w:tcPr>
            <w:tcW w:w="820" w:type="dxa"/>
            <w:vAlign w:val="bottom"/>
          </w:tcPr>
          <w:p>
            <w:pPr>
              <w:spacing w:after="0"/>
              <w:rPr>
                <w:sz w:val="24"/>
                <w:szCs w:val="24"/>
                <w:color w:val="auto"/>
              </w:rPr>
            </w:pPr>
          </w:p>
        </w:tc>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Noelle M. Repetti</w:t>
            </w:r>
          </w:p>
        </w:tc>
      </w:tr>
      <w:tr>
        <w:trPr>
          <w:trHeight w:val="218"/>
        </w:trPr>
        <w:tc>
          <w:tcPr>
            <w:tcW w:w="7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Noelle M. Repetti</w:t>
            </w:r>
          </w:p>
        </w:tc>
      </w:tr>
      <w:tr>
        <w:trPr>
          <w:trHeight w:val="229"/>
        </w:trPr>
        <w:tc>
          <w:tcPr>
            <w:tcW w:w="76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Senior Vice President and Controller</w:t>
            </w:r>
          </w:p>
        </w:tc>
      </w:tr>
      <w:tr>
        <w:trPr>
          <w:trHeight w:val="239"/>
        </w:trPr>
        <w:tc>
          <w:tcPr>
            <w:tcW w:w="7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40"/>
          </w:cols>
          <w:pgMar w:left="320" w:top="890" w:right="339"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22"/>
          <w:szCs w:val="22"/>
          <w:b w:val="1"/>
          <w:bCs w:val="1"/>
          <w:color w:val="auto"/>
        </w:rPr>
        <w:t>Exhibit 10.3</w:t>
      </w:r>
    </w:p>
    <w:p>
      <w:pPr>
        <w:spacing w:after="0" w:line="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FIFTH AMENDMENT TO AMENDED AND RESTATED CREDIT AGREEMENT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This FIFTH AMENDMENT TO AMENDED AND RESTATED CREDIT AGREEMENT (this “</w:t>
      </w:r>
      <w:r>
        <w:rPr>
          <w:rFonts w:ascii="Times New Roman" w:cs="Times New Roman" w:eastAsia="Times New Roman" w:hAnsi="Times New Roman"/>
          <w:sz w:val="20"/>
          <w:szCs w:val="20"/>
          <w:u w:val="single" w:color="auto"/>
          <w:color w:val="auto"/>
        </w:rPr>
        <w:t>Amendment</w:t>
      </w:r>
      <w:r>
        <w:rPr>
          <w:rFonts w:ascii="Times New Roman" w:cs="Times New Roman" w:eastAsia="Times New Roman" w:hAnsi="Times New Roman"/>
          <w:sz w:val="20"/>
          <w:szCs w:val="20"/>
          <w:color w:val="auto"/>
        </w:rPr>
        <w:t>”) is entered into effective as of November 1, 2024 (the “</w:t>
      </w:r>
      <w:r>
        <w:rPr>
          <w:rFonts w:ascii="Times New Roman" w:cs="Times New Roman" w:eastAsia="Times New Roman" w:hAnsi="Times New Roman"/>
          <w:sz w:val="20"/>
          <w:szCs w:val="20"/>
          <w:u w:val="single" w:color="auto"/>
          <w:color w:val="auto"/>
        </w:rPr>
        <w:t>Fifth Amendment Effective Date</w:t>
      </w:r>
      <w:r>
        <w:rPr>
          <w:rFonts w:ascii="Times New Roman" w:cs="Times New Roman" w:eastAsia="Times New Roman" w:hAnsi="Times New Roman"/>
          <w:sz w:val="20"/>
          <w:szCs w:val="20"/>
          <w:color w:val="auto"/>
        </w:rPr>
        <w:t>”) among CALIFORNIA RESOURCES CORPORATION, a Delaware corporation (the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each other Credit Party party hereto, the Lenders party hereto (including the New Lenders (as defined below)) and CITIBANK, N.A., as Administrative Agent.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WITNESSETH:</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WHEREAS, the Borrower, the Administrative Agent and the Lenders party thereto from time to time are parties to that certain Amended and Restated Credit Agreement, dated as of April 26, 2023 (as amended, restated, amended and restated, supplemented or otherwise modified from time to time prior to the date hereof, the “</w:t>
      </w:r>
      <w:r>
        <w:rPr>
          <w:rFonts w:ascii="Times New Roman" w:cs="Times New Roman" w:eastAsia="Times New Roman" w:hAnsi="Times New Roman"/>
          <w:sz w:val="20"/>
          <w:szCs w:val="20"/>
          <w:u w:val="single" w:color="auto"/>
          <w:color w:val="auto"/>
        </w:rPr>
        <w:t>Existing Credit Agreement</w:t>
      </w:r>
      <w:r>
        <w:rPr>
          <w:rFonts w:ascii="Times New Roman" w:cs="Times New Roman" w:eastAsia="Times New Roman" w:hAnsi="Times New Roman"/>
          <w:sz w:val="20"/>
          <w:szCs w:val="20"/>
          <w:color w:val="auto"/>
        </w:rPr>
        <w:t>” and as amended by this Amendment, the “</w:t>
      </w:r>
      <w:r>
        <w:rPr>
          <w:rFonts w:ascii="Times New Roman" w:cs="Times New Roman" w:eastAsia="Times New Roman" w:hAnsi="Times New Roman"/>
          <w:sz w:val="20"/>
          <w:szCs w:val="20"/>
          <w:u w:val="single" w:color="auto"/>
          <w:color w:val="auto"/>
        </w:rPr>
        <w:t>Credit Agreement</w:t>
      </w:r>
      <w:r>
        <w:rPr>
          <w:rFonts w:ascii="Times New Roman" w:cs="Times New Roman" w:eastAsia="Times New Roman" w:hAnsi="Times New Roman"/>
          <w:sz w:val="20"/>
          <w:szCs w:val="20"/>
          <w:color w:val="auto"/>
        </w:rPr>
        <w:t>”; unless otherwise defined herein, all capitalized terms used herein that are defined in the Credit Agreement shall have the meanings given such terms in the Credit Agreement);</w:t>
      </w:r>
    </w:p>
    <w:p>
      <w:pPr>
        <w:spacing w:after="0" w:line="192"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WHEREAS, the New Lenders have agreed to make Revolving Loans and to become Lenders under the Credit Agreement, as more specifically described herein; and</w:t>
      </w:r>
    </w:p>
    <w:p>
      <w:pPr>
        <w:spacing w:after="0" w:line="173" w:lineRule="exact"/>
        <w:rPr>
          <w:sz w:val="20"/>
          <w:szCs w:val="20"/>
          <w:color w:val="auto"/>
        </w:rPr>
      </w:pPr>
    </w:p>
    <w:p>
      <w:pPr>
        <w:jc w:val="both"/>
        <w:ind w:firstLine="279"/>
        <w:spacing w:after="0" w:line="269" w:lineRule="auto"/>
        <w:rPr>
          <w:sz w:val="20"/>
          <w:szCs w:val="20"/>
          <w:color w:val="auto"/>
        </w:rPr>
      </w:pPr>
      <w:r>
        <w:rPr>
          <w:rFonts w:ascii="Times New Roman" w:cs="Times New Roman" w:eastAsia="Times New Roman" w:hAnsi="Times New Roman"/>
          <w:sz w:val="20"/>
          <w:szCs w:val="20"/>
          <w:color w:val="auto"/>
        </w:rPr>
        <w:t>WHEREAS, the parties to this Amendment desire to enter into this Amendment to amend the Existing Credit Agreement as provided herein.</w:t>
      </w:r>
    </w:p>
    <w:p>
      <w:pPr>
        <w:spacing w:after="0" w:line="200"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NOW THEREFORE, in consideration of the premises contained herein, and for good and valuable consideration, the receipt and sufficiency of which are hereby acknowledged, the parties hereto, intending to be legally bound, hereby agree as follows:</w:t>
      </w:r>
    </w:p>
    <w:p>
      <w:pPr>
        <w:spacing w:after="0" w:line="14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color w:val="auto"/>
        </w:rPr>
        <w:t>Section 1.</w:t>
      </w:r>
      <w:r>
        <w:rPr>
          <w:sz w:val="20"/>
          <w:szCs w:val="20"/>
          <w:color w:val="auto"/>
        </w:rPr>
        <w:tab/>
      </w:r>
      <w:r>
        <w:rPr>
          <w:rFonts w:ascii="Times New Roman" w:cs="Times New Roman" w:eastAsia="Times New Roman" w:hAnsi="Times New Roman"/>
          <w:sz w:val="19"/>
          <w:szCs w:val="19"/>
          <w:u w:val="single" w:color="auto"/>
          <w:color w:val="auto"/>
        </w:rPr>
        <w:t>Amendments to Credit Agreement</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 xml:space="preserve">Subject to the satisfaction or waiver in writing of each of the conditions set forth in </w:t>
      </w:r>
      <w:r>
        <w:rPr>
          <w:rFonts w:ascii="Times New Roman" w:cs="Times New Roman" w:eastAsia="Times New Roman" w:hAnsi="Times New Roman"/>
          <w:sz w:val="20"/>
          <w:szCs w:val="20"/>
          <w:u w:val="single" w:color="auto"/>
          <w:color w:val="auto"/>
        </w:rPr>
        <w:t>Section 2</w:t>
      </w:r>
      <w:r>
        <w:rPr>
          <w:rFonts w:ascii="Times New Roman" w:cs="Times New Roman" w:eastAsia="Times New Roman" w:hAnsi="Times New Roman"/>
          <w:sz w:val="20"/>
          <w:szCs w:val="20"/>
          <w:color w:val="auto"/>
        </w:rPr>
        <w:t xml:space="preserve"> below and in reliance upon the representations, warranties, covenants and agreements contained in this Amendment, the parties hereto hereby agree that:</w:t>
      </w:r>
    </w:p>
    <w:p>
      <w:pPr>
        <w:spacing w:after="0" w:line="200" w:lineRule="exact"/>
        <w:rPr>
          <w:sz w:val="20"/>
          <w:szCs w:val="20"/>
          <w:color w:val="auto"/>
        </w:rPr>
      </w:pPr>
    </w:p>
    <w:p>
      <w:pPr>
        <w:ind w:left="660" w:firstLine="644"/>
        <w:spacing w:after="0" w:line="245" w:lineRule="auto"/>
        <w:tabs>
          <w:tab w:leader="none" w:pos="1953"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definition of “Aggregate Elected Revolving Commitment Amount” in Section 1.1 of the Existing Credit Agreement is hereby amended and restated in its entirety as follows:</w:t>
      </w:r>
    </w:p>
    <w:p>
      <w:pPr>
        <w:spacing w:after="0" w:line="195" w:lineRule="exact"/>
        <w:rPr>
          <w:sz w:val="20"/>
          <w:szCs w:val="20"/>
          <w:color w:val="auto"/>
        </w:rPr>
      </w:pPr>
    </w:p>
    <w:p>
      <w:pPr>
        <w:jc w:val="both"/>
        <w:ind w:left="1300" w:right="640"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Aggregate Elected Revolving Commitment Amount</w:t>
      </w:r>
      <w:r>
        <w:rPr>
          <w:rFonts w:ascii="Times New Roman" w:cs="Times New Roman" w:eastAsia="Times New Roman" w:hAnsi="Times New Roman"/>
          <w:sz w:val="20"/>
          <w:szCs w:val="20"/>
          <w:color w:val="auto"/>
        </w:rPr>
        <w:t xml:space="preserve">” shall mean, at any time, an amount equal to the sum of the aggregate Elected Revolving Commitments, as the same may be increased, reduced or terminated pursuant to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 The Aggregate Elected Revolving Commitment Amount as of the Fifth Amendment Effective Date is $1,150,000,000.</w:t>
      </w:r>
    </w:p>
    <w:p>
      <w:pPr>
        <w:spacing w:after="0" w:line="199" w:lineRule="exact"/>
        <w:rPr>
          <w:sz w:val="20"/>
          <w:szCs w:val="20"/>
          <w:color w:val="auto"/>
        </w:rPr>
      </w:pPr>
    </w:p>
    <w:p>
      <w:pPr>
        <w:ind w:left="660" w:firstLine="644"/>
        <w:spacing w:after="0" w:line="259" w:lineRule="auto"/>
        <w:tabs>
          <w:tab w:leader="none" w:pos="1951"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definition of “Disqualified Stock” in Section 1.1 of the Existing Credit Agreement is hereby amended by replacing “one hundred and eighty-one (181) days” with “ninety-one (91) days”.</w:t>
      </w:r>
    </w:p>
    <w:p>
      <w:pPr>
        <w:spacing w:after="0" w:line="207" w:lineRule="exact"/>
        <w:rPr>
          <w:rFonts w:ascii="Times New Roman" w:cs="Times New Roman" w:eastAsia="Times New Roman" w:hAnsi="Times New Roman"/>
          <w:sz w:val="22"/>
          <w:szCs w:val="22"/>
          <w:color w:val="auto"/>
        </w:rPr>
      </w:pPr>
    </w:p>
    <w:p>
      <w:pPr>
        <w:ind w:left="660" w:right="20" w:firstLine="644"/>
        <w:spacing w:after="0" w:line="245" w:lineRule="auto"/>
        <w:tabs>
          <w:tab w:leader="none" w:pos="1953"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definition of “Letter of Credit Commitment” in Section 1.1 of the Existing Credit Agreement is hereby amended and restated in its entirety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|US-DOCS\154101332.9||</w:t>
      </w:r>
    </w:p>
    <w:p>
      <w:pPr>
        <w:sectPr>
          <w:pgSz w:w="11900" w:h="16838" w:orient="portrait"/>
          <w:cols w:equalWidth="0" w:num="1">
            <w:col w:w="11240"/>
          </w:cols>
          <w:pgMar w:left="320" w:top="122" w:right="339" w:bottom="1440" w:gutter="0" w:footer="0" w:header="0"/>
        </w:sectPr>
      </w:pPr>
    </w:p>
    <w:bookmarkStart w:id="69" w:name="page70"/>
    <w:bookmarkEnd w:id="69"/>
    <w:p>
      <w:pPr>
        <w:jc w:val="both"/>
        <w:ind w:left="1300" w:right="640"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Letter of Credit Commitment</w:t>
      </w:r>
      <w:r>
        <w:rPr>
          <w:rFonts w:ascii="Times New Roman" w:cs="Times New Roman" w:eastAsia="Times New Roman" w:hAnsi="Times New Roman"/>
          <w:sz w:val="20"/>
          <w:szCs w:val="20"/>
          <w:color w:val="auto"/>
        </w:rPr>
        <w:t xml:space="preserve">” shall mean the lesser of (x) $300,000,000, as the same may be reduced from time to time pursuant to Section 3.1 and (y) the Total Revolving Commitments;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Letter of Credit Commitment as of the Fifth Amendment Effective Date shall be allocated to the Issuing Banks in accordance with the following table:</w:t>
      </w:r>
    </w:p>
    <w:p>
      <w:pPr>
        <w:spacing w:after="0" w:line="202" w:lineRule="exact"/>
        <w:rPr>
          <w:sz w:val="20"/>
          <w:szCs w:val="20"/>
          <w:color w:val="auto"/>
        </w:rPr>
      </w:pPr>
    </w:p>
    <w:tbl>
      <w:tblPr>
        <w:tblLayout w:type="fixed"/>
        <w:tblInd w:w="1310" w:type="dxa"/>
        <w:tblCellMar>
          <w:top w:w="0" w:type="dxa"/>
          <w:left w:w="0" w:type="dxa"/>
          <w:bottom w:w="0" w:type="dxa"/>
          <w:right w:w="0" w:type="dxa"/>
        </w:tblCellMar>
      </w:tblPr>
      <w:tr>
        <w:trPr>
          <w:trHeight w:val="290"/>
        </w:trPr>
        <w:tc>
          <w:tcPr>
            <w:tcW w:w="3460" w:type="dxa"/>
            <w:vAlign w:val="bottom"/>
            <w:tcBorders>
              <w:top w:val="single" w:sz="8" w:color="auto"/>
              <w:left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20"/>
                <w:szCs w:val="20"/>
                <w:color w:val="auto"/>
                <w:w w:val="99"/>
              </w:rPr>
              <w:t>Issuing Bank</w:t>
            </w:r>
          </w:p>
        </w:tc>
        <w:tc>
          <w:tcPr>
            <w:tcW w:w="4200" w:type="dxa"/>
            <w:vAlign w:val="bottom"/>
            <w:tcBorders>
              <w:top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20"/>
                <w:szCs w:val="20"/>
                <w:color w:val="auto"/>
                <w:w w:val="98"/>
              </w:rPr>
              <w:t>Letter of Credit Commitment</w:t>
            </w:r>
          </w:p>
        </w:tc>
      </w:tr>
      <w:tr>
        <w:trPr>
          <w:trHeight w:val="156"/>
        </w:trPr>
        <w:tc>
          <w:tcPr>
            <w:tcW w:w="3460" w:type="dxa"/>
            <w:vAlign w:val="bottom"/>
            <w:tcBorders>
              <w:left w:val="single" w:sz="8" w:color="auto"/>
              <w:bottom w:val="single" w:sz="8" w:color="auto"/>
              <w:right w:val="single" w:sz="8" w:color="auto"/>
            </w:tcBorders>
            <w:shd w:val="clear" w:color="auto" w:fill="BFBFBF"/>
          </w:tcPr>
          <w:p>
            <w:pPr>
              <w:spacing w:after="0"/>
              <w:rPr>
                <w:sz w:val="13"/>
                <w:szCs w:val="13"/>
                <w:color w:val="auto"/>
              </w:rPr>
            </w:pPr>
          </w:p>
        </w:tc>
        <w:tc>
          <w:tcPr>
            <w:tcW w:w="4200" w:type="dxa"/>
            <w:vAlign w:val="bottom"/>
            <w:tcBorders>
              <w:bottom w:val="single" w:sz="8" w:color="auto"/>
              <w:right w:val="single" w:sz="8" w:color="auto"/>
            </w:tcBorders>
            <w:shd w:val="clear" w:color="auto" w:fill="BFBFBF"/>
          </w:tcPr>
          <w:p>
            <w:pPr>
              <w:spacing w:after="0"/>
              <w:rPr>
                <w:sz w:val="13"/>
                <w:szCs w:val="13"/>
                <w:color w:val="auto"/>
              </w:rPr>
            </w:pPr>
          </w:p>
        </w:tc>
      </w:tr>
      <w:tr>
        <w:trPr>
          <w:trHeight w:val="270"/>
        </w:trPr>
        <w:tc>
          <w:tcPr>
            <w:tcW w:w="34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3"/>
              </w:rPr>
              <w:t>Citi</w:t>
            </w:r>
          </w:p>
        </w:tc>
        <w:tc>
          <w:tcPr>
            <w:tcW w:w="4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$50,000,000.00</w:t>
            </w:r>
          </w:p>
        </w:tc>
      </w:tr>
      <w:tr>
        <w:trPr>
          <w:trHeight w:val="156"/>
        </w:trPr>
        <w:tc>
          <w:tcPr>
            <w:tcW w:w="3460" w:type="dxa"/>
            <w:vAlign w:val="bottom"/>
            <w:tcBorders>
              <w:left w:val="single" w:sz="8" w:color="auto"/>
              <w:bottom w:val="single" w:sz="8" w:color="auto"/>
              <w:right w:val="single" w:sz="8" w:color="auto"/>
            </w:tcBorders>
          </w:tcPr>
          <w:p>
            <w:pPr>
              <w:spacing w:after="0"/>
              <w:rPr>
                <w:sz w:val="13"/>
                <w:szCs w:val="13"/>
                <w:color w:val="auto"/>
              </w:rPr>
            </w:pPr>
          </w:p>
        </w:tc>
        <w:tc>
          <w:tcPr>
            <w:tcW w:w="4200" w:type="dxa"/>
            <w:vAlign w:val="bottom"/>
            <w:tcBorders>
              <w:bottom w:val="single" w:sz="8" w:color="auto"/>
              <w:right w:val="single" w:sz="8" w:color="auto"/>
            </w:tcBorders>
          </w:tcPr>
          <w:p>
            <w:pPr>
              <w:spacing w:after="0"/>
              <w:rPr>
                <w:sz w:val="13"/>
                <w:szCs w:val="13"/>
                <w:color w:val="auto"/>
              </w:rPr>
            </w:pPr>
          </w:p>
        </w:tc>
      </w:tr>
      <w:tr>
        <w:trPr>
          <w:trHeight w:val="269"/>
        </w:trPr>
        <w:tc>
          <w:tcPr>
            <w:tcW w:w="34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KeyBank National Association</w:t>
            </w:r>
          </w:p>
        </w:tc>
        <w:tc>
          <w:tcPr>
            <w:tcW w:w="4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$50,000,000.00</w:t>
            </w:r>
          </w:p>
        </w:tc>
      </w:tr>
      <w:tr>
        <w:trPr>
          <w:trHeight w:val="156"/>
        </w:trPr>
        <w:tc>
          <w:tcPr>
            <w:tcW w:w="3460" w:type="dxa"/>
            <w:vAlign w:val="bottom"/>
            <w:tcBorders>
              <w:left w:val="single" w:sz="8" w:color="auto"/>
              <w:bottom w:val="single" w:sz="8" w:color="auto"/>
              <w:right w:val="single" w:sz="8" w:color="auto"/>
            </w:tcBorders>
          </w:tcPr>
          <w:p>
            <w:pPr>
              <w:spacing w:after="0"/>
              <w:rPr>
                <w:sz w:val="13"/>
                <w:szCs w:val="13"/>
                <w:color w:val="auto"/>
              </w:rPr>
            </w:pPr>
          </w:p>
        </w:tc>
        <w:tc>
          <w:tcPr>
            <w:tcW w:w="4200" w:type="dxa"/>
            <w:vAlign w:val="bottom"/>
            <w:tcBorders>
              <w:bottom w:val="single" w:sz="8" w:color="auto"/>
              <w:right w:val="single" w:sz="8" w:color="auto"/>
            </w:tcBorders>
          </w:tcPr>
          <w:p>
            <w:pPr>
              <w:spacing w:after="0"/>
              <w:rPr>
                <w:sz w:val="13"/>
                <w:szCs w:val="13"/>
                <w:color w:val="auto"/>
              </w:rPr>
            </w:pPr>
          </w:p>
        </w:tc>
      </w:tr>
      <w:tr>
        <w:trPr>
          <w:trHeight w:val="270"/>
        </w:trPr>
        <w:tc>
          <w:tcPr>
            <w:tcW w:w="34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Mizuho Bank, Ltd.</w:t>
            </w:r>
          </w:p>
        </w:tc>
        <w:tc>
          <w:tcPr>
            <w:tcW w:w="4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$50,000,000.00</w:t>
            </w:r>
          </w:p>
        </w:tc>
      </w:tr>
      <w:tr>
        <w:trPr>
          <w:trHeight w:val="156"/>
        </w:trPr>
        <w:tc>
          <w:tcPr>
            <w:tcW w:w="3460" w:type="dxa"/>
            <w:vAlign w:val="bottom"/>
            <w:tcBorders>
              <w:left w:val="single" w:sz="8" w:color="auto"/>
              <w:bottom w:val="single" w:sz="8" w:color="auto"/>
              <w:right w:val="single" w:sz="8" w:color="auto"/>
            </w:tcBorders>
          </w:tcPr>
          <w:p>
            <w:pPr>
              <w:spacing w:after="0"/>
              <w:rPr>
                <w:sz w:val="13"/>
                <w:szCs w:val="13"/>
                <w:color w:val="auto"/>
              </w:rPr>
            </w:pPr>
          </w:p>
        </w:tc>
        <w:tc>
          <w:tcPr>
            <w:tcW w:w="4200" w:type="dxa"/>
            <w:vAlign w:val="bottom"/>
            <w:tcBorders>
              <w:bottom w:val="single" w:sz="8" w:color="auto"/>
              <w:right w:val="single" w:sz="8" w:color="auto"/>
            </w:tcBorders>
          </w:tcPr>
          <w:p>
            <w:pPr>
              <w:spacing w:after="0"/>
              <w:rPr>
                <w:sz w:val="13"/>
                <w:szCs w:val="13"/>
                <w:color w:val="auto"/>
              </w:rPr>
            </w:pPr>
          </w:p>
        </w:tc>
      </w:tr>
      <w:tr>
        <w:trPr>
          <w:trHeight w:val="269"/>
        </w:trPr>
        <w:tc>
          <w:tcPr>
            <w:tcW w:w="34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MUFG Bank, Ltd.</w:t>
            </w:r>
          </w:p>
        </w:tc>
        <w:tc>
          <w:tcPr>
            <w:tcW w:w="4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$50,000,000.00</w:t>
            </w:r>
          </w:p>
        </w:tc>
      </w:tr>
      <w:tr>
        <w:trPr>
          <w:trHeight w:val="156"/>
        </w:trPr>
        <w:tc>
          <w:tcPr>
            <w:tcW w:w="3460" w:type="dxa"/>
            <w:vAlign w:val="bottom"/>
            <w:tcBorders>
              <w:left w:val="single" w:sz="8" w:color="auto"/>
              <w:bottom w:val="single" w:sz="8" w:color="auto"/>
              <w:right w:val="single" w:sz="8" w:color="auto"/>
            </w:tcBorders>
          </w:tcPr>
          <w:p>
            <w:pPr>
              <w:spacing w:after="0"/>
              <w:rPr>
                <w:sz w:val="13"/>
                <w:szCs w:val="13"/>
                <w:color w:val="auto"/>
              </w:rPr>
            </w:pPr>
          </w:p>
        </w:tc>
        <w:tc>
          <w:tcPr>
            <w:tcW w:w="4200" w:type="dxa"/>
            <w:vAlign w:val="bottom"/>
            <w:tcBorders>
              <w:bottom w:val="single" w:sz="8" w:color="auto"/>
              <w:right w:val="single" w:sz="8" w:color="auto"/>
            </w:tcBorders>
          </w:tcPr>
          <w:p>
            <w:pPr>
              <w:spacing w:after="0"/>
              <w:rPr>
                <w:sz w:val="13"/>
                <w:szCs w:val="13"/>
                <w:color w:val="auto"/>
              </w:rPr>
            </w:pPr>
          </w:p>
        </w:tc>
      </w:tr>
      <w:tr>
        <w:trPr>
          <w:trHeight w:val="269"/>
        </w:trPr>
        <w:tc>
          <w:tcPr>
            <w:tcW w:w="34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Royal Bank of Canada</w:t>
            </w:r>
          </w:p>
        </w:tc>
        <w:tc>
          <w:tcPr>
            <w:tcW w:w="4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$50,000,000.00</w:t>
            </w:r>
          </w:p>
        </w:tc>
      </w:tr>
      <w:tr>
        <w:trPr>
          <w:trHeight w:val="156"/>
        </w:trPr>
        <w:tc>
          <w:tcPr>
            <w:tcW w:w="3460" w:type="dxa"/>
            <w:vAlign w:val="bottom"/>
            <w:tcBorders>
              <w:left w:val="single" w:sz="8" w:color="auto"/>
              <w:bottom w:val="single" w:sz="8" w:color="auto"/>
              <w:right w:val="single" w:sz="8" w:color="auto"/>
            </w:tcBorders>
          </w:tcPr>
          <w:p>
            <w:pPr>
              <w:spacing w:after="0"/>
              <w:rPr>
                <w:sz w:val="13"/>
                <w:szCs w:val="13"/>
                <w:color w:val="auto"/>
              </w:rPr>
            </w:pPr>
          </w:p>
        </w:tc>
        <w:tc>
          <w:tcPr>
            <w:tcW w:w="4200" w:type="dxa"/>
            <w:vAlign w:val="bottom"/>
            <w:tcBorders>
              <w:bottom w:val="single" w:sz="8" w:color="auto"/>
              <w:right w:val="single" w:sz="8" w:color="auto"/>
            </w:tcBorders>
          </w:tcPr>
          <w:p>
            <w:pPr>
              <w:spacing w:after="0"/>
              <w:rPr>
                <w:sz w:val="13"/>
                <w:szCs w:val="13"/>
                <w:color w:val="auto"/>
              </w:rPr>
            </w:pPr>
          </w:p>
        </w:tc>
      </w:tr>
    </w:tbl>
    <w:p>
      <w:pPr>
        <w:spacing w:after="0" w:line="200" w:lineRule="exact"/>
        <w:rPr>
          <w:sz w:val="20"/>
          <w:szCs w:val="20"/>
          <w:color w:val="auto"/>
        </w:rPr>
      </w:pPr>
    </w:p>
    <w:p>
      <w:pPr>
        <w:spacing w:after="0" w:line="358" w:lineRule="exact"/>
        <w:rPr>
          <w:sz w:val="20"/>
          <w:szCs w:val="20"/>
          <w:color w:val="auto"/>
        </w:rPr>
      </w:pPr>
    </w:p>
    <w:p>
      <w:pPr>
        <w:ind w:left="660" w:firstLine="644"/>
        <w:spacing w:after="0" w:line="276" w:lineRule="auto"/>
        <w:tabs>
          <w:tab w:leader="none" w:pos="1951"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definition of “Permitted Additional Debt” in Section 1.1 of the Existing Credit Agreement is hereby amended by replacing each instance of “181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20"/>
          <w:szCs w:val="20"/>
          <w:color w:val="auto"/>
        </w:rPr>
        <w:t>” with “91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20"/>
          <w:szCs w:val="20"/>
          <w:color w:val="auto"/>
        </w:rPr>
        <w:t>”.</w:t>
      </w:r>
    </w:p>
    <w:p>
      <w:pPr>
        <w:spacing w:after="0" w:line="93" w:lineRule="exact"/>
        <w:rPr>
          <w:rFonts w:ascii="Times New Roman" w:cs="Times New Roman" w:eastAsia="Times New Roman" w:hAnsi="Times New Roman"/>
          <w:sz w:val="22"/>
          <w:szCs w:val="22"/>
          <w:color w:val="auto"/>
        </w:rPr>
      </w:pPr>
    </w:p>
    <w:p>
      <w:pPr>
        <w:ind w:left="660" w:right="20" w:firstLine="644"/>
        <w:spacing w:after="0" w:line="259" w:lineRule="auto"/>
        <w:tabs>
          <w:tab w:leader="none" w:pos="1953"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definition of “Revolving Maturity Date” in Section 1.1 of the Existing Credit Agreement is hereby amended and restated in its entirety as follows:</w:t>
      </w:r>
    </w:p>
    <w:p>
      <w:pPr>
        <w:spacing w:after="0" w:line="167" w:lineRule="exact"/>
        <w:rPr>
          <w:sz w:val="20"/>
          <w:szCs w:val="20"/>
          <w:color w:val="auto"/>
        </w:rPr>
      </w:pPr>
    </w:p>
    <w:p>
      <w:pPr>
        <w:jc w:val="both"/>
        <w:ind w:left="1300" w:right="640"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Maturity Date</w:t>
      </w:r>
      <w:r>
        <w:rPr>
          <w:rFonts w:ascii="Times New Roman" w:cs="Times New Roman" w:eastAsia="Times New Roman" w:hAnsi="Times New Roman"/>
          <w:sz w:val="20"/>
          <w:szCs w:val="20"/>
          <w:color w:val="auto"/>
        </w:rPr>
        <w:t>” shall mean March 16, 2029; provided that if on any date (such date the “</w:t>
      </w:r>
      <w:r>
        <w:rPr>
          <w:rFonts w:ascii="Times New Roman" w:cs="Times New Roman" w:eastAsia="Times New Roman" w:hAnsi="Times New Roman"/>
          <w:sz w:val="20"/>
          <w:szCs w:val="20"/>
          <w:u w:val="single" w:color="auto"/>
          <w:color w:val="auto"/>
        </w:rPr>
        <w:t>Springing Maturity Date</w:t>
      </w:r>
      <w:r>
        <w:rPr>
          <w:rFonts w:ascii="Times New Roman" w:cs="Times New Roman" w:eastAsia="Times New Roman" w:hAnsi="Times New Roman"/>
          <w:sz w:val="20"/>
          <w:szCs w:val="20"/>
          <w:color w:val="auto"/>
        </w:rPr>
        <w:t xml:space="preserve">”) on or after October 31, 2025, any of the 7.125% Senior Notes issued pursuant to the Senior Notes Indenture are outstanding and the Available Revolving Commitment </w:t>
      </w:r>
      <w:r>
        <w:rPr>
          <w:rFonts w:ascii="Times New Roman" w:cs="Times New Roman" w:eastAsia="Times New Roman" w:hAnsi="Times New Roman"/>
          <w:sz w:val="20"/>
          <w:szCs w:val="20"/>
          <w:i w:val="1"/>
          <w:iCs w:val="1"/>
          <w:color w:val="auto"/>
        </w:rPr>
        <w:t>minus</w:t>
      </w:r>
      <w:r>
        <w:rPr>
          <w:rFonts w:ascii="Times New Roman" w:cs="Times New Roman" w:eastAsia="Times New Roman" w:hAnsi="Times New Roman"/>
          <w:sz w:val="20"/>
          <w:szCs w:val="20"/>
          <w:color w:val="auto"/>
        </w:rPr>
        <w:t xml:space="preserve"> the aggregate principal amount of all outstanding 7.125% Senior Notes issued pursuant to the Seniors Notes Indenture is less than 25% of the Total Revolving Commitments, then the Revolving Maturity Date shall be the Springing Maturity Date. No Senior Notes shall be deemed outstanding for the purposes of this definition to the extent that cash has been irrevocably deposited with the trustee for the Senior Notes for the satisfaction and discharge or defeasance of the Senior Notes in accordance with the applicable Senior Notes Indenture.</w:t>
      </w:r>
    </w:p>
    <w:p>
      <w:pPr>
        <w:spacing w:after="0" w:line="207" w:lineRule="exact"/>
        <w:rPr>
          <w:sz w:val="20"/>
          <w:szCs w:val="20"/>
          <w:color w:val="auto"/>
        </w:rPr>
      </w:pPr>
    </w:p>
    <w:p>
      <w:pPr>
        <w:ind w:left="660" w:firstLine="644"/>
        <w:spacing w:after="0" w:line="259" w:lineRule="auto"/>
        <w:tabs>
          <w:tab w:leader="none" w:pos="1956"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Section 1.1 of the Existing Credit Agreement is hereby amended by inserting the following defined term in the appropriate alphabetical order:</w:t>
      </w:r>
    </w:p>
    <w:p>
      <w:pPr>
        <w:spacing w:after="0" w:line="167" w:lineRule="exact"/>
        <w:rPr>
          <w:sz w:val="20"/>
          <w:szCs w:val="20"/>
          <w:color w:val="auto"/>
        </w:rPr>
      </w:pPr>
    </w:p>
    <w:p>
      <w:pPr>
        <w:jc w:val="both"/>
        <w:ind w:left="1300" w:right="660" w:firstLine="648"/>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Fifth Amendment</w:t>
      </w:r>
      <w:r>
        <w:rPr>
          <w:rFonts w:ascii="Times New Roman" w:cs="Times New Roman" w:eastAsia="Times New Roman" w:hAnsi="Times New Roman"/>
          <w:sz w:val="20"/>
          <w:szCs w:val="20"/>
          <w:color w:val="auto"/>
        </w:rPr>
        <w:t>” shall mean that certain Fifth Amendment to Amended and Restated Credit Agreement, dated as of the Fifth Amendment Effective Date, among the Borrower, the Guarantors party thereto, the Administrative Agent and the Lenders party thereto.</w:t>
      </w:r>
    </w:p>
    <w:p>
      <w:pPr>
        <w:spacing w:after="0" w:line="16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Fifth Amendment Effective Date</w:t>
      </w:r>
      <w:r>
        <w:rPr>
          <w:rFonts w:ascii="Times New Roman" w:cs="Times New Roman" w:eastAsia="Times New Roman" w:hAnsi="Times New Roman"/>
          <w:sz w:val="20"/>
          <w:szCs w:val="20"/>
          <w:color w:val="auto"/>
        </w:rPr>
        <w:t>” shall mean November 1, 2024.</w:t>
      </w:r>
    </w:p>
    <w:p>
      <w:pPr>
        <w:spacing w:after="0" w:line="229" w:lineRule="exact"/>
        <w:rPr>
          <w:sz w:val="20"/>
          <w:szCs w:val="20"/>
          <w:color w:val="auto"/>
        </w:rPr>
      </w:pPr>
    </w:p>
    <w:p>
      <w:pPr>
        <w:jc w:val="both"/>
        <w:ind w:left="1300" w:right="64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Fourth Amendment</w:t>
      </w:r>
      <w:r>
        <w:rPr>
          <w:rFonts w:ascii="Times New Roman" w:cs="Times New Roman" w:eastAsia="Times New Roman" w:hAnsi="Times New Roman"/>
          <w:sz w:val="20"/>
          <w:szCs w:val="20"/>
          <w:color w:val="auto"/>
        </w:rPr>
        <w:t>” shall mean that certain Fourth Amendment to Amended and Restated Credit Agreement, dated as of the Fourth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|US-DOCS\154101332.9||</w:t>
      </w:r>
    </w:p>
    <w:p>
      <w:pPr>
        <w:sectPr>
          <w:pgSz w:w="11900" w:h="16838" w:orient="portrait"/>
          <w:cols w:equalWidth="0" w:num="1">
            <w:col w:w="11240"/>
          </w:cols>
          <w:pgMar w:left="320" w:top="1413" w:right="339" w:bottom="1440" w:gutter="0" w:footer="0" w:header="0"/>
        </w:sectPr>
      </w:pPr>
    </w:p>
    <w:bookmarkStart w:id="70" w:name="page71"/>
    <w:bookmarkEnd w:id="70"/>
    <w:p>
      <w:pPr>
        <w:ind w:left="1300" w:right="660"/>
        <w:spacing w:after="0" w:line="283" w:lineRule="auto"/>
        <w:rPr>
          <w:sz w:val="20"/>
          <w:szCs w:val="20"/>
          <w:color w:val="auto"/>
        </w:rPr>
      </w:pPr>
      <w:r>
        <w:rPr>
          <w:rFonts w:ascii="Times New Roman" w:cs="Times New Roman" w:eastAsia="Times New Roman" w:hAnsi="Times New Roman"/>
          <w:sz w:val="20"/>
          <w:szCs w:val="20"/>
          <w:color w:val="auto"/>
        </w:rPr>
        <w:t>Effective Date, among the Borrower, the Guarantors party thereto, the Administrative Agent and the Lenders party thereto.</w:t>
      </w:r>
    </w:p>
    <w:p>
      <w:pPr>
        <w:spacing w:after="0" w:line="173" w:lineRule="exact"/>
        <w:rPr>
          <w:sz w:val="20"/>
          <w:szCs w:val="20"/>
          <w:color w:val="auto"/>
        </w:rPr>
      </w:pPr>
    </w:p>
    <w:p>
      <w:pPr>
        <w:ind w:left="660" w:firstLine="644"/>
        <w:spacing w:after="0" w:line="259" w:lineRule="auto"/>
        <w:tabs>
          <w:tab w:leader="none" w:pos="1951"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definition of “Credit Documents” in Section 1.1 of the Existing Credit Agreement is hereby amended and restated in its entirety as follows:</w:t>
      </w:r>
    </w:p>
    <w:p>
      <w:pPr>
        <w:spacing w:after="0" w:line="167" w:lineRule="exact"/>
        <w:rPr>
          <w:sz w:val="20"/>
          <w:szCs w:val="20"/>
          <w:color w:val="auto"/>
        </w:rPr>
      </w:pPr>
    </w:p>
    <w:p>
      <w:pPr>
        <w:jc w:val="both"/>
        <w:ind w:left="1300" w:firstLine="648"/>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Credit Documents</w:t>
      </w:r>
      <w:r>
        <w:rPr>
          <w:rFonts w:ascii="Times New Roman" w:cs="Times New Roman" w:eastAsia="Times New Roman" w:hAnsi="Times New Roman"/>
          <w:sz w:val="20"/>
          <w:szCs w:val="20"/>
          <w:color w:val="auto"/>
        </w:rPr>
        <w:t>” shall mean this Agreement, the First Amendment, the Second Amendment, the Third Amendment, the Fourth Amendment, the Fifth Amendment, the Guarantee, the Security Documents, each Letter of Credit Application, any Notes issued by the Borrower to a Lender under this Agreement and any other document, instrument or agreement (other than Secured Hedge Agreements or Secured Cash Management Agreements) now or hereafter delivered by or on behalf of a Credit Party under this Agreement.</w:t>
      </w:r>
    </w:p>
    <w:p>
      <w:pPr>
        <w:spacing w:after="0" w:line="200" w:lineRule="exact"/>
        <w:rPr>
          <w:sz w:val="20"/>
          <w:szCs w:val="20"/>
          <w:color w:val="auto"/>
        </w:rPr>
      </w:pPr>
    </w:p>
    <w:p>
      <w:pPr>
        <w:jc w:val="both"/>
        <w:ind w:left="660" w:firstLine="644"/>
        <w:spacing w:after="0" w:line="263" w:lineRule="auto"/>
        <w:tabs>
          <w:tab w:leader="none" w:pos="1951"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 xml:space="preserve">Schedule 1.1(a) to the Existing Credit Agreement is hereby deleted in its entirety and replaced with </w:t>
      </w:r>
      <w:r>
        <w:rPr>
          <w:rFonts w:ascii="Times New Roman" w:cs="Times New Roman" w:eastAsia="Times New Roman" w:hAnsi="Times New Roman"/>
          <w:sz w:val="19"/>
          <w:szCs w:val="19"/>
          <w:u w:val="single" w:color="auto"/>
          <w:color w:val="auto"/>
        </w:rPr>
        <w:t>Schedule 1.1(a)</w:t>
      </w:r>
      <w:r>
        <w:rPr>
          <w:rFonts w:ascii="Times New Roman" w:cs="Times New Roman" w:eastAsia="Times New Roman" w:hAnsi="Times New Roman"/>
          <w:sz w:val="19"/>
          <w:szCs w:val="19"/>
          <w:color w:val="auto"/>
        </w:rPr>
        <w:t xml:space="preserve"> attached hereto; provided that immediately after giving effect to this Amendment and any Revolving Loans made on the Fourth Amendment Effective Date, (a) each Lender (including each Lender party hereto that was not a Lender immediately prior to the Fifth Amendment Effective Date (each such Lender, a “</w:t>
      </w:r>
      <w:r>
        <w:rPr>
          <w:rFonts w:ascii="Times New Roman" w:cs="Times New Roman" w:eastAsia="Times New Roman" w:hAnsi="Times New Roman"/>
          <w:sz w:val="19"/>
          <w:szCs w:val="19"/>
          <w:u w:val="single" w:color="auto"/>
          <w:color w:val="auto"/>
        </w:rPr>
        <w:t>New Lender</w:t>
      </w:r>
      <w:r>
        <w:rPr>
          <w:rFonts w:ascii="Times New Roman" w:cs="Times New Roman" w:eastAsia="Times New Roman" w:hAnsi="Times New Roman"/>
          <w:sz w:val="19"/>
          <w:szCs w:val="19"/>
          <w:color w:val="auto"/>
        </w:rPr>
        <w:t>”)) who holds Revolving Loans in an aggregate amount less than its Revolving Commitment Percentage (after giving effect to this Amendment) shall advance new Revolving Loans which shall be disbursed to the Administrative Agent and used to repay Revolving Loans outstanding to each Lender who holds Revolving Loans in an aggregate amount greater than its Revolving Commitment Percentage (after giving effect to this Amendment), (b) each Lender’s (including each New Lender’s) participation in each Letter of Credit, if any, shall be automatically adjusted to equal its Revolving Commitment Percentage, (c) such other adjustments shall be made as the Administrative Agent shall specify so that the Revolving Credit Exposure applicable to each Lender (including each New Lender) equals its Revolving Commitment Percentage and (d) each Lender party hereto hereby waives any break funding payments owing to any such Lender that are required under Section 2.11 of the Credit Agreement as a result of the reallocation of the Revolving Loans and the other adjustments contemplated by this Amendment.</w:t>
      </w:r>
    </w:p>
    <w:p>
      <w:pPr>
        <w:spacing w:after="0" w:line="16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color w:val="auto"/>
        </w:rPr>
        <w:t>Section 2.</w:t>
      </w:r>
      <w:r>
        <w:rPr>
          <w:sz w:val="20"/>
          <w:szCs w:val="20"/>
          <w:color w:val="auto"/>
        </w:rPr>
        <w:tab/>
      </w:r>
      <w:r>
        <w:rPr>
          <w:rFonts w:ascii="Times New Roman" w:cs="Times New Roman" w:eastAsia="Times New Roman" w:hAnsi="Times New Roman"/>
          <w:sz w:val="19"/>
          <w:szCs w:val="19"/>
          <w:b w:val="1"/>
          <w:bCs w:val="1"/>
          <w:u w:val="single" w:color="auto"/>
          <w:color w:val="auto"/>
        </w:rPr>
        <w:t>Conditions Precedent</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effectiveness of this Amendment is subject to satisfaction of each of the following conditions precedent:</w:t>
      </w:r>
    </w:p>
    <w:p>
      <w:pPr>
        <w:spacing w:after="0" w:line="225"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 xml:space="preserve">2.1 </w:t>
      </w:r>
      <w:r>
        <w:rPr>
          <w:rFonts w:ascii="Times New Roman" w:cs="Times New Roman" w:eastAsia="Times New Roman" w:hAnsi="Times New Roman"/>
          <w:sz w:val="20"/>
          <w:szCs w:val="20"/>
          <w:b w:val="1"/>
          <w:bCs w:val="1"/>
          <w:u w:val="single" w:color="auto"/>
          <w:color w:val="auto"/>
        </w:rPr>
        <w:t>Executed Amendment</w:t>
      </w:r>
      <w:r>
        <w:rPr>
          <w:rFonts w:ascii="Times New Roman" w:cs="Times New Roman" w:eastAsia="Times New Roman" w:hAnsi="Times New Roman"/>
          <w:sz w:val="20"/>
          <w:szCs w:val="20"/>
          <w:color w:val="auto"/>
        </w:rPr>
        <w:t>. The Administrative Agent shall have received counterparts of this Amendment duly executed by the Borrower, the other Credit Parties and each of the Lenders.</w:t>
      </w:r>
    </w:p>
    <w:p>
      <w:pPr>
        <w:spacing w:after="0" w:line="16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2.2 </w:t>
      </w:r>
      <w:r>
        <w:rPr>
          <w:rFonts w:ascii="Times New Roman" w:cs="Times New Roman" w:eastAsia="Times New Roman" w:hAnsi="Times New Roman"/>
          <w:sz w:val="20"/>
          <w:szCs w:val="20"/>
          <w:b w:val="1"/>
          <w:bCs w:val="1"/>
          <w:u w:val="single" w:color="auto"/>
          <w:color w:val="auto"/>
        </w:rPr>
        <w:t>Legal Opinions</w:t>
      </w:r>
      <w:r>
        <w:rPr>
          <w:rFonts w:ascii="Times New Roman" w:cs="Times New Roman" w:eastAsia="Times New Roman" w:hAnsi="Times New Roman"/>
          <w:sz w:val="20"/>
          <w:szCs w:val="20"/>
          <w:color w:val="auto"/>
        </w:rPr>
        <w:t>. The Administrative Agent (or its counsel) shall have received, on behalf of itself, the Collateral Agent and the Lenders, written opinions of (i) Sullivan &amp; Cromwell LLP, counsel to the Credit Parties and (ii) local counsel in each jurisdiction where Mortgaged Properties are located, in each case (A) dated the Fifth Amendment Effective Date, (B) addressed to the Administrative Agent, the Collateral Agent, the Lenders and each Issuing Bank and (C) in form and substance reasonably satisfactory to the Administrative Agent and customary for transactions of this type.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|US-DOCS\154101332.9||</w:t>
      </w:r>
    </w:p>
    <w:p>
      <w:pPr>
        <w:sectPr>
          <w:pgSz w:w="11900" w:h="16838" w:orient="portrait"/>
          <w:cols w:equalWidth="0" w:num="1">
            <w:col w:w="11240"/>
          </w:cols>
          <w:pgMar w:left="320" w:top="1413" w:right="339" w:bottom="1440" w:gutter="0" w:footer="0" w:header="0"/>
        </w:sectPr>
      </w:pPr>
    </w:p>
    <w:bookmarkStart w:id="71" w:name="page72"/>
    <w:bookmarkEnd w:id="71"/>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2.3 </w:t>
      </w:r>
      <w:r>
        <w:rPr>
          <w:rFonts w:ascii="Times New Roman" w:cs="Times New Roman" w:eastAsia="Times New Roman" w:hAnsi="Times New Roman"/>
          <w:sz w:val="20"/>
          <w:szCs w:val="20"/>
          <w:b w:val="1"/>
          <w:bCs w:val="1"/>
          <w:u w:val="single" w:color="auto"/>
          <w:color w:val="auto"/>
        </w:rPr>
        <w:t>Closing Certificate.</w:t>
      </w:r>
      <w:r>
        <w:rPr>
          <w:rFonts w:ascii="Times New Roman" w:cs="Times New Roman" w:eastAsia="Times New Roman" w:hAnsi="Times New Roman"/>
          <w:sz w:val="20"/>
          <w:szCs w:val="20"/>
          <w:color w:val="auto"/>
        </w:rPr>
        <w:t xml:space="preserve"> The Administrative Agent shall have received a certificate executed by an Authorized Officer of the Borrower certifying that (i) no Default or Event of Default has occurred that is continuing immediately prior to and after giving effect to this Amendment and (ii) each representation and warranty contained in </w:t>
      </w:r>
      <w:r>
        <w:rPr>
          <w:rFonts w:ascii="Times New Roman" w:cs="Times New Roman" w:eastAsia="Times New Roman" w:hAnsi="Times New Roman"/>
          <w:sz w:val="20"/>
          <w:szCs w:val="20"/>
          <w:u w:val="single" w:color="auto"/>
          <w:color w:val="auto"/>
        </w:rPr>
        <w:t>Section 3</w:t>
      </w:r>
      <w:r>
        <w:rPr>
          <w:rFonts w:ascii="Times New Roman" w:cs="Times New Roman" w:eastAsia="Times New Roman" w:hAnsi="Times New Roman"/>
          <w:sz w:val="20"/>
          <w:szCs w:val="20"/>
          <w:color w:val="auto"/>
        </w:rPr>
        <w:t xml:space="preserve"> hereof shall be true and correct in all material respects, except that any such representations and warranties that are qualified by materiality shall be true and correct in all respects, and except to the extent such representations and warranties expressly relate to an earlier date, in which case such representations and warranties shall have been true and correct on and as of such earlier date.</w:t>
      </w:r>
    </w:p>
    <w:p>
      <w:pPr>
        <w:spacing w:after="0" w:line="18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2.4</w:t>
      </w:r>
      <w:r>
        <w:rPr>
          <w:sz w:val="20"/>
          <w:szCs w:val="20"/>
          <w:color w:val="auto"/>
        </w:rPr>
        <w:tab/>
      </w:r>
      <w:r>
        <w:rPr>
          <w:rFonts w:ascii="Times New Roman" w:cs="Times New Roman" w:eastAsia="Times New Roman" w:hAnsi="Times New Roman"/>
          <w:sz w:val="20"/>
          <w:szCs w:val="20"/>
          <w:b w:val="1"/>
          <w:bCs w:val="1"/>
          <w:u w:val="single" w:color="auto"/>
          <w:color w:val="auto"/>
        </w:rPr>
        <w:t xml:space="preserve">Secretary’s Certificates. </w:t>
      </w:r>
      <w:r>
        <w:rPr>
          <w:rFonts w:ascii="Times New Roman" w:cs="Times New Roman" w:eastAsia="Times New Roman" w:hAnsi="Times New Roman"/>
          <w:sz w:val="20"/>
          <w:szCs w:val="20"/>
          <w:color w:val="auto"/>
        </w:rPr>
        <w:t>The Administrative Agent shall have received, in the case of each Credit Party, a certificate of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Secretary or Assistant Secretary or similar officer of each Credit Party dated the Fifth Amendment Effective Date and certifying:</w:t>
      </w:r>
    </w:p>
    <w:p>
      <w:pPr>
        <w:spacing w:after="0" w:line="207" w:lineRule="exact"/>
        <w:rPr>
          <w:sz w:val="20"/>
          <w:szCs w:val="20"/>
          <w:color w:val="auto"/>
        </w:rPr>
      </w:pPr>
    </w:p>
    <w:p>
      <w:pPr>
        <w:jc w:val="both"/>
        <w:ind w:left="660" w:firstLine="644"/>
        <w:spacing w:after="0" w:line="258" w:lineRule="auto"/>
        <w:tabs>
          <w:tab w:leader="none" w:pos="1954"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attached thereto is a true and complete copy of the bylaws (or limited liability company agreement or other equivalent governing documents) of such Credit Party as in effect on the Fifth Amendment Effective Date or that there have been no amendments or modifications to the bylaws (or limited liability company agreement or other equivalent governing documents) of such Credit Party most recently delivered to the Administrative Agent,</w:t>
      </w:r>
    </w:p>
    <w:p>
      <w:pPr>
        <w:spacing w:after="0" w:line="172" w:lineRule="exact"/>
        <w:rPr>
          <w:rFonts w:ascii="Times New Roman" w:cs="Times New Roman" w:eastAsia="Times New Roman" w:hAnsi="Times New Roman"/>
          <w:sz w:val="20"/>
          <w:szCs w:val="20"/>
          <w:color w:val="auto"/>
        </w:rPr>
      </w:pPr>
    </w:p>
    <w:p>
      <w:pPr>
        <w:jc w:val="both"/>
        <w:ind w:left="660" w:firstLine="644"/>
        <w:spacing w:after="0" w:line="258" w:lineRule="auto"/>
        <w:tabs>
          <w:tab w:leader="none" w:pos="1955"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attached thereto is a true and complete copy of resolutions duly adopted by the board of directors (or managing member or equivalent) of such Credit Party authorizing the execution, delivery and performance of the Credit Documents to which such person is a party and, in the case of the Borrower, the borrowings hereunder, and that such resolutions have not been modified, rescinded or amended and are in full force and effect on the Fifth Amendment Effective Date,</w:t>
      </w:r>
    </w:p>
    <w:p>
      <w:pPr>
        <w:spacing w:after="0" w:line="185" w:lineRule="exact"/>
        <w:rPr>
          <w:rFonts w:ascii="Times New Roman" w:cs="Times New Roman" w:eastAsia="Times New Roman" w:hAnsi="Times New Roman"/>
          <w:sz w:val="20"/>
          <w:szCs w:val="20"/>
          <w:color w:val="auto"/>
        </w:rPr>
      </w:pPr>
    </w:p>
    <w:p>
      <w:pPr>
        <w:jc w:val="both"/>
        <w:ind w:left="660" w:firstLine="644"/>
        <w:spacing w:after="0" w:line="249" w:lineRule="auto"/>
        <w:tabs>
          <w:tab w:leader="none" w:pos="1956"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attached thereto is (A) a true and complete copy of the certificate or articles of incorporation or certificate of formation, including all amendments thereto, of such Credit Party, certified as of a recent date by the Secretary of State (or other similar official) of the jurisdiction of its organization, or that there have been no amendments or modifications to the certificate or articles of incorporation or certificate of formation of such Credit Party most recently delivered to the Administrative Agent, (B) a certificate as to the good standing (to the extent such concept or a similar concept exists under the laws of such jurisdiction) of each such Credit Party (other than Tidelands Oil Production Company, LLC) in the jurisdiction in which it is formed or organized as of a recent date from such Secretary of State (or other similar official), which has not been amended and, (C) a certificate as to the good standing (to the extent such concept or a similar concept exists under the laws of such jurisdiction) of each Credit Party in each jurisdiction where such Credit Party owns material Borrowing Base Properties (other than in the jurisdiction where such Credit Party is formed or organized), as of a recent date from the Secretary of State (or other similar official) of such jurisdiction, which has not been amended, and</w:t>
      </w:r>
    </w:p>
    <w:p>
      <w:pPr>
        <w:spacing w:after="0" w:line="196" w:lineRule="exact"/>
        <w:rPr>
          <w:rFonts w:ascii="Times New Roman" w:cs="Times New Roman" w:eastAsia="Times New Roman" w:hAnsi="Times New Roman"/>
          <w:sz w:val="20"/>
          <w:szCs w:val="20"/>
          <w:color w:val="auto"/>
        </w:rPr>
      </w:pPr>
    </w:p>
    <w:p>
      <w:pPr>
        <w:jc w:val="both"/>
        <w:ind w:left="660" w:firstLine="644"/>
        <w:spacing w:after="0" w:line="261" w:lineRule="auto"/>
        <w:tabs>
          <w:tab w:leader="none" w:pos="1945"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to the incumbency and specimen signature of each officer executing any Credit Document or any other document delivered in connection herewith on behalf of such Credit Party or that there have been no amendments or modifications to the applicable incumbency certification most recently delivered to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|US-DOCS\154101332.9||</w:t>
      </w:r>
    </w:p>
    <w:p>
      <w:pPr>
        <w:sectPr>
          <w:pgSz w:w="11900" w:h="16838" w:orient="portrait"/>
          <w:cols w:equalWidth="0" w:num="1">
            <w:col w:w="11240"/>
          </w:cols>
          <w:pgMar w:left="320" w:top="1409" w:right="339" w:bottom="1440" w:gutter="0" w:footer="0" w:header="0"/>
        </w:sectPr>
      </w:pPr>
    </w:p>
    <w:bookmarkStart w:id="72" w:name="page73"/>
    <w:bookmarkEnd w:id="72"/>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 xml:space="preserve">2.5 </w:t>
      </w:r>
      <w:r>
        <w:rPr>
          <w:rFonts w:ascii="Times New Roman" w:cs="Times New Roman" w:eastAsia="Times New Roman" w:hAnsi="Times New Roman"/>
          <w:sz w:val="20"/>
          <w:szCs w:val="20"/>
          <w:b w:val="1"/>
          <w:bCs w:val="1"/>
          <w:u w:val="single" w:color="auto"/>
          <w:color w:val="auto"/>
        </w:rPr>
        <w:t>Solvency Certificate</w:t>
      </w:r>
      <w:r>
        <w:rPr>
          <w:rFonts w:ascii="Times New Roman" w:cs="Times New Roman" w:eastAsia="Times New Roman" w:hAnsi="Times New Roman"/>
          <w:sz w:val="20"/>
          <w:szCs w:val="20"/>
          <w:color w:val="auto"/>
        </w:rPr>
        <w:t>. The Administrative Agent (or its counsel) shall have received a solvency certificate substantially in the form of Exhibit H attached to the Credit Agreement and signed by a Financial Officer of the Borrower.</w:t>
      </w:r>
    </w:p>
    <w:p>
      <w:pPr>
        <w:spacing w:after="0" w:line="13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2.6 </w:t>
      </w:r>
      <w:r>
        <w:rPr>
          <w:rFonts w:ascii="Times New Roman" w:cs="Times New Roman" w:eastAsia="Times New Roman" w:hAnsi="Times New Roman"/>
          <w:sz w:val="20"/>
          <w:szCs w:val="20"/>
          <w:b w:val="1"/>
          <w:bCs w:val="1"/>
          <w:u w:val="single" w:color="auto"/>
          <w:color w:val="auto"/>
        </w:rPr>
        <w:t>Fees</w:t>
      </w:r>
      <w:r>
        <w:rPr>
          <w:rFonts w:ascii="Times New Roman" w:cs="Times New Roman" w:eastAsia="Times New Roman" w:hAnsi="Times New Roman"/>
          <w:sz w:val="20"/>
          <w:szCs w:val="20"/>
          <w:color w:val="auto"/>
        </w:rPr>
        <w:t>. The Borrower shall have paid, or caused to be paid, the fees, costs and expenses required to be paid on the Fifth Amendment Effective Date under any fee letter entered into prior to the Fifth Amendment Effective Date by and between the Borrower and the Administrative Agent and, to the extent payable under Section 13.5 of the Credit Agreement, all reasonable and documented out-of-pocket costs and expenses incurred in connection with the preparation, negotiation and execution of this Amendment and the other instruments and documents to be delivered hereunder, if any (including the reasonable and documented fees, disbursements and other charges of Latham &amp; Watkins LLP, counsel for the Administrative Agent).</w:t>
      </w:r>
    </w:p>
    <w:p>
      <w:pPr>
        <w:spacing w:after="0" w:line="18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 xml:space="preserve">2.7 </w:t>
      </w:r>
      <w:r>
        <w:rPr>
          <w:rFonts w:ascii="Times New Roman" w:cs="Times New Roman" w:eastAsia="Times New Roman" w:hAnsi="Times New Roman"/>
          <w:sz w:val="20"/>
          <w:szCs w:val="20"/>
          <w:b w:val="1"/>
          <w:bCs w:val="1"/>
          <w:u w:val="single" w:color="auto"/>
          <w:color w:val="auto"/>
        </w:rPr>
        <w:t>Lien Searches</w:t>
      </w:r>
      <w:r>
        <w:rPr>
          <w:rFonts w:ascii="Times New Roman" w:cs="Times New Roman" w:eastAsia="Times New Roman" w:hAnsi="Times New Roman"/>
          <w:sz w:val="20"/>
          <w:szCs w:val="20"/>
          <w:color w:val="auto"/>
        </w:rPr>
        <w:t>. The Administrative Agent shall have received customary UCC, tax and judgment lien searches with respect to the Borrower and the Grantors in their applicable jurisdictions of organization, reflecting the absence of Liens and security interests other than those being released on or prior to the Fifth Amendment Effective Date or which are otherwise permitted under the Credit Documents.</w:t>
      </w:r>
    </w:p>
    <w:p>
      <w:pPr>
        <w:spacing w:after="0" w:line="17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2.8 </w:t>
      </w:r>
      <w:r>
        <w:rPr>
          <w:rFonts w:ascii="Times New Roman" w:cs="Times New Roman" w:eastAsia="Times New Roman" w:hAnsi="Times New Roman"/>
          <w:sz w:val="20"/>
          <w:szCs w:val="20"/>
          <w:b w:val="1"/>
          <w:bCs w:val="1"/>
          <w:u w:val="single" w:color="auto"/>
          <w:color w:val="auto"/>
        </w:rPr>
        <w:t>KYC</w:t>
      </w:r>
      <w:r>
        <w:rPr>
          <w:rFonts w:ascii="Times New Roman" w:cs="Times New Roman" w:eastAsia="Times New Roman" w:hAnsi="Times New Roman"/>
          <w:sz w:val="20"/>
          <w:szCs w:val="20"/>
          <w:color w:val="auto"/>
        </w:rPr>
        <w:t>. The Administrative Agent (or its counsel) and the Lenders shall have received at least three (3) Business Days prior to the Fifth Amendment Effective Date all documentation and other information required by regulatory authorities under applicable “know your customer” and anti-money laundering rules and regulations, including, the Patriot Act, that has been requested by the Administrative Agent in writing at least seven (7) Business Days prior to the Fifth Amendment Effective Date and (ii) to the extent the Borrower qualifies as a “legal entity customer” under the Beneficial Ownership Regulation, at least three (3) Business Days prior to the Fifth Amendment Effective Date, any Lender that has requested, in a written notice to the Borrower at least seven (7) Business Days prior to the Fifth Amendment Effective Date, a Beneficial Ownership Certification in relation to the Borrower, shall have received such Beneficial Ownership Certification (provided that, upon the execution and delivery by such Lender of its signature page to this Amendment, the condition set forth in this clause (ii) shall be deemed to be satisfied).</w:t>
      </w:r>
    </w:p>
    <w:p>
      <w:pPr>
        <w:spacing w:after="0" w:line="19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 xml:space="preserve">2.9 </w:t>
      </w:r>
      <w:r>
        <w:rPr>
          <w:rFonts w:ascii="Times New Roman" w:cs="Times New Roman" w:eastAsia="Times New Roman" w:hAnsi="Times New Roman"/>
          <w:sz w:val="20"/>
          <w:szCs w:val="20"/>
          <w:b w:val="1"/>
          <w:bCs w:val="1"/>
          <w:u w:val="single" w:color="auto"/>
          <w:color w:val="auto"/>
        </w:rPr>
        <w:t>Promissory Notes</w:t>
      </w:r>
      <w:r>
        <w:rPr>
          <w:rFonts w:ascii="Times New Roman" w:cs="Times New Roman" w:eastAsia="Times New Roman" w:hAnsi="Times New Roman"/>
          <w:sz w:val="20"/>
          <w:szCs w:val="20"/>
          <w:color w:val="auto"/>
        </w:rPr>
        <w:t>. The Administrative Agent shall have received a promissory note substantially in the form of Exhibit G attached to the Credit Agreement executed by the Borrower in favor of each Lender that has requested a promissory note, evidencing the Loans owing to such Lender.</w:t>
      </w:r>
    </w:p>
    <w:p>
      <w:pPr>
        <w:spacing w:after="0" w:line="17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color w:val="auto"/>
        </w:rPr>
        <w:t>Section 3.</w:t>
      </w:r>
      <w:r>
        <w:rPr>
          <w:sz w:val="20"/>
          <w:szCs w:val="20"/>
          <w:color w:val="auto"/>
        </w:rPr>
        <w:tab/>
      </w:r>
      <w:r>
        <w:rPr>
          <w:rFonts w:ascii="Times New Roman" w:cs="Times New Roman" w:eastAsia="Times New Roman" w:hAnsi="Times New Roman"/>
          <w:sz w:val="19"/>
          <w:szCs w:val="19"/>
          <w:b w:val="1"/>
          <w:bCs w:val="1"/>
          <w:u w:val="single" w:color="auto"/>
          <w:color w:val="auto"/>
        </w:rPr>
        <w:t>Representations and Warranties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271"/>
        <w:spacing w:after="0" w:line="283" w:lineRule="auto"/>
        <w:rPr>
          <w:sz w:val="20"/>
          <w:szCs w:val="20"/>
          <w:color w:val="auto"/>
        </w:rPr>
      </w:pPr>
      <w:r>
        <w:rPr>
          <w:rFonts w:ascii="Times New Roman" w:cs="Times New Roman" w:eastAsia="Times New Roman" w:hAnsi="Times New Roman"/>
          <w:sz w:val="20"/>
          <w:szCs w:val="20"/>
          <w:color w:val="auto"/>
        </w:rPr>
        <w:t>In order to induce the Administrative Agent and the Lenders to enter into this Amendment, each of the Borrower and the other Credit Parties hereby represents and warrants to the Administrative Agent and the Lenders that:</w:t>
      </w:r>
    </w:p>
    <w:p>
      <w:pPr>
        <w:spacing w:after="0" w:line="14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3.1 </w:t>
      </w:r>
      <w:r>
        <w:rPr>
          <w:rFonts w:ascii="Times New Roman" w:cs="Times New Roman" w:eastAsia="Times New Roman" w:hAnsi="Times New Roman"/>
          <w:sz w:val="20"/>
          <w:szCs w:val="20"/>
          <w:b w:val="1"/>
          <w:bCs w:val="1"/>
          <w:u w:val="single" w:color="auto"/>
          <w:color w:val="auto"/>
        </w:rPr>
        <w:t>Accuracy of Representations and Warranties</w:t>
      </w:r>
      <w:r>
        <w:rPr>
          <w:rFonts w:ascii="Times New Roman" w:cs="Times New Roman" w:eastAsia="Times New Roman" w:hAnsi="Times New Roman"/>
          <w:sz w:val="20"/>
          <w:szCs w:val="20"/>
          <w:color w:val="auto"/>
        </w:rPr>
        <w:t>. (a) Both immediately before and after giving effect to this Amendment, no Default or Event of Default has occurred and is continuing and (b) after giving effect to this Amendment, all representations and warranties made by each Credit Party contained herein or in the other Credit Documents shall be true and correct in all material respects with the same effect as though such representations and warranties had been made on and as of the Fifth Amendment Effective Date (expect where such representations and warranties expressly relate to an earlier date, in which case such representations and warranties shall have been true and correct in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|US-DOCS\154101332.9||</w:t>
      </w:r>
    </w:p>
    <w:p>
      <w:pPr>
        <w:sectPr>
          <w:pgSz w:w="11900" w:h="16838" w:orient="portrait"/>
          <w:cols w:equalWidth="0" w:num="1">
            <w:col w:w="11240"/>
          </w:cols>
          <w:pgMar w:left="320" w:top="1409" w:right="339" w:bottom="1440" w:gutter="0" w:footer="0" w:header="0"/>
        </w:sectPr>
      </w:pPr>
    </w:p>
    <w:bookmarkStart w:id="73" w:name="page74"/>
    <w:bookmarkEnd w:id="73"/>
    <w:p>
      <w:pPr>
        <w:jc w:val="both"/>
        <w:spacing w:after="0" w:line="261" w:lineRule="auto"/>
        <w:rPr>
          <w:sz w:val="20"/>
          <w:szCs w:val="20"/>
          <w:color w:val="auto"/>
        </w:rPr>
      </w:pPr>
      <w:r>
        <w:rPr>
          <w:rFonts w:ascii="Times New Roman" w:cs="Times New Roman" w:eastAsia="Times New Roman" w:hAnsi="Times New Roman"/>
          <w:sz w:val="20"/>
          <w:szCs w:val="20"/>
          <w:color w:val="auto"/>
        </w:rPr>
        <w:t>material respects as of such earlier date and except that any representation and warranty that is qualified as to “materiality,” “Material Adverse Effect” or similar language shall be true and correct (after giving effect to any qualification therein) in all respects on such respective dates).</w:t>
      </w:r>
    </w:p>
    <w:p>
      <w:pPr>
        <w:spacing w:after="0" w:line="17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 xml:space="preserve">3.2 </w:t>
      </w:r>
      <w:r>
        <w:rPr>
          <w:rFonts w:ascii="Times New Roman" w:cs="Times New Roman" w:eastAsia="Times New Roman" w:hAnsi="Times New Roman"/>
          <w:sz w:val="20"/>
          <w:szCs w:val="20"/>
          <w:b w:val="1"/>
          <w:bCs w:val="1"/>
          <w:u w:val="single" w:color="auto"/>
          <w:color w:val="auto"/>
        </w:rPr>
        <w:t>No Conflicts</w:t>
      </w:r>
      <w:r>
        <w:rPr>
          <w:rFonts w:ascii="Times New Roman" w:cs="Times New Roman" w:eastAsia="Times New Roman" w:hAnsi="Times New Roman"/>
          <w:sz w:val="20"/>
          <w:szCs w:val="20"/>
          <w:color w:val="auto"/>
        </w:rPr>
        <w:t>. None of the execution, delivery or performance by any Credit Party of this Amendment will (a) contravene any Requirement of Law, except to the extent such contravention would not reasonably be expected to result in a Material Adverse Effect, (b) result in any breach of any of the terms, covenants, conditions or provisions of, or constitute a default under, or result in the creation or imposition of (or the obligation to create or impose) any Lien upon any of the property or assets of such Credit Party or any of the Restricted Subsidiaries (other than Liens created under the Credit Documents) pursuant to the terms of any Contractual Requirement, except to the extent that such breach, default or Lien would not reasonably be expected to result in a Material Adverse Effect or (c) violate any provision of the Organization Documents of such Credit Party or any of the Restricted Subsidiaries.</w:t>
      </w:r>
    </w:p>
    <w:p>
      <w:pPr>
        <w:spacing w:after="0" w:line="186"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 xml:space="preserve">3.3 </w:t>
      </w:r>
      <w:r>
        <w:rPr>
          <w:rFonts w:ascii="Times New Roman" w:cs="Times New Roman" w:eastAsia="Times New Roman" w:hAnsi="Times New Roman"/>
          <w:sz w:val="20"/>
          <w:szCs w:val="20"/>
          <w:b w:val="1"/>
          <w:bCs w:val="1"/>
          <w:u w:val="single" w:color="auto"/>
          <w:color w:val="auto"/>
        </w:rPr>
        <w:t>Due Authorization</w:t>
      </w:r>
      <w:r>
        <w:rPr>
          <w:rFonts w:ascii="Times New Roman" w:cs="Times New Roman" w:eastAsia="Times New Roman" w:hAnsi="Times New Roman"/>
          <w:sz w:val="20"/>
          <w:szCs w:val="20"/>
          <w:color w:val="auto"/>
        </w:rPr>
        <w:t>. Each Credit Party has the corporate or other organizational power and authority to execute, deliver and carry out the terms and provisions of this Amendment, and has taken all necessary corporate or other organizational action to authorize the execution and delivery of this Amendment and performance of this Amendment and the Credit Agreement, and has duly executed and delivered this Amendment.</w:t>
      </w:r>
    </w:p>
    <w:p>
      <w:pPr>
        <w:spacing w:after="0" w:line="164"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 xml:space="preserve">3.4 </w:t>
      </w:r>
      <w:r>
        <w:rPr>
          <w:rFonts w:ascii="Times New Roman" w:cs="Times New Roman" w:eastAsia="Times New Roman" w:hAnsi="Times New Roman"/>
          <w:sz w:val="20"/>
          <w:szCs w:val="20"/>
          <w:b w:val="1"/>
          <w:bCs w:val="1"/>
          <w:u w:val="single" w:color="auto"/>
          <w:color w:val="auto"/>
        </w:rPr>
        <w:t>Validity and Binding Effect</w:t>
      </w:r>
      <w:r>
        <w:rPr>
          <w:rFonts w:ascii="Times New Roman" w:cs="Times New Roman" w:eastAsia="Times New Roman" w:hAnsi="Times New Roman"/>
          <w:sz w:val="20"/>
          <w:szCs w:val="20"/>
          <w:color w:val="auto"/>
        </w:rPr>
        <w:t>. This Amendment and the Credit Agreement constitute the legal, valid and binding obligation of each Credit Party, enforceable in accordance with its terms, subject to the effects of bankruptcy, insolvency, fraudulent conveyance, reorganization and other similar laws relating to or affecting creditors’ rights generally and general principles of equity (whether considered in a proceeding in equity or law).</w:t>
      </w:r>
    </w:p>
    <w:p>
      <w:pPr>
        <w:spacing w:after="0" w:line="17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 xml:space="preserve">Section 4. </w:t>
      </w:r>
      <w:r>
        <w:rPr>
          <w:rFonts w:ascii="Times New Roman" w:cs="Times New Roman" w:eastAsia="Times New Roman" w:hAnsi="Times New Roman"/>
          <w:sz w:val="19"/>
          <w:szCs w:val="19"/>
          <w:b w:val="1"/>
          <w:bCs w:val="1"/>
          <w:u w:val="single" w:color="auto"/>
          <w:color w:val="auto"/>
        </w:rPr>
        <w:t>New Lenders</w:t>
      </w:r>
      <w:r>
        <w:rPr>
          <w:rFonts w:ascii="Times New Roman" w:cs="Times New Roman" w:eastAsia="Times New Roman" w:hAnsi="Times New Roman"/>
          <w:sz w:val="19"/>
          <w:szCs w:val="19"/>
          <w:color w:val="auto"/>
        </w:rPr>
        <w:t>. Each New Lender (i) represents and warrants that it has full power and authority, and has taken all action necessary, to execute and deliver this Amendment, to consummate the transactions contemplated hereby and to become a Lender under the Credit Agreement, (ii) confirms that it has received a copy of the Credit Agreement and the other Credit Documents, together with copies of the financial statements referred to therein and such other documents and information as it has deemed appropriate to make its own credit analysis and decision to enter into this Amendment and the Credit Agreement on the basis of which it has made such analysis and decision independently and without reliance on the Administrative Agent or any other Lender or agent thereunder; (iii) agrees that it will, independently and without reliance upon the Administrative Agent or any other Lender or agent thereunder and based on such documents and information as it shall deem appropriate at the time, continue to make its own credit decisions in taking or not taking action under the Credit Agreement and the other Credit Documents; (iv) appoints and authorizes the Administrative Agent to take such action as agent on its behalf and to exercise such powers under the Credit Agreement and the other Credit Documents as are delegated to the Administrative Agent by the terms thereof, together with such powers as are reasonably incidental thereto; and (v) agrees that it will perform in accordance with their terms all of the obligations which by the terms of the Credit Agreement and the other Credit Documents are required to be performed by it as a Lender. Each Lender represents and warrants that, in participating as a Lender, it is engaged in making, acquiring or holding commercial loans in the ordinary course of its business, and not for the purpose of investing in the general performance or operations of the Borrower or any Subsidiary thereof or for the purpose of purchasing, acquiring or holding any other type of financial instrument, such as a security (and each Lender hereby agrees not to assert a claim in contravention of the foregoing, such as a claim under the federal or state securities laws).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|US-DOCS\154101332.9||</w:t>
      </w:r>
    </w:p>
    <w:p>
      <w:pPr>
        <w:sectPr>
          <w:pgSz w:w="11900" w:h="16838" w:orient="portrait"/>
          <w:cols w:equalWidth="0" w:num="1">
            <w:col w:w="11240"/>
          </w:cols>
          <w:pgMar w:left="320" w:top="1413" w:right="339" w:bottom="1440" w:gutter="0" w:footer="0" w:header="0"/>
        </w:sectPr>
      </w:pPr>
    </w:p>
    <w:bookmarkStart w:id="74" w:name="page75"/>
    <w:bookmarkEnd w:id="74"/>
    <w:p>
      <w:pPr>
        <w:spacing w:after="0"/>
        <w:tabs>
          <w:tab w:leader="none" w:pos="1280" w:val="left"/>
        </w:tabs>
        <w:rPr>
          <w:sz w:val="20"/>
          <w:szCs w:val="20"/>
          <w:color w:val="auto"/>
        </w:rPr>
      </w:pPr>
      <w:r>
        <w:rPr>
          <w:rFonts w:ascii="Times New Roman" w:cs="Times New Roman" w:eastAsia="Times New Roman" w:hAnsi="Times New Roman"/>
          <w:sz w:val="20"/>
          <w:szCs w:val="20"/>
          <w:color w:val="auto"/>
        </w:rPr>
        <w:t>Section 5.</w:t>
      </w:r>
      <w:r>
        <w:rPr>
          <w:sz w:val="20"/>
          <w:szCs w:val="20"/>
          <w:color w:val="auto"/>
        </w:rPr>
        <w:tab/>
      </w:r>
      <w:r>
        <w:rPr>
          <w:rFonts w:ascii="Times New Roman" w:cs="Times New Roman" w:eastAsia="Times New Roman" w:hAnsi="Times New Roman"/>
          <w:sz w:val="19"/>
          <w:szCs w:val="19"/>
          <w:b w:val="1"/>
          <w:bCs w:val="1"/>
          <w:u w:val="single" w:color="auto"/>
          <w:color w:val="auto"/>
        </w:rPr>
        <w:t>Aggregate Elected Revolving Commitment Amounts.</w:t>
      </w:r>
    </w:p>
    <w:p>
      <w:pPr>
        <w:spacing w:after="0" w:line="23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In reliance on the representations, warranties, covenants and agreements contained in this Amendment, and subject to the satisfaction of the conditions precedent set forth in Section 2 hereof, after giving effect to this Amendment, (a) each Lender hereby agrees that each Lender’s Revolving Commitment Percentage under the Credit Agreement effective as of the Fifth Amendment Effective Date shall be set forth opposite such Lender’s name on Schedule 1.1(a) to the Credit Agreement (as amended hereby), (b) after giving effect to any Borrowing made on the Fifth Amendment Effective Date, each Lender that has outstanding Revolving Loans (and participations in Letters of Credit) in amounts less than its Revolving Commitment Percentage of all outstanding Revolving Loans (and participations in Letters of Credit) shall purchase outstanding Revolving Loans (and participations in Letters of Credit) from Lenders that have outstanding Revolving Loans (and participations in Letters of Credit) in amounts greater than their Revolving Commitment Percentage of all outstanding Revolving Loans (and participations in Letters of Credit) such that each Lender holds Revolving Loans (and participations in Letters of Credit) in its Revolving Commitment Percentage of all outstanding Revolving Loans (and participations in Letters of Credit), including with respect to portions of any outstanding SOFR Loans which SOFR Loans shall otherwise remain outstanding through the last day of the Interest Period applicable thereto unless repaid prior thereto by the Borrower after giving effect to the adjustments described in this </w:t>
      </w:r>
      <w:r>
        <w:rPr>
          <w:rFonts w:ascii="Times New Roman" w:cs="Times New Roman" w:eastAsia="Times New Roman" w:hAnsi="Times New Roman"/>
          <w:sz w:val="20"/>
          <w:szCs w:val="20"/>
          <w:u w:val="single" w:color="auto"/>
          <w:color w:val="auto"/>
        </w:rPr>
        <w:t>Section 5</w:t>
      </w:r>
      <w:r>
        <w:rPr>
          <w:rFonts w:ascii="Times New Roman" w:cs="Times New Roman" w:eastAsia="Times New Roman" w:hAnsi="Times New Roman"/>
          <w:sz w:val="20"/>
          <w:szCs w:val="20"/>
          <w:color w:val="auto"/>
        </w:rPr>
        <w:t xml:space="preserve">; provided, that in no event shall any such advance, disbursement or other adjustment be considered an extinguishment, novation or retirement of the Obligations under the Credit Agreement or any other Credit Document and (c) the adjustments pursuant to this </w:t>
      </w:r>
      <w:r>
        <w:rPr>
          <w:rFonts w:ascii="Times New Roman" w:cs="Times New Roman" w:eastAsia="Times New Roman" w:hAnsi="Times New Roman"/>
          <w:sz w:val="20"/>
          <w:szCs w:val="20"/>
          <w:u w:val="single" w:color="auto"/>
          <w:color w:val="auto"/>
        </w:rPr>
        <w:t>Section 5</w:t>
      </w:r>
      <w:r>
        <w:rPr>
          <w:rFonts w:ascii="Times New Roman" w:cs="Times New Roman" w:eastAsia="Times New Roman" w:hAnsi="Times New Roman"/>
          <w:sz w:val="20"/>
          <w:szCs w:val="20"/>
          <w:color w:val="auto"/>
        </w:rPr>
        <w:t xml:space="preserve"> shall be deemed to occur simultaneously with the Fifth Amendment Effective Date. Notwithstanding anything to the contrary, each Lender that would otherwise be entitled to request or require that the Borrower pay any break-funding payments pursuant to Section 2.11 of the Existing Credit Agreement expressly waives the requirement that the Borrower pay any such break-funding payments pursuant to Section 2.11 of the Existing Credit Agreement as a result of the reallocation of Revolving Loans and other adjustments set forth in this Amendment.</w:t>
      </w:r>
    </w:p>
    <w:p>
      <w:pPr>
        <w:spacing w:after="0" w:line="18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color w:val="auto"/>
        </w:rPr>
        <w:t>Section 6.</w:t>
      </w:r>
      <w:r>
        <w:rPr>
          <w:sz w:val="20"/>
          <w:szCs w:val="20"/>
          <w:color w:val="auto"/>
        </w:rPr>
        <w:tab/>
      </w:r>
      <w:r>
        <w:rPr>
          <w:rFonts w:ascii="Times New Roman" w:cs="Times New Roman" w:eastAsia="Times New Roman" w:hAnsi="Times New Roman"/>
          <w:sz w:val="19"/>
          <w:szCs w:val="19"/>
          <w:b w:val="1"/>
          <w:bCs w:val="1"/>
          <w:u w:val="single" w:color="auto"/>
          <w:color w:val="auto"/>
        </w:rPr>
        <w:t>Borrowing Base Redetermination</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Subject to the satisfaction or waiver in writing of each of the conditions set forth in </w:t>
      </w:r>
      <w:r>
        <w:rPr>
          <w:rFonts w:ascii="Times New Roman" w:cs="Times New Roman" w:eastAsia="Times New Roman" w:hAnsi="Times New Roman"/>
          <w:sz w:val="20"/>
          <w:szCs w:val="20"/>
          <w:u w:val="single" w:color="auto"/>
          <w:color w:val="auto"/>
        </w:rPr>
        <w:t>Section 2</w:t>
      </w:r>
      <w:r>
        <w:rPr>
          <w:rFonts w:ascii="Times New Roman" w:cs="Times New Roman" w:eastAsia="Times New Roman" w:hAnsi="Times New Roman"/>
          <w:sz w:val="20"/>
          <w:szCs w:val="20"/>
          <w:color w:val="auto"/>
        </w:rPr>
        <w:t xml:space="preserve"> hereof and in reliance upon the representations, warranties, covenants and agreements contained in this Amendment, (a) the Administrative Agent and the Lenders hereby reaffirm the Borrowing Base, effective as of the date hereof, to be $1,500,000,000 and (b) the Administrative Agent, the Lenders, the Borrower and the other Credit Parties hereby agree and acknowledge that such reaffirmed Borrowing Base shall remain in effect until the date such Borrowing Base is otherwise adjusted pursuant to the terms of the Credit Agreement. The Borrower hereby accepts such Borrowing Base as so reaffirmed to be effective upon the Fifth Amendment Effective Date. The reaffirmation of the Borrowing Base hereunder shall constitute the Scheduled Redetermination scheduled to occur on or about October 1, 2024.</w:t>
      </w:r>
    </w:p>
    <w:p>
      <w:pPr>
        <w:spacing w:after="0" w:line="18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color w:val="auto"/>
        </w:rPr>
        <w:t>Section 7.</w:t>
      </w:r>
      <w:r>
        <w:rPr>
          <w:sz w:val="20"/>
          <w:szCs w:val="20"/>
          <w:color w:val="auto"/>
        </w:rPr>
        <w:tab/>
      </w:r>
      <w:r>
        <w:rPr>
          <w:rFonts w:ascii="Times New Roman" w:cs="Times New Roman" w:eastAsia="Times New Roman" w:hAnsi="Times New Roman"/>
          <w:sz w:val="19"/>
          <w:szCs w:val="19"/>
          <w:b w:val="1"/>
          <w:bCs w:val="1"/>
          <w:u w:val="single" w:color="auto"/>
          <w:color w:val="auto"/>
        </w:rPr>
        <w:t>Miscellaneous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7.1 </w:t>
      </w:r>
      <w:r>
        <w:rPr>
          <w:rFonts w:ascii="Times New Roman" w:cs="Times New Roman" w:eastAsia="Times New Roman" w:hAnsi="Times New Roman"/>
          <w:sz w:val="20"/>
          <w:szCs w:val="20"/>
          <w:b w:val="1"/>
          <w:bCs w:val="1"/>
          <w:u w:val="single" w:color="auto"/>
          <w:color w:val="auto"/>
        </w:rPr>
        <w:t>Confirmation and Effect</w:t>
      </w:r>
      <w:r>
        <w:rPr>
          <w:rFonts w:ascii="Times New Roman" w:cs="Times New Roman" w:eastAsia="Times New Roman" w:hAnsi="Times New Roman"/>
          <w:sz w:val="20"/>
          <w:szCs w:val="20"/>
          <w:color w:val="auto"/>
        </w:rPr>
        <w:t>. The provisions of the Credit Agreement shall remain in full force and effect in accordance with its terms following the effectiveness of this Amendment, and this Amendment shall not constitute a waiver of any provision of the Credit Agreement or any other Credit Document. Each reference in the Credit Agreement to “this Agreement”, “hereunder”, “hereof”, “herein”, or words of like import shall mean and be a reference to the Credit Agreement, and each reference to the “Credit Agreement” in any other document, instrument or agreement executed and/or delivered in connection with the Credit Agreement shall mean and be a reference to the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|US-DOCS\154101332.9||</w:t>
      </w:r>
    </w:p>
    <w:p>
      <w:pPr>
        <w:sectPr>
          <w:pgSz w:w="11900" w:h="16838" w:orient="portrait"/>
          <w:cols w:equalWidth="0" w:num="1">
            <w:col w:w="11240"/>
          </w:cols>
          <w:pgMar w:left="320" w:top="1409"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20"/>
          <w:szCs w:val="20"/>
          <w:color w:val="auto"/>
        </w:rPr>
        <w:t>Agreement. This Amendment shall not constitute a novation of the Credit Agreement or any of the Credit Documents.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7.2 </w:t>
      </w:r>
      <w:r>
        <w:rPr>
          <w:rFonts w:ascii="Times New Roman" w:cs="Times New Roman" w:eastAsia="Times New Roman" w:hAnsi="Times New Roman"/>
          <w:sz w:val="20"/>
          <w:szCs w:val="20"/>
          <w:b w:val="1"/>
          <w:bCs w:val="1"/>
          <w:u w:val="single" w:color="auto"/>
          <w:color w:val="auto"/>
        </w:rPr>
        <w:t>Ratification and Affirmation of Credit Parties</w:t>
      </w:r>
      <w:r>
        <w:rPr>
          <w:rFonts w:ascii="Times New Roman" w:cs="Times New Roman" w:eastAsia="Times New Roman" w:hAnsi="Times New Roman"/>
          <w:sz w:val="20"/>
          <w:szCs w:val="20"/>
          <w:color w:val="auto"/>
        </w:rPr>
        <w:t>. Each of the Credit Parties hereby expressly (i) acknowledges the terms of this Amendment, (ii) ratifies and affirms its obligations under the Guarantee, the Security Documents and the other Credit Documents to which it is a party, (iii) acknowledges, renews and extends its continued liability under the Guarantee, the Security Documents and the other Credit Documents to which it is a party and (iv) agrees that its guarantee under the Guarantee, the Security Documents and the other Credit Documents to which it is a party remains in full force and effect with respect to the Obligations as amended hereby.</w:t>
      </w:r>
    </w:p>
    <w:p>
      <w:pPr>
        <w:spacing w:after="0" w:line="187"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 xml:space="preserve">7.3 </w:t>
      </w:r>
      <w:r>
        <w:rPr>
          <w:rFonts w:ascii="Times New Roman" w:cs="Times New Roman" w:eastAsia="Times New Roman" w:hAnsi="Times New Roman"/>
          <w:sz w:val="20"/>
          <w:szCs w:val="20"/>
          <w:b w:val="1"/>
          <w:bCs w:val="1"/>
          <w:u w:val="single" w:color="auto"/>
          <w:color w:val="auto"/>
        </w:rPr>
        <w:t>Parties in Interest</w:t>
      </w:r>
      <w:r>
        <w:rPr>
          <w:rFonts w:ascii="Times New Roman" w:cs="Times New Roman" w:eastAsia="Times New Roman" w:hAnsi="Times New Roman"/>
          <w:sz w:val="20"/>
          <w:szCs w:val="20"/>
          <w:color w:val="auto"/>
        </w:rPr>
        <w:t>. All of the terms and provisions of this Amendment shall bind and inure to the benefit of the parties hereto and their respective successors and assigns.</w:t>
      </w:r>
    </w:p>
    <w:p>
      <w:pPr>
        <w:spacing w:after="0" w:line="16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7.4 </w:t>
      </w:r>
      <w:r>
        <w:rPr>
          <w:rFonts w:ascii="Times New Roman" w:cs="Times New Roman" w:eastAsia="Times New Roman" w:hAnsi="Times New Roman"/>
          <w:sz w:val="20"/>
          <w:szCs w:val="20"/>
          <w:b w:val="1"/>
          <w:bCs w:val="1"/>
          <w:u w:val="single" w:color="auto"/>
          <w:color w:val="auto"/>
        </w:rPr>
        <w:t>Counterparts; Facsimile</w:t>
      </w:r>
      <w:r>
        <w:rPr>
          <w:rFonts w:ascii="Times New Roman" w:cs="Times New Roman" w:eastAsia="Times New Roman" w:hAnsi="Times New Roman"/>
          <w:sz w:val="20"/>
          <w:szCs w:val="20"/>
          <w:color w:val="auto"/>
        </w:rPr>
        <w:t>. This Amendment may be executed by one or more of the parties to this Amendment on any number of separate counterparts and all of said counterparts taken together shall be deemed to constitute one and the same instrument. A set of the copies of this Amendment signed by all the parties shall be lodged with the Borrower and the Administrative Agent. This Amendment may be validly delivered by facsimile or other electronic transmission of an executed counterpart of the signature page hereof. The words “execution,” “execute”, “signed,” “signature,” and words of like import in or related to any document to be signed in connection with this Amendment and the transactions contemplated hereby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7.5 </w:t>
      </w:r>
      <w:r>
        <w:rPr>
          <w:rFonts w:ascii="Times New Roman" w:cs="Times New Roman" w:eastAsia="Times New Roman" w:hAnsi="Times New Roman"/>
          <w:sz w:val="20"/>
          <w:szCs w:val="20"/>
          <w:b w:val="1"/>
          <w:bCs w:val="1"/>
          <w:u w:val="single" w:color="auto"/>
          <w:color w:val="auto"/>
        </w:rPr>
        <w:t>COMPLETE AGREEMENT</w:t>
      </w:r>
      <w:r>
        <w:rPr>
          <w:rFonts w:ascii="Times New Roman" w:cs="Times New Roman" w:eastAsia="Times New Roman" w:hAnsi="Times New Roman"/>
          <w:sz w:val="20"/>
          <w:szCs w:val="20"/>
          <w:color w:val="auto"/>
        </w:rPr>
        <w:t>. THIS AMENDMENT AND THE OTHER CREDIT DOCUMENTS REPRESENT THE AGREEMENT OF THE BORROWER, THE GUARANTORS, THE GRANTORS, THE COLLATERAL AGENT, THE ADMINISTRATIVE AGENT AND THE LENDERS WITH RESPECT TO THE SUBJECT MATTER HEREOF AND THEREOF, AND THERE ARE NO PROMISES, UNDERTAKINGS, REPRESENTATIONS OR WARRANTIES BY THE BORROWER, THE GUARANTORS, THE GRANTORS, ANY AGENT NOR ANY LENDER RELATIVE TO SUBJECT MATTER HEREOF NOT EXPRESSLY SET FORTH OR REFERRED TO HEREIN OR IN THE OTHER CREDIT DOCUMENTS.</w:t>
      </w:r>
    </w:p>
    <w:p>
      <w:pPr>
        <w:spacing w:after="0" w:line="187"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 xml:space="preserve">7.6 </w:t>
      </w:r>
      <w:r>
        <w:rPr>
          <w:rFonts w:ascii="Times New Roman" w:cs="Times New Roman" w:eastAsia="Times New Roman" w:hAnsi="Times New Roman"/>
          <w:sz w:val="20"/>
          <w:szCs w:val="20"/>
          <w:b w:val="1"/>
          <w:bCs w:val="1"/>
          <w:u w:val="single" w:color="auto"/>
          <w:color w:val="auto"/>
        </w:rPr>
        <w:t>Interpretation</w:t>
      </w:r>
      <w:r>
        <w:rPr>
          <w:rFonts w:ascii="Times New Roman" w:cs="Times New Roman" w:eastAsia="Times New Roman" w:hAnsi="Times New Roman"/>
          <w:sz w:val="20"/>
          <w:szCs w:val="20"/>
          <w:color w:val="auto"/>
        </w:rPr>
        <w:t>. Wherever the context hereof shall so require, the singular shall include the plural, the masculine gender shall include the feminine gender and the neuter and vice versa. The headings, captions and arrangements used in this Amendment are for convenience only, shall not affect the interpretation of this Amendment, and shall not be deemed to limit, amplify or modify the terms of this Amendment, nor affect the meaning thereof.</w:t>
      </w:r>
    </w:p>
    <w:p>
      <w:pPr>
        <w:spacing w:after="0" w:line="164"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 xml:space="preserve">7.7 </w:t>
      </w:r>
      <w:r>
        <w:rPr>
          <w:rFonts w:ascii="Times New Roman" w:cs="Times New Roman" w:eastAsia="Times New Roman" w:hAnsi="Times New Roman"/>
          <w:sz w:val="20"/>
          <w:szCs w:val="20"/>
          <w:b w:val="1"/>
          <w:bCs w:val="1"/>
          <w:u w:val="single" w:color="auto"/>
          <w:color w:val="auto"/>
        </w:rPr>
        <w:t>Titles of Sections</w:t>
      </w:r>
      <w:r>
        <w:rPr>
          <w:rFonts w:ascii="Times New Roman" w:cs="Times New Roman" w:eastAsia="Times New Roman" w:hAnsi="Times New Roman"/>
          <w:sz w:val="20"/>
          <w:szCs w:val="20"/>
          <w:color w:val="auto"/>
        </w:rPr>
        <w:t>. All titles or headings to the sections or other divisions of this Amendment are only for the convenience of the parties and shall not be construed to have any effect or meaning with respect to the other content of such sections, subsections or other divisions, such other content being controlling as to the agreement between the parties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|US-DOCS\154101332.9||</w:t>
      </w:r>
    </w:p>
    <w:p>
      <w:pPr>
        <w:sectPr>
          <w:pgSz w:w="11900" w:h="16838" w:orient="portrait"/>
          <w:cols w:equalWidth="0" w:num="1">
            <w:col w:w="11240"/>
          </w:cols>
          <w:pgMar w:left="320" w:top="1413" w:right="339" w:bottom="1440" w:gutter="0" w:footer="0" w:header="0"/>
        </w:sectPr>
      </w:pPr>
    </w:p>
    <w:bookmarkStart w:id="76" w:name="page77"/>
    <w:bookmarkEnd w:id="76"/>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 xml:space="preserve">7.8 </w:t>
      </w:r>
      <w:r>
        <w:rPr>
          <w:rFonts w:ascii="Times New Roman" w:cs="Times New Roman" w:eastAsia="Times New Roman" w:hAnsi="Times New Roman"/>
          <w:sz w:val="20"/>
          <w:szCs w:val="20"/>
          <w:b w:val="1"/>
          <w:bCs w:val="1"/>
          <w:u w:val="single" w:color="auto"/>
          <w:color w:val="auto"/>
        </w:rPr>
        <w:t>Severability</w:t>
      </w:r>
      <w:r>
        <w:rPr>
          <w:rFonts w:ascii="Times New Roman" w:cs="Times New Roman" w:eastAsia="Times New Roman" w:hAnsi="Times New Roman"/>
          <w:sz w:val="20"/>
          <w:szCs w:val="20"/>
          <w:color w:val="auto"/>
        </w:rPr>
        <w:t>. In case any one or more of the provisions contained in this Amendment shall for any reason be held to be invalid, illegal or unenforceable in any respect, such invalidity, illegality, or unenforceability shall not affect any other provision hereof, and this Amendment shall be construed as if such invalid, illegal, or unenforceable provision had never been contained herein.</w:t>
      </w:r>
    </w:p>
    <w:p>
      <w:pPr>
        <w:spacing w:after="0" w:line="175"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 xml:space="preserve">7.9 </w:t>
      </w:r>
      <w:r>
        <w:rPr>
          <w:rFonts w:ascii="Times New Roman" w:cs="Times New Roman" w:eastAsia="Times New Roman" w:hAnsi="Times New Roman"/>
          <w:sz w:val="20"/>
          <w:szCs w:val="20"/>
          <w:b w:val="1"/>
          <w:bCs w:val="1"/>
          <w:u w:val="single" w:color="auto"/>
          <w:color w:val="auto"/>
        </w:rPr>
        <w:t>Payment of Expenses</w:t>
      </w:r>
      <w:r>
        <w:rPr>
          <w:rFonts w:ascii="Times New Roman" w:cs="Times New Roman" w:eastAsia="Times New Roman" w:hAnsi="Times New Roman"/>
          <w:sz w:val="20"/>
          <w:szCs w:val="20"/>
          <w:color w:val="auto"/>
        </w:rPr>
        <w:t>. The Borrower agrees to pay or reimburse the Administrative Agent in accordance with Section 13.5 of the Credit Agreement for all of its reasonable and documented out-of-pocket costs and expenses incurred in connection with this Amendment, any other documents prepared in connection herewith and the transactions contemplated hereby, including, without limitation, the reasonable fees and disbursements of counsel to Administrative Agent.</w:t>
      </w:r>
    </w:p>
    <w:p>
      <w:pPr>
        <w:spacing w:after="0" w:line="16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7.10</w:t>
      </w:r>
      <w:r>
        <w:rPr>
          <w:sz w:val="20"/>
          <w:szCs w:val="20"/>
          <w:color w:val="auto"/>
        </w:rPr>
        <w:tab/>
      </w:r>
      <w:r>
        <w:rPr>
          <w:rFonts w:ascii="Times New Roman" w:cs="Times New Roman" w:eastAsia="Times New Roman" w:hAnsi="Times New Roman"/>
          <w:sz w:val="19"/>
          <w:szCs w:val="19"/>
          <w:b w:val="1"/>
          <w:bCs w:val="1"/>
          <w:u w:val="single" w:color="auto"/>
          <w:color w:val="auto"/>
        </w:rPr>
        <w:t>Credit Documents</w:t>
      </w:r>
      <w:r>
        <w:rPr>
          <w:rFonts w:ascii="Times New Roman" w:cs="Times New Roman" w:eastAsia="Times New Roman" w:hAnsi="Times New Roman"/>
          <w:sz w:val="19"/>
          <w:szCs w:val="19"/>
          <w:color w:val="auto"/>
        </w:rPr>
        <w:t>. The Borrower acknowledges and agrees that this Amendment is a Credit Document.</w:t>
      </w:r>
    </w:p>
    <w:p>
      <w:pPr>
        <w:spacing w:after="0" w:line="22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 xml:space="preserve">7.11 </w:t>
      </w:r>
      <w:r>
        <w:rPr>
          <w:rFonts w:ascii="Times New Roman" w:cs="Times New Roman" w:eastAsia="Times New Roman" w:hAnsi="Times New Roman"/>
          <w:sz w:val="20"/>
          <w:szCs w:val="20"/>
          <w:b w:val="1"/>
          <w:bCs w:val="1"/>
          <w:u w:val="single" w:color="auto"/>
          <w:color w:val="auto"/>
        </w:rPr>
        <w:t>Governing Law</w:t>
      </w:r>
      <w:r>
        <w:rPr>
          <w:rFonts w:ascii="Times New Roman" w:cs="Times New Roman" w:eastAsia="Times New Roman" w:hAnsi="Times New Roman"/>
          <w:sz w:val="20"/>
          <w:szCs w:val="20"/>
          <w:color w:val="auto"/>
        </w:rPr>
        <w:t>. THIS AMENDMENT AND THE RIGHTS AND OBLIGATIONS OF THE PARTIES HEREUNDER SHALL BE GOVERNED BY, AND CONSTRUED AND INTERPRETED IN ACCORDANCE WITH, THE LAW OF THE STATE OF NEW YORK.</w:t>
      </w:r>
    </w:p>
    <w:p>
      <w:pPr>
        <w:spacing w:after="0" w:line="17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 xml:space="preserve">7.12 </w:t>
      </w:r>
      <w:r>
        <w:rPr>
          <w:rFonts w:ascii="Times New Roman" w:cs="Times New Roman" w:eastAsia="Times New Roman" w:hAnsi="Times New Roman"/>
          <w:sz w:val="20"/>
          <w:szCs w:val="20"/>
          <w:b w:val="1"/>
          <w:bCs w:val="1"/>
          <w:u w:val="single" w:color="auto"/>
          <w:color w:val="auto"/>
        </w:rPr>
        <w:t>Exiting Lender</w:t>
      </w:r>
      <w:r>
        <w:rPr>
          <w:rFonts w:ascii="Times New Roman" w:cs="Times New Roman" w:eastAsia="Times New Roman" w:hAnsi="Times New Roman"/>
          <w:sz w:val="20"/>
          <w:szCs w:val="20"/>
          <w:color w:val="auto"/>
        </w:rPr>
        <w:t>. On and after the Fifth Amendment Effective Date, (i) Tri Counties Bank (the “</w:t>
      </w:r>
      <w:r>
        <w:rPr>
          <w:rFonts w:ascii="Times New Roman" w:cs="Times New Roman" w:eastAsia="Times New Roman" w:hAnsi="Times New Roman"/>
          <w:sz w:val="20"/>
          <w:szCs w:val="20"/>
          <w:u w:val="single" w:color="auto"/>
          <w:color w:val="auto"/>
        </w:rPr>
        <w:t>Exiting Lender</w:t>
      </w:r>
      <w:r>
        <w:rPr>
          <w:rFonts w:ascii="Times New Roman" w:cs="Times New Roman" w:eastAsia="Times New Roman" w:hAnsi="Times New Roman"/>
          <w:sz w:val="20"/>
          <w:szCs w:val="20"/>
          <w:color w:val="auto"/>
        </w:rPr>
        <w:t>”) shall cease to be a Lender under the Credit Agreement, (ii) the Exiting Lender shall have no obligations or liabilities as a Lender under the Credit Agreement with respect to the period from and after the Fifth Amendment Effective Date and, without limiting the foregoing, the Exiting Lender shall have no Commitment under the Credit Agreement or any L/C Obligations outstanding hereunder and (iii) the Exiting Lender shall have no rights under the Existing Credit Agreement, the Credit Agreement or any other Credit Document as a Lender (other than rights under the Existing Credit Agreement expressly stated to survive the termination of the Existing Credit Agreement and the repayment of amounts outstanding thereunder) and such Exiting Lender’s receipt in cash of an amount to repay such Exiting Lender’s Loans in full under the Existing Credit Agreement shall be deemed to be a consent to the transactions contemplated hereby.</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|US-DOCS\154101332.9||</w:t>
      </w:r>
    </w:p>
    <w:p>
      <w:pPr>
        <w:sectPr>
          <w:pgSz w:w="11900" w:h="16838" w:orient="portrait"/>
          <w:cols w:equalWidth="0" w:num="1">
            <w:col w:w="11240"/>
          </w:cols>
          <w:pgMar w:left="320" w:top="1409" w:right="339" w:bottom="1440" w:gutter="0" w:footer="0" w:header="0"/>
        </w:sectPr>
      </w:pPr>
    </w:p>
    <w:bookmarkStart w:id="77" w:name="page78"/>
    <w:bookmarkEnd w:id="77"/>
    <w:p>
      <w:pPr>
        <w:ind w:firstLine="648"/>
        <w:spacing w:after="0" w:line="283" w:lineRule="auto"/>
        <w:rPr>
          <w:sz w:val="20"/>
          <w:szCs w:val="20"/>
          <w:color w:val="auto"/>
        </w:rPr>
      </w:pPr>
      <w:r>
        <w:rPr>
          <w:rFonts w:ascii="Times New Roman" w:cs="Times New Roman" w:eastAsia="Times New Roman" w:hAnsi="Times New Roman"/>
          <w:sz w:val="20"/>
          <w:szCs w:val="20"/>
          <w:color w:val="auto"/>
        </w:rPr>
        <w:t>IN WITNESS WHEREOF, the parties hereto have caused this Amendment to be duly executed by their respective authorized officers on the date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20"/>
          <w:szCs w:val="20"/>
          <w:color w:val="auto"/>
        </w:rPr>
        <w:t>BORROWER:</w:t>
      </w:r>
      <w:r>
        <w:rPr>
          <w:sz w:val="20"/>
          <w:szCs w:val="20"/>
          <w:color w:val="auto"/>
        </w:rPr>
        <w:tab/>
      </w:r>
      <w:r>
        <w:rPr>
          <w:rFonts w:ascii="Times New Roman" w:cs="Times New Roman" w:eastAsia="Times New Roman" w:hAnsi="Times New Roman"/>
          <w:sz w:val="19"/>
          <w:szCs w:val="19"/>
          <w:color w:val="auto"/>
        </w:rPr>
        <w:t>CALIFORNIA RESOURCES CORPORATION</w:t>
      </w:r>
    </w:p>
    <w:p>
      <w:pPr>
        <w:spacing w:after="0" w:line="200" w:lineRule="exact"/>
        <w:rPr>
          <w:sz w:val="20"/>
          <w:szCs w:val="20"/>
          <w:color w:val="auto"/>
        </w:rPr>
      </w:pPr>
    </w:p>
    <w:p>
      <w:pPr>
        <w:spacing w:after="0" w:line="35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2781300</wp:posOffset>
            </wp:positionH>
            <wp:positionV relativeFrom="paragraph">
              <wp:posOffset>-10795</wp:posOffset>
            </wp:positionV>
            <wp:extent cx="25146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9">
                      <a:extLst>
                        <a:ext uri="{28A0092B-C50C-407E-A947-70E740481C1C}"/>
                      </a:extLst>
                    </a:blip>
                    <a:srcRect/>
                    <a:stretch>
                      <a:fillRect/>
                    </a:stretch>
                  </pic:blipFill>
                  <pic:spPr bwMode="auto">
                    <a:xfrm>
                      <a:off x="0" y="0"/>
                      <a:ext cx="251460" cy="8255"/>
                    </a:xfrm>
                    <a:prstGeom prst="rect">
                      <a:avLst/>
                    </a:prstGeom>
                    <a:noFill/>
                  </pic:spPr>
                </pic:pic>
              </a:graphicData>
            </a:graphic>
          </wp:anchor>
        </w:drawing>
      </w:r>
    </w:p>
    <w:p>
      <w:pPr>
        <w:spacing w:after="0" w:line="2" w:lineRule="exact"/>
        <w:rPr>
          <w:sz w:val="20"/>
          <w:szCs w:val="20"/>
          <w:color w:val="auto"/>
        </w:rPr>
      </w:pPr>
    </w:p>
    <w:p>
      <w:pPr>
        <w:ind w:left="3900"/>
        <w:spacing w:after="0"/>
        <w:tabs>
          <w:tab w:leader="none" w:pos="460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Manuela Molina</w:t>
      </w:r>
    </w:p>
    <w:p>
      <w:pPr>
        <w:spacing w:after="0" w:line="6" w:lineRule="exact"/>
        <w:rPr>
          <w:sz w:val="20"/>
          <w:szCs w:val="20"/>
          <w:color w:val="auto"/>
        </w:rPr>
      </w:pPr>
    </w:p>
    <w:p>
      <w:pPr>
        <w:ind w:left="3900"/>
        <w:spacing w:after="0"/>
        <w:tabs>
          <w:tab w:leader="none" w:pos="450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Executive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Signature Page</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Fifth Amendment – California Resources Corporation</w:t>
      </w:r>
    </w:p>
    <w:p>
      <w:pPr>
        <w:sectPr>
          <w:pgSz w:w="11900" w:h="16838" w:orient="portrait"/>
          <w:cols w:equalWidth="0" w:num="1">
            <w:col w:w="11240"/>
          </w:cols>
          <w:pgMar w:left="320" w:top="1413" w:right="339" w:bottom="1440" w:gutter="0" w:footer="0" w:header="0"/>
        </w:sectPr>
      </w:pPr>
    </w:p>
    <w:bookmarkStart w:id="78" w:name="page79"/>
    <w:bookmarkEnd w:id="78"/>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3360" w:type="dxa"/>
            <w:vAlign w:val="bottom"/>
          </w:tcPr>
          <w:p>
            <w:pPr>
              <w:spacing w:after="0"/>
              <w:rPr>
                <w:sz w:val="20"/>
                <w:szCs w:val="20"/>
                <w:color w:val="auto"/>
              </w:rPr>
            </w:pPr>
            <w:r>
              <w:rPr>
                <w:rFonts w:ascii="Times New Roman" w:cs="Times New Roman" w:eastAsia="Times New Roman" w:hAnsi="Times New Roman"/>
                <w:sz w:val="20"/>
                <w:szCs w:val="20"/>
                <w:color w:val="auto"/>
              </w:rPr>
              <w:t>SUBSIDIARY GRANTORS:</w:t>
            </w:r>
          </w:p>
        </w:tc>
        <w:tc>
          <w:tcPr>
            <w:tcW w:w="6420" w:type="dxa"/>
            <w:vAlign w:val="bottom"/>
            <w:gridSpan w:val="5"/>
          </w:tcPr>
          <w:p>
            <w:pPr>
              <w:ind w:left="1160"/>
              <w:spacing w:after="0"/>
              <w:rPr>
                <w:sz w:val="20"/>
                <w:szCs w:val="20"/>
                <w:color w:val="auto"/>
              </w:rPr>
            </w:pPr>
            <w:r>
              <w:rPr>
                <w:rFonts w:ascii="Times New Roman" w:cs="Times New Roman" w:eastAsia="Times New Roman" w:hAnsi="Times New Roman"/>
                <w:sz w:val="20"/>
                <w:szCs w:val="20"/>
                <w:color w:val="auto"/>
              </w:rPr>
              <w:t>CALIFORNIA RESOURCES COLES LEVEE, LLC</w:t>
            </w:r>
          </w:p>
        </w:tc>
      </w:tr>
      <w:tr>
        <w:trPr>
          <w:trHeight w:val="229"/>
        </w:trPr>
        <w:tc>
          <w:tcPr>
            <w:tcW w:w="3360" w:type="dxa"/>
            <w:vAlign w:val="bottom"/>
          </w:tcPr>
          <w:p>
            <w:pPr>
              <w:spacing w:after="0"/>
              <w:rPr>
                <w:sz w:val="19"/>
                <w:szCs w:val="19"/>
                <w:color w:val="auto"/>
              </w:rPr>
            </w:pPr>
          </w:p>
        </w:tc>
        <w:tc>
          <w:tcPr>
            <w:tcW w:w="6420" w:type="dxa"/>
            <w:vAlign w:val="bottom"/>
            <w:gridSpan w:val="5"/>
          </w:tcPr>
          <w:p>
            <w:pPr>
              <w:ind w:left="1160"/>
              <w:spacing w:after="0"/>
              <w:rPr>
                <w:sz w:val="20"/>
                <w:szCs w:val="20"/>
                <w:color w:val="auto"/>
              </w:rPr>
            </w:pPr>
            <w:r>
              <w:rPr>
                <w:rFonts w:ascii="Times New Roman" w:cs="Times New Roman" w:eastAsia="Times New Roman" w:hAnsi="Times New Roman"/>
                <w:sz w:val="20"/>
                <w:szCs w:val="20"/>
                <w:color w:val="auto"/>
              </w:rPr>
              <w:t>CALIFORNIA RESOURCES ELK HILLS, LLC</w:t>
            </w:r>
          </w:p>
        </w:tc>
      </w:tr>
      <w:tr>
        <w:trPr>
          <w:trHeight w:val="243"/>
        </w:trPr>
        <w:tc>
          <w:tcPr>
            <w:tcW w:w="3360" w:type="dxa"/>
            <w:vAlign w:val="bottom"/>
          </w:tcPr>
          <w:p>
            <w:pPr>
              <w:spacing w:after="0"/>
              <w:rPr>
                <w:sz w:val="21"/>
                <w:szCs w:val="21"/>
                <w:color w:val="auto"/>
              </w:rPr>
            </w:pPr>
          </w:p>
        </w:tc>
        <w:tc>
          <w:tcPr>
            <w:tcW w:w="6420" w:type="dxa"/>
            <w:vAlign w:val="bottom"/>
            <w:gridSpan w:val="5"/>
          </w:tcPr>
          <w:p>
            <w:pPr>
              <w:ind w:left="1160"/>
              <w:spacing w:after="0"/>
              <w:rPr>
                <w:sz w:val="20"/>
                <w:szCs w:val="20"/>
                <w:color w:val="auto"/>
              </w:rPr>
            </w:pPr>
            <w:r>
              <w:rPr>
                <w:rFonts w:ascii="Times New Roman" w:cs="Times New Roman" w:eastAsia="Times New Roman" w:hAnsi="Times New Roman"/>
                <w:sz w:val="20"/>
                <w:szCs w:val="20"/>
                <w:color w:val="auto"/>
              </w:rPr>
              <w:t>CALIFORNIA RESOURCES LONG BEACH, INC.</w:t>
            </w:r>
          </w:p>
        </w:tc>
      </w:tr>
      <w:tr>
        <w:trPr>
          <w:trHeight w:val="229"/>
        </w:trPr>
        <w:tc>
          <w:tcPr>
            <w:tcW w:w="3360" w:type="dxa"/>
            <w:vAlign w:val="bottom"/>
          </w:tcPr>
          <w:p>
            <w:pPr>
              <w:spacing w:after="0"/>
              <w:rPr>
                <w:sz w:val="19"/>
                <w:szCs w:val="19"/>
                <w:color w:val="auto"/>
              </w:rPr>
            </w:pPr>
          </w:p>
        </w:tc>
        <w:tc>
          <w:tcPr>
            <w:tcW w:w="6420" w:type="dxa"/>
            <w:vAlign w:val="bottom"/>
            <w:gridSpan w:val="5"/>
          </w:tcPr>
          <w:p>
            <w:pPr>
              <w:ind w:left="1160"/>
              <w:spacing w:after="0"/>
              <w:rPr>
                <w:sz w:val="20"/>
                <w:szCs w:val="20"/>
                <w:color w:val="auto"/>
              </w:rPr>
            </w:pPr>
            <w:r>
              <w:rPr>
                <w:rFonts w:ascii="Times New Roman" w:cs="Times New Roman" w:eastAsia="Times New Roman" w:hAnsi="Times New Roman"/>
                <w:sz w:val="20"/>
                <w:szCs w:val="20"/>
                <w:color w:val="auto"/>
              </w:rPr>
              <w:t>CALIFORNIA RESOURCES PETROLEUM CORPORATION</w:t>
            </w:r>
          </w:p>
        </w:tc>
      </w:tr>
      <w:tr>
        <w:trPr>
          <w:trHeight w:val="243"/>
        </w:trPr>
        <w:tc>
          <w:tcPr>
            <w:tcW w:w="3360" w:type="dxa"/>
            <w:vAlign w:val="bottom"/>
          </w:tcPr>
          <w:p>
            <w:pPr>
              <w:spacing w:after="0"/>
              <w:rPr>
                <w:sz w:val="21"/>
                <w:szCs w:val="21"/>
                <w:color w:val="auto"/>
              </w:rPr>
            </w:pPr>
          </w:p>
        </w:tc>
        <w:tc>
          <w:tcPr>
            <w:tcW w:w="6420" w:type="dxa"/>
            <w:vAlign w:val="bottom"/>
            <w:gridSpan w:val="5"/>
          </w:tcPr>
          <w:p>
            <w:pPr>
              <w:ind w:left="1160"/>
              <w:spacing w:after="0"/>
              <w:rPr>
                <w:sz w:val="20"/>
                <w:szCs w:val="20"/>
                <w:color w:val="auto"/>
              </w:rPr>
            </w:pPr>
            <w:r>
              <w:rPr>
                <w:rFonts w:ascii="Times New Roman" w:cs="Times New Roman" w:eastAsia="Times New Roman" w:hAnsi="Times New Roman"/>
                <w:sz w:val="20"/>
                <w:szCs w:val="20"/>
                <w:color w:val="auto"/>
              </w:rPr>
              <w:t>CALIFORNIA RESOURCES PRODUCTION CORPORATION</w:t>
            </w:r>
          </w:p>
        </w:tc>
      </w:tr>
      <w:tr>
        <w:trPr>
          <w:trHeight w:val="243"/>
        </w:trPr>
        <w:tc>
          <w:tcPr>
            <w:tcW w:w="3360" w:type="dxa"/>
            <w:vAlign w:val="bottom"/>
          </w:tcPr>
          <w:p>
            <w:pPr>
              <w:spacing w:after="0"/>
              <w:rPr>
                <w:sz w:val="21"/>
                <w:szCs w:val="21"/>
                <w:color w:val="auto"/>
              </w:rPr>
            </w:pPr>
          </w:p>
        </w:tc>
        <w:tc>
          <w:tcPr>
            <w:tcW w:w="6420" w:type="dxa"/>
            <w:vAlign w:val="bottom"/>
            <w:gridSpan w:val="5"/>
          </w:tcPr>
          <w:p>
            <w:pPr>
              <w:ind w:left="1160"/>
              <w:spacing w:after="0"/>
              <w:rPr>
                <w:sz w:val="20"/>
                <w:szCs w:val="20"/>
                <w:color w:val="auto"/>
              </w:rPr>
            </w:pPr>
            <w:r>
              <w:rPr>
                <w:rFonts w:ascii="Times New Roman" w:cs="Times New Roman" w:eastAsia="Times New Roman" w:hAnsi="Times New Roman"/>
                <w:sz w:val="20"/>
                <w:szCs w:val="20"/>
                <w:color w:val="auto"/>
                <w:w w:val="97"/>
              </w:rPr>
              <w:t>CALIFORNIA RESOURCES REAL ESTATE VENTURES, LLC</w:t>
            </w:r>
          </w:p>
        </w:tc>
      </w:tr>
      <w:tr>
        <w:trPr>
          <w:trHeight w:val="229"/>
        </w:trPr>
        <w:tc>
          <w:tcPr>
            <w:tcW w:w="3360" w:type="dxa"/>
            <w:vAlign w:val="bottom"/>
          </w:tcPr>
          <w:p>
            <w:pPr>
              <w:spacing w:after="0"/>
              <w:rPr>
                <w:sz w:val="19"/>
                <w:szCs w:val="19"/>
                <w:color w:val="auto"/>
              </w:rPr>
            </w:pPr>
          </w:p>
        </w:tc>
        <w:tc>
          <w:tcPr>
            <w:tcW w:w="6420" w:type="dxa"/>
            <w:vAlign w:val="bottom"/>
            <w:gridSpan w:val="5"/>
          </w:tcPr>
          <w:p>
            <w:pPr>
              <w:ind w:left="1160"/>
              <w:spacing w:after="0"/>
              <w:rPr>
                <w:sz w:val="20"/>
                <w:szCs w:val="20"/>
                <w:color w:val="auto"/>
              </w:rPr>
            </w:pPr>
            <w:r>
              <w:rPr>
                <w:rFonts w:ascii="Times New Roman" w:cs="Times New Roman" w:eastAsia="Times New Roman" w:hAnsi="Times New Roman"/>
                <w:sz w:val="20"/>
                <w:szCs w:val="20"/>
                <w:color w:val="auto"/>
              </w:rPr>
              <w:t>CALIFORNIA RESOURCES ROYALTY HOLDINGS, LLC</w:t>
            </w:r>
          </w:p>
        </w:tc>
      </w:tr>
      <w:tr>
        <w:trPr>
          <w:trHeight w:val="243"/>
        </w:trPr>
        <w:tc>
          <w:tcPr>
            <w:tcW w:w="3360" w:type="dxa"/>
            <w:vAlign w:val="bottom"/>
          </w:tcPr>
          <w:p>
            <w:pPr>
              <w:spacing w:after="0"/>
              <w:rPr>
                <w:sz w:val="21"/>
                <w:szCs w:val="21"/>
                <w:color w:val="auto"/>
              </w:rPr>
            </w:pPr>
          </w:p>
        </w:tc>
        <w:tc>
          <w:tcPr>
            <w:tcW w:w="6420" w:type="dxa"/>
            <w:vAlign w:val="bottom"/>
            <w:gridSpan w:val="5"/>
          </w:tcPr>
          <w:p>
            <w:pPr>
              <w:ind w:left="1160"/>
              <w:spacing w:after="0"/>
              <w:rPr>
                <w:sz w:val="20"/>
                <w:szCs w:val="20"/>
                <w:color w:val="auto"/>
              </w:rPr>
            </w:pPr>
            <w:r>
              <w:rPr>
                <w:rFonts w:ascii="Times New Roman" w:cs="Times New Roman" w:eastAsia="Times New Roman" w:hAnsi="Times New Roman"/>
                <w:sz w:val="20"/>
                <w:szCs w:val="20"/>
                <w:color w:val="auto"/>
              </w:rPr>
              <w:t>CALIFORNIA RESOURCES TIDELANDS, INC.</w:t>
            </w:r>
          </w:p>
        </w:tc>
      </w:tr>
      <w:tr>
        <w:trPr>
          <w:trHeight w:val="229"/>
        </w:trPr>
        <w:tc>
          <w:tcPr>
            <w:tcW w:w="3360" w:type="dxa"/>
            <w:vAlign w:val="bottom"/>
          </w:tcPr>
          <w:p>
            <w:pPr>
              <w:spacing w:after="0"/>
              <w:rPr>
                <w:sz w:val="19"/>
                <w:szCs w:val="19"/>
                <w:color w:val="auto"/>
              </w:rPr>
            </w:pPr>
          </w:p>
        </w:tc>
        <w:tc>
          <w:tcPr>
            <w:tcW w:w="6420" w:type="dxa"/>
            <w:vAlign w:val="bottom"/>
            <w:gridSpan w:val="5"/>
          </w:tcPr>
          <w:p>
            <w:pPr>
              <w:ind w:left="1160"/>
              <w:spacing w:after="0"/>
              <w:rPr>
                <w:sz w:val="20"/>
                <w:szCs w:val="20"/>
                <w:color w:val="auto"/>
              </w:rPr>
            </w:pPr>
            <w:r>
              <w:rPr>
                <w:rFonts w:ascii="Times New Roman" w:cs="Times New Roman" w:eastAsia="Times New Roman" w:hAnsi="Times New Roman"/>
                <w:sz w:val="20"/>
                <w:szCs w:val="20"/>
                <w:color w:val="auto"/>
              </w:rPr>
              <w:t>CALIFORNIA RESOURCES WILMINGTON, LLC</w:t>
            </w:r>
          </w:p>
        </w:tc>
      </w:tr>
      <w:tr>
        <w:trPr>
          <w:trHeight w:val="243"/>
        </w:trPr>
        <w:tc>
          <w:tcPr>
            <w:tcW w:w="3360" w:type="dxa"/>
            <w:vAlign w:val="bottom"/>
          </w:tcPr>
          <w:p>
            <w:pPr>
              <w:spacing w:after="0"/>
              <w:rPr>
                <w:sz w:val="21"/>
                <w:szCs w:val="21"/>
                <w:color w:val="auto"/>
              </w:rPr>
            </w:pPr>
          </w:p>
        </w:tc>
        <w:tc>
          <w:tcPr>
            <w:tcW w:w="6420" w:type="dxa"/>
            <w:vAlign w:val="bottom"/>
            <w:gridSpan w:val="5"/>
          </w:tcPr>
          <w:p>
            <w:pPr>
              <w:ind w:left="1160"/>
              <w:spacing w:after="0"/>
              <w:rPr>
                <w:sz w:val="20"/>
                <w:szCs w:val="20"/>
                <w:color w:val="auto"/>
              </w:rPr>
            </w:pPr>
            <w:r>
              <w:rPr>
                <w:rFonts w:ascii="Times New Roman" w:cs="Times New Roman" w:eastAsia="Times New Roman" w:hAnsi="Times New Roman"/>
                <w:sz w:val="20"/>
                <w:szCs w:val="20"/>
                <w:color w:val="auto"/>
              </w:rPr>
              <w:t>CRC CONSTRUCTION SERVICES, LLC</w:t>
            </w:r>
          </w:p>
        </w:tc>
      </w:tr>
      <w:tr>
        <w:trPr>
          <w:trHeight w:val="243"/>
        </w:trPr>
        <w:tc>
          <w:tcPr>
            <w:tcW w:w="3360" w:type="dxa"/>
            <w:vAlign w:val="bottom"/>
          </w:tcPr>
          <w:p>
            <w:pPr>
              <w:spacing w:after="0"/>
              <w:rPr>
                <w:sz w:val="21"/>
                <w:szCs w:val="21"/>
                <w:color w:val="auto"/>
              </w:rPr>
            </w:pPr>
          </w:p>
        </w:tc>
        <w:tc>
          <w:tcPr>
            <w:tcW w:w="6420" w:type="dxa"/>
            <w:vAlign w:val="bottom"/>
            <w:gridSpan w:val="5"/>
          </w:tcPr>
          <w:p>
            <w:pPr>
              <w:ind w:left="1160"/>
              <w:spacing w:after="0"/>
              <w:rPr>
                <w:sz w:val="20"/>
                <w:szCs w:val="20"/>
                <w:color w:val="auto"/>
              </w:rPr>
            </w:pPr>
            <w:r>
              <w:rPr>
                <w:rFonts w:ascii="Times New Roman" w:cs="Times New Roman" w:eastAsia="Times New Roman" w:hAnsi="Times New Roman"/>
                <w:sz w:val="20"/>
                <w:szCs w:val="20"/>
                <w:color w:val="auto"/>
              </w:rPr>
              <w:t>CRC MARKETING, INC.</w:t>
            </w:r>
          </w:p>
        </w:tc>
      </w:tr>
      <w:tr>
        <w:trPr>
          <w:trHeight w:val="229"/>
        </w:trPr>
        <w:tc>
          <w:tcPr>
            <w:tcW w:w="3360" w:type="dxa"/>
            <w:vAlign w:val="bottom"/>
          </w:tcPr>
          <w:p>
            <w:pPr>
              <w:spacing w:after="0"/>
              <w:rPr>
                <w:sz w:val="19"/>
                <w:szCs w:val="19"/>
                <w:color w:val="auto"/>
              </w:rPr>
            </w:pPr>
          </w:p>
        </w:tc>
        <w:tc>
          <w:tcPr>
            <w:tcW w:w="6420" w:type="dxa"/>
            <w:vAlign w:val="bottom"/>
            <w:gridSpan w:val="5"/>
          </w:tcPr>
          <w:p>
            <w:pPr>
              <w:ind w:left="1160"/>
              <w:spacing w:after="0"/>
              <w:rPr>
                <w:sz w:val="20"/>
                <w:szCs w:val="20"/>
                <w:color w:val="auto"/>
              </w:rPr>
            </w:pPr>
            <w:r>
              <w:rPr>
                <w:rFonts w:ascii="Times New Roman" w:cs="Times New Roman" w:eastAsia="Times New Roman" w:hAnsi="Times New Roman"/>
                <w:sz w:val="20"/>
                <w:szCs w:val="20"/>
                <w:color w:val="auto"/>
              </w:rPr>
              <w:t>CRC SERVICES, LLC</w:t>
            </w:r>
          </w:p>
        </w:tc>
      </w:tr>
      <w:tr>
        <w:trPr>
          <w:trHeight w:val="243"/>
        </w:trPr>
        <w:tc>
          <w:tcPr>
            <w:tcW w:w="3360" w:type="dxa"/>
            <w:vAlign w:val="bottom"/>
          </w:tcPr>
          <w:p>
            <w:pPr>
              <w:spacing w:after="0"/>
              <w:rPr>
                <w:sz w:val="21"/>
                <w:szCs w:val="21"/>
                <w:color w:val="auto"/>
              </w:rPr>
            </w:pPr>
          </w:p>
        </w:tc>
        <w:tc>
          <w:tcPr>
            <w:tcW w:w="6420" w:type="dxa"/>
            <w:vAlign w:val="bottom"/>
            <w:gridSpan w:val="5"/>
          </w:tcPr>
          <w:p>
            <w:pPr>
              <w:ind w:left="1160"/>
              <w:spacing w:after="0"/>
              <w:rPr>
                <w:sz w:val="20"/>
                <w:szCs w:val="20"/>
                <w:color w:val="auto"/>
              </w:rPr>
            </w:pPr>
            <w:r>
              <w:rPr>
                <w:rFonts w:ascii="Times New Roman" w:cs="Times New Roman" w:eastAsia="Times New Roman" w:hAnsi="Times New Roman"/>
                <w:sz w:val="20"/>
                <w:szCs w:val="20"/>
                <w:color w:val="auto"/>
              </w:rPr>
              <w:t>SOCAL HOLDING, LLC</w:t>
            </w:r>
          </w:p>
        </w:tc>
      </w:tr>
      <w:tr>
        <w:trPr>
          <w:trHeight w:val="229"/>
        </w:trPr>
        <w:tc>
          <w:tcPr>
            <w:tcW w:w="3360" w:type="dxa"/>
            <w:vAlign w:val="bottom"/>
          </w:tcPr>
          <w:p>
            <w:pPr>
              <w:spacing w:after="0"/>
              <w:rPr>
                <w:sz w:val="19"/>
                <w:szCs w:val="19"/>
                <w:color w:val="auto"/>
              </w:rPr>
            </w:pPr>
          </w:p>
        </w:tc>
        <w:tc>
          <w:tcPr>
            <w:tcW w:w="6420" w:type="dxa"/>
            <w:vAlign w:val="bottom"/>
            <w:gridSpan w:val="5"/>
          </w:tcPr>
          <w:p>
            <w:pPr>
              <w:ind w:left="1160"/>
              <w:spacing w:after="0"/>
              <w:rPr>
                <w:sz w:val="20"/>
                <w:szCs w:val="20"/>
                <w:color w:val="auto"/>
              </w:rPr>
            </w:pPr>
            <w:r>
              <w:rPr>
                <w:rFonts w:ascii="Times New Roman" w:cs="Times New Roman" w:eastAsia="Times New Roman" w:hAnsi="Times New Roman"/>
                <w:sz w:val="20"/>
                <w:szCs w:val="20"/>
                <w:color w:val="auto"/>
              </w:rPr>
              <w:t>SOUTHERN SAN JOAQUIN PRODUCTION, INC.</w:t>
            </w:r>
          </w:p>
        </w:tc>
      </w:tr>
      <w:tr>
        <w:trPr>
          <w:trHeight w:val="243"/>
        </w:trPr>
        <w:tc>
          <w:tcPr>
            <w:tcW w:w="3360" w:type="dxa"/>
            <w:vAlign w:val="bottom"/>
          </w:tcPr>
          <w:p>
            <w:pPr>
              <w:spacing w:after="0"/>
              <w:rPr>
                <w:sz w:val="21"/>
                <w:szCs w:val="21"/>
                <w:color w:val="auto"/>
              </w:rPr>
            </w:pPr>
          </w:p>
        </w:tc>
        <w:tc>
          <w:tcPr>
            <w:tcW w:w="6420" w:type="dxa"/>
            <w:vAlign w:val="bottom"/>
            <w:gridSpan w:val="5"/>
          </w:tcPr>
          <w:p>
            <w:pPr>
              <w:ind w:left="1160"/>
              <w:spacing w:after="0"/>
              <w:rPr>
                <w:sz w:val="20"/>
                <w:szCs w:val="20"/>
                <w:color w:val="auto"/>
              </w:rPr>
            </w:pPr>
            <w:r>
              <w:rPr>
                <w:rFonts w:ascii="Times New Roman" w:cs="Times New Roman" w:eastAsia="Times New Roman" w:hAnsi="Times New Roman"/>
                <w:sz w:val="20"/>
                <w:szCs w:val="20"/>
                <w:color w:val="auto"/>
              </w:rPr>
              <w:t>THUMS LONG BEACH COMPANY</w:t>
            </w:r>
          </w:p>
        </w:tc>
      </w:tr>
      <w:tr>
        <w:trPr>
          <w:trHeight w:val="243"/>
        </w:trPr>
        <w:tc>
          <w:tcPr>
            <w:tcW w:w="3360" w:type="dxa"/>
            <w:vAlign w:val="bottom"/>
          </w:tcPr>
          <w:p>
            <w:pPr>
              <w:spacing w:after="0"/>
              <w:rPr>
                <w:sz w:val="21"/>
                <w:szCs w:val="21"/>
                <w:color w:val="auto"/>
              </w:rPr>
            </w:pPr>
          </w:p>
        </w:tc>
        <w:tc>
          <w:tcPr>
            <w:tcW w:w="6420" w:type="dxa"/>
            <w:vAlign w:val="bottom"/>
            <w:gridSpan w:val="5"/>
          </w:tcPr>
          <w:p>
            <w:pPr>
              <w:ind w:left="1160"/>
              <w:spacing w:after="0"/>
              <w:rPr>
                <w:sz w:val="20"/>
                <w:szCs w:val="20"/>
                <w:color w:val="auto"/>
              </w:rPr>
            </w:pPr>
            <w:r>
              <w:rPr>
                <w:rFonts w:ascii="Times New Roman" w:cs="Times New Roman" w:eastAsia="Times New Roman" w:hAnsi="Times New Roman"/>
                <w:sz w:val="20"/>
                <w:szCs w:val="20"/>
                <w:color w:val="auto"/>
              </w:rPr>
              <w:t>TIDELANDS OIL PRODUCTION COMPANY LLC</w:t>
            </w:r>
          </w:p>
        </w:tc>
      </w:tr>
      <w:tr>
        <w:trPr>
          <w:trHeight w:val="229"/>
        </w:trPr>
        <w:tc>
          <w:tcPr>
            <w:tcW w:w="3360" w:type="dxa"/>
            <w:vAlign w:val="bottom"/>
          </w:tcPr>
          <w:p>
            <w:pPr>
              <w:spacing w:after="0"/>
              <w:rPr>
                <w:sz w:val="19"/>
                <w:szCs w:val="19"/>
                <w:color w:val="auto"/>
              </w:rPr>
            </w:pPr>
          </w:p>
        </w:tc>
        <w:tc>
          <w:tcPr>
            <w:tcW w:w="6420" w:type="dxa"/>
            <w:vAlign w:val="bottom"/>
            <w:gridSpan w:val="5"/>
          </w:tcPr>
          <w:p>
            <w:pPr>
              <w:ind w:left="1160"/>
              <w:spacing w:after="0"/>
              <w:rPr>
                <w:sz w:val="20"/>
                <w:szCs w:val="20"/>
                <w:color w:val="auto"/>
              </w:rPr>
            </w:pPr>
            <w:r>
              <w:rPr>
                <w:rFonts w:ascii="Times New Roman" w:cs="Times New Roman" w:eastAsia="Times New Roman" w:hAnsi="Times New Roman"/>
                <w:sz w:val="20"/>
                <w:szCs w:val="20"/>
                <w:color w:val="auto"/>
              </w:rPr>
              <w:t>CALIFORNIA HEAVY OIL, INC.</w:t>
            </w:r>
          </w:p>
        </w:tc>
      </w:tr>
      <w:tr>
        <w:trPr>
          <w:trHeight w:val="243"/>
        </w:trPr>
        <w:tc>
          <w:tcPr>
            <w:tcW w:w="3360" w:type="dxa"/>
            <w:vAlign w:val="bottom"/>
          </w:tcPr>
          <w:p>
            <w:pPr>
              <w:spacing w:after="0"/>
              <w:rPr>
                <w:sz w:val="21"/>
                <w:szCs w:val="21"/>
                <w:color w:val="auto"/>
              </w:rPr>
            </w:pPr>
          </w:p>
        </w:tc>
        <w:tc>
          <w:tcPr>
            <w:tcW w:w="6420" w:type="dxa"/>
            <w:vAlign w:val="bottom"/>
            <w:gridSpan w:val="5"/>
          </w:tcPr>
          <w:p>
            <w:pPr>
              <w:ind w:left="1160"/>
              <w:spacing w:after="0"/>
              <w:rPr>
                <w:sz w:val="20"/>
                <w:szCs w:val="20"/>
                <w:color w:val="auto"/>
              </w:rPr>
            </w:pPr>
            <w:r>
              <w:rPr>
                <w:rFonts w:ascii="Times New Roman" w:cs="Times New Roman" w:eastAsia="Times New Roman" w:hAnsi="Times New Roman"/>
                <w:sz w:val="20"/>
                <w:szCs w:val="20"/>
                <w:color w:val="auto"/>
              </w:rPr>
              <w:t>ELK HILLS POWER, LLC</w:t>
            </w:r>
          </w:p>
        </w:tc>
      </w:tr>
      <w:tr>
        <w:trPr>
          <w:trHeight w:val="229"/>
        </w:trPr>
        <w:tc>
          <w:tcPr>
            <w:tcW w:w="3360" w:type="dxa"/>
            <w:vAlign w:val="bottom"/>
          </w:tcPr>
          <w:p>
            <w:pPr>
              <w:spacing w:after="0"/>
              <w:rPr>
                <w:sz w:val="19"/>
                <w:szCs w:val="19"/>
                <w:color w:val="auto"/>
              </w:rPr>
            </w:pPr>
          </w:p>
        </w:tc>
        <w:tc>
          <w:tcPr>
            <w:tcW w:w="6420" w:type="dxa"/>
            <w:vAlign w:val="bottom"/>
            <w:gridSpan w:val="5"/>
          </w:tcPr>
          <w:p>
            <w:pPr>
              <w:ind w:left="1160"/>
              <w:spacing w:after="0"/>
              <w:rPr>
                <w:sz w:val="20"/>
                <w:szCs w:val="20"/>
                <w:color w:val="auto"/>
              </w:rPr>
            </w:pPr>
            <w:r>
              <w:rPr>
                <w:rFonts w:ascii="Times New Roman" w:cs="Times New Roman" w:eastAsia="Times New Roman" w:hAnsi="Times New Roman"/>
                <w:sz w:val="20"/>
                <w:szCs w:val="20"/>
                <w:color w:val="auto"/>
              </w:rPr>
              <w:t>EHP TOPCO HOLDING COMPANY, LLC</w:t>
            </w:r>
          </w:p>
        </w:tc>
      </w:tr>
      <w:tr>
        <w:trPr>
          <w:trHeight w:val="243"/>
        </w:trPr>
        <w:tc>
          <w:tcPr>
            <w:tcW w:w="3360" w:type="dxa"/>
            <w:vAlign w:val="bottom"/>
          </w:tcPr>
          <w:p>
            <w:pPr>
              <w:spacing w:after="0"/>
              <w:rPr>
                <w:sz w:val="21"/>
                <w:szCs w:val="21"/>
                <w:color w:val="auto"/>
              </w:rPr>
            </w:pPr>
          </w:p>
        </w:tc>
        <w:tc>
          <w:tcPr>
            <w:tcW w:w="6420" w:type="dxa"/>
            <w:vAlign w:val="bottom"/>
            <w:gridSpan w:val="5"/>
          </w:tcPr>
          <w:p>
            <w:pPr>
              <w:ind w:left="1160"/>
              <w:spacing w:after="0"/>
              <w:rPr>
                <w:sz w:val="20"/>
                <w:szCs w:val="20"/>
                <w:color w:val="auto"/>
              </w:rPr>
            </w:pPr>
            <w:r>
              <w:rPr>
                <w:rFonts w:ascii="Times New Roman" w:cs="Times New Roman" w:eastAsia="Times New Roman" w:hAnsi="Times New Roman"/>
                <w:sz w:val="20"/>
                <w:szCs w:val="20"/>
                <w:color w:val="auto"/>
              </w:rPr>
              <w:t>EHP MIDCO HOLDING COMPANY, LLC</w:t>
            </w:r>
          </w:p>
        </w:tc>
      </w:tr>
      <w:tr>
        <w:trPr>
          <w:trHeight w:val="229"/>
        </w:trPr>
        <w:tc>
          <w:tcPr>
            <w:tcW w:w="3360" w:type="dxa"/>
            <w:vAlign w:val="bottom"/>
          </w:tcPr>
          <w:p>
            <w:pPr>
              <w:spacing w:after="0"/>
              <w:rPr>
                <w:sz w:val="19"/>
                <w:szCs w:val="19"/>
                <w:color w:val="auto"/>
              </w:rPr>
            </w:pPr>
          </w:p>
        </w:tc>
        <w:tc>
          <w:tcPr>
            <w:tcW w:w="6420" w:type="dxa"/>
            <w:vAlign w:val="bottom"/>
            <w:gridSpan w:val="5"/>
          </w:tcPr>
          <w:p>
            <w:pPr>
              <w:ind w:left="1160"/>
              <w:spacing w:after="0"/>
              <w:rPr>
                <w:sz w:val="20"/>
                <w:szCs w:val="20"/>
                <w:color w:val="auto"/>
              </w:rPr>
            </w:pPr>
            <w:r>
              <w:rPr>
                <w:rFonts w:ascii="Times New Roman" w:cs="Times New Roman" w:eastAsia="Times New Roman" w:hAnsi="Times New Roman"/>
                <w:sz w:val="20"/>
                <w:szCs w:val="20"/>
                <w:color w:val="auto"/>
              </w:rPr>
              <w:t>AERA ENERGY LLC</w:t>
            </w:r>
          </w:p>
        </w:tc>
      </w:tr>
      <w:tr>
        <w:trPr>
          <w:trHeight w:val="243"/>
        </w:trPr>
        <w:tc>
          <w:tcPr>
            <w:tcW w:w="3360" w:type="dxa"/>
            <w:vAlign w:val="bottom"/>
          </w:tcPr>
          <w:p>
            <w:pPr>
              <w:spacing w:after="0"/>
              <w:rPr>
                <w:sz w:val="21"/>
                <w:szCs w:val="21"/>
                <w:color w:val="auto"/>
              </w:rPr>
            </w:pPr>
          </w:p>
        </w:tc>
        <w:tc>
          <w:tcPr>
            <w:tcW w:w="6420" w:type="dxa"/>
            <w:vAlign w:val="bottom"/>
            <w:gridSpan w:val="5"/>
          </w:tcPr>
          <w:p>
            <w:pPr>
              <w:ind w:left="1160"/>
              <w:spacing w:after="0"/>
              <w:rPr>
                <w:sz w:val="20"/>
                <w:szCs w:val="20"/>
                <w:color w:val="auto"/>
              </w:rPr>
            </w:pPr>
            <w:r>
              <w:rPr>
                <w:rFonts w:ascii="Times New Roman" w:cs="Times New Roman" w:eastAsia="Times New Roman" w:hAnsi="Times New Roman"/>
                <w:sz w:val="20"/>
                <w:szCs w:val="20"/>
                <w:color w:val="auto"/>
              </w:rPr>
              <w:t>AERA ENERGY SERVICES COMPANY</w:t>
            </w:r>
          </w:p>
        </w:tc>
      </w:tr>
      <w:tr>
        <w:trPr>
          <w:trHeight w:val="243"/>
        </w:trPr>
        <w:tc>
          <w:tcPr>
            <w:tcW w:w="3360" w:type="dxa"/>
            <w:vAlign w:val="bottom"/>
          </w:tcPr>
          <w:p>
            <w:pPr>
              <w:spacing w:after="0"/>
              <w:rPr>
                <w:sz w:val="21"/>
                <w:szCs w:val="21"/>
                <w:color w:val="auto"/>
              </w:rPr>
            </w:pPr>
          </w:p>
        </w:tc>
        <w:tc>
          <w:tcPr>
            <w:tcW w:w="6420" w:type="dxa"/>
            <w:vAlign w:val="bottom"/>
            <w:gridSpan w:val="5"/>
          </w:tcPr>
          <w:p>
            <w:pPr>
              <w:ind w:left="1160"/>
              <w:spacing w:after="0"/>
              <w:rPr>
                <w:sz w:val="20"/>
                <w:szCs w:val="20"/>
                <w:color w:val="auto"/>
              </w:rPr>
            </w:pPr>
            <w:r>
              <w:rPr>
                <w:rFonts w:ascii="Times New Roman" w:cs="Times New Roman" w:eastAsia="Times New Roman" w:hAnsi="Times New Roman"/>
                <w:sz w:val="20"/>
                <w:szCs w:val="20"/>
                <w:color w:val="auto"/>
              </w:rPr>
              <w:t>AERA FEDERAL LLC</w:t>
            </w:r>
          </w:p>
        </w:tc>
      </w:tr>
      <w:tr>
        <w:trPr>
          <w:trHeight w:val="230"/>
        </w:trPr>
        <w:tc>
          <w:tcPr>
            <w:tcW w:w="3360" w:type="dxa"/>
            <w:vAlign w:val="bottom"/>
          </w:tcPr>
          <w:p>
            <w:pPr>
              <w:spacing w:after="0"/>
              <w:rPr>
                <w:sz w:val="19"/>
                <w:szCs w:val="19"/>
                <w:color w:val="auto"/>
              </w:rPr>
            </w:pPr>
          </w:p>
        </w:tc>
        <w:tc>
          <w:tcPr>
            <w:tcW w:w="6420" w:type="dxa"/>
            <w:vAlign w:val="bottom"/>
            <w:gridSpan w:val="5"/>
          </w:tcPr>
          <w:p>
            <w:pPr>
              <w:ind w:left="1160"/>
              <w:spacing w:after="0"/>
              <w:rPr>
                <w:sz w:val="20"/>
                <w:szCs w:val="20"/>
                <w:color w:val="auto"/>
              </w:rPr>
            </w:pPr>
            <w:r>
              <w:rPr>
                <w:rFonts w:ascii="Times New Roman" w:cs="Times New Roman" w:eastAsia="Times New Roman" w:hAnsi="Times New Roman"/>
                <w:sz w:val="20"/>
                <w:szCs w:val="20"/>
                <w:color w:val="auto"/>
              </w:rPr>
              <w:t>BELRIDGE FARMS &amp; PACKING LLC</w:t>
            </w:r>
          </w:p>
        </w:tc>
      </w:tr>
      <w:tr>
        <w:trPr>
          <w:trHeight w:val="243"/>
        </w:trPr>
        <w:tc>
          <w:tcPr>
            <w:tcW w:w="3360" w:type="dxa"/>
            <w:vAlign w:val="bottom"/>
          </w:tcPr>
          <w:p>
            <w:pPr>
              <w:spacing w:after="0"/>
              <w:rPr>
                <w:sz w:val="21"/>
                <w:szCs w:val="21"/>
                <w:color w:val="auto"/>
              </w:rPr>
            </w:pPr>
          </w:p>
        </w:tc>
        <w:tc>
          <w:tcPr>
            <w:tcW w:w="6420" w:type="dxa"/>
            <w:vAlign w:val="bottom"/>
            <w:gridSpan w:val="5"/>
          </w:tcPr>
          <w:p>
            <w:pPr>
              <w:ind w:left="1160"/>
              <w:spacing w:after="0"/>
              <w:rPr>
                <w:sz w:val="20"/>
                <w:szCs w:val="20"/>
                <w:color w:val="auto"/>
              </w:rPr>
            </w:pPr>
            <w:r>
              <w:rPr>
                <w:rFonts w:ascii="Times New Roman" w:cs="Times New Roman" w:eastAsia="Times New Roman" w:hAnsi="Times New Roman"/>
                <w:sz w:val="20"/>
                <w:szCs w:val="20"/>
                <w:color w:val="auto"/>
              </w:rPr>
              <w:t>GREEN GATE SAN ARDO LLC</w:t>
            </w:r>
          </w:p>
        </w:tc>
      </w:tr>
      <w:tr>
        <w:trPr>
          <w:trHeight w:val="230"/>
        </w:trPr>
        <w:tc>
          <w:tcPr>
            <w:tcW w:w="3360" w:type="dxa"/>
            <w:vAlign w:val="bottom"/>
          </w:tcPr>
          <w:p>
            <w:pPr>
              <w:spacing w:after="0"/>
              <w:rPr>
                <w:sz w:val="19"/>
                <w:szCs w:val="19"/>
                <w:color w:val="auto"/>
              </w:rPr>
            </w:pPr>
          </w:p>
        </w:tc>
        <w:tc>
          <w:tcPr>
            <w:tcW w:w="6420" w:type="dxa"/>
            <w:vAlign w:val="bottom"/>
            <w:gridSpan w:val="5"/>
          </w:tcPr>
          <w:p>
            <w:pPr>
              <w:ind w:left="1160"/>
              <w:spacing w:after="0"/>
              <w:rPr>
                <w:sz w:val="20"/>
                <w:szCs w:val="20"/>
                <w:color w:val="auto"/>
              </w:rPr>
            </w:pPr>
            <w:r>
              <w:rPr>
                <w:rFonts w:ascii="Times New Roman" w:cs="Times New Roman" w:eastAsia="Times New Roman" w:hAnsi="Times New Roman"/>
                <w:sz w:val="20"/>
                <w:szCs w:val="20"/>
                <w:color w:val="auto"/>
              </w:rPr>
              <w:t>TERRAIN TECHNOLOGY INC.</w:t>
            </w:r>
          </w:p>
        </w:tc>
      </w:tr>
      <w:tr>
        <w:trPr>
          <w:trHeight w:val="243"/>
        </w:trPr>
        <w:tc>
          <w:tcPr>
            <w:tcW w:w="3360" w:type="dxa"/>
            <w:vAlign w:val="bottom"/>
          </w:tcPr>
          <w:p>
            <w:pPr>
              <w:spacing w:after="0"/>
              <w:rPr>
                <w:sz w:val="21"/>
                <w:szCs w:val="21"/>
                <w:color w:val="auto"/>
              </w:rPr>
            </w:pPr>
          </w:p>
        </w:tc>
        <w:tc>
          <w:tcPr>
            <w:tcW w:w="6420" w:type="dxa"/>
            <w:vAlign w:val="bottom"/>
            <w:gridSpan w:val="5"/>
          </w:tcPr>
          <w:p>
            <w:pPr>
              <w:ind w:left="1160"/>
              <w:spacing w:after="0"/>
              <w:rPr>
                <w:sz w:val="20"/>
                <w:szCs w:val="20"/>
                <w:color w:val="auto"/>
              </w:rPr>
            </w:pPr>
            <w:r>
              <w:rPr>
                <w:rFonts w:ascii="Times New Roman" w:cs="Times New Roman" w:eastAsia="Times New Roman" w:hAnsi="Times New Roman"/>
                <w:sz w:val="20"/>
                <w:szCs w:val="20"/>
                <w:color w:val="auto"/>
              </w:rPr>
              <w:t>GREEN GATE INTERMEDIATE LLC</w:t>
            </w:r>
          </w:p>
        </w:tc>
      </w:tr>
      <w:tr>
        <w:trPr>
          <w:trHeight w:val="243"/>
        </w:trPr>
        <w:tc>
          <w:tcPr>
            <w:tcW w:w="3360" w:type="dxa"/>
            <w:vAlign w:val="bottom"/>
          </w:tcPr>
          <w:p>
            <w:pPr>
              <w:spacing w:after="0"/>
              <w:rPr>
                <w:sz w:val="21"/>
                <w:szCs w:val="21"/>
                <w:color w:val="auto"/>
              </w:rPr>
            </w:pPr>
          </w:p>
        </w:tc>
        <w:tc>
          <w:tcPr>
            <w:tcW w:w="6420" w:type="dxa"/>
            <w:vAlign w:val="bottom"/>
            <w:gridSpan w:val="5"/>
          </w:tcPr>
          <w:p>
            <w:pPr>
              <w:ind w:left="1160"/>
              <w:spacing w:after="0"/>
              <w:rPr>
                <w:sz w:val="20"/>
                <w:szCs w:val="20"/>
                <w:color w:val="auto"/>
              </w:rPr>
            </w:pPr>
            <w:r>
              <w:rPr>
                <w:rFonts w:ascii="Times New Roman" w:cs="Times New Roman" w:eastAsia="Times New Roman" w:hAnsi="Times New Roman"/>
                <w:sz w:val="20"/>
                <w:szCs w:val="20"/>
                <w:color w:val="auto"/>
              </w:rPr>
              <w:t>GREEN GATE RESOURCES E LLC</w:t>
            </w:r>
          </w:p>
        </w:tc>
      </w:tr>
      <w:tr>
        <w:trPr>
          <w:trHeight w:val="230"/>
        </w:trPr>
        <w:tc>
          <w:tcPr>
            <w:tcW w:w="3360" w:type="dxa"/>
            <w:vAlign w:val="bottom"/>
          </w:tcPr>
          <w:p>
            <w:pPr>
              <w:spacing w:after="0"/>
              <w:rPr>
                <w:sz w:val="19"/>
                <w:szCs w:val="19"/>
                <w:color w:val="auto"/>
              </w:rPr>
            </w:pPr>
          </w:p>
        </w:tc>
        <w:tc>
          <w:tcPr>
            <w:tcW w:w="6420" w:type="dxa"/>
            <w:vAlign w:val="bottom"/>
            <w:gridSpan w:val="5"/>
          </w:tcPr>
          <w:p>
            <w:pPr>
              <w:ind w:left="1160"/>
              <w:spacing w:after="0"/>
              <w:rPr>
                <w:sz w:val="20"/>
                <w:szCs w:val="20"/>
                <w:color w:val="auto"/>
              </w:rPr>
            </w:pPr>
            <w:r>
              <w:rPr>
                <w:rFonts w:ascii="Times New Roman" w:cs="Times New Roman" w:eastAsia="Times New Roman" w:hAnsi="Times New Roman"/>
                <w:sz w:val="20"/>
                <w:szCs w:val="20"/>
                <w:color w:val="auto"/>
              </w:rPr>
              <w:t>GREEN GATE RESOURCES S LLC</w:t>
            </w:r>
          </w:p>
        </w:tc>
      </w:tr>
      <w:tr>
        <w:trPr>
          <w:trHeight w:val="243"/>
        </w:trPr>
        <w:tc>
          <w:tcPr>
            <w:tcW w:w="3360" w:type="dxa"/>
            <w:vAlign w:val="bottom"/>
          </w:tcPr>
          <w:p>
            <w:pPr>
              <w:spacing w:after="0"/>
              <w:rPr>
                <w:sz w:val="21"/>
                <w:szCs w:val="21"/>
                <w:color w:val="auto"/>
              </w:rPr>
            </w:pPr>
          </w:p>
        </w:tc>
        <w:tc>
          <w:tcPr>
            <w:tcW w:w="6420" w:type="dxa"/>
            <w:vAlign w:val="bottom"/>
            <w:gridSpan w:val="5"/>
          </w:tcPr>
          <w:p>
            <w:pPr>
              <w:ind w:left="1160"/>
              <w:spacing w:after="0"/>
              <w:rPr>
                <w:sz w:val="20"/>
                <w:szCs w:val="20"/>
                <w:color w:val="auto"/>
              </w:rPr>
            </w:pPr>
            <w:r>
              <w:rPr>
                <w:rFonts w:ascii="Times New Roman" w:cs="Times New Roman" w:eastAsia="Times New Roman" w:hAnsi="Times New Roman"/>
                <w:sz w:val="20"/>
                <w:szCs w:val="20"/>
                <w:color w:val="auto"/>
              </w:rPr>
              <w:t>GREEN GATE RESOURCES HOLDINGS LLC</w:t>
            </w:r>
          </w:p>
        </w:tc>
      </w:tr>
      <w:tr>
        <w:trPr>
          <w:trHeight w:val="230"/>
        </w:trPr>
        <w:tc>
          <w:tcPr>
            <w:tcW w:w="3360" w:type="dxa"/>
            <w:vAlign w:val="bottom"/>
          </w:tcPr>
          <w:p>
            <w:pPr>
              <w:spacing w:after="0"/>
              <w:rPr>
                <w:sz w:val="19"/>
                <w:szCs w:val="19"/>
                <w:color w:val="auto"/>
              </w:rPr>
            </w:pPr>
          </w:p>
        </w:tc>
        <w:tc>
          <w:tcPr>
            <w:tcW w:w="6420" w:type="dxa"/>
            <w:vAlign w:val="bottom"/>
            <w:gridSpan w:val="5"/>
          </w:tcPr>
          <w:p>
            <w:pPr>
              <w:ind w:left="1160"/>
              <w:spacing w:after="0"/>
              <w:rPr>
                <w:sz w:val="20"/>
                <w:szCs w:val="20"/>
                <w:color w:val="auto"/>
              </w:rPr>
            </w:pPr>
            <w:r>
              <w:rPr>
                <w:rFonts w:ascii="Times New Roman" w:cs="Times New Roman" w:eastAsia="Times New Roman" w:hAnsi="Times New Roman"/>
                <w:sz w:val="20"/>
                <w:szCs w:val="20"/>
                <w:color w:val="auto"/>
              </w:rPr>
              <w:t>GREEN GATE RESOURCES PARENT LLC</w:t>
            </w:r>
          </w:p>
        </w:tc>
      </w:tr>
      <w:tr>
        <w:trPr>
          <w:trHeight w:val="258"/>
        </w:trPr>
        <w:tc>
          <w:tcPr>
            <w:tcW w:w="3360" w:type="dxa"/>
            <w:vAlign w:val="bottom"/>
          </w:tcPr>
          <w:p>
            <w:pPr>
              <w:spacing w:after="0"/>
              <w:rPr>
                <w:sz w:val="22"/>
                <w:szCs w:val="22"/>
                <w:color w:val="auto"/>
              </w:rPr>
            </w:pPr>
          </w:p>
        </w:tc>
        <w:tc>
          <w:tcPr>
            <w:tcW w:w="6420" w:type="dxa"/>
            <w:vAlign w:val="bottom"/>
            <w:gridSpan w:val="5"/>
          </w:tcPr>
          <w:p>
            <w:pPr>
              <w:ind w:left="1160"/>
              <w:spacing w:after="0"/>
              <w:rPr>
                <w:sz w:val="20"/>
                <w:szCs w:val="20"/>
                <w:color w:val="auto"/>
              </w:rPr>
            </w:pPr>
            <w:r>
              <w:rPr>
                <w:rFonts w:ascii="Times New Roman" w:cs="Times New Roman" w:eastAsia="Times New Roman" w:hAnsi="Times New Roman"/>
                <w:sz w:val="20"/>
                <w:szCs w:val="20"/>
                <w:color w:val="auto"/>
              </w:rPr>
              <w:t>PETRA MERGER SUB S, LLC</w:t>
            </w:r>
          </w:p>
        </w:tc>
      </w:tr>
      <w:tr>
        <w:trPr>
          <w:trHeight w:val="750"/>
        </w:trPr>
        <w:tc>
          <w:tcPr>
            <w:tcW w:w="3360" w:type="dxa"/>
            <w:vAlign w:val="bottom"/>
          </w:tcPr>
          <w:p>
            <w:pPr>
              <w:spacing w:after="0"/>
              <w:rPr>
                <w:sz w:val="24"/>
                <w:szCs w:val="24"/>
                <w:color w:val="auto"/>
              </w:rPr>
            </w:pPr>
          </w:p>
        </w:tc>
        <w:tc>
          <w:tcPr>
            <w:tcW w:w="1640" w:type="dxa"/>
            <w:vAlign w:val="bottom"/>
            <w:gridSpan w:val="2"/>
          </w:tcPr>
          <w:p>
            <w:pPr>
              <w:ind w:left="1160"/>
              <w:spacing w:after="0"/>
              <w:rPr>
                <w:sz w:val="20"/>
                <w:szCs w:val="20"/>
                <w:color w:val="auto"/>
              </w:rPr>
            </w:pPr>
            <w:r>
              <w:rPr>
                <w:rFonts w:ascii="Times New Roman" w:cs="Times New Roman" w:eastAsia="Times New Roman" w:hAnsi="Times New Roman"/>
                <w:sz w:val="20"/>
                <w:szCs w:val="20"/>
                <w:color w:val="auto"/>
              </w:rPr>
              <w:t>By:</w:t>
            </w:r>
          </w:p>
        </w:tc>
        <w:tc>
          <w:tcPr>
            <w:tcW w:w="200" w:type="dxa"/>
            <w:vAlign w:val="bottom"/>
            <w:tcBorders>
              <w:bottom w:val="single" w:sz="8" w:color="auto"/>
            </w:tcBorders>
            <w:gridSpan w:val="2"/>
          </w:tcPr>
          <w:p>
            <w:pPr>
              <w:spacing w:after="0"/>
              <w:rPr>
                <w:sz w:val="24"/>
                <w:szCs w:val="24"/>
                <w:color w:val="auto"/>
              </w:rPr>
            </w:pPr>
          </w:p>
        </w:tc>
        <w:tc>
          <w:tcPr>
            <w:tcW w:w="4580" w:type="dxa"/>
            <w:vAlign w:val="bottom"/>
          </w:tcPr>
          <w:p>
            <w:pPr>
              <w:spacing w:after="0"/>
              <w:rPr>
                <w:sz w:val="24"/>
                <w:szCs w:val="24"/>
                <w:color w:val="auto"/>
              </w:rPr>
            </w:pPr>
          </w:p>
        </w:tc>
      </w:tr>
      <w:tr>
        <w:trPr>
          <w:trHeight w:val="324"/>
        </w:trPr>
        <w:tc>
          <w:tcPr>
            <w:tcW w:w="3360" w:type="dxa"/>
            <w:vAlign w:val="bottom"/>
          </w:tcPr>
          <w:p>
            <w:pPr>
              <w:spacing w:after="0"/>
              <w:rPr>
                <w:sz w:val="24"/>
                <w:szCs w:val="24"/>
                <w:color w:val="auto"/>
              </w:rPr>
            </w:pPr>
          </w:p>
        </w:tc>
        <w:tc>
          <w:tcPr>
            <w:tcW w:w="6420" w:type="dxa"/>
            <w:vAlign w:val="bottom"/>
            <w:gridSpan w:val="5"/>
          </w:tcPr>
          <w:p>
            <w:pPr>
              <w:ind w:left="1160"/>
              <w:spacing w:after="0"/>
              <w:rPr>
                <w:sz w:val="20"/>
                <w:szCs w:val="20"/>
                <w:color w:val="auto"/>
              </w:rPr>
            </w:pPr>
            <w:r>
              <w:rPr>
                <w:rFonts w:ascii="Times New Roman" w:cs="Times New Roman" w:eastAsia="Times New Roman" w:hAnsi="Times New Roman"/>
                <w:sz w:val="20"/>
                <w:szCs w:val="20"/>
                <w:color w:val="auto"/>
              </w:rPr>
              <w:t>Name:  Manuela Molina</w:t>
            </w:r>
          </w:p>
        </w:tc>
      </w:tr>
      <w:tr>
        <w:trPr>
          <w:trHeight w:val="282"/>
        </w:trPr>
        <w:tc>
          <w:tcPr>
            <w:tcW w:w="3360" w:type="dxa"/>
            <w:vAlign w:val="bottom"/>
          </w:tcPr>
          <w:p>
            <w:pPr>
              <w:spacing w:after="0"/>
              <w:rPr>
                <w:sz w:val="24"/>
                <w:szCs w:val="24"/>
                <w:color w:val="auto"/>
              </w:rPr>
            </w:pPr>
          </w:p>
        </w:tc>
        <w:tc>
          <w:tcPr>
            <w:tcW w:w="6420" w:type="dxa"/>
            <w:vAlign w:val="bottom"/>
            <w:gridSpan w:val="5"/>
          </w:tcPr>
          <w:p>
            <w:pPr>
              <w:ind w:left="1160"/>
              <w:spacing w:after="0"/>
              <w:rPr>
                <w:sz w:val="20"/>
                <w:szCs w:val="20"/>
                <w:color w:val="auto"/>
              </w:rPr>
            </w:pPr>
            <w:r>
              <w:rPr>
                <w:rFonts w:ascii="Times New Roman" w:cs="Times New Roman" w:eastAsia="Times New Roman" w:hAnsi="Times New Roman"/>
                <w:sz w:val="20"/>
                <w:szCs w:val="20"/>
                <w:color w:val="auto"/>
              </w:rPr>
              <w:t>Title:  Executive Vice President and Chief Financial</w:t>
            </w:r>
          </w:p>
        </w:tc>
      </w:tr>
      <w:tr>
        <w:trPr>
          <w:trHeight w:val="258"/>
        </w:trPr>
        <w:tc>
          <w:tcPr>
            <w:tcW w:w="3360" w:type="dxa"/>
            <w:vAlign w:val="bottom"/>
          </w:tcPr>
          <w:p>
            <w:pPr>
              <w:spacing w:after="0"/>
              <w:rPr>
                <w:sz w:val="22"/>
                <w:szCs w:val="22"/>
                <w:color w:val="auto"/>
              </w:rPr>
            </w:pPr>
          </w:p>
        </w:tc>
        <w:tc>
          <w:tcPr>
            <w:tcW w:w="6420" w:type="dxa"/>
            <w:vAlign w:val="bottom"/>
            <w:gridSpan w:val="5"/>
          </w:tcPr>
          <w:p>
            <w:pPr>
              <w:ind w:left="1360"/>
              <w:spacing w:after="0"/>
              <w:rPr>
                <w:sz w:val="20"/>
                <w:szCs w:val="20"/>
                <w:color w:val="auto"/>
              </w:rPr>
            </w:pPr>
            <w:r>
              <w:rPr>
                <w:rFonts w:ascii="Times New Roman" w:cs="Times New Roman" w:eastAsia="Times New Roman" w:hAnsi="Times New Roman"/>
                <w:sz w:val="20"/>
                <w:szCs w:val="20"/>
                <w:color w:val="auto"/>
              </w:rPr>
              <w:t>Officer</w:t>
            </w:r>
          </w:p>
        </w:tc>
      </w:tr>
      <w:tr>
        <w:trPr>
          <w:trHeight w:val="526"/>
        </w:trPr>
        <w:tc>
          <w:tcPr>
            <w:tcW w:w="3360" w:type="dxa"/>
            <w:vAlign w:val="bottom"/>
          </w:tcPr>
          <w:p>
            <w:pPr>
              <w:spacing w:after="0"/>
              <w:rPr>
                <w:sz w:val="24"/>
                <w:szCs w:val="24"/>
                <w:color w:val="auto"/>
              </w:rPr>
            </w:pPr>
          </w:p>
        </w:tc>
        <w:tc>
          <w:tcPr>
            <w:tcW w:w="6420" w:type="dxa"/>
            <w:vAlign w:val="bottom"/>
            <w:gridSpan w:val="5"/>
          </w:tcPr>
          <w:p>
            <w:pPr>
              <w:ind w:left="1020"/>
              <w:spacing w:after="0"/>
              <w:rPr>
                <w:sz w:val="20"/>
                <w:szCs w:val="20"/>
                <w:color w:val="auto"/>
              </w:rPr>
            </w:pPr>
            <w:r>
              <w:rPr>
                <w:rFonts w:ascii="Times New Roman" w:cs="Times New Roman" w:eastAsia="Times New Roman" w:hAnsi="Times New Roman"/>
                <w:sz w:val="20"/>
                <w:szCs w:val="20"/>
                <w:color w:val="auto"/>
              </w:rPr>
              <w:t>CALIFORNIA RESOURCES COLES LEVEE, L.P.</w:t>
            </w:r>
          </w:p>
        </w:tc>
      </w:tr>
      <w:tr>
        <w:trPr>
          <w:trHeight w:val="480"/>
        </w:trPr>
        <w:tc>
          <w:tcPr>
            <w:tcW w:w="3360" w:type="dxa"/>
            <w:vAlign w:val="bottom"/>
          </w:tcPr>
          <w:p>
            <w:pPr>
              <w:spacing w:after="0"/>
              <w:rPr>
                <w:sz w:val="24"/>
                <w:szCs w:val="24"/>
                <w:color w:val="auto"/>
              </w:rPr>
            </w:pPr>
          </w:p>
        </w:tc>
        <w:tc>
          <w:tcPr>
            <w:tcW w:w="1500" w:type="dxa"/>
            <w:vAlign w:val="bottom"/>
          </w:tcPr>
          <w:p>
            <w:pPr>
              <w:ind w:left="1020"/>
              <w:spacing w:after="0"/>
              <w:rPr>
                <w:sz w:val="20"/>
                <w:szCs w:val="20"/>
                <w:color w:val="auto"/>
              </w:rPr>
            </w:pPr>
            <w:r>
              <w:rPr>
                <w:rFonts w:ascii="Times New Roman" w:cs="Times New Roman" w:eastAsia="Times New Roman" w:hAnsi="Times New Roman"/>
                <w:sz w:val="20"/>
                <w:szCs w:val="20"/>
                <w:color w:val="auto"/>
              </w:rPr>
              <w:t>By:</w:t>
            </w:r>
          </w:p>
        </w:tc>
        <w:tc>
          <w:tcPr>
            <w:tcW w:w="200" w:type="dxa"/>
            <w:vAlign w:val="bottom"/>
            <w:tcBorders>
              <w:bottom w:val="single" w:sz="8" w:color="auto"/>
            </w:tcBorders>
            <w:gridSpan w:val="2"/>
          </w:tcPr>
          <w:p>
            <w:pPr>
              <w:spacing w:after="0"/>
              <w:rPr>
                <w:sz w:val="24"/>
                <w:szCs w:val="24"/>
                <w:color w:val="auto"/>
              </w:rPr>
            </w:pPr>
          </w:p>
        </w:tc>
        <w:tc>
          <w:tcPr>
            <w:tcW w:w="4720" w:type="dxa"/>
            <w:vAlign w:val="bottom"/>
            <w:gridSpan w:val="2"/>
          </w:tcPr>
          <w:p>
            <w:pPr>
              <w:spacing w:after="0"/>
              <w:rPr>
                <w:sz w:val="24"/>
                <w:szCs w:val="24"/>
                <w:color w:val="auto"/>
              </w:rPr>
            </w:pPr>
          </w:p>
        </w:tc>
      </w:tr>
      <w:tr>
        <w:trPr>
          <w:trHeight w:val="324"/>
        </w:trPr>
        <w:tc>
          <w:tcPr>
            <w:tcW w:w="3360" w:type="dxa"/>
            <w:vAlign w:val="bottom"/>
          </w:tcPr>
          <w:p>
            <w:pPr>
              <w:spacing w:after="0"/>
              <w:rPr>
                <w:sz w:val="24"/>
                <w:szCs w:val="24"/>
                <w:color w:val="auto"/>
              </w:rPr>
            </w:pPr>
          </w:p>
        </w:tc>
        <w:tc>
          <w:tcPr>
            <w:tcW w:w="6420" w:type="dxa"/>
            <w:vAlign w:val="bottom"/>
            <w:gridSpan w:val="5"/>
          </w:tcPr>
          <w:p>
            <w:pPr>
              <w:ind w:left="1020"/>
              <w:spacing w:after="0"/>
              <w:rPr>
                <w:sz w:val="20"/>
                <w:szCs w:val="20"/>
                <w:color w:val="auto"/>
              </w:rPr>
            </w:pPr>
            <w:r>
              <w:rPr>
                <w:rFonts w:ascii="Times New Roman" w:cs="Times New Roman" w:eastAsia="Times New Roman" w:hAnsi="Times New Roman"/>
                <w:sz w:val="20"/>
                <w:szCs w:val="20"/>
                <w:color w:val="auto"/>
              </w:rPr>
              <w:t>Name:  Manuela Molina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6"/>
          <w:szCs w:val="16"/>
          <w:color w:val="auto"/>
        </w:rPr>
        <w:t>Signature Page</w:t>
      </w:r>
    </w:p>
    <w:p>
      <w:pPr>
        <w:spacing w:after="0" w:line="23"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6"/>
          <w:szCs w:val="16"/>
          <w:color w:val="auto"/>
        </w:rPr>
        <w:t>Fifth Amendment – California Resources Corporation</w:t>
      </w:r>
    </w:p>
    <w:p>
      <w:pPr>
        <w:sectPr>
          <w:pgSz w:w="11900" w:h="16838" w:orient="portrait"/>
          <w:cols w:equalWidth="0" w:num="1">
            <w:col w:w="10119"/>
          </w:cols>
          <w:pgMar w:left="340" w:top="1440" w:right="1440" w:bottom="1440" w:gutter="0" w:footer="0" w:header="0"/>
        </w:sectPr>
      </w:pPr>
    </w:p>
    <w:bookmarkStart w:id="79" w:name="page80"/>
    <w:bookmarkEnd w:id="79"/>
    <w:p>
      <w:pPr>
        <w:spacing w:after="0" w:line="27" w:lineRule="exact"/>
        <w:rPr>
          <w:sz w:val="20"/>
          <w:szCs w:val="20"/>
          <w:color w:val="auto"/>
        </w:rPr>
      </w:pPr>
    </w:p>
    <w:p>
      <w:pPr>
        <w:ind w:left="3280"/>
        <w:spacing w:after="0" w:line="283" w:lineRule="auto"/>
        <w:rPr>
          <w:sz w:val="20"/>
          <w:szCs w:val="20"/>
          <w:color w:val="auto"/>
        </w:rPr>
      </w:pPr>
      <w:r>
        <w:rPr>
          <w:rFonts w:ascii="Times New Roman" w:cs="Times New Roman" w:eastAsia="Times New Roman" w:hAnsi="Times New Roman"/>
          <w:sz w:val="20"/>
          <w:szCs w:val="20"/>
          <w:color w:val="auto"/>
        </w:rPr>
        <w:t>Title: Executive Vice President and Chief Financial Officer of California Resources Coles Levee, LLC, its General Partner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Signature Page</w:t>
      </w:r>
    </w:p>
    <w:p>
      <w:pPr>
        <w:spacing w:after="0" w:line="23"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Fifth Amendment – California Resources Corporation</w:t>
      </w:r>
    </w:p>
    <w:p>
      <w:pPr>
        <w:sectPr>
          <w:pgSz w:w="11900" w:h="16838" w:orient="portrait"/>
          <w:cols w:equalWidth="0" w:num="1">
            <w:col w:w="9180"/>
          </w:cols>
          <w:pgMar w:left="1440" w:top="1440" w:right="1279" w:bottom="1440" w:gutter="0" w:footer="0" w:header="0"/>
        </w:sectPr>
      </w:pPr>
    </w:p>
    <w:bookmarkStart w:id="80" w:name="page81"/>
    <w:bookmarkEnd w:id="80"/>
    <w:p>
      <w:pPr>
        <w:ind w:left="2780"/>
        <w:spacing w:after="0"/>
        <w:rPr>
          <w:sz w:val="20"/>
          <w:szCs w:val="20"/>
          <w:color w:val="auto"/>
        </w:rPr>
      </w:pPr>
      <w:r>
        <w:rPr>
          <w:rFonts w:ascii="Times New Roman" w:cs="Times New Roman" w:eastAsia="Times New Roman" w:hAnsi="Times New Roman"/>
          <w:sz w:val="20"/>
          <w:szCs w:val="20"/>
          <w:color w:val="auto"/>
        </w:rPr>
        <w:t>CITIBANK, N.A.,</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9"/>
          <w:szCs w:val="19"/>
          <w:color w:val="auto"/>
        </w:rPr>
        <w:t>as Administrative Agent and as Collateral Agent</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-10795</wp:posOffset>
            </wp:positionV>
            <wp:extent cx="75374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0">
                      <a:extLst>
                        <a:ext uri="{28A0092B-C50C-407E-A947-70E740481C1C}"/>
                      </a:extLst>
                    </a:blip>
                    <a:srcRect/>
                    <a:stretch>
                      <a:fillRect/>
                    </a:stretch>
                  </pic:blipFill>
                  <pic:spPr bwMode="auto">
                    <a:xfrm>
                      <a:off x="0" y="0"/>
                      <a:ext cx="753745" cy="8255"/>
                    </a:xfrm>
                    <a:prstGeom prst="rect">
                      <a:avLst/>
                    </a:prstGeom>
                    <a:noFill/>
                  </pic:spPr>
                </pic:pic>
              </a:graphicData>
            </a:graphic>
          </wp:anchor>
        </w:drawing>
      </w:r>
    </w:p>
    <w:p>
      <w:pPr>
        <w:spacing w:after="0" w:line="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Name:</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Title:</w:t>
      </w:r>
    </w:p>
    <w:p>
      <w:pPr>
        <w:spacing w:after="0" w:line="23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CITIBANK, N.A.,</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7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-10795</wp:posOffset>
            </wp:positionV>
            <wp:extent cx="75374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1">
                      <a:extLst>
                        <a:ext uri="{28A0092B-C50C-407E-A947-70E740481C1C}"/>
                      </a:extLst>
                    </a:blip>
                    <a:srcRect/>
                    <a:stretch>
                      <a:fillRect/>
                    </a:stretch>
                  </pic:blipFill>
                  <pic:spPr bwMode="auto">
                    <a:xfrm>
                      <a:off x="0" y="0"/>
                      <a:ext cx="753745" cy="8255"/>
                    </a:xfrm>
                    <a:prstGeom prst="rect">
                      <a:avLst/>
                    </a:prstGeom>
                    <a:noFill/>
                  </pic:spPr>
                </pic:pic>
              </a:graphicData>
            </a:graphic>
          </wp:anchor>
        </w:drawing>
      </w:r>
    </w:p>
    <w:p>
      <w:pPr>
        <w:spacing w:after="0" w:line="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Name:</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Signature Page</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Fifth Amendment – California Resources Corporation</w:t>
      </w:r>
    </w:p>
    <w:p>
      <w:pPr>
        <w:sectPr>
          <w:pgSz w:w="11900" w:h="16838" w:orient="portrait"/>
          <w:cols w:equalWidth="0" w:num="1">
            <w:col w:w="9019"/>
          </w:cols>
          <w:pgMar w:left="1440" w:top="1413" w:right="1440" w:bottom="1440" w:gutter="0" w:footer="0" w:header="0"/>
        </w:sectPr>
      </w:pPr>
    </w:p>
    <w:bookmarkStart w:id="81" w:name="page82"/>
    <w:bookmarkEnd w:id="81"/>
    <w:p>
      <w:pPr>
        <w:ind w:left="280"/>
        <w:spacing w:after="0"/>
        <w:rPr>
          <w:sz w:val="20"/>
          <w:szCs w:val="20"/>
          <w:color w:val="auto"/>
        </w:rPr>
      </w:pPr>
      <w:r>
        <w:rPr>
          <w:rFonts w:ascii="Times New Roman" w:cs="Times New Roman" w:eastAsia="Times New Roman" w:hAnsi="Times New Roman"/>
          <w:sz w:val="20"/>
          <w:szCs w:val="20"/>
          <w:b w:val="1"/>
          <w:bCs w:val="1"/>
          <w:color w:val="auto"/>
        </w:rPr>
        <w:t>KEYBANK, NATIONAL</w:t>
      </w:r>
    </w:p>
    <w:p>
      <w:pPr>
        <w:spacing w:after="0" w:line="32"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0"/>
          <w:szCs w:val="20"/>
          <w:b w:val="1"/>
          <w:bCs w:val="1"/>
          <w:color w:val="auto"/>
        </w:rPr>
        <w:t>ASSOCIATION</w:t>
      </w:r>
    </w:p>
    <w:p>
      <w:pPr>
        <w:spacing w:after="0" w:line="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7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2386965</wp:posOffset>
            </wp:positionH>
            <wp:positionV relativeFrom="paragraph">
              <wp:posOffset>-10795</wp:posOffset>
            </wp:positionV>
            <wp:extent cx="75374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2">
                      <a:extLst>
                        <a:ext uri="{28A0092B-C50C-407E-A947-70E740481C1C}"/>
                      </a:extLst>
                    </a:blip>
                    <a:srcRect/>
                    <a:stretch>
                      <a:fillRect/>
                    </a:stretch>
                  </pic:blipFill>
                  <pic:spPr bwMode="auto">
                    <a:xfrm>
                      <a:off x="0" y="0"/>
                      <a:ext cx="753745" cy="8255"/>
                    </a:xfrm>
                    <a:prstGeom prst="rect">
                      <a:avLst/>
                    </a:prstGeom>
                    <a:noFill/>
                  </pic:spPr>
                </pic:pic>
              </a:graphicData>
            </a:graphic>
          </wp:anchor>
        </w:drawing>
      </w:r>
    </w:p>
    <w:p>
      <w:pPr>
        <w:spacing w:after="0" w:line="2"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0"/>
          <w:szCs w:val="20"/>
          <w:color w:val="auto"/>
        </w:rPr>
        <w:t>Name:</w:t>
      </w:r>
    </w:p>
    <w:p>
      <w:pPr>
        <w:spacing w:after="0" w:line="6"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Signature Page</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Fifth Amendment – California Resources Corporation</w:t>
      </w:r>
    </w:p>
    <w:p>
      <w:pPr>
        <w:sectPr>
          <w:pgSz w:w="11900" w:h="16838" w:orient="portrait"/>
          <w:cols w:equalWidth="0" w:num="1">
            <w:col w:w="9019"/>
          </w:cols>
          <w:pgMar w:left="1440" w:top="1409" w:right="1440" w:bottom="1440" w:gutter="0" w:footer="0" w:header="0"/>
        </w:sectPr>
      </w:pPr>
    </w:p>
    <w:bookmarkStart w:id="82" w:name="page83"/>
    <w:bookmarkEnd w:id="82"/>
    <w:p>
      <w:pPr>
        <w:ind w:left="3420"/>
        <w:spacing w:after="0"/>
        <w:rPr>
          <w:sz w:val="20"/>
          <w:szCs w:val="20"/>
          <w:color w:val="auto"/>
        </w:rPr>
      </w:pPr>
      <w:r>
        <w:rPr>
          <w:rFonts w:ascii="Times New Roman" w:cs="Times New Roman" w:eastAsia="Times New Roman" w:hAnsi="Times New Roman"/>
          <w:sz w:val="20"/>
          <w:szCs w:val="20"/>
          <w:b w:val="1"/>
          <w:bCs w:val="1"/>
          <w:color w:val="auto"/>
        </w:rPr>
        <w:t>MUFG BANK, LTD.</w:t>
      </w:r>
    </w:p>
    <w:p>
      <w:pPr>
        <w:spacing w:after="0" w:line="3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as a Lender and Issuing Bank</w:t>
      </w:r>
    </w:p>
    <w:p>
      <w:pPr>
        <w:spacing w:after="0" w:line="200" w:lineRule="exact"/>
        <w:rPr>
          <w:sz w:val="20"/>
          <w:szCs w:val="20"/>
          <w:color w:val="auto"/>
        </w:rPr>
      </w:pPr>
    </w:p>
    <w:p>
      <w:pPr>
        <w:spacing w:after="0" w:line="270"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2386965</wp:posOffset>
            </wp:positionH>
            <wp:positionV relativeFrom="paragraph">
              <wp:posOffset>-10795</wp:posOffset>
            </wp:positionV>
            <wp:extent cx="75374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3">
                      <a:extLst>
                        <a:ext uri="{28A0092B-C50C-407E-A947-70E740481C1C}"/>
                      </a:extLst>
                    </a:blip>
                    <a:srcRect/>
                    <a:stretch>
                      <a:fillRect/>
                    </a:stretch>
                  </pic:blipFill>
                  <pic:spPr bwMode="auto">
                    <a:xfrm>
                      <a:off x="0" y="0"/>
                      <a:ext cx="753745" cy="8255"/>
                    </a:xfrm>
                    <a:prstGeom prst="rect">
                      <a:avLst/>
                    </a:prstGeom>
                    <a:noFill/>
                  </pic:spPr>
                </pic:pic>
              </a:graphicData>
            </a:graphic>
          </wp:anchor>
        </w:drawing>
      </w:r>
    </w:p>
    <w:p>
      <w:pPr>
        <w:spacing w:after="0" w:line="8"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0"/>
          <w:szCs w:val="20"/>
          <w:color w:val="auto"/>
        </w:rPr>
        <w:t>Name:</w:t>
      </w:r>
    </w:p>
    <w:p>
      <w:pPr>
        <w:spacing w:after="0" w:line="6"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Signature Page</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Fifth Amendment – California Resources Corporation</w:t>
      </w:r>
    </w:p>
    <w:p>
      <w:pPr>
        <w:sectPr>
          <w:pgSz w:w="11900" w:h="16838" w:orient="portrait"/>
          <w:cols w:equalWidth="0" w:num="1">
            <w:col w:w="9019"/>
          </w:cols>
          <w:pgMar w:left="1440" w:top="1409" w:right="1440" w:bottom="1440" w:gutter="0" w:footer="0" w:header="0"/>
        </w:sectPr>
      </w:pPr>
    </w:p>
    <w:bookmarkStart w:id="83" w:name="page84"/>
    <w:bookmarkEnd w:id="83"/>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MIZUHO BANK, LTD.</w:t>
      </w:r>
      <w:r>
        <w:rPr>
          <w:rFonts w:ascii="Times New Roman" w:cs="Times New Roman" w:eastAsia="Times New Roman" w:hAnsi="Times New Roman"/>
          <w:sz w:val="20"/>
          <w:szCs w:val="20"/>
          <w:color w:val="auto"/>
        </w:rPr>
        <w:t>,</w:t>
      </w:r>
    </w:p>
    <w:p>
      <w:pPr>
        <w:spacing w:after="0" w:line="3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70"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2386965</wp:posOffset>
            </wp:positionH>
            <wp:positionV relativeFrom="paragraph">
              <wp:posOffset>-10795</wp:posOffset>
            </wp:positionV>
            <wp:extent cx="75374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4">
                      <a:extLst>
                        <a:ext uri="{28A0092B-C50C-407E-A947-70E740481C1C}"/>
                      </a:extLst>
                    </a:blip>
                    <a:srcRect/>
                    <a:stretch>
                      <a:fillRect/>
                    </a:stretch>
                  </pic:blipFill>
                  <pic:spPr bwMode="auto">
                    <a:xfrm>
                      <a:off x="0" y="0"/>
                      <a:ext cx="753745" cy="8255"/>
                    </a:xfrm>
                    <a:prstGeom prst="rect">
                      <a:avLst/>
                    </a:prstGeom>
                    <a:noFill/>
                  </pic:spPr>
                </pic:pic>
              </a:graphicData>
            </a:graphic>
          </wp:anchor>
        </w:drawing>
      </w:r>
    </w:p>
    <w:p>
      <w:pPr>
        <w:spacing w:after="0" w:line="8"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0"/>
          <w:szCs w:val="20"/>
          <w:color w:val="auto"/>
        </w:rPr>
        <w:t>Name:</w:t>
      </w:r>
    </w:p>
    <w:p>
      <w:pPr>
        <w:spacing w:after="0" w:line="6"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Signature Page</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Fifth Amendment – California Resources Corporation</w:t>
      </w:r>
    </w:p>
    <w:p>
      <w:pPr>
        <w:sectPr>
          <w:pgSz w:w="11900" w:h="16838" w:orient="portrait"/>
          <w:cols w:equalWidth="0" w:num="1">
            <w:col w:w="9019"/>
          </w:cols>
          <w:pgMar w:left="1440" w:top="1409" w:right="1440" w:bottom="1440" w:gutter="0" w:footer="0" w:header="0"/>
        </w:sectPr>
      </w:pPr>
    </w:p>
    <w:bookmarkStart w:id="84" w:name="page85"/>
    <w:bookmarkEnd w:id="84"/>
    <w:p>
      <w:pPr>
        <w:ind w:left="3420"/>
        <w:spacing w:after="0"/>
        <w:rPr>
          <w:sz w:val="20"/>
          <w:szCs w:val="20"/>
          <w:color w:val="auto"/>
        </w:rPr>
      </w:pPr>
      <w:r>
        <w:rPr>
          <w:rFonts w:ascii="Times New Roman" w:cs="Times New Roman" w:eastAsia="Times New Roman" w:hAnsi="Times New Roman"/>
          <w:sz w:val="20"/>
          <w:szCs w:val="20"/>
          <w:b w:val="1"/>
          <w:bCs w:val="1"/>
          <w:color w:val="auto"/>
        </w:rPr>
        <w:t>ROYAL BANK OF CANADA</w:t>
      </w:r>
      <w:r>
        <w:rPr>
          <w:rFonts w:ascii="Times New Roman" w:cs="Times New Roman" w:eastAsia="Times New Roman" w:hAnsi="Times New Roman"/>
          <w:sz w:val="20"/>
          <w:szCs w:val="20"/>
          <w:color w:val="auto"/>
        </w:rPr>
        <w:t>,</w:t>
      </w:r>
    </w:p>
    <w:p>
      <w:pPr>
        <w:spacing w:after="0" w:line="3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70"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2386965</wp:posOffset>
            </wp:positionH>
            <wp:positionV relativeFrom="paragraph">
              <wp:posOffset>-10795</wp:posOffset>
            </wp:positionV>
            <wp:extent cx="75374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5">
                      <a:extLst>
                        <a:ext uri="{28A0092B-C50C-407E-A947-70E740481C1C}"/>
                      </a:extLst>
                    </a:blip>
                    <a:srcRect/>
                    <a:stretch>
                      <a:fillRect/>
                    </a:stretch>
                  </pic:blipFill>
                  <pic:spPr bwMode="auto">
                    <a:xfrm>
                      <a:off x="0" y="0"/>
                      <a:ext cx="753745" cy="8255"/>
                    </a:xfrm>
                    <a:prstGeom prst="rect">
                      <a:avLst/>
                    </a:prstGeom>
                    <a:noFill/>
                  </pic:spPr>
                </pic:pic>
              </a:graphicData>
            </a:graphic>
          </wp:anchor>
        </w:drawing>
      </w:r>
    </w:p>
    <w:p>
      <w:pPr>
        <w:spacing w:after="0" w:line="8"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0"/>
          <w:szCs w:val="20"/>
          <w:color w:val="auto"/>
        </w:rPr>
        <w:t>Name:</w:t>
      </w:r>
    </w:p>
    <w:p>
      <w:pPr>
        <w:spacing w:after="0" w:line="6"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Signature Page</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Fifth Amendment – California Resources Corporation</w:t>
      </w:r>
    </w:p>
    <w:p>
      <w:pPr>
        <w:sectPr>
          <w:pgSz w:w="11900" w:h="16838" w:orient="portrait"/>
          <w:cols w:equalWidth="0" w:num="1">
            <w:col w:w="9019"/>
          </w:cols>
          <w:pgMar w:left="1440" w:top="1409" w:right="1440" w:bottom="1440" w:gutter="0" w:footer="0" w:header="0"/>
        </w:sectPr>
      </w:pPr>
    </w:p>
    <w:bookmarkStart w:id="85" w:name="page86"/>
    <w:bookmarkEnd w:id="85"/>
    <w:p>
      <w:pPr>
        <w:spacing w:after="0" w:line="212" w:lineRule="exact"/>
        <w:rPr>
          <w:sz w:val="20"/>
          <w:szCs w:val="20"/>
          <w:color w:val="auto"/>
        </w:rPr>
      </w:pPr>
    </w:p>
    <w:p>
      <w:pPr>
        <w:jc w:val="right"/>
        <w:spacing w:after="0"/>
        <w:tabs>
          <w:tab w:leader="none" w:pos="2040" w:val="left"/>
        </w:tabs>
        <w:rPr>
          <w:sz w:val="20"/>
          <w:szCs w:val="20"/>
          <w:color w:val="auto"/>
        </w:rPr>
      </w:pPr>
      <w:r>
        <w:rPr>
          <w:rFonts w:ascii="Times New Roman" w:cs="Times New Roman" w:eastAsia="Times New Roman" w:hAnsi="Times New Roman"/>
          <w:sz w:val="20"/>
          <w:szCs w:val="20"/>
          <w:b w:val="1"/>
          <w:bCs w:val="1"/>
          <w:color w:val="auto"/>
        </w:rPr>
        <w:t>THE TORONTO-DOMINION BANK,</w:t>
      </w:r>
      <w:r>
        <w:rPr>
          <w:sz w:val="20"/>
          <w:szCs w:val="20"/>
          <w:color w:val="auto"/>
        </w:rPr>
        <w:tab/>
      </w:r>
      <w:r>
        <w:rPr>
          <w:rFonts w:ascii="Times New Roman" w:cs="Times New Roman" w:eastAsia="Times New Roman" w:hAnsi="Times New Roman"/>
          <w:sz w:val="19"/>
          <w:szCs w:val="19"/>
          <w:b w:val="1"/>
          <w:bCs w:val="1"/>
          <w:color w:val="auto"/>
        </w:rPr>
        <w:t>NEW YORK BRANCH</w:t>
      </w:r>
      <w:r>
        <w:rPr>
          <w:rFonts w:ascii="Times New Roman" w:cs="Times New Roman" w:eastAsia="Times New Roman" w:hAnsi="Times New Roman"/>
          <w:sz w:val="19"/>
          <w:szCs w:val="19"/>
          <w:color w:val="auto"/>
        </w:rPr>
        <w:t>,</w:t>
      </w:r>
    </w:p>
    <w:p>
      <w:pPr>
        <w:spacing w:after="0" w:line="3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70"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2386965</wp:posOffset>
            </wp:positionH>
            <wp:positionV relativeFrom="paragraph">
              <wp:posOffset>-10795</wp:posOffset>
            </wp:positionV>
            <wp:extent cx="75374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6">
                      <a:extLst>
                        <a:ext uri="{28A0092B-C50C-407E-A947-70E740481C1C}"/>
                      </a:extLst>
                    </a:blip>
                    <a:srcRect/>
                    <a:stretch>
                      <a:fillRect/>
                    </a:stretch>
                  </pic:blipFill>
                  <pic:spPr bwMode="auto">
                    <a:xfrm>
                      <a:off x="0" y="0"/>
                      <a:ext cx="753745" cy="8255"/>
                    </a:xfrm>
                    <a:prstGeom prst="rect">
                      <a:avLst/>
                    </a:prstGeom>
                    <a:noFill/>
                  </pic:spPr>
                </pic:pic>
              </a:graphicData>
            </a:graphic>
          </wp:anchor>
        </w:drawing>
      </w:r>
    </w:p>
    <w:p>
      <w:pPr>
        <w:spacing w:after="0" w:line="8"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0"/>
          <w:szCs w:val="20"/>
          <w:color w:val="auto"/>
        </w:rPr>
        <w:t>Name:</w:t>
      </w:r>
    </w:p>
    <w:p>
      <w:pPr>
        <w:spacing w:after="0" w:line="6"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Signature Page</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Fifth Amendment – California Resources Corporation</w:t>
      </w:r>
    </w:p>
    <w:p>
      <w:pPr>
        <w:sectPr>
          <w:pgSz w:w="11900" w:h="16838" w:orient="portrait"/>
          <w:cols w:equalWidth="0" w:num="1">
            <w:col w:w="9020"/>
          </w:cols>
          <w:pgMar w:left="1440" w:top="1440" w:right="1439" w:bottom="1440" w:gutter="0" w:footer="0" w:header="0"/>
        </w:sectPr>
      </w:pPr>
    </w:p>
    <w:bookmarkStart w:id="86" w:name="page87"/>
    <w:bookmarkEnd w:id="86"/>
    <w:p>
      <w:pPr>
        <w:jc w:val="right"/>
        <w:ind w:right="1419"/>
        <w:spacing w:after="0"/>
        <w:rPr>
          <w:sz w:val="20"/>
          <w:szCs w:val="20"/>
          <w:color w:val="auto"/>
        </w:rPr>
      </w:pPr>
      <w:r>
        <w:rPr>
          <w:rFonts w:ascii="Times New Roman" w:cs="Times New Roman" w:eastAsia="Times New Roman" w:hAnsi="Times New Roman"/>
          <w:sz w:val="20"/>
          <w:szCs w:val="20"/>
          <w:b w:val="1"/>
          <w:bCs w:val="1"/>
          <w:color w:val="auto"/>
        </w:rPr>
        <w:t>DEUTSCHE BANK AG NEW YORK BRANCH,</w:t>
      </w:r>
    </w:p>
    <w:p>
      <w:pPr>
        <w:spacing w:after="0" w:line="3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70"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2386965</wp:posOffset>
            </wp:positionH>
            <wp:positionV relativeFrom="paragraph">
              <wp:posOffset>-10795</wp:posOffset>
            </wp:positionV>
            <wp:extent cx="75374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7">
                      <a:extLst>
                        <a:ext uri="{28A0092B-C50C-407E-A947-70E740481C1C}"/>
                      </a:extLst>
                    </a:blip>
                    <a:srcRect/>
                    <a:stretch>
                      <a:fillRect/>
                    </a:stretch>
                  </pic:blipFill>
                  <pic:spPr bwMode="auto">
                    <a:xfrm>
                      <a:off x="0" y="0"/>
                      <a:ext cx="753745" cy="8255"/>
                    </a:xfrm>
                    <a:prstGeom prst="rect">
                      <a:avLst/>
                    </a:prstGeom>
                    <a:noFill/>
                  </pic:spPr>
                </pic:pic>
              </a:graphicData>
            </a:graphic>
          </wp:anchor>
        </w:drawing>
      </w:r>
    </w:p>
    <w:p>
      <w:pPr>
        <w:spacing w:after="0" w:line="8"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0"/>
          <w:szCs w:val="20"/>
          <w:color w:val="auto"/>
        </w:rPr>
        <w:t>Name:</w:t>
      </w:r>
    </w:p>
    <w:p>
      <w:pPr>
        <w:spacing w:after="0" w:line="6"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7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2386965</wp:posOffset>
            </wp:positionH>
            <wp:positionV relativeFrom="paragraph">
              <wp:posOffset>-10795</wp:posOffset>
            </wp:positionV>
            <wp:extent cx="75374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8">
                      <a:extLst>
                        <a:ext uri="{28A0092B-C50C-407E-A947-70E740481C1C}"/>
                      </a:extLst>
                    </a:blip>
                    <a:srcRect/>
                    <a:stretch>
                      <a:fillRect/>
                    </a:stretch>
                  </pic:blipFill>
                  <pic:spPr bwMode="auto">
                    <a:xfrm>
                      <a:off x="0" y="0"/>
                      <a:ext cx="753745" cy="8890"/>
                    </a:xfrm>
                    <a:prstGeom prst="rect">
                      <a:avLst/>
                    </a:prstGeom>
                    <a:noFill/>
                  </pic:spPr>
                </pic:pic>
              </a:graphicData>
            </a:graphic>
          </wp:anchor>
        </w:drawing>
      </w:r>
    </w:p>
    <w:p>
      <w:pPr>
        <w:spacing w:after="0" w:line="8"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0"/>
          <w:szCs w:val="20"/>
          <w:color w:val="auto"/>
        </w:rPr>
        <w:t>Name:</w:t>
      </w:r>
    </w:p>
    <w:p>
      <w:pPr>
        <w:spacing w:after="0" w:line="6"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Signature Page</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Fifth Amendment – California Resources Corporation</w:t>
      </w:r>
    </w:p>
    <w:p>
      <w:pPr>
        <w:sectPr>
          <w:pgSz w:w="11900" w:h="16838" w:orient="portrait"/>
          <w:cols w:equalWidth="0" w:num="1">
            <w:col w:w="9019"/>
          </w:cols>
          <w:pgMar w:left="1440" w:top="1409" w:right="1440" w:bottom="1440" w:gutter="0" w:footer="0" w:header="0"/>
        </w:sectPr>
      </w:pPr>
    </w:p>
    <w:bookmarkStart w:id="87" w:name="page88"/>
    <w:bookmarkEnd w:id="87"/>
    <w:p>
      <w:pPr>
        <w:jc w:val="right"/>
        <w:ind w:right="1099"/>
        <w:spacing w:after="0"/>
        <w:rPr>
          <w:sz w:val="20"/>
          <w:szCs w:val="20"/>
          <w:color w:val="auto"/>
        </w:rPr>
      </w:pPr>
      <w:r>
        <w:rPr>
          <w:rFonts w:ascii="Times New Roman" w:cs="Times New Roman" w:eastAsia="Times New Roman" w:hAnsi="Times New Roman"/>
          <w:sz w:val="20"/>
          <w:szCs w:val="20"/>
          <w:b w:val="1"/>
          <w:bCs w:val="1"/>
          <w:color w:val="auto"/>
        </w:rPr>
        <w:t>SUMITOMO MITSUI BANKING CORPORATION</w:t>
      </w:r>
      <w:r>
        <w:rPr>
          <w:rFonts w:ascii="Times New Roman" w:cs="Times New Roman" w:eastAsia="Times New Roman" w:hAnsi="Times New Roman"/>
          <w:sz w:val="20"/>
          <w:szCs w:val="20"/>
          <w:color w:val="auto"/>
        </w:rPr>
        <w:t>,</w:t>
      </w:r>
    </w:p>
    <w:p>
      <w:pPr>
        <w:spacing w:after="0" w:line="3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70"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2386965</wp:posOffset>
            </wp:positionH>
            <wp:positionV relativeFrom="paragraph">
              <wp:posOffset>-10795</wp:posOffset>
            </wp:positionV>
            <wp:extent cx="75374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9">
                      <a:extLst>
                        <a:ext uri="{28A0092B-C50C-407E-A947-70E740481C1C}"/>
                      </a:extLst>
                    </a:blip>
                    <a:srcRect/>
                    <a:stretch>
                      <a:fillRect/>
                    </a:stretch>
                  </pic:blipFill>
                  <pic:spPr bwMode="auto">
                    <a:xfrm>
                      <a:off x="0" y="0"/>
                      <a:ext cx="753745" cy="8255"/>
                    </a:xfrm>
                    <a:prstGeom prst="rect">
                      <a:avLst/>
                    </a:prstGeom>
                    <a:noFill/>
                  </pic:spPr>
                </pic:pic>
              </a:graphicData>
            </a:graphic>
          </wp:anchor>
        </w:drawing>
      </w:r>
    </w:p>
    <w:p>
      <w:pPr>
        <w:spacing w:after="0" w:line="8"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0"/>
          <w:szCs w:val="20"/>
          <w:color w:val="auto"/>
        </w:rPr>
        <w:t>Name:</w:t>
      </w:r>
    </w:p>
    <w:p>
      <w:pPr>
        <w:spacing w:after="0" w:line="6"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Signature Page</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Fifth Amendment – California Resources Corporation</w:t>
      </w:r>
    </w:p>
    <w:p>
      <w:pPr>
        <w:sectPr>
          <w:pgSz w:w="11900" w:h="16838" w:orient="portrait"/>
          <w:cols w:equalWidth="0" w:num="1">
            <w:col w:w="9019"/>
          </w:cols>
          <w:pgMar w:left="1440" w:top="1409" w:right="1440" w:bottom="1440" w:gutter="0" w:footer="0" w:header="0"/>
        </w:sectPr>
      </w:pPr>
    </w:p>
    <w:bookmarkStart w:id="88" w:name="page89"/>
    <w:bookmarkEnd w:id="88"/>
    <w:p>
      <w:pPr>
        <w:jc w:val="right"/>
        <w:ind w:right="2719"/>
        <w:spacing w:after="0"/>
        <w:rPr>
          <w:sz w:val="20"/>
          <w:szCs w:val="20"/>
          <w:color w:val="auto"/>
        </w:rPr>
      </w:pPr>
      <w:r>
        <w:rPr>
          <w:rFonts w:ascii="Times New Roman" w:cs="Times New Roman" w:eastAsia="Times New Roman" w:hAnsi="Times New Roman"/>
          <w:sz w:val="20"/>
          <w:szCs w:val="20"/>
          <w:b w:val="1"/>
          <w:bCs w:val="1"/>
          <w:color w:val="auto"/>
        </w:rPr>
        <w:t>GOLDMAN SACHS BANK USA</w:t>
      </w:r>
      <w:r>
        <w:rPr>
          <w:rFonts w:ascii="Times New Roman" w:cs="Times New Roman" w:eastAsia="Times New Roman" w:hAnsi="Times New Roman"/>
          <w:sz w:val="20"/>
          <w:szCs w:val="20"/>
          <w:color w:val="auto"/>
        </w:rPr>
        <w:t>,</w:t>
      </w:r>
    </w:p>
    <w:p>
      <w:pPr>
        <w:spacing w:after="0" w:line="3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70"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2386965</wp:posOffset>
            </wp:positionH>
            <wp:positionV relativeFrom="paragraph">
              <wp:posOffset>-10795</wp:posOffset>
            </wp:positionV>
            <wp:extent cx="75374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0">
                      <a:extLst>
                        <a:ext uri="{28A0092B-C50C-407E-A947-70E740481C1C}"/>
                      </a:extLst>
                    </a:blip>
                    <a:srcRect/>
                    <a:stretch>
                      <a:fillRect/>
                    </a:stretch>
                  </pic:blipFill>
                  <pic:spPr bwMode="auto">
                    <a:xfrm>
                      <a:off x="0" y="0"/>
                      <a:ext cx="753745" cy="8255"/>
                    </a:xfrm>
                    <a:prstGeom prst="rect">
                      <a:avLst/>
                    </a:prstGeom>
                    <a:noFill/>
                  </pic:spPr>
                </pic:pic>
              </a:graphicData>
            </a:graphic>
          </wp:anchor>
        </w:drawing>
      </w:r>
    </w:p>
    <w:p>
      <w:pPr>
        <w:spacing w:after="0" w:line="8"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0"/>
          <w:szCs w:val="20"/>
          <w:color w:val="auto"/>
        </w:rPr>
        <w:t>Name:</w:t>
      </w:r>
    </w:p>
    <w:p>
      <w:pPr>
        <w:spacing w:after="0" w:line="6"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Signature Page</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Fifth Amendment – California Resources Corporation</w:t>
      </w:r>
    </w:p>
    <w:p>
      <w:pPr>
        <w:sectPr>
          <w:pgSz w:w="11900" w:h="16838" w:orient="portrait"/>
          <w:cols w:equalWidth="0" w:num="1">
            <w:col w:w="9019"/>
          </w:cols>
          <w:pgMar w:left="1440" w:top="1409" w:right="1440" w:bottom="1440" w:gutter="0" w:footer="0" w:header="0"/>
        </w:sectPr>
      </w:pPr>
    </w:p>
    <w:bookmarkStart w:id="89" w:name="page90"/>
    <w:bookmarkEnd w:id="89"/>
    <w:p>
      <w:pPr>
        <w:ind w:left="3420"/>
        <w:spacing w:after="0"/>
        <w:rPr>
          <w:sz w:val="20"/>
          <w:szCs w:val="20"/>
          <w:color w:val="auto"/>
        </w:rPr>
      </w:pPr>
      <w:r>
        <w:rPr>
          <w:rFonts w:ascii="Times New Roman" w:cs="Times New Roman" w:eastAsia="Times New Roman" w:hAnsi="Times New Roman"/>
          <w:sz w:val="20"/>
          <w:szCs w:val="20"/>
          <w:b w:val="1"/>
          <w:bCs w:val="1"/>
          <w:color w:val="auto"/>
        </w:rPr>
        <w:t>JEFFERIES FINANCE LLC</w:t>
      </w:r>
      <w:r>
        <w:rPr>
          <w:rFonts w:ascii="Times New Roman" w:cs="Times New Roman" w:eastAsia="Times New Roman" w:hAnsi="Times New Roman"/>
          <w:sz w:val="20"/>
          <w:szCs w:val="20"/>
          <w:color w:val="auto"/>
        </w:rPr>
        <w:t>,</w:t>
      </w:r>
    </w:p>
    <w:p>
      <w:pPr>
        <w:spacing w:after="0" w:line="3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70"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2386965</wp:posOffset>
            </wp:positionH>
            <wp:positionV relativeFrom="paragraph">
              <wp:posOffset>-10795</wp:posOffset>
            </wp:positionV>
            <wp:extent cx="75374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1">
                      <a:extLst>
                        <a:ext uri="{28A0092B-C50C-407E-A947-70E740481C1C}"/>
                      </a:extLst>
                    </a:blip>
                    <a:srcRect/>
                    <a:stretch>
                      <a:fillRect/>
                    </a:stretch>
                  </pic:blipFill>
                  <pic:spPr bwMode="auto">
                    <a:xfrm>
                      <a:off x="0" y="0"/>
                      <a:ext cx="753745" cy="8255"/>
                    </a:xfrm>
                    <a:prstGeom prst="rect">
                      <a:avLst/>
                    </a:prstGeom>
                    <a:noFill/>
                  </pic:spPr>
                </pic:pic>
              </a:graphicData>
            </a:graphic>
          </wp:anchor>
        </w:drawing>
      </w:r>
    </w:p>
    <w:p>
      <w:pPr>
        <w:spacing w:after="0" w:line="8"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0"/>
          <w:szCs w:val="20"/>
          <w:color w:val="auto"/>
        </w:rPr>
        <w:t>Name:</w:t>
      </w:r>
    </w:p>
    <w:p>
      <w:pPr>
        <w:spacing w:after="0" w:line="6"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Signature Page</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Fifth Amendment – California Resources Corporation</w:t>
      </w:r>
    </w:p>
    <w:p>
      <w:pPr>
        <w:sectPr>
          <w:pgSz w:w="11900" w:h="16838" w:orient="portrait"/>
          <w:cols w:equalWidth="0" w:num="1">
            <w:col w:w="9019"/>
          </w:cols>
          <w:pgMar w:left="1440" w:top="1409" w:right="1440" w:bottom="1440" w:gutter="0" w:footer="0" w:header="0"/>
        </w:sectPr>
      </w:pPr>
    </w:p>
    <w:bookmarkStart w:id="90" w:name="page91"/>
    <w:bookmarkEnd w:id="90"/>
    <w:p>
      <w:pPr>
        <w:spacing w:after="0" w:line="212"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0"/>
          <w:szCs w:val="20"/>
          <w:b w:val="1"/>
          <w:bCs w:val="1"/>
          <w:color w:val="auto"/>
        </w:rPr>
        <w:t>MORGAN STANLEY SENIOR</w:t>
      </w:r>
    </w:p>
    <w:p>
      <w:pPr>
        <w:spacing w:after="0" w:line="32"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0"/>
          <w:szCs w:val="20"/>
          <w:b w:val="1"/>
          <w:bCs w:val="1"/>
          <w:color w:val="auto"/>
        </w:rPr>
        <w:t>FUNDING INC.</w:t>
      </w:r>
      <w:r>
        <w:rPr>
          <w:rFonts w:ascii="Times New Roman" w:cs="Times New Roman" w:eastAsia="Times New Roman" w:hAnsi="Times New Roman"/>
          <w:sz w:val="20"/>
          <w:szCs w:val="20"/>
          <w:color w:val="auto"/>
        </w:rPr>
        <w:t>,</w:t>
      </w:r>
    </w:p>
    <w:p>
      <w:pPr>
        <w:spacing w:after="0" w:line="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7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2386965</wp:posOffset>
            </wp:positionH>
            <wp:positionV relativeFrom="paragraph">
              <wp:posOffset>-10795</wp:posOffset>
            </wp:positionV>
            <wp:extent cx="75374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2">
                      <a:extLst>
                        <a:ext uri="{28A0092B-C50C-407E-A947-70E740481C1C}"/>
                      </a:extLst>
                    </a:blip>
                    <a:srcRect/>
                    <a:stretch>
                      <a:fillRect/>
                    </a:stretch>
                  </pic:blipFill>
                  <pic:spPr bwMode="auto">
                    <a:xfrm>
                      <a:off x="0" y="0"/>
                      <a:ext cx="753745" cy="8255"/>
                    </a:xfrm>
                    <a:prstGeom prst="rect">
                      <a:avLst/>
                    </a:prstGeom>
                    <a:noFill/>
                  </pic:spPr>
                </pic:pic>
              </a:graphicData>
            </a:graphic>
          </wp:anchor>
        </w:drawing>
      </w:r>
    </w:p>
    <w:p>
      <w:pPr>
        <w:spacing w:after="0" w:line="2"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0"/>
          <w:szCs w:val="20"/>
          <w:color w:val="auto"/>
        </w:rPr>
        <w:t>Name:</w:t>
      </w:r>
    </w:p>
    <w:p>
      <w:pPr>
        <w:spacing w:after="0" w:line="6"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Signature Page</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Fifth Amendment – California Resources Corporation</w:t>
      </w:r>
    </w:p>
    <w:p>
      <w:pPr>
        <w:sectPr>
          <w:pgSz w:w="11900" w:h="16838" w:orient="portrait"/>
          <w:cols w:equalWidth="0" w:num="1">
            <w:col w:w="9019"/>
          </w:cols>
          <w:pgMar w:left="1440" w:top="1440" w:right="1440" w:bottom="1440" w:gutter="0" w:footer="0" w:header="0"/>
        </w:sectPr>
      </w:pPr>
    </w:p>
    <w:bookmarkStart w:id="91" w:name="page92"/>
    <w:bookmarkEnd w:id="91"/>
    <w:p>
      <w:pPr>
        <w:ind w:left="3420"/>
        <w:spacing w:after="0"/>
        <w:rPr>
          <w:sz w:val="20"/>
          <w:szCs w:val="20"/>
          <w:color w:val="auto"/>
        </w:rPr>
      </w:pPr>
      <w:r>
        <w:rPr>
          <w:rFonts w:ascii="Times New Roman" w:cs="Times New Roman" w:eastAsia="Times New Roman" w:hAnsi="Times New Roman"/>
          <w:sz w:val="20"/>
          <w:szCs w:val="20"/>
          <w:b w:val="1"/>
          <w:bCs w:val="1"/>
          <w:color w:val="auto"/>
        </w:rPr>
        <w:t>MACQUARIE FUNDING LLC</w:t>
      </w:r>
      <w:r>
        <w:rPr>
          <w:rFonts w:ascii="Times New Roman" w:cs="Times New Roman" w:eastAsia="Times New Roman" w:hAnsi="Times New Roman"/>
          <w:sz w:val="20"/>
          <w:szCs w:val="20"/>
          <w:color w:val="auto"/>
        </w:rPr>
        <w:t>,</w:t>
      </w:r>
    </w:p>
    <w:p>
      <w:pPr>
        <w:spacing w:after="0" w:line="3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70"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2386965</wp:posOffset>
            </wp:positionH>
            <wp:positionV relativeFrom="paragraph">
              <wp:posOffset>-10795</wp:posOffset>
            </wp:positionV>
            <wp:extent cx="75374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3">
                      <a:extLst>
                        <a:ext uri="{28A0092B-C50C-407E-A947-70E740481C1C}"/>
                      </a:extLst>
                    </a:blip>
                    <a:srcRect/>
                    <a:stretch>
                      <a:fillRect/>
                    </a:stretch>
                  </pic:blipFill>
                  <pic:spPr bwMode="auto">
                    <a:xfrm>
                      <a:off x="0" y="0"/>
                      <a:ext cx="753745" cy="8255"/>
                    </a:xfrm>
                    <a:prstGeom prst="rect">
                      <a:avLst/>
                    </a:prstGeom>
                    <a:noFill/>
                  </pic:spPr>
                </pic:pic>
              </a:graphicData>
            </a:graphic>
          </wp:anchor>
        </w:drawing>
      </w:r>
    </w:p>
    <w:p>
      <w:pPr>
        <w:spacing w:after="0" w:line="8"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0"/>
          <w:szCs w:val="20"/>
          <w:color w:val="auto"/>
        </w:rPr>
        <w:t>Name:</w:t>
      </w:r>
    </w:p>
    <w:p>
      <w:pPr>
        <w:spacing w:after="0" w:line="6"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7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2386965</wp:posOffset>
            </wp:positionH>
            <wp:positionV relativeFrom="paragraph">
              <wp:posOffset>-10795</wp:posOffset>
            </wp:positionV>
            <wp:extent cx="75374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4">
                      <a:extLst>
                        <a:ext uri="{28A0092B-C50C-407E-A947-70E740481C1C}"/>
                      </a:extLst>
                    </a:blip>
                    <a:srcRect/>
                    <a:stretch>
                      <a:fillRect/>
                    </a:stretch>
                  </pic:blipFill>
                  <pic:spPr bwMode="auto">
                    <a:xfrm>
                      <a:off x="0" y="0"/>
                      <a:ext cx="753745" cy="8255"/>
                    </a:xfrm>
                    <a:prstGeom prst="rect">
                      <a:avLst/>
                    </a:prstGeom>
                    <a:noFill/>
                  </pic:spPr>
                </pic:pic>
              </a:graphicData>
            </a:graphic>
          </wp:anchor>
        </w:drawing>
      </w:r>
    </w:p>
    <w:p>
      <w:pPr>
        <w:spacing w:after="0" w:line="8"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0"/>
          <w:szCs w:val="20"/>
          <w:color w:val="auto"/>
        </w:rPr>
        <w:t>Name:</w:t>
      </w:r>
    </w:p>
    <w:p>
      <w:pPr>
        <w:spacing w:after="0" w:line="6"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Signature Page</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Fifth Amendment – California Resources Corporation</w:t>
      </w:r>
    </w:p>
    <w:p>
      <w:pPr>
        <w:sectPr>
          <w:pgSz w:w="11900" w:h="16838" w:orient="portrait"/>
          <w:cols w:equalWidth="0" w:num="1">
            <w:col w:w="9019"/>
          </w:cols>
          <w:pgMar w:left="1440" w:top="1409" w:right="1440" w:bottom="1440" w:gutter="0" w:footer="0" w:header="0"/>
        </w:sectPr>
      </w:pPr>
    </w:p>
    <w:bookmarkStart w:id="92" w:name="page93"/>
    <w:bookmarkEnd w:id="92"/>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BP ENERGY COMPANY</w:t>
      </w:r>
      <w:r>
        <w:rPr>
          <w:rFonts w:ascii="Times New Roman" w:cs="Times New Roman" w:eastAsia="Times New Roman" w:hAnsi="Times New Roman"/>
          <w:sz w:val="20"/>
          <w:szCs w:val="20"/>
          <w:color w:val="auto"/>
        </w:rPr>
        <w:t>,</w:t>
      </w:r>
    </w:p>
    <w:p>
      <w:pPr>
        <w:spacing w:after="0" w:line="3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70"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2386965</wp:posOffset>
            </wp:positionH>
            <wp:positionV relativeFrom="paragraph">
              <wp:posOffset>-10795</wp:posOffset>
            </wp:positionV>
            <wp:extent cx="75374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5">
                      <a:extLst>
                        <a:ext uri="{28A0092B-C50C-407E-A947-70E740481C1C}"/>
                      </a:extLst>
                    </a:blip>
                    <a:srcRect/>
                    <a:stretch>
                      <a:fillRect/>
                    </a:stretch>
                  </pic:blipFill>
                  <pic:spPr bwMode="auto">
                    <a:xfrm>
                      <a:off x="0" y="0"/>
                      <a:ext cx="753745" cy="8255"/>
                    </a:xfrm>
                    <a:prstGeom prst="rect">
                      <a:avLst/>
                    </a:prstGeom>
                    <a:noFill/>
                  </pic:spPr>
                </pic:pic>
              </a:graphicData>
            </a:graphic>
          </wp:anchor>
        </w:drawing>
      </w:r>
    </w:p>
    <w:p>
      <w:pPr>
        <w:spacing w:after="0" w:line="8"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0"/>
          <w:szCs w:val="20"/>
          <w:color w:val="auto"/>
        </w:rPr>
        <w:t>Name:</w:t>
      </w:r>
    </w:p>
    <w:p>
      <w:pPr>
        <w:spacing w:after="0" w:line="6"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Signature Page</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Fifth Amendment – California Resources Corporation</w:t>
      </w:r>
    </w:p>
    <w:p>
      <w:pPr>
        <w:sectPr>
          <w:pgSz w:w="11900" w:h="16838" w:orient="portrait"/>
          <w:cols w:equalWidth="0" w:num="1">
            <w:col w:w="9019"/>
          </w:cols>
          <w:pgMar w:left="1440" w:top="1409" w:right="1440" w:bottom="1440" w:gutter="0" w:footer="0" w:header="0"/>
        </w:sectPr>
      </w:pPr>
    </w:p>
    <w:bookmarkStart w:id="93" w:name="page94"/>
    <w:bookmarkEnd w:id="93"/>
    <w:p>
      <w:pPr>
        <w:ind w:left="3420" w:right="899"/>
        <w:spacing w:after="0" w:line="287" w:lineRule="auto"/>
        <w:rPr>
          <w:sz w:val="20"/>
          <w:szCs w:val="20"/>
          <w:color w:val="auto"/>
        </w:rPr>
      </w:pPr>
      <w:r>
        <w:rPr>
          <w:rFonts w:ascii="Times New Roman" w:cs="Times New Roman" w:eastAsia="Times New Roman" w:hAnsi="Times New Roman"/>
          <w:sz w:val="20"/>
          <w:szCs w:val="20"/>
          <w:b w:val="1"/>
          <w:bCs w:val="1"/>
          <w:color w:val="auto"/>
        </w:rPr>
        <w:t>WELLS FARGO BANK, NATIONAL ASSOCIATION</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12"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2386965</wp:posOffset>
            </wp:positionH>
            <wp:positionV relativeFrom="paragraph">
              <wp:posOffset>-10795</wp:posOffset>
            </wp:positionV>
            <wp:extent cx="75374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6">
                      <a:extLst>
                        <a:ext uri="{28A0092B-C50C-407E-A947-70E740481C1C}"/>
                      </a:extLst>
                    </a:blip>
                    <a:srcRect/>
                    <a:stretch>
                      <a:fillRect/>
                    </a:stretch>
                  </pic:blipFill>
                  <pic:spPr bwMode="auto">
                    <a:xfrm>
                      <a:off x="0" y="0"/>
                      <a:ext cx="753745" cy="8255"/>
                    </a:xfrm>
                    <a:prstGeom prst="rect">
                      <a:avLst/>
                    </a:prstGeom>
                    <a:noFill/>
                  </pic:spPr>
                </pic:pic>
              </a:graphicData>
            </a:graphic>
          </wp:anchor>
        </w:drawing>
      </w:r>
    </w:p>
    <w:p>
      <w:pPr>
        <w:spacing w:after="0" w:line="8"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0"/>
          <w:szCs w:val="20"/>
          <w:color w:val="auto"/>
        </w:rPr>
        <w:t>Name:</w:t>
      </w:r>
    </w:p>
    <w:p>
      <w:pPr>
        <w:spacing w:after="0" w:line="6"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Signature Page</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Fifth Amendment – California Resources Corporation</w:t>
      </w:r>
    </w:p>
    <w:p>
      <w:pPr>
        <w:sectPr>
          <w:pgSz w:w="11900" w:h="16838" w:orient="portrait"/>
          <w:cols w:equalWidth="0" w:num="1">
            <w:col w:w="9019"/>
          </w:cols>
          <w:pgMar w:left="1440" w:top="1409" w:right="1440" w:bottom="1440" w:gutter="0" w:footer="0" w:header="0"/>
        </w:sectPr>
      </w:pPr>
    </w:p>
    <w:bookmarkStart w:id="94" w:name="page95"/>
    <w:bookmarkEnd w:id="94"/>
    <w:p>
      <w:pPr>
        <w:ind w:left="3420"/>
        <w:spacing w:after="0"/>
        <w:rPr>
          <w:sz w:val="20"/>
          <w:szCs w:val="20"/>
          <w:color w:val="auto"/>
        </w:rPr>
      </w:pPr>
      <w:r>
        <w:rPr>
          <w:rFonts w:ascii="Times New Roman" w:cs="Times New Roman" w:eastAsia="Times New Roman" w:hAnsi="Times New Roman"/>
          <w:sz w:val="20"/>
          <w:szCs w:val="20"/>
          <w:b w:val="1"/>
          <w:bCs w:val="1"/>
          <w:color w:val="auto"/>
        </w:rPr>
        <w:t>TRUIST BANK</w:t>
      </w:r>
      <w:r>
        <w:rPr>
          <w:rFonts w:ascii="Times New Roman" w:cs="Times New Roman" w:eastAsia="Times New Roman" w:hAnsi="Times New Roman"/>
          <w:sz w:val="20"/>
          <w:szCs w:val="20"/>
          <w:color w:val="auto"/>
        </w:rPr>
        <w:t>,</w:t>
      </w:r>
    </w:p>
    <w:p>
      <w:pPr>
        <w:spacing w:after="0" w:line="32"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70"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2386965</wp:posOffset>
            </wp:positionH>
            <wp:positionV relativeFrom="paragraph">
              <wp:posOffset>-10795</wp:posOffset>
            </wp:positionV>
            <wp:extent cx="75374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7">
                      <a:extLst>
                        <a:ext uri="{28A0092B-C50C-407E-A947-70E740481C1C}"/>
                      </a:extLst>
                    </a:blip>
                    <a:srcRect/>
                    <a:stretch>
                      <a:fillRect/>
                    </a:stretch>
                  </pic:blipFill>
                  <pic:spPr bwMode="auto">
                    <a:xfrm>
                      <a:off x="0" y="0"/>
                      <a:ext cx="753745" cy="8255"/>
                    </a:xfrm>
                    <a:prstGeom prst="rect">
                      <a:avLst/>
                    </a:prstGeom>
                    <a:noFill/>
                  </pic:spPr>
                </pic:pic>
              </a:graphicData>
            </a:graphic>
          </wp:anchor>
        </w:drawing>
      </w:r>
    </w:p>
    <w:p>
      <w:pPr>
        <w:spacing w:after="0" w:line="8"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0"/>
          <w:szCs w:val="20"/>
          <w:color w:val="auto"/>
        </w:rPr>
        <w:t>Name:</w:t>
      </w:r>
    </w:p>
    <w:p>
      <w:pPr>
        <w:spacing w:after="0" w:line="6"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Signature Page</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Fifth Amendment – California Resources Corporation</w:t>
      </w:r>
    </w:p>
    <w:p>
      <w:pPr>
        <w:sectPr>
          <w:pgSz w:w="11900" w:h="16838" w:orient="portrait"/>
          <w:cols w:equalWidth="0" w:num="1">
            <w:col w:w="9019"/>
          </w:cols>
          <w:pgMar w:left="1440" w:top="1409" w:right="1440" w:bottom="1440" w:gutter="0" w:footer="0" w:header="0"/>
        </w:sectPr>
      </w:pPr>
    </w:p>
    <w:bookmarkStart w:id="95" w:name="page96"/>
    <w:bookmarkEnd w:id="95"/>
    <w:p>
      <w:pPr>
        <w:ind w:left="3420"/>
        <w:spacing w:after="0"/>
        <w:rPr>
          <w:sz w:val="20"/>
          <w:szCs w:val="20"/>
          <w:color w:val="auto"/>
        </w:rPr>
      </w:pPr>
      <w:r>
        <w:rPr>
          <w:rFonts w:ascii="Times New Roman" w:cs="Times New Roman" w:eastAsia="Times New Roman" w:hAnsi="Times New Roman"/>
          <w:sz w:val="19"/>
          <w:szCs w:val="19"/>
          <w:b w:val="1"/>
          <w:bCs w:val="1"/>
          <w:color w:val="auto"/>
        </w:rPr>
        <w:t>CITADEL ENERGY MARKETING LLC</w:t>
      </w:r>
      <w:r>
        <w:rPr>
          <w:rFonts w:ascii="Times New Roman" w:cs="Times New Roman" w:eastAsia="Times New Roman" w:hAnsi="Times New Roman"/>
          <w:sz w:val="19"/>
          <w:szCs w:val="19"/>
          <w:color w:val="auto"/>
        </w:rPr>
        <w:t>,</w:t>
      </w:r>
    </w:p>
    <w:p>
      <w:pPr>
        <w:spacing w:after="0" w:line="44"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0"/>
          <w:szCs w:val="20"/>
          <w:b w:val="1"/>
          <w:bCs w:val="1"/>
          <w:color w:val="auto"/>
        </w:rPr>
        <w:t>By: Citadel Advisors LLC, its Manager</w:t>
      </w:r>
    </w:p>
    <w:p>
      <w:pPr>
        <w:spacing w:after="0" w:line="6"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7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2386965</wp:posOffset>
            </wp:positionH>
            <wp:positionV relativeFrom="paragraph">
              <wp:posOffset>-10795</wp:posOffset>
            </wp:positionV>
            <wp:extent cx="75374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8">
                      <a:extLst>
                        <a:ext uri="{28A0092B-C50C-407E-A947-70E740481C1C}"/>
                      </a:extLst>
                    </a:blip>
                    <a:srcRect/>
                    <a:stretch>
                      <a:fillRect/>
                    </a:stretch>
                  </pic:blipFill>
                  <pic:spPr bwMode="auto">
                    <a:xfrm>
                      <a:off x="0" y="0"/>
                      <a:ext cx="753745" cy="8255"/>
                    </a:xfrm>
                    <a:prstGeom prst="rect">
                      <a:avLst/>
                    </a:prstGeom>
                    <a:noFill/>
                  </pic:spPr>
                </pic:pic>
              </a:graphicData>
            </a:graphic>
          </wp:anchor>
        </w:drawing>
      </w:r>
    </w:p>
    <w:p>
      <w:pPr>
        <w:spacing w:after="0" w:line="2"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0"/>
          <w:szCs w:val="20"/>
          <w:color w:val="auto"/>
        </w:rPr>
        <w:t>Name:</w:t>
      </w:r>
    </w:p>
    <w:p>
      <w:pPr>
        <w:spacing w:after="0" w:line="6"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Signature Page</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Fifth Amendment – California Resources Corporation</w:t>
      </w:r>
    </w:p>
    <w:p>
      <w:pPr>
        <w:sectPr>
          <w:pgSz w:w="11900" w:h="16838" w:orient="portrait"/>
          <w:cols w:equalWidth="0" w:num="1">
            <w:col w:w="9019"/>
          </w:cols>
          <w:pgMar w:left="1440" w:top="1409" w:right="1440" w:bottom="1440" w:gutter="0" w:footer="0" w:header="0"/>
        </w:sectPr>
      </w:pPr>
    </w:p>
    <w:bookmarkStart w:id="96" w:name="page97"/>
    <w:bookmarkEnd w:id="96"/>
    <w:p>
      <w:pPr>
        <w:jc w:val="center"/>
        <w:ind w:right="20"/>
        <w:spacing w:after="0"/>
        <w:rPr>
          <w:sz w:val="20"/>
          <w:szCs w:val="20"/>
          <w:color w:val="auto"/>
        </w:rPr>
      </w:pPr>
      <w:r>
        <w:rPr>
          <w:rFonts w:ascii="Times New Roman" w:cs="Times New Roman" w:eastAsia="Times New Roman" w:hAnsi="Times New Roman"/>
          <w:sz w:val="20"/>
          <w:szCs w:val="20"/>
          <w:b w:val="1"/>
          <w:bCs w:val="1"/>
          <w:u w:val="single" w:color="auto"/>
          <w:color w:val="auto"/>
        </w:rPr>
        <w:t>SCHEDULE 1.1(a)</w:t>
      </w:r>
    </w:p>
    <w:p>
      <w:pPr>
        <w:spacing w:after="0" w:line="2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u w:val="single" w:color="auto"/>
          <w:color w:val="auto"/>
        </w:rPr>
        <w:t>Commitments</w:t>
      </w:r>
    </w:p>
    <w:p>
      <w:pPr>
        <w:spacing w:after="0" w:line="249" w:lineRule="exact"/>
        <w:rPr>
          <w:sz w:val="20"/>
          <w:szCs w:val="20"/>
          <w:color w:val="auto"/>
        </w:rPr>
      </w:pPr>
    </w:p>
    <w:tbl>
      <w:tblPr>
        <w:tblLayout w:type="fixed"/>
        <w:tblInd w:w="10" w:type="dxa"/>
        <w:tblCellMar>
          <w:top w:w="0" w:type="dxa"/>
          <w:left w:w="0" w:type="dxa"/>
          <w:bottom w:w="0" w:type="dxa"/>
          <w:right w:w="0" w:type="dxa"/>
        </w:tblCellMar>
      </w:tblPr>
      <w:tr>
        <w:trPr>
          <w:trHeight w:val="289"/>
        </w:trPr>
        <w:tc>
          <w:tcPr>
            <w:tcW w:w="2320" w:type="dxa"/>
            <w:vAlign w:val="bottom"/>
            <w:tcBorders>
              <w:top w:val="single" w:sz="8" w:color="auto"/>
              <w:left w:val="single" w:sz="8" w:color="auto"/>
              <w:right w:val="single" w:sz="8" w:color="auto"/>
            </w:tcBorders>
            <w:vMerge w:val="restart"/>
            <w:shd w:val="clear" w:color="auto" w:fill="BFBFBF"/>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Lender</w:t>
            </w:r>
          </w:p>
        </w:tc>
        <w:tc>
          <w:tcPr>
            <w:tcW w:w="2720" w:type="dxa"/>
            <w:vAlign w:val="bottom"/>
            <w:tcBorders>
              <w:top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Revolving Commitment</w:t>
            </w:r>
          </w:p>
        </w:tc>
        <w:tc>
          <w:tcPr>
            <w:tcW w:w="3120" w:type="dxa"/>
            <w:vAlign w:val="bottom"/>
            <w:tcBorders>
              <w:top w:val="single" w:sz="8" w:color="auto"/>
              <w:right w:val="single" w:sz="8" w:color="auto"/>
            </w:tcBorders>
            <w:vMerge w:val="restart"/>
            <w:shd w:val="clear" w:color="auto" w:fill="BFBFBF"/>
          </w:tcPr>
          <w:p>
            <w:pPr>
              <w:ind w:left="200"/>
              <w:spacing w:after="0"/>
              <w:rPr>
                <w:sz w:val="20"/>
                <w:szCs w:val="20"/>
                <w:color w:val="auto"/>
              </w:rPr>
            </w:pPr>
            <w:r>
              <w:rPr>
                <w:rFonts w:ascii="Times New Roman" w:cs="Times New Roman" w:eastAsia="Times New Roman" w:hAnsi="Times New Roman"/>
                <w:sz w:val="20"/>
                <w:szCs w:val="20"/>
                <w:b w:val="1"/>
                <w:bCs w:val="1"/>
                <w:color w:val="auto"/>
              </w:rPr>
              <w:t>Elected Revolving Commitment</w:t>
            </w:r>
          </w:p>
        </w:tc>
        <w:tc>
          <w:tcPr>
            <w:tcW w:w="3100" w:type="dxa"/>
            <w:vAlign w:val="bottom"/>
            <w:tcBorders>
              <w:top w:val="single" w:sz="8" w:color="auto"/>
              <w:right w:val="single" w:sz="8" w:color="auto"/>
            </w:tcBorders>
            <w:vMerge w:val="restart"/>
            <w:shd w:val="clear" w:color="auto" w:fill="BFBFBF"/>
          </w:tcPr>
          <w:p>
            <w:pPr>
              <w:ind w:left="380"/>
              <w:spacing w:after="0"/>
              <w:rPr>
                <w:sz w:val="20"/>
                <w:szCs w:val="20"/>
                <w:color w:val="auto"/>
              </w:rPr>
            </w:pPr>
            <w:r>
              <w:rPr>
                <w:rFonts w:ascii="Times New Roman" w:cs="Times New Roman" w:eastAsia="Times New Roman" w:hAnsi="Times New Roman"/>
                <w:sz w:val="20"/>
                <w:szCs w:val="20"/>
                <w:b w:val="1"/>
                <w:bCs w:val="1"/>
                <w:color w:val="auto"/>
              </w:rPr>
              <w:t>Maximum Credit Amounts</w:t>
            </w:r>
          </w:p>
        </w:tc>
        <w:tc>
          <w:tcPr>
            <w:tcW w:w="0" w:type="dxa"/>
            <w:vAlign w:val="bottom"/>
          </w:tcPr>
          <w:p>
            <w:pPr>
              <w:spacing w:after="0"/>
              <w:rPr>
                <w:sz w:val="1"/>
                <w:szCs w:val="1"/>
                <w:color w:val="auto"/>
              </w:rPr>
            </w:pPr>
          </w:p>
        </w:tc>
      </w:tr>
      <w:tr>
        <w:trPr>
          <w:trHeight w:val="270"/>
        </w:trPr>
        <w:tc>
          <w:tcPr>
            <w:tcW w:w="2320" w:type="dxa"/>
            <w:vAlign w:val="bottom"/>
            <w:tcBorders>
              <w:left w:val="single" w:sz="8" w:color="auto"/>
              <w:right w:val="single" w:sz="8" w:color="auto"/>
            </w:tcBorders>
            <w:vMerge w:val="continue"/>
            <w:shd w:val="clear" w:color="auto" w:fill="BFBFBF"/>
          </w:tcPr>
          <w:p>
            <w:pPr>
              <w:spacing w:after="0"/>
              <w:rPr>
                <w:sz w:val="23"/>
                <w:szCs w:val="23"/>
                <w:color w:val="auto"/>
              </w:rPr>
            </w:pPr>
          </w:p>
        </w:tc>
        <w:tc>
          <w:tcPr>
            <w:tcW w:w="2720" w:type="dxa"/>
            <w:vAlign w:val="bottom"/>
            <w:tcBorders>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Percentage</w:t>
            </w:r>
          </w:p>
        </w:tc>
        <w:tc>
          <w:tcPr>
            <w:tcW w:w="3120" w:type="dxa"/>
            <w:vAlign w:val="bottom"/>
            <w:tcBorders>
              <w:right w:val="single" w:sz="8" w:color="auto"/>
            </w:tcBorders>
            <w:vMerge w:val="continue"/>
            <w:shd w:val="clear" w:color="auto" w:fill="BFBFBF"/>
          </w:tcPr>
          <w:p>
            <w:pPr>
              <w:spacing w:after="0"/>
              <w:rPr>
                <w:sz w:val="23"/>
                <w:szCs w:val="23"/>
                <w:color w:val="auto"/>
              </w:rPr>
            </w:pPr>
          </w:p>
        </w:tc>
        <w:tc>
          <w:tcPr>
            <w:tcW w:w="3100" w:type="dxa"/>
            <w:vAlign w:val="bottom"/>
            <w:tcBorders>
              <w:right w:val="single" w:sz="8" w:color="auto"/>
            </w:tcBorders>
            <w:vMerge w:val="continue"/>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2320" w:type="dxa"/>
            <w:vAlign w:val="bottom"/>
            <w:tcBorders>
              <w:left w:val="single" w:sz="8" w:color="auto"/>
              <w:bottom w:val="single" w:sz="8" w:color="auto"/>
              <w:right w:val="single" w:sz="8" w:color="auto"/>
            </w:tcBorders>
            <w:shd w:val="clear" w:color="auto" w:fill="BFBFBF"/>
          </w:tcPr>
          <w:p>
            <w:pPr>
              <w:spacing w:after="0"/>
              <w:rPr>
                <w:sz w:val="12"/>
                <w:szCs w:val="12"/>
                <w:color w:val="auto"/>
              </w:rPr>
            </w:pPr>
          </w:p>
        </w:tc>
        <w:tc>
          <w:tcPr>
            <w:tcW w:w="2720" w:type="dxa"/>
            <w:vAlign w:val="bottom"/>
            <w:tcBorders>
              <w:bottom w:val="single" w:sz="8" w:color="auto"/>
              <w:right w:val="single" w:sz="8" w:color="auto"/>
            </w:tcBorders>
            <w:shd w:val="clear" w:color="auto" w:fill="BFBFBF"/>
          </w:tcPr>
          <w:p>
            <w:pPr>
              <w:spacing w:after="0"/>
              <w:rPr>
                <w:sz w:val="12"/>
                <w:szCs w:val="12"/>
                <w:color w:val="auto"/>
              </w:rPr>
            </w:pPr>
          </w:p>
        </w:tc>
        <w:tc>
          <w:tcPr>
            <w:tcW w:w="3120" w:type="dxa"/>
            <w:vAlign w:val="bottom"/>
            <w:tcBorders>
              <w:bottom w:val="single" w:sz="8" w:color="auto"/>
              <w:right w:val="single" w:sz="8" w:color="auto"/>
            </w:tcBorders>
            <w:shd w:val="clear" w:color="auto" w:fill="BFBFBF"/>
          </w:tcPr>
          <w:p>
            <w:pPr>
              <w:spacing w:after="0"/>
              <w:rPr>
                <w:sz w:val="12"/>
                <w:szCs w:val="12"/>
                <w:color w:val="auto"/>
              </w:rPr>
            </w:pPr>
          </w:p>
        </w:tc>
        <w:tc>
          <w:tcPr>
            <w:tcW w:w="3100" w:type="dxa"/>
            <w:vAlign w:val="bottom"/>
            <w:tcBorders>
              <w:bottom w:val="single" w:sz="8" w:color="auto"/>
              <w:right w:val="single" w:sz="8" w:color="auto"/>
            </w:tcBorders>
            <w:shd w:val="clear" w:color="auto" w:fill="BFBFBF"/>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23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Citibank, N.A.</w:t>
            </w:r>
          </w:p>
        </w:tc>
        <w:tc>
          <w:tcPr>
            <w:tcW w:w="2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9.45652174%</w:t>
            </w:r>
          </w:p>
        </w:tc>
        <w:tc>
          <w:tcPr>
            <w:tcW w:w="3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$108,750,000.00</w:t>
            </w:r>
          </w:p>
        </w:tc>
        <w:tc>
          <w:tcPr>
            <w:tcW w:w="3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$189,130,434.78</w:t>
            </w:r>
          </w:p>
        </w:tc>
        <w:tc>
          <w:tcPr>
            <w:tcW w:w="0" w:type="dxa"/>
            <w:vAlign w:val="bottom"/>
          </w:tcPr>
          <w:p>
            <w:pPr>
              <w:spacing w:after="0"/>
              <w:rPr>
                <w:sz w:val="1"/>
                <w:szCs w:val="1"/>
                <w:color w:val="auto"/>
              </w:rPr>
            </w:pPr>
          </w:p>
        </w:tc>
      </w:tr>
      <w:tr>
        <w:trPr>
          <w:trHeight w:val="156"/>
        </w:trPr>
        <w:tc>
          <w:tcPr>
            <w:tcW w:w="2320" w:type="dxa"/>
            <w:vAlign w:val="bottom"/>
            <w:tcBorders>
              <w:left w:val="single" w:sz="8" w:color="auto"/>
              <w:bottom w:val="single" w:sz="8" w:color="auto"/>
              <w:right w:val="single" w:sz="8" w:color="auto"/>
            </w:tcBorders>
          </w:tcPr>
          <w:p>
            <w:pPr>
              <w:spacing w:after="0"/>
              <w:rPr>
                <w:sz w:val="13"/>
                <w:szCs w:val="13"/>
                <w:color w:val="auto"/>
              </w:rPr>
            </w:pPr>
          </w:p>
        </w:tc>
        <w:tc>
          <w:tcPr>
            <w:tcW w:w="2720" w:type="dxa"/>
            <w:vAlign w:val="bottom"/>
            <w:tcBorders>
              <w:bottom w:val="single" w:sz="8" w:color="auto"/>
              <w:right w:val="single" w:sz="8" w:color="auto"/>
            </w:tcBorders>
          </w:tcPr>
          <w:p>
            <w:pPr>
              <w:spacing w:after="0"/>
              <w:rPr>
                <w:sz w:val="13"/>
                <w:szCs w:val="13"/>
                <w:color w:val="auto"/>
              </w:rPr>
            </w:pPr>
          </w:p>
        </w:tc>
        <w:tc>
          <w:tcPr>
            <w:tcW w:w="3120" w:type="dxa"/>
            <w:vAlign w:val="bottom"/>
            <w:tcBorders>
              <w:bottom w:val="single" w:sz="8" w:color="auto"/>
              <w:right w:val="single" w:sz="8" w:color="auto"/>
            </w:tcBorders>
          </w:tcPr>
          <w:p>
            <w:pPr>
              <w:spacing w:after="0"/>
              <w:rPr>
                <w:sz w:val="13"/>
                <w:szCs w:val="13"/>
                <w:color w:val="auto"/>
              </w:rPr>
            </w:pPr>
          </w:p>
        </w:tc>
        <w:tc>
          <w:tcPr>
            <w:tcW w:w="310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3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Mizuho Bank, Ltd.</w:t>
            </w:r>
          </w:p>
        </w:tc>
        <w:tc>
          <w:tcPr>
            <w:tcW w:w="2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9.45652174%</w:t>
            </w:r>
          </w:p>
        </w:tc>
        <w:tc>
          <w:tcPr>
            <w:tcW w:w="3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$108,750,000.00</w:t>
            </w:r>
          </w:p>
        </w:tc>
        <w:tc>
          <w:tcPr>
            <w:tcW w:w="3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$189,130,434.78</w:t>
            </w:r>
          </w:p>
        </w:tc>
        <w:tc>
          <w:tcPr>
            <w:tcW w:w="0" w:type="dxa"/>
            <w:vAlign w:val="bottom"/>
          </w:tcPr>
          <w:p>
            <w:pPr>
              <w:spacing w:after="0"/>
              <w:rPr>
                <w:sz w:val="1"/>
                <w:szCs w:val="1"/>
                <w:color w:val="auto"/>
              </w:rPr>
            </w:pPr>
          </w:p>
        </w:tc>
      </w:tr>
      <w:tr>
        <w:trPr>
          <w:trHeight w:val="156"/>
        </w:trPr>
        <w:tc>
          <w:tcPr>
            <w:tcW w:w="2320" w:type="dxa"/>
            <w:vAlign w:val="bottom"/>
            <w:tcBorders>
              <w:left w:val="single" w:sz="8" w:color="auto"/>
              <w:bottom w:val="single" w:sz="8" w:color="auto"/>
              <w:right w:val="single" w:sz="8" w:color="auto"/>
            </w:tcBorders>
          </w:tcPr>
          <w:p>
            <w:pPr>
              <w:spacing w:after="0"/>
              <w:rPr>
                <w:sz w:val="13"/>
                <w:szCs w:val="13"/>
                <w:color w:val="auto"/>
              </w:rPr>
            </w:pPr>
          </w:p>
        </w:tc>
        <w:tc>
          <w:tcPr>
            <w:tcW w:w="2720" w:type="dxa"/>
            <w:vAlign w:val="bottom"/>
            <w:tcBorders>
              <w:bottom w:val="single" w:sz="8" w:color="auto"/>
              <w:right w:val="single" w:sz="8" w:color="auto"/>
            </w:tcBorders>
          </w:tcPr>
          <w:p>
            <w:pPr>
              <w:spacing w:after="0"/>
              <w:rPr>
                <w:sz w:val="13"/>
                <w:szCs w:val="13"/>
                <w:color w:val="auto"/>
              </w:rPr>
            </w:pPr>
          </w:p>
        </w:tc>
        <w:tc>
          <w:tcPr>
            <w:tcW w:w="3120" w:type="dxa"/>
            <w:vAlign w:val="bottom"/>
            <w:tcBorders>
              <w:bottom w:val="single" w:sz="8" w:color="auto"/>
              <w:right w:val="single" w:sz="8" w:color="auto"/>
            </w:tcBorders>
          </w:tcPr>
          <w:p>
            <w:pPr>
              <w:spacing w:after="0"/>
              <w:rPr>
                <w:sz w:val="13"/>
                <w:szCs w:val="13"/>
                <w:color w:val="auto"/>
              </w:rPr>
            </w:pPr>
          </w:p>
        </w:tc>
        <w:tc>
          <w:tcPr>
            <w:tcW w:w="310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3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KeyBank, National</w:t>
            </w:r>
          </w:p>
        </w:tc>
        <w:tc>
          <w:tcPr>
            <w:tcW w:w="2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9.45652174%</w:t>
            </w:r>
          </w:p>
        </w:tc>
        <w:tc>
          <w:tcPr>
            <w:tcW w:w="3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$108,750,000.00</w:t>
            </w:r>
          </w:p>
        </w:tc>
        <w:tc>
          <w:tcPr>
            <w:tcW w:w="3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$189,130,434.78</w:t>
            </w:r>
          </w:p>
        </w:tc>
        <w:tc>
          <w:tcPr>
            <w:tcW w:w="0" w:type="dxa"/>
            <w:vAlign w:val="bottom"/>
          </w:tcPr>
          <w:p>
            <w:pPr>
              <w:spacing w:after="0"/>
              <w:rPr>
                <w:sz w:val="1"/>
                <w:szCs w:val="1"/>
                <w:color w:val="auto"/>
              </w:rPr>
            </w:pPr>
          </w:p>
        </w:tc>
      </w:tr>
      <w:tr>
        <w:trPr>
          <w:trHeight w:val="121"/>
        </w:trPr>
        <w:tc>
          <w:tcPr>
            <w:tcW w:w="23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7"/>
              </w:rPr>
              <w:t>Association</w:t>
            </w:r>
          </w:p>
        </w:tc>
        <w:tc>
          <w:tcPr>
            <w:tcW w:w="2720" w:type="dxa"/>
            <w:vAlign w:val="bottom"/>
            <w:tcBorders>
              <w:right w:val="single" w:sz="8" w:color="auto"/>
            </w:tcBorders>
          </w:tcPr>
          <w:p>
            <w:pPr>
              <w:spacing w:after="0"/>
              <w:rPr>
                <w:sz w:val="10"/>
                <w:szCs w:val="10"/>
                <w:color w:val="auto"/>
              </w:rPr>
            </w:pPr>
          </w:p>
        </w:tc>
        <w:tc>
          <w:tcPr>
            <w:tcW w:w="3120" w:type="dxa"/>
            <w:vAlign w:val="bottom"/>
            <w:tcBorders>
              <w:right w:val="single" w:sz="8" w:color="auto"/>
            </w:tcBorders>
            <w:vMerge w:val="continue"/>
          </w:tcPr>
          <w:p>
            <w:pPr>
              <w:spacing w:after="0"/>
              <w:rPr>
                <w:sz w:val="10"/>
                <w:szCs w:val="10"/>
                <w:color w:val="auto"/>
              </w:rPr>
            </w:pPr>
          </w:p>
        </w:tc>
        <w:tc>
          <w:tcPr>
            <w:tcW w:w="31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20" w:type="dxa"/>
            <w:vAlign w:val="bottom"/>
            <w:tcBorders>
              <w:left w:val="single" w:sz="8" w:color="auto"/>
              <w:right w:val="single" w:sz="8" w:color="auto"/>
            </w:tcBorders>
            <w:vMerge w:val="continue"/>
          </w:tcPr>
          <w:p>
            <w:pPr>
              <w:spacing w:after="0"/>
              <w:rPr>
                <w:sz w:val="12"/>
                <w:szCs w:val="12"/>
                <w:color w:val="auto"/>
              </w:rPr>
            </w:pPr>
          </w:p>
        </w:tc>
        <w:tc>
          <w:tcPr>
            <w:tcW w:w="2720" w:type="dxa"/>
            <w:vAlign w:val="bottom"/>
            <w:tcBorders>
              <w:right w:val="single" w:sz="8" w:color="auto"/>
            </w:tcBorders>
          </w:tcPr>
          <w:p>
            <w:pPr>
              <w:spacing w:after="0"/>
              <w:rPr>
                <w:sz w:val="12"/>
                <w:szCs w:val="12"/>
                <w:color w:val="auto"/>
              </w:rPr>
            </w:pPr>
          </w:p>
        </w:tc>
        <w:tc>
          <w:tcPr>
            <w:tcW w:w="3120" w:type="dxa"/>
            <w:vAlign w:val="bottom"/>
            <w:tcBorders>
              <w:right w:val="single" w:sz="8" w:color="auto"/>
            </w:tcBorders>
          </w:tcPr>
          <w:p>
            <w:pPr>
              <w:spacing w:after="0"/>
              <w:rPr>
                <w:sz w:val="12"/>
                <w:szCs w:val="12"/>
                <w:color w:val="auto"/>
              </w:rPr>
            </w:pPr>
          </w:p>
        </w:tc>
        <w:tc>
          <w:tcPr>
            <w:tcW w:w="31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320" w:type="dxa"/>
            <w:vAlign w:val="bottom"/>
            <w:tcBorders>
              <w:left w:val="single" w:sz="8" w:color="auto"/>
              <w:bottom w:val="single" w:sz="8" w:color="auto"/>
              <w:right w:val="single" w:sz="8" w:color="auto"/>
            </w:tcBorders>
          </w:tcPr>
          <w:p>
            <w:pPr>
              <w:spacing w:after="0"/>
              <w:rPr>
                <w:sz w:val="12"/>
                <w:szCs w:val="12"/>
                <w:color w:val="auto"/>
              </w:rPr>
            </w:pPr>
          </w:p>
        </w:tc>
        <w:tc>
          <w:tcPr>
            <w:tcW w:w="2720" w:type="dxa"/>
            <w:vAlign w:val="bottom"/>
            <w:tcBorders>
              <w:bottom w:val="single" w:sz="8" w:color="auto"/>
              <w:right w:val="single" w:sz="8" w:color="auto"/>
            </w:tcBorders>
          </w:tcPr>
          <w:p>
            <w:pPr>
              <w:spacing w:after="0"/>
              <w:rPr>
                <w:sz w:val="12"/>
                <w:szCs w:val="12"/>
                <w:color w:val="auto"/>
              </w:rPr>
            </w:pPr>
          </w:p>
        </w:tc>
        <w:tc>
          <w:tcPr>
            <w:tcW w:w="3120" w:type="dxa"/>
            <w:vAlign w:val="bottom"/>
            <w:tcBorders>
              <w:bottom w:val="single" w:sz="8" w:color="auto"/>
              <w:right w:val="single" w:sz="8" w:color="auto"/>
            </w:tcBorders>
          </w:tcPr>
          <w:p>
            <w:pPr>
              <w:spacing w:after="0"/>
              <w:rPr>
                <w:sz w:val="12"/>
                <w:szCs w:val="12"/>
                <w:color w:val="auto"/>
              </w:rPr>
            </w:pPr>
          </w:p>
        </w:tc>
        <w:tc>
          <w:tcPr>
            <w:tcW w:w="31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9"/>
        </w:trPr>
        <w:tc>
          <w:tcPr>
            <w:tcW w:w="23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Deutsche Bank AG New</w:t>
            </w:r>
          </w:p>
        </w:tc>
        <w:tc>
          <w:tcPr>
            <w:tcW w:w="2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9.45652174%</w:t>
            </w:r>
          </w:p>
        </w:tc>
        <w:tc>
          <w:tcPr>
            <w:tcW w:w="3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$108,750,000.00</w:t>
            </w:r>
          </w:p>
        </w:tc>
        <w:tc>
          <w:tcPr>
            <w:tcW w:w="3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$189,130,434.78</w:t>
            </w:r>
          </w:p>
        </w:tc>
        <w:tc>
          <w:tcPr>
            <w:tcW w:w="0" w:type="dxa"/>
            <w:vAlign w:val="bottom"/>
          </w:tcPr>
          <w:p>
            <w:pPr>
              <w:spacing w:after="0"/>
              <w:rPr>
                <w:sz w:val="1"/>
                <w:szCs w:val="1"/>
                <w:color w:val="auto"/>
              </w:rPr>
            </w:pPr>
          </w:p>
        </w:tc>
      </w:tr>
      <w:tr>
        <w:trPr>
          <w:trHeight w:val="122"/>
        </w:trPr>
        <w:tc>
          <w:tcPr>
            <w:tcW w:w="23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6"/>
              </w:rPr>
              <w:t>York Branch</w:t>
            </w:r>
          </w:p>
        </w:tc>
        <w:tc>
          <w:tcPr>
            <w:tcW w:w="2720" w:type="dxa"/>
            <w:vAlign w:val="bottom"/>
            <w:tcBorders>
              <w:right w:val="single" w:sz="8" w:color="auto"/>
            </w:tcBorders>
          </w:tcPr>
          <w:p>
            <w:pPr>
              <w:spacing w:after="0"/>
              <w:rPr>
                <w:sz w:val="10"/>
                <w:szCs w:val="10"/>
                <w:color w:val="auto"/>
              </w:rPr>
            </w:pPr>
          </w:p>
        </w:tc>
        <w:tc>
          <w:tcPr>
            <w:tcW w:w="3120" w:type="dxa"/>
            <w:vAlign w:val="bottom"/>
            <w:tcBorders>
              <w:right w:val="single" w:sz="8" w:color="auto"/>
            </w:tcBorders>
            <w:vMerge w:val="continue"/>
          </w:tcPr>
          <w:p>
            <w:pPr>
              <w:spacing w:after="0"/>
              <w:rPr>
                <w:sz w:val="10"/>
                <w:szCs w:val="10"/>
                <w:color w:val="auto"/>
              </w:rPr>
            </w:pPr>
          </w:p>
        </w:tc>
        <w:tc>
          <w:tcPr>
            <w:tcW w:w="31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20" w:type="dxa"/>
            <w:vAlign w:val="bottom"/>
            <w:tcBorders>
              <w:left w:val="single" w:sz="8" w:color="auto"/>
              <w:right w:val="single" w:sz="8" w:color="auto"/>
            </w:tcBorders>
            <w:vMerge w:val="continue"/>
          </w:tcPr>
          <w:p>
            <w:pPr>
              <w:spacing w:after="0"/>
              <w:rPr>
                <w:sz w:val="12"/>
                <w:szCs w:val="12"/>
                <w:color w:val="auto"/>
              </w:rPr>
            </w:pPr>
          </w:p>
        </w:tc>
        <w:tc>
          <w:tcPr>
            <w:tcW w:w="2720" w:type="dxa"/>
            <w:vAlign w:val="bottom"/>
            <w:tcBorders>
              <w:right w:val="single" w:sz="8" w:color="auto"/>
            </w:tcBorders>
          </w:tcPr>
          <w:p>
            <w:pPr>
              <w:spacing w:after="0"/>
              <w:rPr>
                <w:sz w:val="12"/>
                <w:szCs w:val="12"/>
                <w:color w:val="auto"/>
              </w:rPr>
            </w:pPr>
          </w:p>
        </w:tc>
        <w:tc>
          <w:tcPr>
            <w:tcW w:w="3120" w:type="dxa"/>
            <w:vAlign w:val="bottom"/>
            <w:tcBorders>
              <w:right w:val="single" w:sz="8" w:color="auto"/>
            </w:tcBorders>
          </w:tcPr>
          <w:p>
            <w:pPr>
              <w:spacing w:after="0"/>
              <w:rPr>
                <w:sz w:val="12"/>
                <w:szCs w:val="12"/>
                <w:color w:val="auto"/>
              </w:rPr>
            </w:pPr>
          </w:p>
        </w:tc>
        <w:tc>
          <w:tcPr>
            <w:tcW w:w="31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320" w:type="dxa"/>
            <w:vAlign w:val="bottom"/>
            <w:tcBorders>
              <w:left w:val="single" w:sz="8" w:color="auto"/>
              <w:bottom w:val="single" w:sz="8" w:color="auto"/>
              <w:right w:val="single" w:sz="8" w:color="auto"/>
            </w:tcBorders>
          </w:tcPr>
          <w:p>
            <w:pPr>
              <w:spacing w:after="0"/>
              <w:rPr>
                <w:sz w:val="12"/>
                <w:szCs w:val="12"/>
                <w:color w:val="auto"/>
              </w:rPr>
            </w:pPr>
          </w:p>
        </w:tc>
        <w:tc>
          <w:tcPr>
            <w:tcW w:w="2720" w:type="dxa"/>
            <w:vAlign w:val="bottom"/>
            <w:tcBorders>
              <w:bottom w:val="single" w:sz="8" w:color="auto"/>
              <w:right w:val="single" w:sz="8" w:color="auto"/>
            </w:tcBorders>
          </w:tcPr>
          <w:p>
            <w:pPr>
              <w:spacing w:after="0"/>
              <w:rPr>
                <w:sz w:val="12"/>
                <w:szCs w:val="12"/>
                <w:color w:val="auto"/>
              </w:rPr>
            </w:pPr>
          </w:p>
        </w:tc>
        <w:tc>
          <w:tcPr>
            <w:tcW w:w="3120" w:type="dxa"/>
            <w:vAlign w:val="bottom"/>
            <w:tcBorders>
              <w:bottom w:val="single" w:sz="8" w:color="auto"/>
              <w:right w:val="single" w:sz="8" w:color="auto"/>
            </w:tcBorders>
          </w:tcPr>
          <w:p>
            <w:pPr>
              <w:spacing w:after="0"/>
              <w:rPr>
                <w:sz w:val="12"/>
                <w:szCs w:val="12"/>
                <w:color w:val="auto"/>
              </w:rPr>
            </w:pPr>
          </w:p>
        </w:tc>
        <w:tc>
          <w:tcPr>
            <w:tcW w:w="31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9"/>
        </w:trPr>
        <w:tc>
          <w:tcPr>
            <w:tcW w:w="23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Wells Fargo Bank,</w:t>
            </w:r>
          </w:p>
        </w:tc>
        <w:tc>
          <w:tcPr>
            <w:tcW w:w="2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9.45652174%</w:t>
            </w:r>
          </w:p>
        </w:tc>
        <w:tc>
          <w:tcPr>
            <w:tcW w:w="3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$108,750,000.00</w:t>
            </w:r>
          </w:p>
        </w:tc>
        <w:tc>
          <w:tcPr>
            <w:tcW w:w="3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$189,130,434.78</w:t>
            </w:r>
          </w:p>
        </w:tc>
        <w:tc>
          <w:tcPr>
            <w:tcW w:w="0" w:type="dxa"/>
            <w:vAlign w:val="bottom"/>
          </w:tcPr>
          <w:p>
            <w:pPr>
              <w:spacing w:after="0"/>
              <w:rPr>
                <w:sz w:val="1"/>
                <w:szCs w:val="1"/>
                <w:color w:val="auto"/>
              </w:rPr>
            </w:pPr>
          </w:p>
        </w:tc>
      </w:tr>
      <w:tr>
        <w:trPr>
          <w:trHeight w:val="122"/>
        </w:trPr>
        <w:tc>
          <w:tcPr>
            <w:tcW w:w="23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National Association</w:t>
            </w:r>
          </w:p>
        </w:tc>
        <w:tc>
          <w:tcPr>
            <w:tcW w:w="2720" w:type="dxa"/>
            <w:vAlign w:val="bottom"/>
            <w:tcBorders>
              <w:right w:val="single" w:sz="8" w:color="auto"/>
            </w:tcBorders>
          </w:tcPr>
          <w:p>
            <w:pPr>
              <w:spacing w:after="0"/>
              <w:rPr>
                <w:sz w:val="10"/>
                <w:szCs w:val="10"/>
                <w:color w:val="auto"/>
              </w:rPr>
            </w:pPr>
          </w:p>
        </w:tc>
        <w:tc>
          <w:tcPr>
            <w:tcW w:w="3120" w:type="dxa"/>
            <w:vAlign w:val="bottom"/>
            <w:tcBorders>
              <w:right w:val="single" w:sz="8" w:color="auto"/>
            </w:tcBorders>
            <w:vMerge w:val="continue"/>
          </w:tcPr>
          <w:p>
            <w:pPr>
              <w:spacing w:after="0"/>
              <w:rPr>
                <w:sz w:val="10"/>
                <w:szCs w:val="10"/>
                <w:color w:val="auto"/>
              </w:rPr>
            </w:pPr>
          </w:p>
        </w:tc>
        <w:tc>
          <w:tcPr>
            <w:tcW w:w="31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20" w:type="dxa"/>
            <w:vAlign w:val="bottom"/>
            <w:tcBorders>
              <w:left w:val="single" w:sz="8" w:color="auto"/>
              <w:right w:val="single" w:sz="8" w:color="auto"/>
            </w:tcBorders>
            <w:vMerge w:val="continue"/>
          </w:tcPr>
          <w:p>
            <w:pPr>
              <w:spacing w:after="0"/>
              <w:rPr>
                <w:sz w:val="12"/>
                <w:szCs w:val="12"/>
                <w:color w:val="auto"/>
              </w:rPr>
            </w:pPr>
          </w:p>
        </w:tc>
        <w:tc>
          <w:tcPr>
            <w:tcW w:w="2720" w:type="dxa"/>
            <w:vAlign w:val="bottom"/>
            <w:tcBorders>
              <w:right w:val="single" w:sz="8" w:color="auto"/>
            </w:tcBorders>
          </w:tcPr>
          <w:p>
            <w:pPr>
              <w:spacing w:after="0"/>
              <w:rPr>
                <w:sz w:val="12"/>
                <w:szCs w:val="12"/>
                <w:color w:val="auto"/>
              </w:rPr>
            </w:pPr>
          </w:p>
        </w:tc>
        <w:tc>
          <w:tcPr>
            <w:tcW w:w="3120" w:type="dxa"/>
            <w:vAlign w:val="bottom"/>
            <w:tcBorders>
              <w:right w:val="single" w:sz="8" w:color="auto"/>
            </w:tcBorders>
          </w:tcPr>
          <w:p>
            <w:pPr>
              <w:spacing w:after="0"/>
              <w:rPr>
                <w:sz w:val="12"/>
                <w:szCs w:val="12"/>
                <w:color w:val="auto"/>
              </w:rPr>
            </w:pPr>
          </w:p>
        </w:tc>
        <w:tc>
          <w:tcPr>
            <w:tcW w:w="31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320" w:type="dxa"/>
            <w:vAlign w:val="bottom"/>
            <w:tcBorders>
              <w:left w:val="single" w:sz="8" w:color="auto"/>
              <w:bottom w:val="single" w:sz="8" w:color="auto"/>
              <w:right w:val="single" w:sz="8" w:color="auto"/>
            </w:tcBorders>
          </w:tcPr>
          <w:p>
            <w:pPr>
              <w:spacing w:after="0"/>
              <w:rPr>
                <w:sz w:val="12"/>
                <w:szCs w:val="12"/>
                <w:color w:val="auto"/>
              </w:rPr>
            </w:pPr>
          </w:p>
        </w:tc>
        <w:tc>
          <w:tcPr>
            <w:tcW w:w="2720" w:type="dxa"/>
            <w:vAlign w:val="bottom"/>
            <w:tcBorders>
              <w:bottom w:val="single" w:sz="8" w:color="auto"/>
              <w:right w:val="single" w:sz="8" w:color="auto"/>
            </w:tcBorders>
          </w:tcPr>
          <w:p>
            <w:pPr>
              <w:spacing w:after="0"/>
              <w:rPr>
                <w:sz w:val="12"/>
                <w:szCs w:val="12"/>
                <w:color w:val="auto"/>
              </w:rPr>
            </w:pPr>
          </w:p>
        </w:tc>
        <w:tc>
          <w:tcPr>
            <w:tcW w:w="3120" w:type="dxa"/>
            <w:vAlign w:val="bottom"/>
            <w:tcBorders>
              <w:bottom w:val="single" w:sz="8" w:color="auto"/>
              <w:right w:val="single" w:sz="8" w:color="auto"/>
            </w:tcBorders>
          </w:tcPr>
          <w:p>
            <w:pPr>
              <w:spacing w:after="0"/>
              <w:rPr>
                <w:sz w:val="12"/>
                <w:szCs w:val="12"/>
                <w:color w:val="auto"/>
              </w:rPr>
            </w:pPr>
          </w:p>
        </w:tc>
        <w:tc>
          <w:tcPr>
            <w:tcW w:w="31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23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6"/>
              </w:rPr>
              <w:t>Truist Bank</w:t>
            </w:r>
          </w:p>
        </w:tc>
        <w:tc>
          <w:tcPr>
            <w:tcW w:w="2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9.45652174%</w:t>
            </w:r>
          </w:p>
        </w:tc>
        <w:tc>
          <w:tcPr>
            <w:tcW w:w="3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$108,750,000.00</w:t>
            </w:r>
          </w:p>
        </w:tc>
        <w:tc>
          <w:tcPr>
            <w:tcW w:w="3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$189,130,434.78</w:t>
            </w:r>
          </w:p>
        </w:tc>
        <w:tc>
          <w:tcPr>
            <w:tcW w:w="0" w:type="dxa"/>
            <w:vAlign w:val="bottom"/>
          </w:tcPr>
          <w:p>
            <w:pPr>
              <w:spacing w:after="0"/>
              <w:rPr>
                <w:sz w:val="1"/>
                <w:szCs w:val="1"/>
                <w:color w:val="auto"/>
              </w:rPr>
            </w:pPr>
          </w:p>
        </w:tc>
      </w:tr>
      <w:tr>
        <w:trPr>
          <w:trHeight w:val="156"/>
        </w:trPr>
        <w:tc>
          <w:tcPr>
            <w:tcW w:w="2320" w:type="dxa"/>
            <w:vAlign w:val="bottom"/>
            <w:tcBorders>
              <w:left w:val="single" w:sz="8" w:color="auto"/>
              <w:bottom w:val="single" w:sz="8" w:color="auto"/>
              <w:right w:val="single" w:sz="8" w:color="auto"/>
            </w:tcBorders>
          </w:tcPr>
          <w:p>
            <w:pPr>
              <w:spacing w:after="0"/>
              <w:rPr>
                <w:sz w:val="13"/>
                <w:szCs w:val="13"/>
                <w:color w:val="auto"/>
              </w:rPr>
            </w:pPr>
          </w:p>
        </w:tc>
        <w:tc>
          <w:tcPr>
            <w:tcW w:w="2720" w:type="dxa"/>
            <w:vAlign w:val="bottom"/>
            <w:tcBorders>
              <w:bottom w:val="single" w:sz="8" w:color="auto"/>
              <w:right w:val="single" w:sz="8" w:color="auto"/>
            </w:tcBorders>
          </w:tcPr>
          <w:p>
            <w:pPr>
              <w:spacing w:after="0"/>
              <w:rPr>
                <w:sz w:val="13"/>
                <w:szCs w:val="13"/>
                <w:color w:val="auto"/>
              </w:rPr>
            </w:pPr>
          </w:p>
        </w:tc>
        <w:tc>
          <w:tcPr>
            <w:tcW w:w="3120" w:type="dxa"/>
            <w:vAlign w:val="bottom"/>
            <w:tcBorders>
              <w:bottom w:val="single" w:sz="8" w:color="auto"/>
              <w:right w:val="single" w:sz="8" w:color="auto"/>
            </w:tcBorders>
          </w:tcPr>
          <w:p>
            <w:pPr>
              <w:spacing w:after="0"/>
              <w:rPr>
                <w:sz w:val="13"/>
                <w:szCs w:val="13"/>
                <w:color w:val="auto"/>
              </w:rPr>
            </w:pPr>
          </w:p>
        </w:tc>
        <w:tc>
          <w:tcPr>
            <w:tcW w:w="310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3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MUFG Bank, Ltd.</w:t>
            </w:r>
          </w:p>
        </w:tc>
        <w:tc>
          <w:tcPr>
            <w:tcW w:w="2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9.45652174%</w:t>
            </w:r>
          </w:p>
        </w:tc>
        <w:tc>
          <w:tcPr>
            <w:tcW w:w="3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$108,750,000.00</w:t>
            </w:r>
          </w:p>
        </w:tc>
        <w:tc>
          <w:tcPr>
            <w:tcW w:w="3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$189,130,434.78</w:t>
            </w:r>
          </w:p>
        </w:tc>
        <w:tc>
          <w:tcPr>
            <w:tcW w:w="0" w:type="dxa"/>
            <w:vAlign w:val="bottom"/>
          </w:tcPr>
          <w:p>
            <w:pPr>
              <w:spacing w:after="0"/>
              <w:rPr>
                <w:sz w:val="1"/>
                <w:szCs w:val="1"/>
                <w:color w:val="auto"/>
              </w:rPr>
            </w:pPr>
          </w:p>
        </w:tc>
      </w:tr>
      <w:tr>
        <w:trPr>
          <w:trHeight w:val="156"/>
        </w:trPr>
        <w:tc>
          <w:tcPr>
            <w:tcW w:w="2320" w:type="dxa"/>
            <w:vAlign w:val="bottom"/>
            <w:tcBorders>
              <w:left w:val="single" w:sz="8" w:color="auto"/>
              <w:bottom w:val="single" w:sz="8" w:color="auto"/>
              <w:right w:val="single" w:sz="8" w:color="auto"/>
            </w:tcBorders>
          </w:tcPr>
          <w:p>
            <w:pPr>
              <w:spacing w:after="0"/>
              <w:rPr>
                <w:sz w:val="13"/>
                <w:szCs w:val="13"/>
                <w:color w:val="auto"/>
              </w:rPr>
            </w:pPr>
          </w:p>
        </w:tc>
        <w:tc>
          <w:tcPr>
            <w:tcW w:w="2720" w:type="dxa"/>
            <w:vAlign w:val="bottom"/>
            <w:tcBorders>
              <w:bottom w:val="single" w:sz="8" w:color="auto"/>
              <w:right w:val="single" w:sz="8" w:color="auto"/>
            </w:tcBorders>
          </w:tcPr>
          <w:p>
            <w:pPr>
              <w:spacing w:after="0"/>
              <w:rPr>
                <w:sz w:val="13"/>
                <w:szCs w:val="13"/>
                <w:color w:val="auto"/>
              </w:rPr>
            </w:pPr>
          </w:p>
        </w:tc>
        <w:tc>
          <w:tcPr>
            <w:tcW w:w="3120" w:type="dxa"/>
            <w:vAlign w:val="bottom"/>
            <w:tcBorders>
              <w:bottom w:val="single" w:sz="8" w:color="auto"/>
              <w:right w:val="single" w:sz="8" w:color="auto"/>
            </w:tcBorders>
          </w:tcPr>
          <w:p>
            <w:pPr>
              <w:spacing w:after="0"/>
              <w:rPr>
                <w:sz w:val="13"/>
                <w:szCs w:val="13"/>
                <w:color w:val="auto"/>
              </w:rPr>
            </w:pPr>
          </w:p>
        </w:tc>
        <w:tc>
          <w:tcPr>
            <w:tcW w:w="310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3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The Toronto-Dominion</w:t>
            </w:r>
          </w:p>
        </w:tc>
        <w:tc>
          <w:tcPr>
            <w:tcW w:w="2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9.45652174%</w:t>
            </w:r>
          </w:p>
        </w:tc>
        <w:tc>
          <w:tcPr>
            <w:tcW w:w="3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$108,750,000.00</w:t>
            </w:r>
          </w:p>
        </w:tc>
        <w:tc>
          <w:tcPr>
            <w:tcW w:w="3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$189,130,434.78</w:t>
            </w:r>
          </w:p>
        </w:tc>
        <w:tc>
          <w:tcPr>
            <w:tcW w:w="0" w:type="dxa"/>
            <w:vAlign w:val="bottom"/>
          </w:tcPr>
          <w:p>
            <w:pPr>
              <w:spacing w:after="0"/>
              <w:rPr>
                <w:sz w:val="1"/>
                <w:szCs w:val="1"/>
                <w:color w:val="auto"/>
              </w:rPr>
            </w:pPr>
          </w:p>
        </w:tc>
      </w:tr>
      <w:tr>
        <w:trPr>
          <w:trHeight w:val="121"/>
        </w:trPr>
        <w:tc>
          <w:tcPr>
            <w:tcW w:w="23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Bank, New York Branch</w:t>
            </w:r>
          </w:p>
        </w:tc>
        <w:tc>
          <w:tcPr>
            <w:tcW w:w="2720" w:type="dxa"/>
            <w:vAlign w:val="bottom"/>
            <w:tcBorders>
              <w:right w:val="single" w:sz="8" w:color="auto"/>
            </w:tcBorders>
          </w:tcPr>
          <w:p>
            <w:pPr>
              <w:spacing w:after="0"/>
              <w:rPr>
                <w:sz w:val="10"/>
                <w:szCs w:val="10"/>
                <w:color w:val="auto"/>
              </w:rPr>
            </w:pPr>
          </w:p>
        </w:tc>
        <w:tc>
          <w:tcPr>
            <w:tcW w:w="3120" w:type="dxa"/>
            <w:vAlign w:val="bottom"/>
            <w:tcBorders>
              <w:right w:val="single" w:sz="8" w:color="auto"/>
            </w:tcBorders>
            <w:vMerge w:val="continue"/>
          </w:tcPr>
          <w:p>
            <w:pPr>
              <w:spacing w:after="0"/>
              <w:rPr>
                <w:sz w:val="10"/>
                <w:szCs w:val="10"/>
                <w:color w:val="auto"/>
              </w:rPr>
            </w:pPr>
          </w:p>
        </w:tc>
        <w:tc>
          <w:tcPr>
            <w:tcW w:w="31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20" w:type="dxa"/>
            <w:vAlign w:val="bottom"/>
            <w:tcBorders>
              <w:left w:val="single" w:sz="8" w:color="auto"/>
              <w:right w:val="single" w:sz="8" w:color="auto"/>
            </w:tcBorders>
            <w:vMerge w:val="continue"/>
          </w:tcPr>
          <w:p>
            <w:pPr>
              <w:spacing w:after="0"/>
              <w:rPr>
                <w:sz w:val="12"/>
                <w:szCs w:val="12"/>
                <w:color w:val="auto"/>
              </w:rPr>
            </w:pPr>
          </w:p>
        </w:tc>
        <w:tc>
          <w:tcPr>
            <w:tcW w:w="2720" w:type="dxa"/>
            <w:vAlign w:val="bottom"/>
            <w:tcBorders>
              <w:right w:val="single" w:sz="8" w:color="auto"/>
            </w:tcBorders>
          </w:tcPr>
          <w:p>
            <w:pPr>
              <w:spacing w:after="0"/>
              <w:rPr>
                <w:sz w:val="12"/>
                <w:szCs w:val="12"/>
                <w:color w:val="auto"/>
              </w:rPr>
            </w:pPr>
          </w:p>
        </w:tc>
        <w:tc>
          <w:tcPr>
            <w:tcW w:w="3120" w:type="dxa"/>
            <w:vAlign w:val="bottom"/>
            <w:tcBorders>
              <w:right w:val="single" w:sz="8" w:color="auto"/>
            </w:tcBorders>
          </w:tcPr>
          <w:p>
            <w:pPr>
              <w:spacing w:after="0"/>
              <w:rPr>
                <w:sz w:val="12"/>
                <w:szCs w:val="12"/>
                <w:color w:val="auto"/>
              </w:rPr>
            </w:pPr>
          </w:p>
        </w:tc>
        <w:tc>
          <w:tcPr>
            <w:tcW w:w="31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320" w:type="dxa"/>
            <w:vAlign w:val="bottom"/>
            <w:tcBorders>
              <w:left w:val="single" w:sz="8" w:color="auto"/>
              <w:bottom w:val="single" w:sz="8" w:color="auto"/>
              <w:right w:val="single" w:sz="8" w:color="auto"/>
            </w:tcBorders>
          </w:tcPr>
          <w:p>
            <w:pPr>
              <w:spacing w:after="0"/>
              <w:rPr>
                <w:sz w:val="12"/>
                <w:szCs w:val="12"/>
                <w:color w:val="auto"/>
              </w:rPr>
            </w:pPr>
          </w:p>
        </w:tc>
        <w:tc>
          <w:tcPr>
            <w:tcW w:w="2720" w:type="dxa"/>
            <w:vAlign w:val="bottom"/>
            <w:tcBorders>
              <w:bottom w:val="single" w:sz="8" w:color="auto"/>
              <w:right w:val="single" w:sz="8" w:color="auto"/>
            </w:tcBorders>
          </w:tcPr>
          <w:p>
            <w:pPr>
              <w:spacing w:after="0"/>
              <w:rPr>
                <w:sz w:val="12"/>
                <w:szCs w:val="12"/>
                <w:color w:val="auto"/>
              </w:rPr>
            </w:pPr>
          </w:p>
        </w:tc>
        <w:tc>
          <w:tcPr>
            <w:tcW w:w="3120" w:type="dxa"/>
            <w:vAlign w:val="bottom"/>
            <w:tcBorders>
              <w:bottom w:val="single" w:sz="8" w:color="auto"/>
              <w:right w:val="single" w:sz="8" w:color="auto"/>
            </w:tcBorders>
          </w:tcPr>
          <w:p>
            <w:pPr>
              <w:spacing w:after="0"/>
              <w:rPr>
                <w:sz w:val="12"/>
                <w:szCs w:val="12"/>
                <w:color w:val="auto"/>
              </w:rPr>
            </w:pPr>
          </w:p>
        </w:tc>
        <w:tc>
          <w:tcPr>
            <w:tcW w:w="31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9"/>
        </w:trPr>
        <w:tc>
          <w:tcPr>
            <w:tcW w:w="23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Sumitomo Mitsui Banking</w:t>
            </w:r>
          </w:p>
        </w:tc>
        <w:tc>
          <w:tcPr>
            <w:tcW w:w="2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9.45652174%</w:t>
            </w:r>
          </w:p>
        </w:tc>
        <w:tc>
          <w:tcPr>
            <w:tcW w:w="3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$108,750,000.00</w:t>
            </w:r>
          </w:p>
        </w:tc>
        <w:tc>
          <w:tcPr>
            <w:tcW w:w="3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$189,130,434.78</w:t>
            </w:r>
          </w:p>
        </w:tc>
        <w:tc>
          <w:tcPr>
            <w:tcW w:w="0" w:type="dxa"/>
            <w:vAlign w:val="bottom"/>
          </w:tcPr>
          <w:p>
            <w:pPr>
              <w:spacing w:after="0"/>
              <w:rPr>
                <w:sz w:val="1"/>
                <w:szCs w:val="1"/>
                <w:color w:val="auto"/>
              </w:rPr>
            </w:pPr>
          </w:p>
        </w:tc>
      </w:tr>
      <w:tr>
        <w:trPr>
          <w:trHeight w:val="122"/>
        </w:trPr>
        <w:tc>
          <w:tcPr>
            <w:tcW w:w="23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Corporation</w:t>
            </w:r>
          </w:p>
        </w:tc>
        <w:tc>
          <w:tcPr>
            <w:tcW w:w="2720" w:type="dxa"/>
            <w:vAlign w:val="bottom"/>
            <w:tcBorders>
              <w:right w:val="single" w:sz="8" w:color="auto"/>
            </w:tcBorders>
          </w:tcPr>
          <w:p>
            <w:pPr>
              <w:spacing w:after="0"/>
              <w:rPr>
                <w:sz w:val="10"/>
                <w:szCs w:val="10"/>
                <w:color w:val="auto"/>
              </w:rPr>
            </w:pPr>
          </w:p>
        </w:tc>
        <w:tc>
          <w:tcPr>
            <w:tcW w:w="3120" w:type="dxa"/>
            <w:vAlign w:val="bottom"/>
            <w:tcBorders>
              <w:right w:val="single" w:sz="8" w:color="auto"/>
            </w:tcBorders>
            <w:vMerge w:val="continue"/>
          </w:tcPr>
          <w:p>
            <w:pPr>
              <w:spacing w:after="0"/>
              <w:rPr>
                <w:sz w:val="10"/>
                <w:szCs w:val="10"/>
                <w:color w:val="auto"/>
              </w:rPr>
            </w:pPr>
          </w:p>
        </w:tc>
        <w:tc>
          <w:tcPr>
            <w:tcW w:w="31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20" w:type="dxa"/>
            <w:vAlign w:val="bottom"/>
            <w:tcBorders>
              <w:left w:val="single" w:sz="8" w:color="auto"/>
              <w:right w:val="single" w:sz="8" w:color="auto"/>
            </w:tcBorders>
            <w:vMerge w:val="continue"/>
          </w:tcPr>
          <w:p>
            <w:pPr>
              <w:spacing w:after="0"/>
              <w:rPr>
                <w:sz w:val="12"/>
                <w:szCs w:val="12"/>
                <w:color w:val="auto"/>
              </w:rPr>
            </w:pPr>
          </w:p>
        </w:tc>
        <w:tc>
          <w:tcPr>
            <w:tcW w:w="2720" w:type="dxa"/>
            <w:vAlign w:val="bottom"/>
            <w:tcBorders>
              <w:right w:val="single" w:sz="8" w:color="auto"/>
            </w:tcBorders>
          </w:tcPr>
          <w:p>
            <w:pPr>
              <w:spacing w:after="0"/>
              <w:rPr>
                <w:sz w:val="12"/>
                <w:szCs w:val="12"/>
                <w:color w:val="auto"/>
              </w:rPr>
            </w:pPr>
          </w:p>
        </w:tc>
        <w:tc>
          <w:tcPr>
            <w:tcW w:w="3120" w:type="dxa"/>
            <w:vAlign w:val="bottom"/>
            <w:tcBorders>
              <w:right w:val="single" w:sz="8" w:color="auto"/>
            </w:tcBorders>
          </w:tcPr>
          <w:p>
            <w:pPr>
              <w:spacing w:after="0"/>
              <w:rPr>
                <w:sz w:val="12"/>
                <w:szCs w:val="12"/>
                <w:color w:val="auto"/>
              </w:rPr>
            </w:pPr>
          </w:p>
        </w:tc>
        <w:tc>
          <w:tcPr>
            <w:tcW w:w="31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320" w:type="dxa"/>
            <w:vAlign w:val="bottom"/>
            <w:tcBorders>
              <w:left w:val="single" w:sz="8" w:color="auto"/>
              <w:bottom w:val="single" w:sz="8" w:color="auto"/>
              <w:right w:val="single" w:sz="8" w:color="auto"/>
            </w:tcBorders>
          </w:tcPr>
          <w:p>
            <w:pPr>
              <w:spacing w:after="0"/>
              <w:rPr>
                <w:sz w:val="12"/>
                <w:szCs w:val="12"/>
                <w:color w:val="auto"/>
              </w:rPr>
            </w:pPr>
          </w:p>
        </w:tc>
        <w:tc>
          <w:tcPr>
            <w:tcW w:w="2720" w:type="dxa"/>
            <w:vAlign w:val="bottom"/>
            <w:tcBorders>
              <w:bottom w:val="single" w:sz="8" w:color="auto"/>
              <w:right w:val="single" w:sz="8" w:color="auto"/>
            </w:tcBorders>
          </w:tcPr>
          <w:p>
            <w:pPr>
              <w:spacing w:after="0"/>
              <w:rPr>
                <w:sz w:val="12"/>
                <w:szCs w:val="12"/>
                <w:color w:val="auto"/>
              </w:rPr>
            </w:pPr>
          </w:p>
        </w:tc>
        <w:tc>
          <w:tcPr>
            <w:tcW w:w="3120" w:type="dxa"/>
            <w:vAlign w:val="bottom"/>
            <w:tcBorders>
              <w:bottom w:val="single" w:sz="8" w:color="auto"/>
              <w:right w:val="single" w:sz="8" w:color="auto"/>
            </w:tcBorders>
          </w:tcPr>
          <w:p>
            <w:pPr>
              <w:spacing w:after="0"/>
              <w:rPr>
                <w:sz w:val="12"/>
                <w:szCs w:val="12"/>
                <w:color w:val="auto"/>
              </w:rPr>
            </w:pPr>
          </w:p>
        </w:tc>
        <w:tc>
          <w:tcPr>
            <w:tcW w:w="31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23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Royal Bank of Canada</w:t>
            </w:r>
          </w:p>
        </w:tc>
        <w:tc>
          <w:tcPr>
            <w:tcW w:w="2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7.39130435%</w:t>
            </w:r>
          </w:p>
        </w:tc>
        <w:tc>
          <w:tcPr>
            <w:tcW w:w="3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$85,000,000.00</w:t>
            </w:r>
          </w:p>
        </w:tc>
        <w:tc>
          <w:tcPr>
            <w:tcW w:w="3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$147,826,086.96</w:t>
            </w:r>
          </w:p>
        </w:tc>
        <w:tc>
          <w:tcPr>
            <w:tcW w:w="0" w:type="dxa"/>
            <w:vAlign w:val="bottom"/>
          </w:tcPr>
          <w:p>
            <w:pPr>
              <w:spacing w:after="0"/>
              <w:rPr>
                <w:sz w:val="1"/>
                <w:szCs w:val="1"/>
                <w:color w:val="auto"/>
              </w:rPr>
            </w:pPr>
          </w:p>
        </w:tc>
      </w:tr>
      <w:tr>
        <w:trPr>
          <w:trHeight w:val="156"/>
        </w:trPr>
        <w:tc>
          <w:tcPr>
            <w:tcW w:w="2320" w:type="dxa"/>
            <w:vAlign w:val="bottom"/>
            <w:tcBorders>
              <w:left w:val="single" w:sz="8" w:color="auto"/>
              <w:bottom w:val="single" w:sz="8" w:color="auto"/>
              <w:right w:val="single" w:sz="8" w:color="auto"/>
            </w:tcBorders>
          </w:tcPr>
          <w:p>
            <w:pPr>
              <w:spacing w:after="0"/>
              <w:rPr>
                <w:sz w:val="13"/>
                <w:szCs w:val="13"/>
                <w:color w:val="auto"/>
              </w:rPr>
            </w:pPr>
          </w:p>
        </w:tc>
        <w:tc>
          <w:tcPr>
            <w:tcW w:w="2720" w:type="dxa"/>
            <w:vAlign w:val="bottom"/>
            <w:tcBorders>
              <w:bottom w:val="single" w:sz="8" w:color="auto"/>
              <w:right w:val="single" w:sz="8" w:color="auto"/>
            </w:tcBorders>
          </w:tcPr>
          <w:p>
            <w:pPr>
              <w:spacing w:after="0"/>
              <w:rPr>
                <w:sz w:val="13"/>
                <w:szCs w:val="13"/>
                <w:color w:val="auto"/>
              </w:rPr>
            </w:pPr>
          </w:p>
        </w:tc>
        <w:tc>
          <w:tcPr>
            <w:tcW w:w="3120" w:type="dxa"/>
            <w:vAlign w:val="bottom"/>
            <w:tcBorders>
              <w:bottom w:val="single" w:sz="8" w:color="auto"/>
              <w:right w:val="single" w:sz="8" w:color="auto"/>
            </w:tcBorders>
          </w:tcPr>
          <w:p>
            <w:pPr>
              <w:spacing w:after="0"/>
              <w:rPr>
                <w:sz w:val="13"/>
                <w:szCs w:val="13"/>
                <w:color w:val="auto"/>
              </w:rPr>
            </w:pPr>
          </w:p>
        </w:tc>
        <w:tc>
          <w:tcPr>
            <w:tcW w:w="310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3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Macquarie Funding LLC</w:t>
            </w:r>
          </w:p>
        </w:tc>
        <w:tc>
          <w:tcPr>
            <w:tcW w:w="2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3.15217391%</w:t>
            </w:r>
          </w:p>
        </w:tc>
        <w:tc>
          <w:tcPr>
            <w:tcW w:w="3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$36,250,000.00</w:t>
            </w:r>
          </w:p>
        </w:tc>
        <w:tc>
          <w:tcPr>
            <w:tcW w:w="3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$63,043,478.26</w:t>
            </w:r>
          </w:p>
        </w:tc>
        <w:tc>
          <w:tcPr>
            <w:tcW w:w="0" w:type="dxa"/>
            <w:vAlign w:val="bottom"/>
          </w:tcPr>
          <w:p>
            <w:pPr>
              <w:spacing w:after="0"/>
              <w:rPr>
                <w:sz w:val="1"/>
                <w:szCs w:val="1"/>
                <w:color w:val="auto"/>
              </w:rPr>
            </w:pPr>
          </w:p>
        </w:tc>
      </w:tr>
      <w:tr>
        <w:trPr>
          <w:trHeight w:val="156"/>
        </w:trPr>
        <w:tc>
          <w:tcPr>
            <w:tcW w:w="2320" w:type="dxa"/>
            <w:vAlign w:val="bottom"/>
            <w:tcBorders>
              <w:left w:val="single" w:sz="8" w:color="auto"/>
              <w:bottom w:val="single" w:sz="8" w:color="auto"/>
              <w:right w:val="single" w:sz="8" w:color="auto"/>
            </w:tcBorders>
          </w:tcPr>
          <w:p>
            <w:pPr>
              <w:spacing w:after="0"/>
              <w:rPr>
                <w:sz w:val="13"/>
                <w:szCs w:val="13"/>
                <w:color w:val="auto"/>
              </w:rPr>
            </w:pPr>
          </w:p>
        </w:tc>
        <w:tc>
          <w:tcPr>
            <w:tcW w:w="2720" w:type="dxa"/>
            <w:vAlign w:val="bottom"/>
            <w:tcBorders>
              <w:bottom w:val="single" w:sz="8" w:color="auto"/>
              <w:right w:val="single" w:sz="8" w:color="auto"/>
            </w:tcBorders>
          </w:tcPr>
          <w:p>
            <w:pPr>
              <w:spacing w:after="0"/>
              <w:rPr>
                <w:sz w:val="13"/>
                <w:szCs w:val="13"/>
                <w:color w:val="auto"/>
              </w:rPr>
            </w:pPr>
          </w:p>
        </w:tc>
        <w:tc>
          <w:tcPr>
            <w:tcW w:w="3120" w:type="dxa"/>
            <w:vAlign w:val="bottom"/>
            <w:tcBorders>
              <w:bottom w:val="single" w:sz="8" w:color="auto"/>
              <w:right w:val="single" w:sz="8" w:color="auto"/>
            </w:tcBorders>
          </w:tcPr>
          <w:p>
            <w:pPr>
              <w:spacing w:after="0"/>
              <w:rPr>
                <w:sz w:val="13"/>
                <w:szCs w:val="13"/>
                <w:color w:val="auto"/>
              </w:rPr>
            </w:pPr>
          </w:p>
        </w:tc>
        <w:tc>
          <w:tcPr>
            <w:tcW w:w="310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3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Jefferies Finance LLC</w:t>
            </w:r>
          </w:p>
        </w:tc>
        <w:tc>
          <w:tcPr>
            <w:tcW w:w="2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1.73913042%</w:t>
            </w:r>
          </w:p>
        </w:tc>
        <w:tc>
          <w:tcPr>
            <w:tcW w:w="3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$20,000,000.00</w:t>
            </w:r>
          </w:p>
        </w:tc>
        <w:tc>
          <w:tcPr>
            <w:tcW w:w="3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$34,782,608.70</w:t>
            </w:r>
          </w:p>
        </w:tc>
        <w:tc>
          <w:tcPr>
            <w:tcW w:w="0" w:type="dxa"/>
            <w:vAlign w:val="bottom"/>
          </w:tcPr>
          <w:p>
            <w:pPr>
              <w:spacing w:after="0"/>
              <w:rPr>
                <w:sz w:val="1"/>
                <w:szCs w:val="1"/>
                <w:color w:val="auto"/>
              </w:rPr>
            </w:pPr>
          </w:p>
        </w:tc>
      </w:tr>
      <w:tr>
        <w:trPr>
          <w:trHeight w:val="156"/>
        </w:trPr>
        <w:tc>
          <w:tcPr>
            <w:tcW w:w="2320" w:type="dxa"/>
            <w:vAlign w:val="bottom"/>
            <w:tcBorders>
              <w:left w:val="single" w:sz="8" w:color="auto"/>
              <w:bottom w:val="single" w:sz="8" w:color="auto"/>
              <w:right w:val="single" w:sz="8" w:color="auto"/>
            </w:tcBorders>
          </w:tcPr>
          <w:p>
            <w:pPr>
              <w:spacing w:after="0"/>
              <w:rPr>
                <w:sz w:val="13"/>
                <w:szCs w:val="13"/>
                <w:color w:val="auto"/>
              </w:rPr>
            </w:pPr>
          </w:p>
        </w:tc>
        <w:tc>
          <w:tcPr>
            <w:tcW w:w="2720" w:type="dxa"/>
            <w:vAlign w:val="bottom"/>
            <w:tcBorders>
              <w:bottom w:val="single" w:sz="8" w:color="auto"/>
              <w:right w:val="single" w:sz="8" w:color="auto"/>
            </w:tcBorders>
          </w:tcPr>
          <w:p>
            <w:pPr>
              <w:spacing w:after="0"/>
              <w:rPr>
                <w:sz w:val="13"/>
                <w:szCs w:val="13"/>
                <w:color w:val="auto"/>
              </w:rPr>
            </w:pPr>
          </w:p>
        </w:tc>
        <w:tc>
          <w:tcPr>
            <w:tcW w:w="3120" w:type="dxa"/>
            <w:vAlign w:val="bottom"/>
            <w:tcBorders>
              <w:bottom w:val="single" w:sz="8" w:color="auto"/>
              <w:right w:val="single" w:sz="8" w:color="auto"/>
            </w:tcBorders>
          </w:tcPr>
          <w:p>
            <w:pPr>
              <w:spacing w:after="0"/>
              <w:rPr>
                <w:sz w:val="13"/>
                <w:szCs w:val="13"/>
                <w:color w:val="auto"/>
              </w:rPr>
            </w:pPr>
          </w:p>
        </w:tc>
        <w:tc>
          <w:tcPr>
            <w:tcW w:w="310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|US-DOCS\154101332.9||</w:t>
      </w:r>
    </w:p>
    <w:p>
      <w:pPr>
        <w:sectPr>
          <w:pgSz w:w="11900" w:h="16838" w:orient="portrait"/>
          <w:cols w:equalWidth="0" w:num="1">
            <w:col w:w="11260"/>
          </w:cols>
          <w:pgMar w:left="320" w:top="1409" w:right="319" w:bottom="1440" w:gutter="0" w:footer="0" w:header="0"/>
        </w:sectPr>
      </w:pPr>
    </w:p>
    <w:bookmarkStart w:id="97" w:name="page98"/>
    <w:bookmarkEnd w:id="97"/>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90"/>
        </w:trPr>
        <w:tc>
          <w:tcPr>
            <w:tcW w:w="232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Goldman Sachs Bank</w:t>
            </w:r>
          </w:p>
        </w:tc>
        <w:tc>
          <w:tcPr>
            <w:tcW w:w="27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0.86956522%</w:t>
            </w:r>
          </w:p>
        </w:tc>
        <w:tc>
          <w:tcPr>
            <w:tcW w:w="312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7"/>
              </w:rPr>
              <w:t>$10,000,000.00</w:t>
            </w:r>
          </w:p>
        </w:tc>
        <w:tc>
          <w:tcPr>
            <w:tcW w:w="31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$17,391,304.35</w:t>
            </w:r>
          </w:p>
        </w:tc>
        <w:tc>
          <w:tcPr>
            <w:tcW w:w="0" w:type="dxa"/>
            <w:vAlign w:val="bottom"/>
          </w:tcPr>
          <w:p>
            <w:pPr>
              <w:spacing w:after="0"/>
              <w:rPr>
                <w:sz w:val="1"/>
                <w:szCs w:val="1"/>
                <w:color w:val="auto"/>
              </w:rPr>
            </w:pPr>
          </w:p>
        </w:tc>
      </w:tr>
      <w:tr>
        <w:trPr>
          <w:trHeight w:val="122"/>
        </w:trPr>
        <w:tc>
          <w:tcPr>
            <w:tcW w:w="23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USA</w:t>
            </w:r>
          </w:p>
        </w:tc>
        <w:tc>
          <w:tcPr>
            <w:tcW w:w="2720" w:type="dxa"/>
            <w:vAlign w:val="bottom"/>
            <w:tcBorders>
              <w:right w:val="single" w:sz="8" w:color="auto"/>
            </w:tcBorders>
          </w:tcPr>
          <w:p>
            <w:pPr>
              <w:spacing w:after="0"/>
              <w:rPr>
                <w:sz w:val="10"/>
                <w:szCs w:val="10"/>
                <w:color w:val="auto"/>
              </w:rPr>
            </w:pPr>
          </w:p>
        </w:tc>
        <w:tc>
          <w:tcPr>
            <w:tcW w:w="3120" w:type="dxa"/>
            <w:vAlign w:val="bottom"/>
            <w:tcBorders>
              <w:right w:val="single" w:sz="8" w:color="auto"/>
            </w:tcBorders>
            <w:vMerge w:val="continue"/>
          </w:tcPr>
          <w:p>
            <w:pPr>
              <w:spacing w:after="0"/>
              <w:rPr>
                <w:sz w:val="10"/>
                <w:szCs w:val="10"/>
                <w:color w:val="auto"/>
              </w:rPr>
            </w:pPr>
          </w:p>
        </w:tc>
        <w:tc>
          <w:tcPr>
            <w:tcW w:w="31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20" w:type="dxa"/>
            <w:vAlign w:val="bottom"/>
            <w:tcBorders>
              <w:left w:val="single" w:sz="8" w:color="auto"/>
              <w:right w:val="single" w:sz="8" w:color="auto"/>
            </w:tcBorders>
            <w:vMerge w:val="continue"/>
          </w:tcPr>
          <w:p>
            <w:pPr>
              <w:spacing w:after="0"/>
              <w:rPr>
                <w:sz w:val="12"/>
                <w:szCs w:val="12"/>
                <w:color w:val="auto"/>
              </w:rPr>
            </w:pPr>
          </w:p>
        </w:tc>
        <w:tc>
          <w:tcPr>
            <w:tcW w:w="2720" w:type="dxa"/>
            <w:vAlign w:val="bottom"/>
            <w:tcBorders>
              <w:right w:val="single" w:sz="8" w:color="auto"/>
            </w:tcBorders>
          </w:tcPr>
          <w:p>
            <w:pPr>
              <w:spacing w:after="0"/>
              <w:rPr>
                <w:sz w:val="12"/>
                <w:szCs w:val="12"/>
                <w:color w:val="auto"/>
              </w:rPr>
            </w:pPr>
          </w:p>
        </w:tc>
        <w:tc>
          <w:tcPr>
            <w:tcW w:w="3120" w:type="dxa"/>
            <w:vAlign w:val="bottom"/>
            <w:tcBorders>
              <w:right w:val="single" w:sz="8" w:color="auto"/>
            </w:tcBorders>
          </w:tcPr>
          <w:p>
            <w:pPr>
              <w:spacing w:after="0"/>
              <w:rPr>
                <w:sz w:val="12"/>
                <w:szCs w:val="12"/>
                <w:color w:val="auto"/>
              </w:rPr>
            </w:pPr>
          </w:p>
        </w:tc>
        <w:tc>
          <w:tcPr>
            <w:tcW w:w="31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320" w:type="dxa"/>
            <w:vAlign w:val="bottom"/>
            <w:tcBorders>
              <w:left w:val="single" w:sz="8" w:color="auto"/>
              <w:bottom w:val="single" w:sz="8" w:color="auto"/>
              <w:right w:val="single" w:sz="8" w:color="auto"/>
            </w:tcBorders>
          </w:tcPr>
          <w:p>
            <w:pPr>
              <w:spacing w:after="0"/>
              <w:rPr>
                <w:sz w:val="12"/>
                <w:szCs w:val="12"/>
                <w:color w:val="auto"/>
              </w:rPr>
            </w:pPr>
          </w:p>
        </w:tc>
        <w:tc>
          <w:tcPr>
            <w:tcW w:w="2720" w:type="dxa"/>
            <w:vAlign w:val="bottom"/>
            <w:tcBorders>
              <w:bottom w:val="single" w:sz="8" w:color="auto"/>
              <w:right w:val="single" w:sz="8" w:color="auto"/>
            </w:tcBorders>
          </w:tcPr>
          <w:p>
            <w:pPr>
              <w:spacing w:after="0"/>
              <w:rPr>
                <w:sz w:val="12"/>
                <w:szCs w:val="12"/>
                <w:color w:val="auto"/>
              </w:rPr>
            </w:pPr>
          </w:p>
        </w:tc>
        <w:tc>
          <w:tcPr>
            <w:tcW w:w="3120" w:type="dxa"/>
            <w:vAlign w:val="bottom"/>
            <w:tcBorders>
              <w:bottom w:val="single" w:sz="8" w:color="auto"/>
              <w:right w:val="single" w:sz="8" w:color="auto"/>
            </w:tcBorders>
          </w:tcPr>
          <w:p>
            <w:pPr>
              <w:spacing w:after="0"/>
              <w:rPr>
                <w:sz w:val="12"/>
                <w:szCs w:val="12"/>
                <w:color w:val="auto"/>
              </w:rPr>
            </w:pPr>
          </w:p>
        </w:tc>
        <w:tc>
          <w:tcPr>
            <w:tcW w:w="31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9"/>
        </w:trPr>
        <w:tc>
          <w:tcPr>
            <w:tcW w:w="23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Morgan Stanley Senior</w:t>
            </w:r>
          </w:p>
        </w:tc>
        <w:tc>
          <w:tcPr>
            <w:tcW w:w="2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0.86956522%</w:t>
            </w:r>
          </w:p>
        </w:tc>
        <w:tc>
          <w:tcPr>
            <w:tcW w:w="3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7"/>
              </w:rPr>
              <w:t>$10,000,000.00</w:t>
            </w:r>
          </w:p>
        </w:tc>
        <w:tc>
          <w:tcPr>
            <w:tcW w:w="3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$17,391,304.35</w:t>
            </w:r>
          </w:p>
        </w:tc>
        <w:tc>
          <w:tcPr>
            <w:tcW w:w="0" w:type="dxa"/>
            <w:vAlign w:val="bottom"/>
          </w:tcPr>
          <w:p>
            <w:pPr>
              <w:spacing w:after="0"/>
              <w:rPr>
                <w:sz w:val="1"/>
                <w:szCs w:val="1"/>
                <w:color w:val="auto"/>
              </w:rPr>
            </w:pPr>
          </w:p>
        </w:tc>
      </w:tr>
      <w:tr>
        <w:trPr>
          <w:trHeight w:val="122"/>
        </w:trPr>
        <w:tc>
          <w:tcPr>
            <w:tcW w:w="23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7"/>
              </w:rPr>
              <w:t>Funding Inc.</w:t>
            </w:r>
          </w:p>
        </w:tc>
        <w:tc>
          <w:tcPr>
            <w:tcW w:w="2720" w:type="dxa"/>
            <w:vAlign w:val="bottom"/>
            <w:tcBorders>
              <w:right w:val="single" w:sz="8" w:color="auto"/>
            </w:tcBorders>
          </w:tcPr>
          <w:p>
            <w:pPr>
              <w:spacing w:after="0"/>
              <w:rPr>
                <w:sz w:val="10"/>
                <w:szCs w:val="10"/>
                <w:color w:val="auto"/>
              </w:rPr>
            </w:pPr>
          </w:p>
        </w:tc>
        <w:tc>
          <w:tcPr>
            <w:tcW w:w="3120" w:type="dxa"/>
            <w:vAlign w:val="bottom"/>
            <w:tcBorders>
              <w:right w:val="single" w:sz="8" w:color="auto"/>
            </w:tcBorders>
            <w:vMerge w:val="continue"/>
          </w:tcPr>
          <w:p>
            <w:pPr>
              <w:spacing w:after="0"/>
              <w:rPr>
                <w:sz w:val="10"/>
                <w:szCs w:val="10"/>
                <w:color w:val="auto"/>
              </w:rPr>
            </w:pPr>
          </w:p>
        </w:tc>
        <w:tc>
          <w:tcPr>
            <w:tcW w:w="31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20" w:type="dxa"/>
            <w:vAlign w:val="bottom"/>
            <w:tcBorders>
              <w:left w:val="single" w:sz="8" w:color="auto"/>
              <w:right w:val="single" w:sz="8" w:color="auto"/>
            </w:tcBorders>
            <w:vMerge w:val="continue"/>
          </w:tcPr>
          <w:p>
            <w:pPr>
              <w:spacing w:after="0"/>
              <w:rPr>
                <w:sz w:val="12"/>
                <w:szCs w:val="12"/>
                <w:color w:val="auto"/>
              </w:rPr>
            </w:pPr>
          </w:p>
        </w:tc>
        <w:tc>
          <w:tcPr>
            <w:tcW w:w="2720" w:type="dxa"/>
            <w:vAlign w:val="bottom"/>
            <w:tcBorders>
              <w:right w:val="single" w:sz="8" w:color="auto"/>
            </w:tcBorders>
          </w:tcPr>
          <w:p>
            <w:pPr>
              <w:spacing w:after="0"/>
              <w:rPr>
                <w:sz w:val="12"/>
                <w:szCs w:val="12"/>
                <w:color w:val="auto"/>
              </w:rPr>
            </w:pPr>
          </w:p>
        </w:tc>
        <w:tc>
          <w:tcPr>
            <w:tcW w:w="3120" w:type="dxa"/>
            <w:vAlign w:val="bottom"/>
            <w:tcBorders>
              <w:right w:val="single" w:sz="8" w:color="auto"/>
            </w:tcBorders>
          </w:tcPr>
          <w:p>
            <w:pPr>
              <w:spacing w:after="0"/>
              <w:rPr>
                <w:sz w:val="12"/>
                <w:szCs w:val="12"/>
                <w:color w:val="auto"/>
              </w:rPr>
            </w:pPr>
          </w:p>
        </w:tc>
        <w:tc>
          <w:tcPr>
            <w:tcW w:w="31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320" w:type="dxa"/>
            <w:vAlign w:val="bottom"/>
            <w:tcBorders>
              <w:left w:val="single" w:sz="8" w:color="auto"/>
              <w:bottom w:val="single" w:sz="8" w:color="auto"/>
              <w:right w:val="single" w:sz="8" w:color="auto"/>
            </w:tcBorders>
          </w:tcPr>
          <w:p>
            <w:pPr>
              <w:spacing w:after="0"/>
              <w:rPr>
                <w:sz w:val="12"/>
                <w:szCs w:val="12"/>
                <w:color w:val="auto"/>
              </w:rPr>
            </w:pPr>
          </w:p>
        </w:tc>
        <w:tc>
          <w:tcPr>
            <w:tcW w:w="2720" w:type="dxa"/>
            <w:vAlign w:val="bottom"/>
            <w:tcBorders>
              <w:bottom w:val="single" w:sz="8" w:color="auto"/>
              <w:right w:val="single" w:sz="8" w:color="auto"/>
            </w:tcBorders>
          </w:tcPr>
          <w:p>
            <w:pPr>
              <w:spacing w:after="0"/>
              <w:rPr>
                <w:sz w:val="12"/>
                <w:szCs w:val="12"/>
                <w:color w:val="auto"/>
              </w:rPr>
            </w:pPr>
          </w:p>
        </w:tc>
        <w:tc>
          <w:tcPr>
            <w:tcW w:w="3120" w:type="dxa"/>
            <w:vAlign w:val="bottom"/>
            <w:tcBorders>
              <w:bottom w:val="single" w:sz="8" w:color="auto"/>
              <w:right w:val="single" w:sz="8" w:color="auto"/>
            </w:tcBorders>
          </w:tcPr>
          <w:p>
            <w:pPr>
              <w:spacing w:after="0"/>
              <w:rPr>
                <w:sz w:val="12"/>
                <w:szCs w:val="12"/>
                <w:color w:val="auto"/>
              </w:rPr>
            </w:pPr>
          </w:p>
        </w:tc>
        <w:tc>
          <w:tcPr>
            <w:tcW w:w="31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23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BP Energy Company</w:t>
            </w:r>
          </w:p>
        </w:tc>
        <w:tc>
          <w:tcPr>
            <w:tcW w:w="2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0.43478261%</w:t>
            </w:r>
          </w:p>
        </w:tc>
        <w:tc>
          <w:tcPr>
            <w:tcW w:w="3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$5,000,000.00</w:t>
            </w:r>
          </w:p>
        </w:tc>
        <w:tc>
          <w:tcPr>
            <w:tcW w:w="3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$8,695,652.18</w:t>
            </w:r>
          </w:p>
        </w:tc>
        <w:tc>
          <w:tcPr>
            <w:tcW w:w="0" w:type="dxa"/>
            <w:vAlign w:val="bottom"/>
          </w:tcPr>
          <w:p>
            <w:pPr>
              <w:spacing w:after="0"/>
              <w:rPr>
                <w:sz w:val="1"/>
                <w:szCs w:val="1"/>
                <w:color w:val="auto"/>
              </w:rPr>
            </w:pPr>
          </w:p>
        </w:tc>
      </w:tr>
      <w:tr>
        <w:trPr>
          <w:trHeight w:val="156"/>
        </w:trPr>
        <w:tc>
          <w:tcPr>
            <w:tcW w:w="2320" w:type="dxa"/>
            <w:vAlign w:val="bottom"/>
            <w:tcBorders>
              <w:left w:val="single" w:sz="8" w:color="auto"/>
              <w:bottom w:val="single" w:sz="8" w:color="auto"/>
              <w:right w:val="single" w:sz="8" w:color="auto"/>
            </w:tcBorders>
          </w:tcPr>
          <w:p>
            <w:pPr>
              <w:spacing w:after="0"/>
              <w:rPr>
                <w:sz w:val="13"/>
                <w:szCs w:val="13"/>
                <w:color w:val="auto"/>
              </w:rPr>
            </w:pPr>
          </w:p>
        </w:tc>
        <w:tc>
          <w:tcPr>
            <w:tcW w:w="2720" w:type="dxa"/>
            <w:vAlign w:val="bottom"/>
            <w:tcBorders>
              <w:bottom w:val="single" w:sz="8" w:color="auto"/>
              <w:right w:val="single" w:sz="8" w:color="auto"/>
            </w:tcBorders>
          </w:tcPr>
          <w:p>
            <w:pPr>
              <w:spacing w:after="0"/>
              <w:rPr>
                <w:sz w:val="13"/>
                <w:szCs w:val="13"/>
                <w:color w:val="auto"/>
              </w:rPr>
            </w:pPr>
          </w:p>
        </w:tc>
        <w:tc>
          <w:tcPr>
            <w:tcW w:w="3120" w:type="dxa"/>
            <w:vAlign w:val="bottom"/>
            <w:tcBorders>
              <w:bottom w:val="single" w:sz="8" w:color="auto"/>
              <w:right w:val="single" w:sz="8" w:color="auto"/>
            </w:tcBorders>
          </w:tcPr>
          <w:p>
            <w:pPr>
              <w:spacing w:after="0"/>
              <w:rPr>
                <w:sz w:val="13"/>
                <w:szCs w:val="13"/>
                <w:color w:val="auto"/>
              </w:rPr>
            </w:pPr>
          </w:p>
        </w:tc>
        <w:tc>
          <w:tcPr>
            <w:tcW w:w="310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3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Citadel Energy Marketing</w:t>
            </w:r>
          </w:p>
        </w:tc>
        <w:tc>
          <w:tcPr>
            <w:tcW w:w="2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0.43478261%</w:t>
            </w:r>
          </w:p>
        </w:tc>
        <w:tc>
          <w:tcPr>
            <w:tcW w:w="3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$5,000,000.00</w:t>
            </w:r>
          </w:p>
        </w:tc>
        <w:tc>
          <w:tcPr>
            <w:tcW w:w="3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$8,695,652.18</w:t>
            </w:r>
          </w:p>
        </w:tc>
        <w:tc>
          <w:tcPr>
            <w:tcW w:w="0" w:type="dxa"/>
            <w:vAlign w:val="bottom"/>
          </w:tcPr>
          <w:p>
            <w:pPr>
              <w:spacing w:after="0"/>
              <w:rPr>
                <w:sz w:val="1"/>
                <w:szCs w:val="1"/>
                <w:color w:val="auto"/>
              </w:rPr>
            </w:pPr>
          </w:p>
        </w:tc>
      </w:tr>
      <w:tr>
        <w:trPr>
          <w:trHeight w:val="122"/>
        </w:trPr>
        <w:tc>
          <w:tcPr>
            <w:tcW w:w="23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5"/>
              </w:rPr>
              <w:t>LLC</w:t>
            </w:r>
          </w:p>
        </w:tc>
        <w:tc>
          <w:tcPr>
            <w:tcW w:w="2720" w:type="dxa"/>
            <w:vAlign w:val="bottom"/>
            <w:tcBorders>
              <w:right w:val="single" w:sz="8" w:color="auto"/>
            </w:tcBorders>
          </w:tcPr>
          <w:p>
            <w:pPr>
              <w:spacing w:after="0"/>
              <w:rPr>
                <w:sz w:val="10"/>
                <w:szCs w:val="10"/>
                <w:color w:val="auto"/>
              </w:rPr>
            </w:pPr>
          </w:p>
        </w:tc>
        <w:tc>
          <w:tcPr>
            <w:tcW w:w="3120" w:type="dxa"/>
            <w:vAlign w:val="bottom"/>
            <w:tcBorders>
              <w:right w:val="single" w:sz="8" w:color="auto"/>
            </w:tcBorders>
            <w:vMerge w:val="continue"/>
          </w:tcPr>
          <w:p>
            <w:pPr>
              <w:spacing w:after="0"/>
              <w:rPr>
                <w:sz w:val="10"/>
                <w:szCs w:val="10"/>
                <w:color w:val="auto"/>
              </w:rPr>
            </w:pPr>
          </w:p>
        </w:tc>
        <w:tc>
          <w:tcPr>
            <w:tcW w:w="31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20" w:type="dxa"/>
            <w:vAlign w:val="bottom"/>
            <w:tcBorders>
              <w:left w:val="single" w:sz="8" w:color="auto"/>
              <w:right w:val="single" w:sz="8" w:color="auto"/>
            </w:tcBorders>
            <w:vMerge w:val="continue"/>
          </w:tcPr>
          <w:p>
            <w:pPr>
              <w:spacing w:after="0"/>
              <w:rPr>
                <w:sz w:val="12"/>
                <w:szCs w:val="12"/>
                <w:color w:val="auto"/>
              </w:rPr>
            </w:pPr>
          </w:p>
        </w:tc>
        <w:tc>
          <w:tcPr>
            <w:tcW w:w="2720" w:type="dxa"/>
            <w:vAlign w:val="bottom"/>
            <w:tcBorders>
              <w:right w:val="single" w:sz="8" w:color="auto"/>
            </w:tcBorders>
          </w:tcPr>
          <w:p>
            <w:pPr>
              <w:spacing w:after="0"/>
              <w:rPr>
                <w:sz w:val="12"/>
                <w:szCs w:val="12"/>
                <w:color w:val="auto"/>
              </w:rPr>
            </w:pPr>
          </w:p>
        </w:tc>
        <w:tc>
          <w:tcPr>
            <w:tcW w:w="3120" w:type="dxa"/>
            <w:vAlign w:val="bottom"/>
            <w:tcBorders>
              <w:right w:val="single" w:sz="8" w:color="auto"/>
            </w:tcBorders>
          </w:tcPr>
          <w:p>
            <w:pPr>
              <w:spacing w:after="0"/>
              <w:rPr>
                <w:sz w:val="12"/>
                <w:szCs w:val="12"/>
                <w:color w:val="auto"/>
              </w:rPr>
            </w:pPr>
          </w:p>
        </w:tc>
        <w:tc>
          <w:tcPr>
            <w:tcW w:w="31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320" w:type="dxa"/>
            <w:vAlign w:val="bottom"/>
            <w:tcBorders>
              <w:left w:val="single" w:sz="8" w:color="auto"/>
              <w:bottom w:val="single" w:sz="8" w:color="auto"/>
              <w:right w:val="single" w:sz="8" w:color="auto"/>
            </w:tcBorders>
          </w:tcPr>
          <w:p>
            <w:pPr>
              <w:spacing w:after="0"/>
              <w:rPr>
                <w:sz w:val="12"/>
                <w:szCs w:val="12"/>
                <w:color w:val="auto"/>
              </w:rPr>
            </w:pPr>
          </w:p>
        </w:tc>
        <w:tc>
          <w:tcPr>
            <w:tcW w:w="2720" w:type="dxa"/>
            <w:vAlign w:val="bottom"/>
            <w:tcBorders>
              <w:bottom w:val="single" w:sz="8" w:color="auto"/>
              <w:right w:val="single" w:sz="8" w:color="auto"/>
            </w:tcBorders>
          </w:tcPr>
          <w:p>
            <w:pPr>
              <w:spacing w:after="0"/>
              <w:rPr>
                <w:sz w:val="12"/>
                <w:szCs w:val="12"/>
                <w:color w:val="auto"/>
              </w:rPr>
            </w:pPr>
          </w:p>
        </w:tc>
        <w:tc>
          <w:tcPr>
            <w:tcW w:w="3120" w:type="dxa"/>
            <w:vAlign w:val="bottom"/>
            <w:tcBorders>
              <w:bottom w:val="single" w:sz="8" w:color="auto"/>
              <w:right w:val="single" w:sz="8" w:color="auto"/>
            </w:tcBorders>
          </w:tcPr>
          <w:p>
            <w:pPr>
              <w:spacing w:after="0"/>
              <w:rPr>
                <w:sz w:val="12"/>
                <w:szCs w:val="12"/>
                <w:color w:val="auto"/>
              </w:rPr>
            </w:pPr>
          </w:p>
        </w:tc>
        <w:tc>
          <w:tcPr>
            <w:tcW w:w="31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23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TOTAL</w:t>
            </w:r>
          </w:p>
        </w:tc>
        <w:tc>
          <w:tcPr>
            <w:tcW w:w="2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100.00000000%</w:t>
            </w:r>
          </w:p>
        </w:tc>
        <w:tc>
          <w:tcPr>
            <w:tcW w:w="3120" w:type="dxa"/>
            <w:vAlign w:val="bottom"/>
            <w:tcBorders>
              <w:right w:val="single" w:sz="8" w:color="auto"/>
            </w:tcBorders>
          </w:tcPr>
          <w:p>
            <w:pPr>
              <w:jc w:val="right"/>
              <w:ind w:right="761"/>
              <w:spacing w:after="0"/>
              <w:rPr>
                <w:sz w:val="20"/>
                <w:szCs w:val="20"/>
                <w:color w:val="auto"/>
              </w:rPr>
            </w:pPr>
            <w:r>
              <w:rPr>
                <w:rFonts w:ascii="Times New Roman" w:cs="Times New Roman" w:eastAsia="Times New Roman" w:hAnsi="Times New Roman"/>
                <w:sz w:val="20"/>
                <w:szCs w:val="20"/>
                <w:b w:val="1"/>
                <w:bCs w:val="1"/>
                <w:color w:val="auto"/>
              </w:rPr>
              <w:t>$1,150,000,000.00</w:t>
            </w:r>
          </w:p>
        </w:tc>
        <w:tc>
          <w:tcPr>
            <w:tcW w:w="3100" w:type="dxa"/>
            <w:vAlign w:val="bottom"/>
            <w:tcBorders>
              <w:right w:val="single" w:sz="8" w:color="auto"/>
            </w:tcBorders>
          </w:tcPr>
          <w:p>
            <w:pPr>
              <w:jc w:val="right"/>
              <w:ind w:right="741"/>
              <w:spacing w:after="0"/>
              <w:rPr>
                <w:sz w:val="20"/>
                <w:szCs w:val="20"/>
                <w:color w:val="auto"/>
              </w:rPr>
            </w:pPr>
            <w:r>
              <w:rPr>
                <w:rFonts w:ascii="Times New Roman" w:cs="Times New Roman" w:eastAsia="Times New Roman" w:hAnsi="Times New Roman"/>
                <w:sz w:val="20"/>
                <w:szCs w:val="20"/>
                <w:b w:val="1"/>
                <w:bCs w:val="1"/>
                <w:color w:val="auto"/>
              </w:rPr>
              <w:t>$2,000,000,000.00</w:t>
            </w:r>
          </w:p>
        </w:tc>
        <w:tc>
          <w:tcPr>
            <w:tcW w:w="0" w:type="dxa"/>
            <w:vAlign w:val="bottom"/>
          </w:tcPr>
          <w:p>
            <w:pPr>
              <w:spacing w:after="0"/>
              <w:rPr>
                <w:sz w:val="1"/>
                <w:szCs w:val="1"/>
                <w:color w:val="auto"/>
              </w:rPr>
            </w:pPr>
          </w:p>
        </w:tc>
      </w:tr>
      <w:tr>
        <w:trPr>
          <w:trHeight w:val="156"/>
        </w:trPr>
        <w:tc>
          <w:tcPr>
            <w:tcW w:w="2320" w:type="dxa"/>
            <w:vAlign w:val="bottom"/>
            <w:tcBorders>
              <w:left w:val="single" w:sz="8" w:color="auto"/>
              <w:bottom w:val="single" w:sz="8" w:color="auto"/>
              <w:right w:val="single" w:sz="8" w:color="auto"/>
            </w:tcBorders>
          </w:tcPr>
          <w:p>
            <w:pPr>
              <w:spacing w:after="0"/>
              <w:rPr>
                <w:sz w:val="13"/>
                <w:szCs w:val="13"/>
                <w:color w:val="auto"/>
              </w:rPr>
            </w:pPr>
          </w:p>
        </w:tc>
        <w:tc>
          <w:tcPr>
            <w:tcW w:w="2720" w:type="dxa"/>
            <w:vAlign w:val="bottom"/>
            <w:tcBorders>
              <w:bottom w:val="single" w:sz="8" w:color="auto"/>
              <w:right w:val="single" w:sz="8" w:color="auto"/>
            </w:tcBorders>
          </w:tcPr>
          <w:p>
            <w:pPr>
              <w:spacing w:after="0"/>
              <w:rPr>
                <w:sz w:val="13"/>
                <w:szCs w:val="13"/>
                <w:color w:val="auto"/>
              </w:rPr>
            </w:pPr>
          </w:p>
        </w:tc>
        <w:tc>
          <w:tcPr>
            <w:tcW w:w="3120" w:type="dxa"/>
            <w:vAlign w:val="bottom"/>
            <w:tcBorders>
              <w:bottom w:val="single" w:sz="8" w:color="auto"/>
              <w:right w:val="single" w:sz="8" w:color="auto"/>
            </w:tcBorders>
          </w:tcPr>
          <w:p>
            <w:pPr>
              <w:spacing w:after="0"/>
              <w:rPr>
                <w:sz w:val="13"/>
                <w:szCs w:val="13"/>
                <w:color w:val="auto"/>
              </w:rPr>
            </w:pPr>
          </w:p>
        </w:tc>
        <w:tc>
          <w:tcPr>
            <w:tcW w:w="310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|US-DOCS\154101332.9||</w:t>
      </w:r>
    </w:p>
    <w:p>
      <w:pPr>
        <w:sectPr>
          <w:pgSz w:w="11900" w:h="16838" w:orient="portrait"/>
          <w:cols w:equalWidth="0" w:num="1">
            <w:col w:w="11260"/>
          </w:cols>
          <w:pgMar w:left="320" w:top="1440" w:right="31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 – 14(a) / 15d – 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§302 OF THE SARBANES-OXLEY ACT OF 2002</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I, Francisco J. Leon, certify that:</w:t>
      </w:r>
    </w:p>
    <w:p>
      <w:pPr>
        <w:spacing w:after="0" w:line="358" w:lineRule="exact"/>
        <w:rPr>
          <w:sz w:val="20"/>
          <w:szCs w:val="20"/>
          <w:color w:val="auto"/>
        </w:rPr>
      </w:pPr>
    </w:p>
    <w:p>
      <w:pPr>
        <w:ind w:left="640" w:hanging="308"/>
        <w:spacing w:after="0"/>
        <w:tabs>
          <w:tab w:leader="none" w:pos="6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California Resources Corporation;</w:t>
      </w:r>
    </w:p>
    <w:p>
      <w:pPr>
        <w:spacing w:after="0" w:line="115" w:lineRule="exact"/>
        <w:rPr>
          <w:rFonts w:ascii="Arial" w:cs="Arial" w:eastAsia="Arial" w:hAnsi="Arial"/>
          <w:sz w:val="17"/>
          <w:szCs w:val="17"/>
          <w:color w:val="auto"/>
        </w:rPr>
      </w:pPr>
    </w:p>
    <w:p>
      <w:pPr>
        <w:ind w:left="660" w:right="20" w:hanging="328"/>
        <w:spacing w:after="0" w:line="274" w:lineRule="auto"/>
        <w:tabs>
          <w:tab w:leader="none" w:pos="654" w:val="left"/>
        </w:tabs>
        <w:numPr>
          <w:ilvl w:val="0"/>
          <w:numId w:val="29"/>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7"/>
          <w:szCs w:val="17"/>
          <w:color w:val="auto"/>
        </w:rPr>
      </w:pPr>
    </w:p>
    <w:p>
      <w:pPr>
        <w:ind w:left="660" w:right="380" w:hanging="328"/>
        <w:spacing w:after="0" w:line="284" w:lineRule="auto"/>
        <w:tabs>
          <w:tab w:leader="none" w:pos="654" w:val="left"/>
        </w:tabs>
        <w:numPr>
          <w:ilvl w:val="0"/>
          <w:numId w:val="2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7"/>
          <w:szCs w:val="17"/>
          <w:color w:val="auto"/>
        </w:rPr>
      </w:pPr>
    </w:p>
    <w:p>
      <w:pPr>
        <w:ind w:left="660" w:right="360" w:hanging="328"/>
        <w:spacing w:after="0" w:line="266" w:lineRule="auto"/>
        <w:tabs>
          <w:tab w:leader="none" w:pos="654"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7"/>
          <w:szCs w:val="17"/>
          <w:color w:val="auto"/>
        </w:rPr>
        <w:t>13a-15(f) and 15d-15(f)) for the registrant and have:</w:t>
      </w:r>
    </w:p>
    <w:p>
      <w:pPr>
        <w:spacing w:after="0" w:line="234" w:lineRule="exact"/>
        <w:rPr>
          <w:rFonts w:ascii="Arial" w:cs="Arial" w:eastAsia="Arial" w:hAnsi="Arial"/>
          <w:sz w:val="17"/>
          <w:szCs w:val="17"/>
          <w:color w:val="auto"/>
        </w:rPr>
      </w:pPr>
    </w:p>
    <w:p>
      <w:pPr>
        <w:jc w:val="both"/>
        <w:ind w:left="1300" w:right="180" w:hanging="644"/>
        <w:spacing w:after="0" w:line="266" w:lineRule="auto"/>
        <w:tabs>
          <w:tab w:leader="none" w:pos="1293" w:val="left"/>
        </w:tabs>
        <w:numPr>
          <w:ilvl w:val="1"/>
          <w:numId w:val="2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0" w:lineRule="exact"/>
        <w:rPr>
          <w:rFonts w:ascii="Arial" w:cs="Arial" w:eastAsia="Arial" w:hAnsi="Arial"/>
          <w:sz w:val="17"/>
          <w:szCs w:val="17"/>
          <w:color w:val="auto"/>
        </w:rPr>
      </w:pPr>
    </w:p>
    <w:p>
      <w:pPr>
        <w:ind w:left="1300" w:right="20" w:hanging="644"/>
        <w:spacing w:after="0" w:line="274" w:lineRule="auto"/>
        <w:tabs>
          <w:tab w:leader="none" w:pos="1293" w:val="left"/>
        </w:tabs>
        <w:numPr>
          <w:ilvl w:val="1"/>
          <w:numId w:val="2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7"/>
          <w:szCs w:val="17"/>
          <w:color w:val="auto"/>
        </w:rPr>
      </w:pPr>
    </w:p>
    <w:p>
      <w:pPr>
        <w:ind w:left="1300" w:right="80" w:hanging="644"/>
        <w:spacing w:after="0" w:line="266" w:lineRule="auto"/>
        <w:tabs>
          <w:tab w:leader="none" w:pos="1297" w:val="left"/>
        </w:tabs>
        <w:numPr>
          <w:ilvl w:val="1"/>
          <w:numId w:val="2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4" w:lineRule="exact"/>
        <w:rPr>
          <w:rFonts w:ascii="Arial" w:cs="Arial" w:eastAsia="Arial" w:hAnsi="Arial"/>
          <w:sz w:val="17"/>
          <w:szCs w:val="17"/>
          <w:color w:val="auto"/>
        </w:rPr>
      </w:pPr>
    </w:p>
    <w:p>
      <w:pPr>
        <w:ind w:left="1300" w:right="260" w:hanging="644"/>
        <w:spacing w:after="0" w:line="266" w:lineRule="auto"/>
        <w:tabs>
          <w:tab w:leader="none" w:pos="1293" w:val="left"/>
        </w:tabs>
        <w:numPr>
          <w:ilvl w:val="1"/>
          <w:numId w:val="2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5" w:lineRule="exact"/>
        <w:rPr>
          <w:rFonts w:ascii="Arial" w:cs="Arial" w:eastAsia="Arial" w:hAnsi="Arial"/>
          <w:sz w:val="17"/>
          <w:szCs w:val="17"/>
          <w:color w:val="auto"/>
        </w:rPr>
      </w:pPr>
    </w:p>
    <w:p>
      <w:pPr>
        <w:ind w:left="660" w:right="360" w:hanging="328"/>
        <w:spacing w:after="0" w:line="274" w:lineRule="auto"/>
        <w:tabs>
          <w:tab w:leader="none" w:pos="654"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02" w:lineRule="exact"/>
        <w:rPr>
          <w:rFonts w:ascii="Arial" w:cs="Arial" w:eastAsia="Arial" w:hAnsi="Arial"/>
          <w:sz w:val="17"/>
          <w:szCs w:val="17"/>
          <w:color w:val="auto"/>
        </w:rPr>
      </w:pPr>
    </w:p>
    <w:p>
      <w:pPr>
        <w:ind w:left="1300" w:right="140" w:hanging="644"/>
        <w:spacing w:after="0" w:line="284" w:lineRule="auto"/>
        <w:tabs>
          <w:tab w:leader="none" w:pos="1293" w:val="left"/>
        </w:tabs>
        <w:numPr>
          <w:ilvl w:val="1"/>
          <w:numId w:val="2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7"/>
          <w:szCs w:val="17"/>
          <w:color w:val="auto"/>
        </w:rPr>
      </w:pPr>
    </w:p>
    <w:p>
      <w:pPr>
        <w:ind w:left="1300" w:right="360" w:hanging="644"/>
        <w:spacing w:after="0" w:line="284" w:lineRule="auto"/>
        <w:tabs>
          <w:tab w:leader="none" w:pos="1293" w:val="left"/>
        </w:tabs>
        <w:numPr>
          <w:ilvl w:val="1"/>
          <w:numId w:val="29"/>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color w:val="auto"/>
        </w:rPr>
        <w:t>Date: November 6, 2024</w:t>
      </w:r>
    </w:p>
    <w:p>
      <w:pPr>
        <w:spacing w:after="0" w:line="152"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/s/ Francisco J. Leon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27305</wp:posOffset>
            </wp:positionV>
            <wp:extent cx="282892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9">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122"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Francisco J. Leon</w:t>
      </w:r>
    </w:p>
    <w:p>
      <w:pPr>
        <w:spacing w:after="0" w:line="115"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President and Chief Executive Officer</w:t>
      </w:r>
    </w:p>
    <w:p>
      <w:pPr>
        <w:spacing w:after="0" w:line="34"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(Principal Executive Officer)</w:t>
      </w:r>
    </w:p>
    <w:p>
      <w:pPr>
        <w:sectPr>
          <w:pgSz w:w="11900" w:h="16838" w:orient="portrait"/>
          <w:cols w:equalWidth="0" w:num="1">
            <w:col w:w="11240"/>
          </w:cols>
          <w:pgMar w:left="320" w:top="1133" w:right="3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 – 14(a) / 15d – 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§302 OF THE SARBANES-OXLEY ACT OF 2002</w:t>
      </w:r>
    </w:p>
    <w:p>
      <w:pPr>
        <w:spacing w:after="0" w:line="82" w:lineRule="exact"/>
        <w:rPr>
          <w:sz w:val="20"/>
          <w:szCs w:val="20"/>
          <w:color w:val="auto"/>
        </w:rPr>
      </w:pPr>
    </w:p>
    <w:p>
      <w:pPr>
        <w:spacing w:after="0"/>
        <w:rPr>
          <w:sz w:val="20"/>
          <w:szCs w:val="20"/>
          <w:color w:val="auto"/>
        </w:rPr>
      </w:pPr>
      <w:r>
        <w:rPr>
          <w:rFonts w:ascii="Arial" w:cs="Arial" w:eastAsia="Arial" w:hAnsi="Arial"/>
          <w:sz w:val="17"/>
          <w:szCs w:val="17"/>
          <w:color w:val="auto"/>
        </w:rPr>
        <w:t>I, Manuela (Nelly) Molina, certify that:</w:t>
      </w:r>
    </w:p>
    <w:p>
      <w:pPr>
        <w:spacing w:after="0" w:line="345" w:lineRule="exact"/>
        <w:rPr>
          <w:sz w:val="20"/>
          <w:szCs w:val="20"/>
          <w:color w:val="auto"/>
        </w:rPr>
      </w:pPr>
    </w:p>
    <w:p>
      <w:pPr>
        <w:ind w:left="640" w:hanging="632"/>
        <w:spacing w:after="0"/>
        <w:tabs>
          <w:tab w:leader="none" w:pos="6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California Resources Corporation;</w:t>
      </w:r>
    </w:p>
    <w:p>
      <w:pPr>
        <w:spacing w:after="0" w:line="250" w:lineRule="exact"/>
        <w:rPr>
          <w:rFonts w:ascii="Arial" w:cs="Arial" w:eastAsia="Arial" w:hAnsi="Arial"/>
          <w:sz w:val="17"/>
          <w:szCs w:val="17"/>
          <w:color w:val="auto"/>
        </w:rPr>
      </w:pPr>
    </w:p>
    <w:p>
      <w:pPr>
        <w:ind w:left="660" w:right="20" w:hanging="652"/>
        <w:spacing w:after="0" w:line="266" w:lineRule="auto"/>
        <w:tabs>
          <w:tab w:leader="none" w:pos="654" w:val="left"/>
        </w:tabs>
        <w:numPr>
          <w:ilvl w:val="0"/>
          <w:numId w:val="30"/>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0" w:lineRule="exact"/>
        <w:rPr>
          <w:rFonts w:ascii="Arial" w:cs="Arial" w:eastAsia="Arial" w:hAnsi="Arial"/>
          <w:sz w:val="17"/>
          <w:szCs w:val="17"/>
          <w:color w:val="auto"/>
        </w:rPr>
      </w:pPr>
    </w:p>
    <w:p>
      <w:pPr>
        <w:ind w:left="660" w:right="380" w:hanging="652"/>
        <w:spacing w:after="0" w:line="284" w:lineRule="auto"/>
        <w:tabs>
          <w:tab w:leader="none" w:pos="654" w:val="left"/>
        </w:tabs>
        <w:numPr>
          <w:ilvl w:val="0"/>
          <w:numId w:val="3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8" w:lineRule="exact"/>
        <w:rPr>
          <w:rFonts w:ascii="Arial" w:cs="Arial" w:eastAsia="Arial" w:hAnsi="Arial"/>
          <w:sz w:val="17"/>
          <w:szCs w:val="17"/>
          <w:color w:val="auto"/>
        </w:rPr>
      </w:pPr>
    </w:p>
    <w:p>
      <w:pPr>
        <w:ind w:left="660" w:right="360" w:hanging="652"/>
        <w:spacing w:after="0" w:line="258" w:lineRule="auto"/>
        <w:tabs>
          <w:tab w:leader="none" w:pos="654"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660"/>
        <w:spacing w:after="0"/>
        <w:rPr>
          <w:rFonts w:ascii="Arial" w:cs="Arial" w:eastAsia="Arial" w:hAnsi="Arial"/>
          <w:sz w:val="17"/>
          <w:szCs w:val="17"/>
          <w:color w:val="auto"/>
        </w:rPr>
      </w:pPr>
      <w:r>
        <w:rPr>
          <w:rFonts w:ascii="Arial" w:cs="Arial" w:eastAsia="Arial" w:hAnsi="Arial"/>
          <w:sz w:val="17"/>
          <w:szCs w:val="17"/>
          <w:color w:val="auto"/>
        </w:rPr>
        <w:t>13a-15(f) and 15d-15(f)) for the registrant and have:</w:t>
      </w:r>
    </w:p>
    <w:p>
      <w:pPr>
        <w:spacing w:after="0" w:line="234" w:lineRule="exact"/>
        <w:rPr>
          <w:rFonts w:ascii="Arial" w:cs="Arial" w:eastAsia="Arial" w:hAnsi="Arial"/>
          <w:sz w:val="17"/>
          <w:szCs w:val="17"/>
          <w:color w:val="auto"/>
        </w:rPr>
      </w:pPr>
    </w:p>
    <w:p>
      <w:pPr>
        <w:jc w:val="both"/>
        <w:ind w:left="1300" w:right="180" w:hanging="644"/>
        <w:spacing w:after="0" w:line="274" w:lineRule="auto"/>
        <w:tabs>
          <w:tab w:leader="none" w:pos="1293" w:val="left"/>
        </w:tabs>
        <w:numPr>
          <w:ilvl w:val="1"/>
          <w:numId w:val="3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7"/>
          <w:szCs w:val="17"/>
          <w:color w:val="auto"/>
        </w:rPr>
      </w:pPr>
    </w:p>
    <w:p>
      <w:pPr>
        <w:ind w:left="1300" w:right="20" w:hanging="644"/>
        <w:spacing w:after="0" w:line="266" w:lineRule="auto"/>
        <w:tabs>
          <w:tab w:leader="none" w:pos="1293" w:val="left"/>
        </w:tabs>
        <w:numPr>
          <w:ilvl w:val="1"/>
          <w:numId w:val="3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0" w:lineRule="exact"/>
        <w:rPr>
          <w:rFonts w:ascii="Arial" w:cs="Arial" w:eastAsia="Arial" w:hAnsi="Arial"/>
          <w:sz w:val="17"/>
          <w:szCs w:val="17"/>
          <w:color w:val="auto"/>
        </w:rPr>
      </w:pPr>
    </w:p>
    <w:p>
      <w:pPr>
        <w:ind w:left="1300" w:right="80" w:hanging="644"/>
        <w:spacing w:after="0" w:line="274" w:lineRule="auto"/>
        <w:tabs>
          <w:tab w:leader="none" w:pos="1297" w:val="left"/>
        </w:tabs>
        <w:numPr>
          <w:ilvl w:val="1"/>
          <w:numId w:val="3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4" w:lineRule="exact"/>
        <w:rPr>
          <w:rFonts w:ascii="Arial" w:cs="Arial" w:eastAsia="Arial" w:hAnsi="Arial"/>
          <w:sz w:val="17"/>
          <w:szCs w:val="17"/>
          <w:color w:val="auto"/>
        </w:rPr>
      </w:pPr>
    </w:p>
    <w:p>
      <w:pPr>
        <w:ind w:left="1300" w:right="260" w:hanging="644"/>
        <w:spacing w:after="0" w:line="266" w:lineRule="auto"/>
        <w:tabs>
          <w:tab w:leader="none" w:pos="1293" w:val="left"/>
        </w:tabs>
        <w:numPr>
          <w:ilvl w:val="1"/>
          <w:numId w:val="3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7"/>
          <w:szCs w:val="17"/>
          <w:color w:val="auto"/>
        </w:rPr>
      </w:pPr>
    </w:p>
    <w:p>
      <w:pPr>
        <w:ind w:left="660" w:right="360" w:hanging="652"/>
        <w:spacing w:after="0" w:line="274" w:lineRule="auto"/>
        <w:tabs>
          <w:tab w:leader="none" w:pos="654"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4" w:lineRule="exact"/>
        <w:rPr>
          <w:rFonts w:ascii="Arial" w:cs="Arial" w:eastAsia="Arial" w:hAnsi="Arial"/>
          <w:sz w:val="17"/>
          <w:szCs w:val="17"/>
          <w:color w:val="auto"/>
        </w:rPr>
      </w:pPr>
    </w:p>
    <w:p>
      <w:pPr>
        <w:ind w:left="1300" w:right="140" w:hanging="644"/>
        <w:spacing w:after="0" w:line="284" w:lineRule="auto"/>
        <w:tabs>
          <w:tab w:leader="none" w:pos="1293" w:val="left"/>
        </w:tabs>
        <w:numPr>
          <w:ilvl w:val="1"/>
          <w:numId w:val="3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7"/>
          <w:szCs w:val="17"/>
          <w:color w:val="auto"/>
        </w:rPr>
      </w:pPr>
    </w:p>
    <w:p>
      <w:pPr>
        <w:ind w:left="1300" w:right="360" w:hanging="644"/>
        <w:spacing w:after="0" w:line="301" w:lineRule="auto"/>
        <w:tabs>
          <w:tab w:leader="none" w:pos="1293" w:val="left"/>
        </w:tabs>
        <w:numPr>
          <w:ilvl w:val="1"/>
          <w:numId w:val="30"/>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Date: November 6, 2024</w:t>
      </w:r>
    </w:p>
    <w:p>
      <w:pPr>
        <w:spacing w:after="0" w:line="152" w:lineRule="exact"/>
        <w:rPr>
          <w:sz w:val="20"/>
          <w:szCs w:val="20"/>
          <w:color w:val="auto"/>
        </w:rPr>
      </w:pPr>
    </w:p>
    <w:p>
      <w:pPr>
        <w:ind w:left="6700"/>
        <w:spacing w:after="0"/>
        <w:rPr>
          <w:sz w:val="20"/>
          <w:szCs w:val="20"/>
          <w:color w:val="auto"/>
        </w:rPr>
      </w:pPr>
      <w:r>
        <w:rPr>
          <w:rFonts w:ascii="Arial" w:cs="Arial" w:eastAsia="Arial" w:hAnsi="Arial"/>
          <w:sz w:val="17"/>
          <w:szCs w:val="17"/>
          <w:color w:val="auto"/>
        </w:rPr>
        <w:t>/s/ Manuela (Nelly) Molina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27305</wp:posOffset>
            </wp:positionV>
            <wp:extent cx="288036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0">
                      <a:extLst>
                        <a:ext uri="{28A0092B-C50C-407E-A947-70E740481C1C}"/>
                      </a:extLst>
                    </a:blip>
                    <a:srcRect/>
                    <a:stretch>
                      <a:fillRect/>
                    </a:stretch>
                  </pic:blipFill>
                  <pic:spPr bwMode="auto">
                    <a:xfrm>
                      <a:off x="0" y="0"/>
                      <a:ext cx="2880360" cy="8890"/>
                    </a:xfrm>
                    <a:prstGeom prst="rect">
                      <a:avLst/>
                    </a:prstGeom>
                    <a:noFill/>
                  </pic:spPr>
                </pic:pic>
              </a:graphicData>
            </a:graphic>
          </wp:anchor>
        </w:drawing>
      </w:r>
    </w:p>
    <w:p>
      <w:pPr>
        <w:spacing w:after="0" w:line="28" w:lineRule="exact"/>
        <w:rPr>
          <w:sz w:val="20"/>
          <w:szCs w:val="20"/>
          <w:color w:val="auto"/>
        </w:rPr>
      </w:pPr>
    </w:p>
    <w:p>
      <w:pPr>
        <w:ind w:left="6700"/>
        <w:spacing w:after="0"/>
        <w:rPr>
          <w:sz w:val="20"/>
          <w:szCs w:val="20"/>
          <w:color w:val="auto"/>
        </w:rPr>
      </w:pPr>
      <w:r>
        <w:rPr>
          <w:rFonts w:ascii="Arial" w:cs="Arial" w:eastAsia="Arial" w:hAnsi="Arial"/>
          <w:sz w:val="17"/>
          <w:szCs w:val="17"/>
          <w:color w:val="auto"/>
        </w:rPr>
        <w:t>Manuela (Nelly) Molina</w:t>
      </w:r>
    </w:p>
    <w:p>
      <w:pPr>
        <w:spacing w:after="0" w:line="34" w:lineRule="exact"/>
        <w:rPr>
          <w:sz w:val="20"/>
          <w:szCs w:val="20"/>
          <w:color w:val="auto"/>
        </w:rPr>
      </w:pPr>
    </w:p>
    <w:p>
      <w:pPr>
        <w:ind w:left="6700"/>
        <w:spacing w:after="0"/>
        <w:rPr>
          <w:sz w:val="20"/>
          <w:szCs w:val="20"/>
          <w:color w:val="auto"/>
        </w:rPr>
      </w:pPr>
      <w:r>
        <w:rPr>
          <w:rFonts w:ascii="Arial" w:cs="Arial" w:eastAsia="Arial" w:hAnsi="Arial"/>
          <w:sz w:val="17"/>
          <w:szCs w:val="17"/>
          <w:color w:val="auto"/>
        </w:rPr>
        <w:t>Executive Vice President and</w:t>
      </w:r>
    </w:p>
    <w:p>
      <w:pPr>
        <w:spacing w:after="0" w:line="34" w:lineRule="exact"/>
        <w:rPr>
          <w:sz w:val="20"/>
          <w:szCs w:val="20"/>
          <w:color w:val="auto"/>
        </w:rPr>
      </w:pPr>
    </w:p>
    <w:p>
      <w:pPr>
        <w:ind w:left="6700"/>
        <w:spacing w:after="0"/>
        <w:rPr>
          <w:sz w:val="20"/>
          <w:szCs w:val="20"/>
          <w:color w:val="auto"/>
        </w:rPr>
      </w:pPr>
      <w:r>
        <w:rPr>
          <w:rFonts w:ascii="Arial" w:cs="Arial" w:eastAsia="Arial" w:hAnsi="Arial"/>
          <w:sz w:val="17"/>
          <w:szCs w:val="17"/>
          <w:color w:val="auto"/>
        </w:rPr>
        <w:t>Chief Financial Officer</w:t>
      </w:r>
    </w:p>
    <w:p>
      <w:pPr>
        <w:spacing w:after="0" w:line="34" w:lineRule="exact"/>
        <w:rPr>
          <w:sz w:val="20"/>
          <w:szCs w:val="20"/>
          <w:color w:val="auto"/>
        </w:rPr>
      </w:pPr>
    </w:p>
    <w:p>
      <w:pPr>
        <w:ind w:left="6700"/>
        <w:spacing w:after="0"/>
        <w:rPr>
          <w:sz w:val="20"/>
          <w:szCs w:val="20"/>
          <w:color w:val="auto"/>
        </w:rPr>
      </w:pPr>
      <w:r>
        <w:rPr>
          <w:rFonts w:ascii="Arial" w:cs="Arial" w:eastAsia="Arial" w:hAnsi="Arial"/>
          <w:sz w:val="17"/>
          <w:szCs w:val="17"/>
          <w:color w:val="auto"/>
        </w:rPr>
        <w:t>(Principal Financial Officer)</w:t>
      </w:r>
    </w:p>
    <w:p>
      <w:pPr>
        <w:sectPr>
          <w:pgSz w:w="11900" w:h="16838" w:orient="portrait"/>
          <w:cols w:equalWidth="0" w:num="1">
            <w:col w:w="11240"/>
          </w:cols>
          <w:pgMar w:left="320" w:top="890" w:right="3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906 OF THE SARBANES-OXLEY ACT OF 2002</w:t>
      </w:r>
    </w:p>
    <w:p>
      <w:pPr>
        <w:spacing w:after="0" w:line="200" w:lineRule="exact"/>
        <w:rPr>
          <w:sz w:val="20"/>
          <w:szCs w:val="20"/>
          <w:color w:val="auto"/>
        </w:rPr>
      </w:pPr>
    </w:p>
    <w:p>
      <w:pPr>
        <w:spacing w:after="0" w:line="210"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In connection with the Quarterly Report on Form 10-Q of California Resources Corporation (the “Company”) for the fiscal period ended September 30, 2024, as filed with the Securities and Exchange Commission on November 6, 2024 (the “Report”), Francisco J. Leon, as Chief Executive Officer of the Company, and Manuela (Nelly) Molina, as Chief Financial Officer of the Company, each hereby certifies, pursuant to 18 U.S.C. § 1350, as adopted pursuant to § 906 of the Sarbanes-Oxley Act of 2002, that, to the best of his or her knowledge, respectively:</w:t>
      </w:r>
    </w:p>
    <w:p>
      <w:pPr>
        <w:spacing w:after="0" w:line="395" w:lineRule="exact"/>
        <w:rPr>
          <w:sz w:val="20"/>
          <w:szCs w:val="20"/>
          <w:color w:val="auto"/>
        </w:rPr>
      </w:pPr>
    </w:p>
    <w:p>
      <w:pPr>
        <w:ind w:left="640" w:hanging="308"/>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660" w:right="20" w:hanging="328"/>
        <w:spacing w:after="0" w:line="287" w:lineRule="auto"/>
        <w:tabs>
          <w:tab w:leader="none" w:pos="648"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Francisco J. Leon</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Name:</w:t>
            </w:r>
          </w:p>
        </w:tc>
        <w:tc>
          <w:tcPr>
            <w:tcW w:w="640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rPr>
              <w:t>Francisco J. Leon</w:t>
            </w:r>
          </w:p>
        </w:tc>
      </w:tr>
      <w:tr>
        <w:trPr>
          <w:trHeight w:val="229"/>
        </w:trPr>
        <w:tc>
          <w:tcPr>
            <w:tcW w:w="780" w:type="dxa"/>
            <w:vAlign w:val="bottom"/>
          </w:tcPr>
          <w:p>
            <w:pPr>
              <w:ind w:left="20"/>
              <w:spacing w:after="0"/>
              <w:rPr>
                <w:sz w:val="20"/>
                <w:szCs w:val="20"/>
                <w:color w:val="auto"/>
              </w:rPr>
            </w:pPr>
            <w:r>
              <w:rPr>
                <w:rFonts w:ascii="Arial" w:cs="Arial" w:eastAsia="Arial" w:hAnsi="Arial"/>
                <w:sz w:val="18"/>
                <w:szCs w:val="18"/>
                <w:color w:val="auto"/>
              </w:rPr>
              <w:t>Title:</w:t>
            </w:r>
          </w:p>
        </w:tc>
        <w:tc>
          <w:tcPr>
            <w:tcW w:w="6400" w:type="dxa"/>
            <w:vAlign w:val="bottom"/>
          </w:tcPr>
          <w:p>
            <w:pPr>
              <w:ind w:left="220"/>
              <w:spacing w:after="0"/>
              <w:rPr>
                <w:sz w:val="20"/>
                <w:szCs w:val="20"/>
                <w:color w:val="auto"/>
              </w:rPr>
            </w:pPr>
            <w:r>
              <w:rPr>
                <w:rFonts w:ascii="Arial" w:cs="Arial" w:eastAsia="Arial" w:hAnsi="Arial"/>
                <w:sz w:val="18"/>
                <w:szCs w:val="18"/>
                <w:color w:val="auto"/>
              </w:rPr>
              <w:t>President and Chief Executive Officer</w:t>
            </w:r>
          </w:p>
        </w:tc>
      </w:tr>
      <w:tr>
        <w:trPr>
          <w:trHeight w:val="229"/>
        </w:trPr>
        <w:tc>
          <w:tcPr>
            <w:tcW w:w="780" w:type="dxa"/>
            <w:vAlign w:val="bottom"/>
          </w:tcPr>
          <w:p>
            <w:pPr>
              <w:spacing w:after="0"/>
              <w:rPr>
                <w:sz w:val="19"/>
                <w:szCs w:val="19"/>
                <w:color w:val="auto"/>
              </w:rPr>
            </w:pPr>
          </w:p>
        </w:tc>
        <w:tc>
          <w:tcPr>
            <w:tcW w:w="6400" w:type="dxa"/>
            <w:vAlign w:val="bottom"/>
          </w:tcPr>
          <w:p>
            <w:pPr>
              <w:ind w:left="220"/>
              <w:spacing w:after="0"/>
              <w:rPr>
                <w:sz w:val="20"/>
                <w:szCs w:val="20"/>
                <w:color w:val="auto"/>
              </w:rPr>
            </w:pPr>
            <w:r>
              <w:rPr>
                <w:rFonts w:ascii="Arial" w:cs="Arial" w:eastAsia="Arial" w:hAnsi="Arial"/>
                <w:sz w:val="18"/>
                <w:szCs w:val="18"/>
                <w:color w:val="auto"/>
              </w:rPr>
              <w:t>(Principal Executive Officer)</w:t>
            </w:r>
          </w:p>
        </w:tc>
      </w:tr>
      <w:tr>
        <w:trPr>
          <w:trHeight w:val="239"/>
        </w:trPr>
        <w:tc>
          <w:tcPr>
            <w:tcW w:w="780" w:type="dxa"/>
            <w:vAlign w:val="bottom"/>
          </w:tcPr>
          <w:p>
            <w:pPr>
              <w:ind w:left="20"/>
              <w:spacing w:after="0"/>
              <w:rPr>
                <w:sz w:val="20"/>
                <w:szCs w:val="20"/>
                <w:color w:val="auto"/>
              </w:rPr>
            </w:pPr>
            <w:r>
              <w:rPr>
                <w:rFonts w:ascii="Arial" w:cs="Arial" w:eastAsia="Arial" w:hAnsi="Arial"/>
                <w:sz w:val="18"/>
                <w:szCs w:val="18"/>
                <w:color w:val="auto"/>
              </w:rPr>
              <w:t>Date:</w:t>
            </w:r>
          </w:p>
        </w:tc>
        <w:tc>
          <w:tcPr>
            <w:tcW w:w="6400" w:type="dxa"/>
            <w:vAlign w:val="bottom"/>
          </w:tcPr>
          <w:p>
            <w:pPr>
              <w:ind w:left="220"/>
              <w:spacing w:after="0"/>
              <w:rPr>
                <w:sz w:val="20"/>
                <w:szCs w:val="20"/>
                <w:color w:val="auto"/>
              </w:rPr>
            </w:pPr>
            <w:r>
              <w:rPr>
                <w:rFonts w:ascii="Arial" w:cs="Arial" w:eastAsia="Arial" w:hAnsi="Arial"/>
                <w:sz w:val="18"/>
                <w:szCs w:val="18"/>
                <w:color w:val="auto"/>
              </w:rPr>
              <w:t>November 6, 2024</w:t>
            </w:r>
          </w:p>
        </w:tc>
      </w:tr>
      <w:tr>
        <w:trPr>
          <w:trHeight w:val="765"/>
        </w:trPr>
        <w:tc>
          <w:tcPr>
            <w:tcW w:w="71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Manuela (Nelly) Molina</w:t>
            </w:r>
          </w:p>
        </w:tc>
      </w:tr>
      <w:tr>
        <w:trPr>
          <w:trHeight w:val="218"/>
        </w:trPr>
        <w:tc>
          <w:tcPr>
            <w:tcW w:w="780" w:type="dxa"/>
            <w:vAlign w:val="bottom"/>
          </w:tcPr>
          <w:p>
            <w:pPr>
              <w:ind w:left="20"/>
              <w:spacing w:after="0"/>
              <w:rPr>
                <w:sz w:val="20"/>
                <w:szCs w:val="20"/>
                <w:color w:val="auto"/>
              </w:rPr>
            </w:pPr>
            <w:r>
              <w:rPr>
                <w:rFonts w:ascii="Arial" w:cs="Arial" w:eastAsia="Arial" w:hAnsi="Arial"/>
                <w:sz w:val="18"/>
                <w:szCs w:val="18"/>
                <w:color w:val="auto"/>
              </w:rPr>
              <w:t>Name:</w:t>
            </w:r>
          </w:p>
        </w:tc>
        <w:tc>
          <w:tcPr>
            <w:tcW w:w="6400" w:type="dxa"/>
            <w:vAlign w:val="bottom"/>
          </w:tcPr>
          <w:p>
            <w:pPr>
              <w:ind w:left="220"/>
              <w:spacing w:after="0"/>
              <w:rPr>
                <w:sz w:val="20"/>
                <w:szCs w:val="20"/>
                <w:color w:val="auto"/>
              </w:rPr>
            </w:pPr>
            <w:r>
              <w:rPr>
                <w:rFonts w:ascii="Arial" w:cs="Arial" w:eastAsia="Arial" w:hAnsi="Arial"/>
                <w:sz w:val="18"/>
                <w:szCs w:val="18"/>
                <w:color w:val="auto"/>
              </w:rPr>
              <w:t>Manuela (Nelly) Molina</w:t>
            </w:r>
          </w:p>
        </w:tc>
      </w:tr>
      <w:tr>
        <w:trPr>
          <w:trHeight w:val="230"/>
        </w:trPr>
        <w:tc>
          <w:tcPr>
            <w:tcW w:w="780" w:type="dxa"/>
            <w:vAlign w:val="bottom"/>
          </w:tcPr>
          <w:p>
            <w:pPr>
              <w:ind w:left="20"/>
              <w:spacing w:after="0"/>
              <w:rPr>
                <w:sz w:val="20"/>
                <w:szCs w:val="20"/>
                <w:color w:val="auto"/>
              </w:rPr>
            </w:pPr>
            <w:r>
              <w:rPr>
                <w:rFonts w:ascii="Arial" w:cs="Arial" w:eastAsia="Arial" w:hAnsi="Arial"/>
                <w:sz w:val="18"/>
                <w:szCs w:val="18"/>
                <w:color w:val="auto"/>
              </w:rPr>
              <w:t>Title:</w:t>
            </w:r>
          </w:p>
        </w:tc>
        <w:tc>
          <w:tcPr>
            <w:tcW w:w="6400" w:type="dxa"/>
            <w:vAlign w:val="bottom"/>
          </w:tcPr>
          <w:p>
            <w:pPr>
              <w:ind w:left="220"/>
              <w:spacing w:after="0"/>
              <w:rPr>
                <w:sz w:val="20"/>
                <w:szCs w:val="20"/>
                <w:color w:val="auto"/>
              </w:rPr>
            </w:pPr>
            <w:r>
              <w:rPr>
                <w:rFonts w:ascii="Arial" w:cs="Arial" w:eastAsia="Arial" w:hAnsi="Arial"/>
                <w:sz w:val="18"/>
                <w:szCs w:val="18"/>
                <w:color w:val="auto"/>
              </w:rPr>
              <w:t>Executive Vice President and Chief Financial Officer</w:t>
            </w:r>
          </w:p>
        </w:tc>
      </w:tr>
      <w:tr>
        <w:trPr>
          <w:trHeight w:val="230"/>
        </w:trPr>
        <w:tc>
          <w:tcPr>
            <w:tcW w:w="780" w:type="dxa"/>
            <w:vAlign w:val="bottom"/>
          </w:tcPr>
          <w:p>
            <w:pPr>
              <w:spacing w:after="0"/>
              <w:rPr>
                <w:sz w:val="19"/>
                <w:szCs w:val="19"/>
                <w:color w:val="auto"/>
              </w:rPr>
            </w:pPr>
          </w:p>
        </w:tc>
        <w:tc>
          <w:tcPr>
            <w:tcW w:w="6400" w:type="dxa"/>
            <w:vAlign w:val="bottom"/>
          </w:tcPr>
          <w:p>
            <w:pPr>
              <w:ind w:left="220"/>
              <w:spacing w:after="0"/>
              <w:rPr>
                <w:sz w:val="20"/>
                <w:szCs w:val="20"/>
                <w:color w:val="auto"/>
              </w:rPr>
            </w:pPr>
            <w:r>
              <w:rPr>
                <w:rFonts w:ascii="Arial" w:cs="Arial" w:eastAsia="Arial" w:hAnsi="Arial"/>
                <w:sz w:val="18"/>
                <w:szCs w:val="18"/>
                <w:color w:val="auto"/>
              </w:rPr>
              <w:t>(Principal Financial Officer)</w:t>
            </w:r>
          </w:p>
        </w:tc>
      </w:tr>
      <w:tr>
        <w:trPr>
          <w:trHeight w:val="239"/>
        </w:trPr>
        <w:tc>
          <w:tcPr>
            <w:tcW w:w="780" w:type="dxa"/>
            <w:vAlign w:val="bottom"/>
          </w:tcPr>
          <w:p>
            <w:pPr>
              <w:ind w:left="20"/>
              <w:spacing w:after="0"/>
              <w:rPr>
                <w:sz w:val="20"/>
                <w:szCs w:val="20"/>
                <w:color w:val="auto"/>
              </w:rPr>
            </w:pPr>
            <w:r>
              <w:rPr>
                <w:rFonts w:ascii="Arial" w:cs="Arial" w:eastAsia="Arial" w:hAnsi="Arial"/>
                <w:sz w:val="18"/>
                <w:szCs w:val="18"/>
                <w:color w:val="auto"/>
              </w:rPr>
              <w:t>Date:</w:t>
            </w:r>
          </w:p>
        </w:tc>
        <w:tc>
          <w:tcPr>
            <w:tcW w:w="6400" w:type="dxa"/>
            <w:vAlign w:val="bottom"/>
          </w:tcPr>
          <w:p>
            <w:pPr>
              <w:ind w:left="220"/>
              <w:spacing w:after="0"/>
              <w:rPr>
                <w:sz w:val="20"/>
                <w:szCs w:val="20"/>
                <w:color w:val="auto"/>
              </w:rPr>
            </w:pPr>
            <w:r>
              <w:rPr>
                <w:rFonts w:ascii="Arial" w:cs="Arial" w:eastAsia="Arial" w:hAnsi="Arial"/>
                <w:sz w:val="18"/>
                <w:szCs w:val="18"/>
                <w:color w:val="auto"/>
              </w:rPr>
              <w:t>November 6, 2024</w:t>
            </w:r>
          </w:p>
        </w:tc>
      </w:tr>
    </w:tbl>
    <w:p>
      <w:pPr>
        <w:spacing w:after="0" w:line="200" w:lineRule="exact"/>
        <w:rPr>
          <w:sz w:val="20"/>
          <w:szCs w:val="20"/>
          <w:color w:val="auto"/>
        </w:rPr>
      </w:pPr>
    </w:p>
    <w:p>
      <w:pPr>
        <w:spacing w:after="0" w:line="209" w:lineRule="exact"/>
        <w:rPr>
          <w:sz w:val="20"/>
          <w:szCs w:val="20"/>
          <w:color w:val="auto"/>
        </w:rPr>
      </w:pPr>
    </w:p>
    <w:p>
      <w:pPr>
        <w:ind w:right="340" w:firstLine="324"/>
        <w:spacing w:after="0" w:line="287" w:lineRule="auto"/>
        <w:rPr>
          <w:sz w:val="20"/>
          <w:szCs w:val="20"/>
          <w:color w:val="auto"/>
        </w:rPr>
      </w:pPr>
      <w:r>
        <w:rPr>
          <w:rFonts w:ascii="Arial" w:cs="Arial" w:eastAsia="Arial" w:hAnsi="Arial"/>
          <w:sz w:val="18"/>
          <w:szCs w:val="18"/>
          <w:color w:val="auto"/>
        </w:rPr>
        <w:t>A signed original of this written statement required by Section 906 has been provided to California Resources Corporation and will be retained by California Resources Corporation and furnished to the Securities and Exchange Commission or its staff upon request.</w:t>
      </w:r>
    </w:p>
    <w:p>
      <w:pPr>
        <w:spacing w:after="0" w:line="18" w:lineRule="exact"/>
        <w:rPr>
          <w:sz w:val="20"/>
          <w:szCs w:val="20"/>
          <w:color w:val="auto"/>
        </w:rPr>
      </w:pPr>
    </w:p>
    <w:p>
      <w:pPr>
        <w:jc w:val="both"/>
        <w:ind w:right="120" w:firstLine="324"/>
        <w:spacing w:after="0" w:line="268"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1)"/>
      <w:numFmt w:val="lowerLetter"/>
      <w:start w:val="1"/>
    </w:lvl>
  </w:abstractNum>
  <w:abstractNum w:abstractNumId="5">
    <w:nsid w:val="3F2DBA31"/>
    <w:multiLevelType w:val="hybridMultilevel"/>
    <w:lvl w:ilvl="0">
      <w:lvlJc w:val="left"/>
      <w:lvlText w:val="(%1)"/>
      <w:numFmt w:val="lowerLetter"/>
      <w:start w:val="1"/>
    </w:lvl>
  </w:abstractNum>
  <w:abstractNum w:abstractNumId="6">
    <w:nsid w:val="7C83E458"/>
    <w:multiLevelType w:val="hybridMultilevel"/>
    <w:lvl w:ilvl="0">
      <w:lvlJc w:val="left"/>
      <w:lvlText w:val="(%1)"/>
      <w:numFmt w:val="lowerLetter"/>
      <w:start w:val="1"/>
    </w:lvl>
  </w:abstractNum>
  <w:abstractNum w:abstractNumId="7">
    <w:nsid w:val="257130A3"/>
    <w:multiLevelType w:val="hybridMultilevel"/>
    <w:lvl w:ilvl="0">
      <w:lvlJc w:val="left"/>
      <w:lvlText w:val="(%1)"/>
      <w:numFmt w:val="lowerRoman"/>
      <w:start w:val="3"/>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endash "/>
      <w:numFmt w:val="bullet"/>
      <w:start w:val="1"/>
    </w:lvl>
  </w:abstractNum>
  <w:abstractNum w:abstractNumId="12">
    <w:nsid w:val="721DA317"/>
    <w:multiLevelType w:val="hybridMultilevel"/>
    <w:lvl w:ilvl="0">
      <w:lvlJc w:val="left"/>
      <w:lvlText w:val="(%1)"/>
      <w:numFmt w:val="lowerLetter"/>
      <w:start w:val="1"/>
    </w:lvl>
  </w:abstractNum>
  <w:abstractNum w:abstractNumId="13">
    <w:nsid w:val="2443A858"/>
    <w:multiLevelType w:val="hybridMultilevel"/>
    <w:lvl w:ilvl="0">
      <w:lvlJc w:val="left"/>
      <w:lvlText w:val="(%1)"/>
      <w:numFmt w:val="lowerRoman"/>
      <w:start w:val="4"/>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1)"/>
      <w:numFmt w:val="lowerLetter"/>
      <w:start w:val="1"/>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
      <w:numFmt w:val="bullet"/>
      <w:start w:val="1"/>
    </w:lvl>
  </w:abstractNum>
  <w:abstractNum w:abstractNumId="18">
    <w:nsid w:val="79838CB2"/>
    <w:multiLevelType w:val="hybridMultilevel"/>
    <w:lvl w:ilvl="0">
      <w:lvlJc w:val="left"/>
      <w:lvlText w:val="•"/>
      <w:numFmt w:val="bullet"/>
      <w:start w:val="1"/>
    </w:lvl>
  </w:abstractNum>
  <w:abstractNum w:abstractNumId="19">
    <w:nsid w:val="4353D0CD"/>
    <w:multiLevelType w:val="hybridMultilevel"/>
    <w:lvl w:ilvl="0">
      <w:lvlJc w:val="left"/>
      <w:lvlText w:val="•"/>
      <w:numFmt w:val="bullet"/>
      <w:start w:val="1"/>
    </w:lvl>
  </w:abstractNum>
  <w:abstractNum w:abstractNumId="20">
    <w:nsid w:val="B03E0C6"/>
    <w:multiLevelType w:val="hybridMultilevel"/>
    <w:lvl w:ilvl="0">
      <w:lvlJc w:val="left"/>
      <w:lvlText w:val="*"/>
      <w:numFmt w:val="bullet"/>
      <w:start w:val="1"/>
    </w:lvl>
    <w:lvl w:ilvl="1">
      <w:lvlJc w:val="left"/>
      <w:lvlText w:val="%2"/>
      <w:numFmt w:val="decimal"/>
      <w:start w:val="104"/>
    </w:lvl>
  </w:abstractNum>
  <w:abstractNum w:abstractNumId="21">
    <w:nsid w:val="189A769B"/>
    <w:multiLevelType w:val="hybridMultilevel"/>
    <w:lvl w:ilvl="0">
      <w:lvlJc w:val="left"/>
      <w:lvlText w:val="(%1)"/>
      <w:numFmt w:val="lowerLetter"/>
      <w:start w:val="1"/>
    </w:lvl>
  </w:abstractNum>
  <w:abstractNum w:abstractNumId="22">
    <w:nsid w:val="54E49EB4"/>
    <w:multiLevelType w:val="hybridMultilevel"/>
    <w:lvl w:ilvl="0">
      <w:lvlJc w:val="left"/>
      <w:lvlText w:val="(%1)"/>
      <w:numFmt w:val="lowerLetter"/>
      <w:start w:val="2"/>
    </w:lvl>
  </w:abstractNum>
  <w:abstractNum w:abstractNumId="23">
    <w:nsid w:val="71F32454"/>
    <w:multiLevelType w:val="hybridMultilevel"/>
    <w:lvl w:ilvl="0">
      <w:lvlJc w:val="left"/>
      <w:lvlText w:val="(%1)"/>
      <w:numFmt w:val="lowerLetter"/>
      <w:start w:val="4"/>
    </w:lvl>
  </w:abstractNum>
  <w:abstractNum w:abstractNumId="24">
    <w:nsid w:val="2CA88611"/>
    <w:multiLevelType w:val="hybridMultilevel"/>
    <w:lvl w:ilvl="0">
      <w:lvlJc w:val="left"/>
      <w:lvlText w:val="(%1)"/>
      <w:numFmt w:val="lowerLetter"/>
      <w:start w:val="6"/>
    </w:lvl>
  </w:abstractNum>
  <w:abstractNum w:abstractNumId="25">
    <w:nsid w:val="836C40E"/>
    <w:multiLevelType w:val="hybridMultilevel"/>
    <w:lvl w:ilvl="0">
      <w:lvlJc w:val="left"/>
      <w:lvlText w:val="(%1)"/>
      <w:numFmt w:val="lowerLetter"/>
      <w:start w:val="7"/>
    </w:lvl>
  </w:abstractNum>
  <w:abstractNum w:abstractNumId="26">
    <w:nsid w:val="2901D82"/>
    <w:multiLevelType w:val="hybridMultilevel"/>
    <w:lvl w:ilvl="0">
      <w:lvlJc w:val="left"/>
      <w:lvlText w:val="(%1)"/>
      <w:numFmt w:val="lowerLetter"/>
      <w:start w:val="8"/>
    </w:lvl>
  </w:abstractNum>
  <w:abstractNum w:abstractNumId="27">
    <w:nsid w:val="3A95F874"/>
    <w:multiLevelType w:val="hybridMultilevel"/>
    <w:lvl w:ilvl="0">
      <w:lvlJc w:val="left"/>
      <w:lvlText w:val="(%1)"/>
      <w:numFmt w:val="lowerRoman"/>
      <w:start w:val="1"/>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lvl w:ilvl="1">
      <w:lvlJc w:val="left"/>
      <w:lvlText w:val="(%2)"/>
      <w:numFmt w:val="lowerLetter"/>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34" Type="http://schemas.openxmlformats.org/officeDocument/2006/relationships/image" Target="media/image117.png"/><Relationship Id="rId138" Type="http://schemas.openxmlformats.org/officeDocument/2006/relationships/image" Target="media/image118.png"/><Relationship Id="rId139" Type="http://schemas.openxmlformats.org/officeDocument/2006/relationships/image" Target="media/image119.png"/><Relationship Id="rId140" Type="http://schemas.openxmlformats.org/officeDocument/2006/relationships/image" Target="media/image120.png"/><Relationship Id="rId141" Type="http://schemas.openxmlformats.org/officeDocument/2006/relationships/image" Target="media/image121.png"/><Relationship Id="rId142" Type="http://schemas.openxmlformats.org/officeDocument/2006/relationships/image" Target="media/image122.png"/><Relationship Id="rId143" Type="http://schemas.openxmlformats.org/officeDocument/2006/relationships/image" Target="media/image123.png"/><Relationship Id="rId144" Type="http://schemas.openxmlformats.org/officeDocument/2006/relationships/image" Target="media/image124.png"/><Relationship Id="rId145" Type="http://schemas.openxmlformats.org/officeDocument/2006/relationships/image" Target="media/image125.png"/><Relationship Id="rId146" Type="http://schemas.openxmlformats.org/officeDocument/2006/relationships/image" Target="media/image126.png"/><Relationship Id="rId147" Type="http://schemas.openxmlformats.org/officeDocument/2006/relationships/image" Target="media/image127.png"/><Relationship Id="rId148" Type="http://schemas.openxmlformats.org/officeDocument/2006/relationships/image" Target="media/image128.png"/><Relationship Id="rId149" Type="http://schemas.openxmlformats.org/officeDocument/2006/relationships/image" Target="media/image129.png"/><Relationship Id="rId150" Type="http://schemas.openxmlformats.org/officeDocument/2006/relationships/image" Target="media/image130.png"/><Relationship Id="rId151" Type="http://schemas.openxmlformats.org/officeDocument/2006/relationships/image" Target="media/image131.png"/><Relationship Id="rId152" Type="http://schemas.openxmlformats.org/officeDocument/2006/relationships/image" Target="media/image132.png"/><Relationship Id="rId153" Type="http://schemas.openxmlformats.org/officeDocument/2006/relationships/image" Target="media/image133.png"/><Relationship Id="rId154" Type="http://schemas.openxmlformats.org/officeDocument/2006/relationships/image" Target="media/image134.png"/><Relationship Id="rId155" Type="http://schemas.openxmlformats.org/officeDocument/2006/relationships/image" Target="media/image135.png"/><Relationship Id="rId156" Type="http://schemas.openxmlformats.org/officeDocument/2006/relationships/image" Target="media/image136.png"/><Relationship Id="rId157" Type="http://schemas.openxmlformats.org/officeDocument/2006/relationships/image" Target="media/image137.png"/><Relationship Id="rId158" Type="http://schemas.openxmlformats.org/officeDocument/2006/relationships/image" Target="media/image138.png"/><Relationship Id="rId159" Type="http://schemas.openxmlformats.org/officeDocument/2006/relationships/image" Target="media/image139.png"/><Relationship Id="rId160" Type="http://schemas.openxmlformats.org/officeDocument/2006/relationships/image" Target="media/image140.png"/><Relationship Id="rId124" Type="http://schemas.openxmlformats.org/officeDocument/2006/relationships/hyperlink" Target="https://www.sec.gov/Archives/edgar/data/1609253/000160925320000137/a8aex31.htm" TargetMode="External"/><Relationship Id="rId125" Type="http://schemas.openxmlformats.org/officeDocument/2006/relationships/hyperlink" Target="https://www.sec.gov/Archives/edgar/data/1609253/000160925322000036/a20220504ex31.htm" TargetMode="External"/><Relationship Id="rId126" Type="http://schemas.openxmlformats.org/officeDocument/2006/relationships/hyperlink" Target="https://www.sec.gov/Archives/edgar/data/1609253/000160925323000034/a20230428exhibit31.htm" TargetMode="External"/><Relationship Id="rId127" Type="http://schemas.openxmlformats.org/officeDocument/2006/relationships/hyperlink" Target="https://www.sec.gov/Archives/edgar/data/1609253/000160925320000137/a8aex32.htm" TargetMode="External"/><Relationship Id="rId128" Type="http://schemas.openxmlformats.org/officeDocument/2006/relationships/hyperlink" Target="https://www.sec.gov/Archives/edgar/data/1609253/000119312524155155/d844238dex41.htm" TargetMode="External"/><Relationship Id="rId129" Type="http://schemas.openxmlformats.org/officeDocument/2006/relationships/hyperlink" Target="https://www.sec.gov/Archives/edgar/data/1609253/000119312524173343/d845209dex106.htm" TargetMode="External"/><Relationship Id="rId130" Type="http://schemas.openxmlformats.org/officeDocument/2006/relationships/hyperlink" Target="https://www.sec.gov/Archives/edgar/data/1609253/000119312524173343/d845209dex107.htm" TargetMode="External"/><Relationship Id="rId131" Type="http://schemas.openxmlformats.org/officeDocument/2006/relationships/hyperlink" Target="https://www.sec.gov/Archives/edgar/data/1609253/000119312524205372/d822091dex43.htm" TargetMode="External"/><Relationship Id="rId132" Type="http://schemas.openxmlformats.org/officeDocument/2006/relationships/hyperlink" Target="https://www.sec.gov/Archives/edgar/data/1609253/000160925324000020/a20240207exhibit101.htm" TargetMode="External"/><Relationship Id="rId133" Type="http://schemas.openxmlformats.org/officeDocument/2006/relationships/hyperlink" Target="https://www.sec.gov/Archives/edgar/data/1609253/000119312524173343/d845209dex105.htm" TargetMode="External"/><Relationship Id="rId135" Type="http://schemas.openxmlformats.org/officeDocument/2006/relationships/hyperlink" Target="https://www.sec.gov/Archives/edgar/data/1609253/000119312524173343/d845209dex101.htm" TargetMode="External"/><Relationship Id="rId136" Type="http://schemas.openxmlformats.org/officeDocument/2006/relationships/hyperlink" Target="https://www.sec.gov/Archives/edgar/data/1609253/000119312524173343/d845209dex102.htm" TargetMode="External"/><Relationship Id="rId137" Type="http://schemas.openxmlformats.org/officeDocument/2006/relationships/hyperlink" Target="https://www.sec.gov/Archives/edgar/data/1609253/000119312524173343/d845209d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2024-11-06T17:02:12Z</dcterms:created>
  <dcterms:modified xsi:type="dcterms:W3CDTF">2024-11-06T17:02:12Z</dcterms:modified>
</cp:coreProperties>
</file>