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Todd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27200 TOURNEY ROAD, SUITE 315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4"/>
                <w:szCs w:val="14"/>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91355</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CLARITA</w:t>
            </w:r>
          </w:p>
        </w:tc>
        <w:tc>
          <w:tcPr>
            <w:tcW w:w="2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tcPr>
          <w:p>
            <w:pPr>
              <w:ind w:left="140"/>
              <w:spacing w:after="0" w:line="121"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08/08/2019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10.197</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265,269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$10.195 to $10.20, inclusive. The reporting person undertakes to provide CRC, any security holder of CRC or the staff of the Securities and Exchange Commission, upon request, with full information regarding the number of shares purchased at each separate price within the range set forth.</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161 and 250 shares acquired under CRC's Employee Stock Purchase Plan on October 1, 2018 and July 1, 2019, respectively.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7"/>
              </w:rPr>
              <w:t>/s/ Ulrik Damborg,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08/08/2019</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3"/>
              </w:rPr>
              <w:t>in-Fact for Todd A. Stevens</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6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2019-12-24T08:56:14Z</dcterms:created>
  <dcterms:modified xsi:type="dcterms:W3CDTF">2019-12-24T08:56:14Z</dcterms:modified>
</cp:coreProperties>
</file>