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-638810</wp:posOffset>
            </wp:positionV>
            <wp:extent cx="59055" cy="652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4110355</wp:posOffset>
            </wp:positionH>
            <wp:positionV relativeFrom="paragraph">
              <wp:posOffset>-638810</wp:posOffset>
            </wp:positionV>
            <wp:extent cx="59055" cy="652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47110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711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Pineci Roy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9200 OAKDALE AVENUE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08/05/2015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" w:right="700" w:hanging="5"/>
        <w:spacing w:after="0" w:line="244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- Finance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5" w:space="720"/>
            <w:col w:w="3465"/>
          </w:cols>
          <w:pgMar w:left="240" w:top="223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9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LOS ANGELES  CA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91311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08/05/2015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89,286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143,722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2015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08/04/2016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166,667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4.2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08/05/2015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166,667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08/04/2022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166,667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520"/>
          </w:cols>
          <w:pgMar w:left="240" w:top="223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 of Restricted Stock Units (RSUs) under California Resources Corporation's (CRC) Long-Term Incentive Plan.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RSUs will vest in three (3) equal annual installments beginning on August 4, 2016.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3,933 shares acquired under CRC's Employee Stock Purchase Plan on March 31, 2015 and June 30, 2015.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Options will vest in three (3) equal annual installments beginning on August 4, 2016.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/s/Kendrick F. Royer,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4445</wp:posOffset>
            </wp:positionV>
            <wp:extent cx="13773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Roy Pineci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-13335</wp:posOffset>
            </wp:positionV>
            <wp:extent cx="9677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77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08/07/2015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4445</wp:posOffset>
            </wp:positionV>
            <wp:extent cx="4946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6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3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49793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2019-12-24T08:37:21Z</dcterms:created>
  <dcterms:modified xsi:type="dcterms:W3CDTF">2019-12-24T08:37:21Z</dcterms:modified>
</cp:coreProperties>
</file>