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11)*</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Naseem Sagati Aghili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 2022</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158"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860" w:right="8120" w:hanging="548"/>
        <w:spacing w:after="0" w:line="312" w:lineRule="auto"/>
        <w:tabs>
          <w:tab w:leader="none" w:pos="8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1A, L.P.</w:t>
      </w:r>
    </w:p>
    <w:p>
      <w:pPr>
        <w:spacing w:after="0" w:line="139" w:lineRule="exact"/>
        <w:rPr>
          <w:rFonts w:ascii="Times New Roman" w:cs="Times New Roman" w:eastAsia="Times New Roman" w:hAnsi="Times New Roman"/>
          <w:sz w:val="17"/>
          <w:szCs w:val="17"/>
          <w:color w:val="auto"/>
        </w:rPr>
      </w:pPr>
    </w:p>
    <w:p>
      <w:pPr>
        <w:ind w:left="860" w:hanging="54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00" w:hanging="934"/>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00" w:hanging="934"/>
        <w:spacing w:after="0" w:line="207" w:lineRule="exact"/>
        <w:tabs>
          <w:tab w:leader="none" w:pos="1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860" w:hanging="54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860" w:hanging="54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860" w:hanging="54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860" w:right="7680" w:hanging="548"/>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-22225</wp:posOffset>
            </wp:positionV>
            <wp:extent cx="6583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-433705</wp:posOffset>
            </wp:positionV>
            <wp:extent cx="6583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-708025</wp:posOffset>
            </wp:positionV>
            <wp:extent cx="6583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-1119505</wp:posOffset>
            </wp:positionV>
            <wp:extent cx="65836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-1393825</wp:posOffset>
            </wp:positionV>
            <wp:extent cx="5991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-1539875</wp:posOffset>
            </wp:positionV>
            <wp:extent cx="5991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-1951355</wp:posOffset>
            </wp:positionV>
            <wp:extent cx="65836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40" w:type="dxa"/>
            <w:vAlign w:val="bottom"/>
          </w:tcPr>
          <w:p>
            <w:pPr>
              <w:spacing w:after="0"/>
              <w:rPr>
                <w:sz w:val="20"/>
                <w:szCs w:val="20"/>
                <w:color w:val="auto"/>
              </w:rPr>
            </w:pPr>
          </w:p>
        </w:tc>
        <w:tc>
          <w:tcPr>
            <w:tcW w:w="9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40" w:type="dxa"/>
            <w:vAlign w:val="bottom"/>
          </w:tcPr>
          <w:p>
            <w:pPr>
              <w:spacing w:after="0"/>
              <w:rPr>
                <w:sz w:val="20"/>
                <w:szCs w:val="20"/>
                <w:color w:val="auto"/>
              </w:rPr>
            </w:pPr>
          </w:p>
        </w:tc>
        <w:tc>
          <w:tcPr>
            <w:tcW w:w="9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171,551 (See Items 3, 4, 5 and 6)</w:t>
            </w:r>
          </w:p>
        </w:tc>
        <w:tc>
          <w:tcPr>
            <w:tcW w:w="0" w:type="dxa"/>
            <w:vAlign w:val="bottom"/>
          </w:tcPr>
          <w:p>
            <w:pPr>
              <w:spacing w:after="0"/>
              <w:rPr>
                <w:sz w:val="1"/>
                <w:szCs w:val="1"/>
                <w:color w:val="auto"/>
              </w:rPr>
            </w:pPr>
          </w:p>
        </w:tc>
      </w:tr>
      <w:tr>
        <w:trPr>
          <w:trHeight w:val="178"/>
        </w:trPr>
        <w:tc>
          <w:tcPr>
            <w:tcW w:w="1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4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40" w:type="dxa"/>
            <w:vAlign w:val="bottom"/>
          </w:tcPr>
          <w:p>
            <w:pPr>
              <w:spacing w:after="0"/>
              <w:rPr>
                <w:sz w:val="20"/>
                <w:szCs w:val="20"/>
                <w:color w:val="auto"/>
              </w:rPr>
            </w:pPr>
          </w:p>
        </w:tc>
        <w:tc>
          <w:tcPr>
            <w:tcW w:w="9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Pr>
          <w:p>
            <w:pPr>
              <w:spacing w:after="0"/>
              <w:rPr>
                <w:sz w:val="17"/>
                <w:szCs w:val="17"/>
                <w:color w:val="auto"/>
              </w:rPr>
            </w:pPr>
          </w:p>
        </w:tc>
        <w:tc>
          <w:tcPr>
            <w:tcW w:w="9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40" w:hanging="450"/>
        <w:spacing w:after="0"/>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171,551 (See Items 3, 4, 5 and 6)</w:t>
      </w:r>
    </w:p>
    <w:p>
      <w:pPr>
        <w:spacing w:after="0" w:line="206" w:lineRule="exact"/>
        <w:rPr>
          <w:rFonts w:ascii="Times New Roman" w:cs="Times New Roman" w:eastAsia="Times New Roman" w:hAnsi="Times New Roman"/>
          <w:sz w:val="18"/>
          <w:szCs w:val="18"/>
          <w:color w:val="auto"/>
        </w:rPr>
      </w:pPr>
    </w:p>
    <w:p>
      <w:pPr>
        <w:ind w:left="860" w:right="5520" w:hanging="548"/>
        <w:spacing w:after="0" w:line="282" w:lineRule="auto"/>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171,551 (See Items 3, 4, 5 and 6)</w:t>
      </w:r>
    </w:p>
    <w:p>
      <w:pPr>
        <w:spacing w:after="0" w:line="161" w:lineRule="exact"/>
        <w:rPr>
          <w:rFonts w:ascii="Times New Roman" w:cs="Times New Roman" w:eastAsia="Times New Roman" w:hAnsi="Times New Roman"/>
          <w:sz w:val="18"/>
          <w:szCs w:val="18"/>
          <w:color w:val="auto"/>
        </w:rPr>
      </w:pPr>
    </w:p>
    <w:p>
      <w:pPr>
        <w:ind w:left="860" w:hanging="548"/>
        <w:spacing w:after="0"/>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860" w:hanging="548"/>
        <w:spacing w:after="0"/>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(See Items 3, 4, 5 and 6)</w:t>
      </w:r>
    </w:p>
    <w:p>
      <w:pPr>
        <w:spacing w:after="0" w:line="206" w:lineRule="exact"/>
        <w:rPr>
          <w:rFonts w:ascii="Times New Roman" w:cs="Times New Roman" w:eastAsia="Times New Roman" w:hAnsi="Times New Roman"/>
          <w:sz w:val="18"/>
          <w:szCs w:val="18"/>
          <w:color w:val="auto"/>
        </w:rPr>
      </w:pPr>
    </w:p>
    <w:p>
      <w:pPr>
        <w:ind w:left="860" w:hanging="548"/>
        <w:spacing w:after="0"/>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Quarterly Report on Form 10-Q, filed with the Securities and Exchange Commission on May 5, 2022 (“</w:t>
      </w:r>
      <w:r>
        <w:rPr>
          <w:rFonts w:ascii="Times New Roman" w:cs="Times New Roman" w:eastAsia="Times New Roman" w:hAnsi="Times New Roman"/>
          <w:sz w:val="18"/>
          <w:szCs w:val="18"/>
          <w:u w:val="single" w:color="auto"/>
          <w:color w:val="auto"/>
        </w:rPr>
        <w:t>10-Q</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-459740</wp:posOffset>
            </wp:positionV>
            <wp:extent cx="6583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-871220</wp:posOffset>
            </wp:positionV>
            <wp:extent cx="6583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-1282700</wp:posOffset>
            </wp:positionV>
            <wp:extent cx="6583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-1557020</wp:posOffset>
            </wp:positionV>
            <wp:extent cx="6583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-1968500</wp:posOffset>
            </wp:positionV>
            <wp:extent cx="6094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1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1B,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627,753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627,753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627,753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12"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2,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639,499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639,499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639,499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AEOF ECR AIV A-B,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1,894,861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1,894,861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1,894,861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AEOF ECR AIV C, L.P.</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804,524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804,524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804,524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AF Energy Feeder,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747,313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747,313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747,313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ACOF Investment Management LLC</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12"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Holdings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61" w:lineRule="exact"/>
        <w:rPr>
          <w:rFonts w:ascii="Times New Roman" w:cs="Times New Roman" w:eastAsia="Times New Roman" w:hAnsi="Times New Roman"/>
          <w:sz w:val="18"/>
          <w:szCs w:val="18"/>
          <w:color w:val="auto"/>
        </w:rPr>
      </w:pPr>
    </w:p>
    <w:p>
      <w:pPr>
        <w:ind w:left="1700" w:hanging="456"/>
        <w:spacing w:after="0"/>
        <w:tabs>
          <w:tab w:leader="none" w:pos="17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-256540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-668020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-942340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-1353820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-1628140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-1773555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-2185035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12"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Corporation</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Voting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GP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Partners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20" w:hanging="914"/>
        <w:spacing w:after="0" w:line="207" w:lineRule="exact"/>
        <w:tabs>
          <w:tab w:leader="none" w:pos="182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25"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4,885,501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4,885,501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4,885,501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 o</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77,630,810 shares of Common Stock outstanding as of March 31,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-1968500</wp:posOffset>
            </wp:positionV>
            <wp:extent cx="6052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11 (this “</w:t>
      </w:r>
      <w:r>
        <w:rPr>
          <w:rFonts w:ascii="Times New Roman" w:cs="Times New Roman" w:eastAsia="Times New Roman" w:hAnsi="Times New Roman"/>
          <w:sz w:val="18"/>
          <w:szCs w:val="18"/>
          <w:u w:val="single" w:color="auto"/>
          <w:color w:val="auto"/>
        </w:rPr>
        <w:t>Amendment No. 11</w:t>
      </w:r>
      <w:r>
        <w:rPr>
          <w:rFonts w:ascii="Times New Roman" w:cs="Times New Roman" w:eastAsia="Times New Roman" w:hAnsi="Times New Roman"/>
          <w:sz w:val="18"/>
          <w:szCs w:val="18"/>
          <w:color w:val="auto"/>
        </w:rPr>
        <w:t>”) to the statement on Schedule 13D amends and supplements the statement on Schedule 13D filed by the Reporting Persons on November 6, 2020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Amendment No. 5 to the Original Schedule 13D filed by the Reporting Persons on September 23, 2021, Amendment No. 6 to the Original Schedule 13D filed by the Reporting Persons on January 10, 2022, Amendment No. 7 to the Original Schedule 13D filed by the Reporting Persons on January 24, 2022, Amendment No. 8 to the Original Schedule 13D filed by the Reporting Persons on March 9, 2022, Amendment No. 9 to the Original Schedule 13D filed by the Reporting Persons on March 23, 2022 and Amendment No. 10 to the Original Schedule 13D filed by the Reporting Persons on April 14, 2022 (as so amended, the “</w:t>
      </w:r>
      <w:r>
        <w:rPr>
          <w:rFonts w:ascii="Times New Roman" w:cs="Times New Roman" w:eastAsia="Times New Roman" w:hAnsi="Times New Roman"/>
          <w:sz w:val="18"/>
          <w:szCs w:val="18"/>
          <w:u w:val="single" w:color="auto"/>
          <w:color w:val="auto"/>
        </w:rPr>
        <w:t>13D Filing</w:t>
      </w:r>
      <w:r>
        <w:rPr>
          <w:rFonts w:ascii="Times New Roman" w:cs="Times New Roman" w:eastAsia="Times New Roman" w:hAnsi="Times New Roman"/>
          <w:sz w:val="18"/>
          <w:szCs w:val="18"/>
          <w:color w:val="auto"/>
        </w:rPr>
        <w:t>,” and, together with this Amendment No. 11,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Except as amended in this Amendment No. 11, the 13D Filing remains in full force and effect. Terms defined in the 13D Filing are used in this Amendment No. 11 as so defined, unless otherwise defined in this Amendment No. 11.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sentence of Item 2(a) of the 13D Filing is hereby amended and restated as follows: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Reporting Persons have entered into a joint filing agreement, dated as of June 7, 2022, a copy of which is attached to this Schedule 13D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and 5(c) of the 13D Filing are hereby amended and restated in its entirety as follows:</w:t>
      </w:r>
    </w:p>
    <w:p>
      <w:pPr>
        <w:spacing w:after="0" w:line="221" w:lineRule="exact"/>
        <w:rPr>
          <w:sz w:val="20"/>
          <w:szCs w:val="20"/>
          <w:color w:val="auto"/>
        </w:rPr>
      </w:pPr>
    </w:p>
    <w:p>
      <w:pPr>
        <w:jc w:val="both"/>
        <w:ind w:firstLine="8"/>
        <w:spacing w:after="0" w:line="256" w:lineRule="auto"/>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Aggregate Number and Percentage of Securities</w:t>
      </w:r>
      <w:r>
        <w:rPr>
          <w:rFonts w:ascii="Times New Roman" w:cs="Times New Roman" w:eastAsia="Times New Roman" w:hAnsi="Times New Roman"/>
          <w:sz w:val="18"/>
          <w:szCs w:val="18"/>
          <w:color w:val="auto"/>
        </w:rPr>
        <w:t>. As of the date that this Schedule 13D is filed, (i) ACOF AIV 1A directly holds 171,551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(ii) ACOF AIV 1B directly holds 627,753 shares of Common Stock, (iii) ACOF AIV 2 directly holds 639,499 shares of Common Stock, (iv) AEOF AIV A-B directly holds 1,894,861 shares of Common Stock, (v) AEOF AIV C directly holds 804,524 shares of Common Stock and (vi) AF Energy Feeder, L.P. directly holds 747,313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83" w:lineRule="exact"/>
        <w:rPr>
          <w:sz w:val="20"/>
          <w:szCs w:val="20"/>
          <w:color w:val="auto"/>
        </w:rPr>
      </w:pPr>
    </w:p>
    <w:p>
      <w:pPr>
        <w:jc w:val="both"/>
        <w:ind w:firstLine="8"/>
        <w:spacing w:after="0" w:line="262" w:lineRule="auto"/>
        <w:tabs>
          <w:tab w:leader="none" w:pos="2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Transactions within the past 60 days</w:t>
      </w:r>
      <w:r>
        <w:rPr>
          <w:rFonts w:ascii="Times New Roman" w:cs="Times New Roman" w:eastAsia="Times New Roman" w:hAnsi="Times New Roman"/>
          <w:sz w:val="18"/>
          <w:szCs w:val="18"/>
          <w:color w:val="auto"/>
        </w:rPr>
        <w:t>. Since the filing of the Amendment No. 10 to the Original Schedule 13D, the ACOF AIVs and AF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Feeder, L.P. sold Common Stock in the transactions set forth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which is incorporated by reference into this Item 5(c) in its entirety. Except as set forth in this Item 5(c) and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none of the Reporting Persons has effected any transaction in Common Stock during the past 60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1</w:t>
            </w:r>
          </w:p>
        </w:tc>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Trading Data</w:t>
            </w:r>
          </w:p>
        </w:tc>
      </w:tr>
      <w:tr>
        <w:trPr>
          <w:trHeight w:val="234"/>
        </w:trPr>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99.1</w:t>
            </w:r>
          </w:p>
        </w:tc>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Joint Filing Agreement, dated as of June 7, 2022, by and among the Reporting Persons.</w:t>
            </w:r>
          </w:p>
        </w:tc>
      </w:tr>
      <w:tr>
        <w:trPr>
          <w:trHeight w:val="243"/>
        </w:trPr>
        <w:tc>
          <w:tcPr>
            <w:tcW w:w="1520" w:type="dxa"/>
            <w:vAlign w:val="bottom"/>
            <w:tcBorders>
              <w:bottom w:val="single" w:sz="8" w:color="auto"/>
            </w:tcBorders>
          </w:tcPr>
          <w:p>
            <w:pPr>
              <w:spacing w:after="0"/>
              <w:rPr>
                <w:sz w:val="21"/>
                <w:szCs w:val="21"/>
                <w:color w:val="auto"/>
              </w:rPr>
            </w:pPr>
          </w:p>
        </w:tc>
        <w:tc>
          <w:tcPr>
            <w:tcW w:w="972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HOLDCO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ARES PARTNERS HOLDCO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w w:val="99"/>
              </w:rPr>
              <w:t>Exhibit 1</w:t>
            </w:r>
          </w:p>
        </w:tc>
        <w:tc>
          <w:tcPr>
            <w:tcW w:w="720" w:type="dxa"/>
            <w:vAlign w:val="bottom"/>
            <w:gridSpan w:val="2"/>
          </w:tcPr>
          <w:p>
            <w:pPr>
              <w:spacing w:after="0"/>
              <w:rPr>
                <w:sz w:val="24"/>
                <w:szCs w:val="24"/>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Trading Data</w:t>
            </w: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 99.1</w:t>
            </w:r>
          </w:p>
        </w:tc>
        <w:tc>
          <w:tcPr>
            <w:tcW w:w="9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Joint Filing Agreement, dated as of June 7, 2022, by and among the Reporting Persons.</w:t>
            </w:r>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340" w:type="dxa"/>
            <w:vAlign w:val="bottom"/>
            <w:tcBorders>
              <w:top w:val="single" w:sz="8" w:color="0000EE"/>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w w:val="99"/>
              </w:rPr>
              <w:t>EXHIBIT 1</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TRADING DATA</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8"/>
        </w:trPr>
        <w:tc>
          <w:tcPr>
            <w:tcW w:w="27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Buy/Sell</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Price Per Share $</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Where/How Effected</w:t>
            </w:r>
          </w:p>
        </w:tc>
      </w:tr>
      <w:tr>
        <w:trPr>
          <w:trHeight w:val="210"/>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4/14/2022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45.0428</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9,571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45.3212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13,732</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45.7673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15,693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47.2098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46.3570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45.0565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11,770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45.1086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5/31/2022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45.3289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2,656</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45.0512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45.2274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9,809</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46.2094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45.0428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35,025</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45.3212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50,252</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45.7673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57,431</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47.2098</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16,834</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46.3570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5/26/2022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10,472</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45.0565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43,073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45.1086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5/31/2022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3,388</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45.3289</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45.0512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14,358</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45.2274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35,894</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46.2094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1,172</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45.0428</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35,680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45.3212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51,192</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45.7673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58,506</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47.2098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17,149</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46.3570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10,668</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45.0565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43,879</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45.1086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5/31/2022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3,452</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45.3289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9,902</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45.0512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14,626</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45.2274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36,566</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46.2094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45.0428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41,697</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45.3212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59,824</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45.7673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68,370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47.2098</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20,040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46.3570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5/26/2022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12,466</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45.0565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51,278</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45.1086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5/31/2022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4,034</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45.3289</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45.0512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17,093</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45.2274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42,731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46.2094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657"/>
        </w:trPr>
        <w:tc>
          <w:tcPr>
            <w:tcW w:w="2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June 7,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HOLDCO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ARES PARTNERS HOLDCO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8EDBDA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B03E0C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2901D8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3A95F874"/>
    <w:multiLevelType w:val="hybridMultilevel"/>
    <w:lvl w:ilvl="0">
      <w:lvlJc w:val="left"/>
      <w:lvlText w:val="%1."/>
      <w:numFmt w:val="decimal"/>
      <w:start w:val="1"/>
    </w:lvl>
    <w:lvl w:ilvl="1">
      <w:lvlJc w:val="left"/>
      <w:lvlText w:val="(%2)"/>
      <w:numFmt w:val="lowerLetter"/>
      <w:start w:val="1"/>
    </w:lvl>
  </w:abstractNum>
  <w:abstractNum w:abstractNumId="14">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1E7FF52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3006C8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614FD4A1"/>
    <w:multiLevelType w:val="hybridMultilevel"/>
    <w:lvl w:ilvl="0">
      <w:lvlJc w:val="left"/>
      <w:lvlText w:val="%1."/>
      <w:numFmt w:val="decimal"/>
      <w:start w:val="1"/>
    </w:lvl>
    <w:lvl w:ilvl="1">
      <w:lvlJc w:val="left"/>
      <w:lvlText w:val="(%2)"/>
      <w:numFmt w:val="lowerLetter"/>
      <w:start w:val="1"/>
    </w:lvl>
  </w:abstractNum>
  <w:abstractNum w:abstractNumId="23">
    <w:nsid w:val="419AC2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5577F8E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abstractNum>
  <w:abstractNum w:abstractNumId="35">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2022-06-07T15:02:43Z</dcterms:created>
  <dcterms:modified xsi:type="dcterms:W3CDTF">2022-06-07T15:02:43Z</dcterms:modified>
</cp:coreProperties>
</file>