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9, 2019</w:t>
      </w:r>
    </w:p>
    <w:p>
      <w:pPr>
        <w:spacing w:after="0" w:line="283"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_________________</w:t>
      </w:r>
    </w:p>
    <w:p>
      <w:pPr>
        <w:spacing w:after="0" w:line="85" w:lineRule="exact"/>
        <w:rPr>
          <w:sz w:val="24"/>
          <w:szCs w:val="24"/>
          <w:color w:val="auto"/>
        </w:rPr>
      </w:pPr>
    </w:p>
    <w:p>
      <w:pPr>
        <w:jc w:val="center"/>
        <w:spacing w:after="0" w:line="334" w:lineRule="exact"/>
        <w:rPr>
          <w:sz w:val="20"/>
          <w:szCs w:val="20"/>
          <w:color w:val="auto"/>
        </w:rPr>
      </w:pPr>
      <w:r>
        <w:rPr>
          <w:rFonts w:ascii="Arial" w:cs="Arial" w:eastAsia="Arial" w:hAnsi="Arial"/>
          <w:sz w:val="29"/>
          <w:szCs w:val="29"/>
          <w:b w:val="1"/>
          <w:bCs w:val="1"/>
          <w:color w:val="auto"/>
        </w:rPr>
        <w:t>FORM S</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8 REGISTRATION STATEMENT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2"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2740" w:type="dxa"/>
            <w:vAlign w:val="bottom"/>
          </w:tcPr>
          <w:p>
            <w:pPr>
              <w:jc w:val="center"/>
              <w:ind w:right="279"/>
              <w:spacing w:after="0"/>
              <w:rPr>
                <w:sz w:val="20"/>
                <w:szCs w:val="20"/>
                <w:color w:val="auto"/>
              </w:rPr>
            </w:pPr>
            <w:r>
              <w:rPr>
                <w:rFonts w:ascii="Arial" w:cs="Arial" w:eastAsia="Arial" w:hAnsi="Arial"/>
                <w:sz w:val="18"/>
                <w:szCs w:val="18"/>
                <w:b w:val="1"/>
                <w:bCs w:val="1"/>
                <w:color w:val="auto"/>
                <w:w w:val="93"/>
              </w:rPr>
              <w:t>Delaware</w:t>
            </w:r>
          </w:p>
        </w:tc>
        <w:tc>
          <w:tcPr>
            <w:tcW w:w="6580" w:type="dxa"/>
            <w:vAlign w:val="bottom"/>
          </w:tcPr>
          <w:p>
            <w:pPr>
              <w:jc w:val="right"/>
              <w:ind w:right="19"/>
              <w:spacing w:after="0"/>
              <w:rPr>
                <w:sz w:val="20"/>
                <w:szCs w:val="20"/>
                <w:color w:val="auto"/>
              </w:rPr>
            </w:pPr>
            <w:r>
              <w:rPr>
                <w:rFonts w:ascii="Arial" w:cs="Arial" w:eastAsia="Arial" w:hAnsi="Arial"/>
                <w:sz w:val="18"/>
                <w:szCs w:val="18"/>
                <w:b w:val="1"/>
                <w:bCs w:val="1"/>
                <w:color w:val="auto"/>
              </w:rPr>
              <w:t>46-5670947</w:t>
            </w:r>
          </w:p>
        </w:tc>
      </w:tr>
      <w:tr>
        <w:trPr>
          <w:trHeight w:val="184"/>
        </w:trPr>
        <w:tc>
          <w:tcPr>
            <w:tcW w:w="2740" w:type="dxa"/>
            <w:vAlign w:val="bottom"/>
          </w:tcPr>
          <w:p>
            <w:pPr>
              <w:jc w:val="center"/>
              <w:ind w:right="279"/>
              <w:spacing w:after="0"/>
              <w:rPr>
                <w:sz w:val="20"/>
                <w:szCs w:val="20"/>
                <w:color w:val="auto"/>
              </w:rPr>
            </w:pPr>
            <w:r>
              <w:rPr>
                <w:rFonts w:ascii="Arial" w:cs="Arial" w:eastAsia="Arial" w:hAnsi="Arial"/>
                <w:sz w:val="14"/>
                <w:szCs w:val="14"/>
                <w:color w:val="auto"/>
                <w:w w:val="94"/>
              </w:rPr>
              <w:t>(State or other jurisdiction of</w:t>
            </w:r>
          </w:p>
        </w:tc>
        <w:tc>
          <w:tcPr>
            <w:tcW w:w="6580" w:type="dxa"/>
            <w:vAlign w:val="bottom"/>
          </w:tcPr>
          <w:p>
            <w:pPr>
              <w:jc w:val="center"/>
              <w:ind w:left="5439"/>
              <w:spacing w:after="0"/>
              <w:rPr>
                <w:sz w:val="20"/>
                <w:szCs w:val="20"/>
                <w:color w:val="auto"/>
              </w:rPr>
            </w:pPr>
            <w:r>
              <w:rPr>
                <w:rFonts w:ascii="Arial" w:cs="Arial" w:eastAsia="Arial" w:hAnsi="Arial"/>
                <w:sz w:val="14"/>
                <w:szCs w:val="14"/>
                <w:color w:val="auto"/>
                <w:w w:val="95"/>
              </w:rPr>
              <w:t>(I.R.S. Employer</w:t>
            </w:r>
          </w:p>
        </w:tc>
      </w:tr>
      <w:tr>
        <w:trPr>
          <w:trHeight w:val="182"/>
        </w:trPr>
        <w:tc>
          <w:tcPr>
            <w:tcW w:w="2740" w:type="dxa"/>
            <w:vAlign w:val="bottom"/>
          </w:tcPr>
          <w:p>
            <w:pPr>
              <w:jc w:val="center"/>
              <w:ind w:right="279"/>
              <w:spacing w:after="0"/>
              <w:rPr>
                <w:sz w:val="20"/>
                <w:szCs w:val="20"/>
                <w:color w:val="auto"/>
              </w:rPr>
            </w:pPr>
            <w:r>
              <w:rPr>
                <w:rFonts w:ascii="Arial" w:cs="Arial" w:eastAsia="Arial" w:hAnsi="Arial"/>
                <w:sz w:val="14"/>
                <w:szCs w:val="14"/>
                <w:color w:val="auto"/>
                <w:w w:val="95"/>
              </w:rPr>
              <w:t>incorporation or organization)</w:t>
            </w:r>
          </w:p>
        </w:tc>
        <w:tc>
          <w:tcPr>
            <w:tcW w:w="6580" w:type="dxa"/>
            <w:vAlign w:val="bottom"/>
          </w:tcPr>
          <w:p>
            <w:pPr>
              <w:jc w:val="center"/>
              <w:ind w:left="5419"/>
              <w:spacing w:after="0"/>
              <w:rPr>
                <w:sz w:val="20"/>
                <w:szCs w:val="20"/>
                <w:color w:val="auto"/>
              </w:rPr>
            </w:pPr>
            <w:r>
              <w:rPr>
                <w:rFonts w:ascii="Arial" w:cs="Arial" w:eastAsia="Arial" w:hAnsi="Arial"/>
                <w:sz w:val="14"/>
                <w:szCs w:val="14"/>
                <w:color w:val="auto"/>
                <w:w w:val="99"/>
              </w:rPr>
              <w:t>Identification No.)</w:t>
            </w:r>
          </w:p>
        </w:tc>
      </w:tr>
      <w:tr>
        <w:trPr>
          <w:trHeight w:val="579"/>
        </w:trPr>
        <w:tc>
          <w:tcPr>
            <w:tcW w:w="2740" w:type="dxa"/>
            <w:vAlign w:val="bottom"/>
          </w:tcPr>
          <w:p>
            <w:pPr>
              <w:jc w:val="center"/>
              <w:ind w:right="279"/>
              <w:spacing w:after="0"/>
              <w:rPr>
                <w:sz w:val="20"/>
                <w:szCs w:val="20"/>
                <w:color w:val="auto"/>
              </w:rPr>
            </w:pPr>
            <w:r>
              <w:rPr>
                <w:rFonts w:ascii="Arial" w:cs="Arial" w:eastAsia="Arial" w:hAnsi="Arial"/>
                <w:sz w:val="18"/>
                <w:szCs w:val="18"/>
                <w:b w:val="1"/>
                <w:bCs w:val="1"/>
                <w:color w:val="auto"/>
                <w:w w:val="89"/>
              </w:rPr>
              <w:t>27200 Tourney Road, Suite 315</w:t>
            </w:r>
          </w:p>
        </w:tc>
        <w:tc>
          <w:tcPr>
            <w:tcW w:w="6580" w:type="dxa"/>
            <w:vAlign w:val="bottom"/>
          </w:tcPr>
          <w:p>
            <w:pPr>
              <w:spacing w:after="0"/>
              <w:rPr>
                <w:sz w:val="24"/>
                <w:szCs w:val="24"/>
                <w:color w:val="auto"/>
              </w:rPr>
            </w:pPr>
          </w:p>
        </w:tc>
      </w:tr>
      <w:tr>
        <w:trPr>
          <w:trHeight w:val="270"/>
        </w:trPr>
        <w:tc>
          <w:tcPr>
            <w:tcW w:w="2740" w:type="dxa"/>
            <w:vAlign w:val="bottom"/>
          </w:tcPr>
          <w:p>
            <w:pPr>
              <w:jc w:val="center"/>
              <w:ind w:right="259"/>
              <w:spacing w:after="0"/>
              <w:rPr>
                <w:sz w:val="20"/>
                <w:szCs w:val="20"/>
                <w:color w:val="auto"/>
              </w:rPr>
            </w:pPr>
            <w:r>
              <w:rPr>
                <w:rFonts w:ascii="Arial" w:cs="Arial" w:eastAsia="Arial" w:hAnsi="Arial"/>
                <w:sz w:val="18"/>
                <w:szCs w:val="18"/>
                <w:b w:val="1"/>
                <w:bCs w:val="1"/>
                <w:color w:val="auto"/>
                <w:w w:val="94"/>
              </w:rPr>
              <w:t>Santa Clarita, California</w:t>
            </w:r>
          </w:p>
        </w:tc>
        <w:tc>
          <w:tcPr>
            <w:tcW w:w="6580" w:type="dxa"/>
            <w:vAlign w:val="bottom"/>
          </w:tcPr>
          <w:p>
            <w:pPr>
              <w:jc w:val="right"/>
              <w:ind w:right="239"/>
              <w:spacing w:after="0"/>
              <w:rPr>
                <w:sz w:val="20"/>
                <w:szCs w:val="20"/>
                <w:color w:val="auto"/>
              </w:rPr>
            </w:pPr>
            <w:r>
              <w:rPr>
                <w:rFonts w:ascii="Arial" w:cs="Arial" w:eastAsia="Arial" w:hAnsi="Arial"/>
                <w:sz w:val="18"/>
                <w:szCs w:val="18"/>
                <w:b w:val="1"/>
                <w:bCs w:val="1"/>
                <w:color w:val="auto"/>
              </w:rPr>
              <w:t>91355</w:t>
            </w:r>
          </w:p>
        </w:tc>
      </w:tr>
      <w:tr>
        <w:trPr>
          <w:trHeight w:val="285"/>
        </w:trPr>
        <w:tc>
          <w:tcPr>
            <w:tcW w:w="2740" w:type="dxa"/>
            <w:vAlign w:val="bottom"/>
          </w:tcPr>
          <w:p>
            <w:pPr>
              <w:jc w:val="center"/>
              <w:ind w:right="279"/>
              <w:spacing w:after="0"/>
              <w:rPr>
                <w:sz w:val="20"/>
                <w:szCs w:val="20"/>
                <w:color w:val="auto"/>
              </w:rPr>
            </w:pPr>
            <w:r>
              <w:rPr>
                <w:rFonts w:ascii="Arial" w:cs="Arial" w:eastAsia="Arial" w:hAnsi="Arial"/>
                <w:sz w:val="14"/>
                <w:szCs w:val="14"/>
                <w:color w:val="auto"/>
                <w:w w:val="96"/>
              </w:rPr>
              <w:t>(Address of Principal Executive Office)</w:t>
            </w:r>
          </w:p>
        </w:tc>
        <w:tc>
          <w:tcPr>
            <w:tcW w:w="6580" w:type="dxa"/>
            <w:vAlign w:val="bottom"/>
          </w:tcPr>
          <w:p>
            <w:pPr>
              <w:jc w:val="center"/>
              <w:ind w:left="5419"/>
              <w:spacing w:after="0"/>
              <w:rPr>
                <w:sz w:val="20"/>
                <w:szCs w:val="20"/>
                <w:color w:val="auto"/>
              </w:rPr>
            </w:pPr>
            <w:r>
              <w:rPr>
                <w:rFonts w:ascii="Arial" w:cs="Arial" w:eastAsia="Arial" w:hAnsi="Arial"/>
                <w:sz w:val="14"/>
                <w:szCs w:val="14"/>
                <w:color w:val="auto"/>
                <w:w w:val="96"/>
              </w:rPr>
              <w:t>(Zip Code)</w:t>
            </w:r>
          </w:p>
        </w:tc>
      </w:tr>
      <w:tr>
        <w:trPr>
          <w:trHeight w:val="426"/>
        </w:trPr>
        <w:tc>
          <w:tcPr>
            <w:tcW w:w="2740" w:type="dxa"/>
            <w:vAlign w:val="bottom"/>
          </w:tcPr>
          <w:p>
            <w:pPr>
              <w:spacing w:after="0"/>
              <w:rPr>
                <w:sz w:val="24"/>
                <w:szCs w:val="24"/>
                <w:color w:val="auto"/>
              </w:rPr>
            </w:pPr>
          </w:p>
        </w:tc>
        <w:tc>
          <w:tcPr>
            <w:tcW w:w="6580" w:type="dxa"/>
            <w:vAlign w:val="bottom"/>
          </w:tcPr>
          <w:p>
            <w:pPr>
              <w:jc w:val="center"/>
              <w:ind w:right="2079"/>
              <w:spacing w:after="0"/>
              <w:rPr>
                <w:sz w:val="20"/>
                <w:szCs w:val="20"/>
                <w:color w:val="auto"/>
              </w:rPr>
            </w:pPr>
            <w:r>
              <w:rPr>
                <w:rFonts w:ascii="Arial" w:cs="Arial" w:eastAsia="Arial" w:hAnsi="Arial"/>
                <w:sz w:val="18"/>
                <w:szCs w:val="18"/>
                <w:b w:val="1"/>
                <w:bCs w:val="1"/>
                <w:color w:val="auto"/>
                <w:w w:val="99"/>
              </w:rPr>
              <w:t>CALIFORNIA RESOURCES CORPORATION</w:t>
            </w:r>
          </w:p>
        </w:tc>
      </w:tr>
      <w:tr>
        <w:trPr>
          <w:trHeight w:val="216"/>
        </w:trPr>
        <w:tc>
          <w:tcPr>
            <w:tcW w:w="2740" w:type="dxa"/>
            <w:vAlign w:val="bottom"/>
          </w:tcPr>
          <w:p>
            <w:pPr>
              <w:spacing w:after="0"/>
              <w:rPr>
                <w:sz w:val="18"/>
                <w:szCs w:val="18"/>
                <w:color w:val="auto"/>
              </w:rPr>
            </w:pPr>
          </w:p>
        </w:tc>
        <w:tc>
          <w:tcPr>
            <w:tcW w:w="6580" w:type="dxa"/>
            <w:vAlign w:val="bottom"/>
          </w:tcPr>
          <w:p>
            <w:pPr>
              <w:jc w:val="center"/>
              <w:ind w:right="2079"/>
              <w:spacing w:after="0"/>
              <w:rPr>
                <w:sz w:val="20"/>
                <w:szCs w:val="20"/>
                <w:color w:val="auto"/>
              </w:rPr>
            </w:pPr>
            <w:r>
              <w:rPr>
                <w:rFonts w:ascii="Arial" w:cs="Arial" w:eastAsia="Arial" w:hAnsi="Arial"/>
                <w:sz w:val="18"/>
                <w:szCs w:val="18"/>
                <w:b w:val="1"/>
                <w:bCs w:val="1"/>
                <w:color w:val="auto"/>
              </w:rPr>
              <w:t>LONG-TERM INCENTIVE PLAN</w:t>
            </w:r>
          </w:p>
        </w:tc>
      </w:tr>
      <w:tr>
        <w:trPr>
          <w:trHeight w:val="182"/>
        </w:trPr>
        <w:tc>
          <w:tcPr>
            <w:tcW w:w="2740" w:type="dxa"/>
            <w:vAlign w:val="bottom"/>
          </w:tcPr>
          <w:p>
            <w:pPr>
              <w:spacing w:after="0"/>
              <w:rPr>
                <w:sz w:val="15"/>
                <w:szCs w:val="15"/>
                <w:color w:val="auto"/>
              </w:rPr>
            </w:pPr>
          </w:p>
        </w:tc>
        <w:tc>
          <w:tcPr>
            <w:tcW w:w="6580" w:type="dxa"/>
            <w:vAlign w:val="bottom"/>
          </w:tcPr>
          <w:p>
            <w:pPr>
              <w:jc w:val="center"/>
              <w:ind w:right="2059"/>
              <w:spacing w:after="0"/>
              <w:rPr>
                <w:sz w:val="20"/>
                <w:szCs w:val="20"/>
                <w:color w:val="auto"/>
              </w:rPr>
            </w:pPr>
            <w:r>
              <w:rPr>
                <w:rFonts w:ascii="Arial" w:cs="Arial" w:eastAsia="Arial" w:hAnsi="Arial"/>
                <w:sz w:val="14"/>
                <w:szCs w:val="14"/>
                <w:color w:val="auto"/>
                <w:w w:val="97"/>
              </w:rPr>
              <w:t>(Full title of the plan)</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L. Preston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27200 Tourney Road, Suite 315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Clarita, California 91355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848-4754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Sarah K. Morgan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 Suite 2500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758-2222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147"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ind w:left="40"/>
              <w:spacing w:after="0" w:line="161" w:lineRule="exact"/>
              <w:rPr>
                <w:sz w:val="20"/>
                <w:szCs w:val="20"/>
                <w:color w:val="auto"/>
              </w:rPr>
            </w:pPr>
            <w:r>
              <w:rPr>
                <w:rFonts w:ascii="Arial" w:cs="Arial" w:eastAsia="Arial" w:hAnsi="Arial"/>
                <w:sz w:val="14"/>
                <w:szCs w:val="14"/>
                <w:color w:val="auto"/>
                <w:w w:val="92"/>
              </w:rPr>
              <w:t xml:space="preserve">Large accelerated filer </w:t>
            </w:r>
            <w:r>
              <w:rPr>
                <w:rFonts w:ascii="MS PGothic" w:cs="MS PGothic" w:eastAsia="MS PGothic" w:hAnsi="MS PGothic"/>
                <w:sz w:val="14"/>
                <w:szCs w:val="14"/>
                <w:color w:val="auto"/>
                <w:w w:val="92"/>
              </w:rPr>
              <w:t>☒</w:t>
            </w:r>
          </w:p>
        </w:tc>
        <w:tc>
          <w:tcPr>
            <w:tcW w:w="2480" w:type="dxa"/>
            <w:vAlign w:val="bottom"/>
          </w:tcPr>
          <w:p>
            <w:pPr>
              <w:ind w:left="1400"/>
              <w:spacing w:after="0"/>
              <w:rPr>
                <w:sz w:val="20"/>
                <w:szCs w:val="20"/>
                <w:color w:val="auto"/>
              </w:rPr>
            </w:pPr>
            <w:r>
              <w:rPr>
                <w:rFonts w:ascii="Arial" w:cs="Arial" w:eastAsia="Arial" w:hAnsi="Arial"/>
                <w:sz w:val="14"/>
                <w:szCs w:val="14"/>
                <w:color w:val="auto"/>
                <w:w w:val="94"/>
              </w:rPr>
              <w:t>Accelerated filer o</w:t>
            </w:r>
          </w:p>
        </w:tc>
        <w:tc>
          <w:tcPr>
            <w:tcW w:w="1080" w:type="dxa"/>
            <w:vAlign w:val="bottom"/>
          </w:tcPr>
          <w:p>
            <w:pPr>
              <w:spacing w:after="0"/>
              <w:rPr>
                <w:sz w:val="19"/>
                <w:szCs w:val="19"/>
                <w:color w:val="auto"/>
              </w:rPr>
            </w:pPr>
          </w:p>
        </w:tc>
        <w:tc>
          <w:tcPr>
            <w:tcW w:w="1940" w:type="dxa"/>
            <w:vAlign w:val="bottom"/>
            <w:gridSpan w:val="2"/>
          </w:tcPr>
          <w:p>
            <w:pPr>
              <w:ind w:left="580"/>
              <w:spacing w:after="0"/>
              <w:rPr>
                <w:sz w:val="20"/>
                <w:szCs w:val="20"/>
                <w:color w:val="auto"/>
              </w:rPr>
            </w:pPr>
            <w:r>
              <w:rPr>
                <w:rFonts w:ascii="Arial" w:cs="Arial" w:eastAsia="Arial" w:hAnsi="Arial"/>
                <w:sz w:val="14"/>
                <w:szCs w:val="14"/>
                <w:color w:val="auto"/>
                <w:w w:val="95"/>
              </w:rPr>
              <w:t>Non-accelerated filer o</w:t>
            </w:r>
          </w:p>
        </w:tc>
        <w:tc>
          <w:tcPr>
            <w:tcW w:w="126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w w:val="99"/>
              </w:rPr>
              <w:t>Smaller reporting company o</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w w:val="99"/>
              </w:rPr>
              <w:t>Emerging growth company o</w:t>
            </w: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11100" w:type="dxa"/>
            <w:vAlign w:val="bottom"/>
            <w:gridSpan w:val="9"/>
          </w:tcPr>
          <w:p>
            <w:pPr>
              <w:ind w:left="40"/>
              <w:spacing w:after="0"/>
              <w:rPr>
                <w:sz w:val="20"/>
                <w:szCs w:val="20"/>
                <w:color w:val="auto"/>
              </w:rPr>
            </w:pPr>
            <w:r>
              <w:rPr>
                <w:rFonts w:ascii="Arial" w:cs="Arial" w:eastAsia="Arial" w:hAnsi="Arial"/>
                <w:sz w:val="14"/>
                <w:szCs w:val="14"/>
                <w:color w:val="auto"/>
                <w:w w:val="97"/>
              </w:rPr>
              <w:t>If an emerging growth company, indicate by check mark if the registrant has elected not to use the extended transition period for complying with any new or revised financial accounting</w:t>
            </w:r>
          </w:p>
        </w:tc>
        <w:tc>
          <w:tcPr>
            <w:tcW w:w="320" w:type="dxa"/>
            <w:vAlign w:val="bottom"/>
          </w:tcPr>
          <w:p>
            <w:pPr>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2"/>
        </w:trPr>
        <w:tc>
          <w:tcPr>
            <w:tcW w:w="7000" w:type="dxa"/>
            <w:vAlign w:val="bottom"/>
            <w:gridSpan w:val="5"/>
          </w:tcPr>
          <w:p>
            <w:pPr>
              <w:ind w:left="40"/>
              <w:spacing w:after="0"/>
              <w:rPr>
                <w:sz w:val="20"/>
                <w:szCs w:val="20"/>
                <w:color w:val="auto"/>
              </w:rPr>
            </w:pPr>
            <w:r>
              <w:rPr>
                <w:rFonts w:ascii="Arial" w:cs="Arial" w:eastAsia="Arial" w:hAnsi="Arial"/>
                <w:sz w:val="14"/>
                <w:szCs w:val="14"/>
                <w:color w:val="auto"/>
                <w:w w:val="98"/>
              </w:rPr>
              <w:t>standards provided pursuant to Section 7(a)(2)(B) of the Securities Act of 1933, as amended (the “Securities Act”).</w:t>
            </w:r>
          </w:p>
        </w:tc>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CALCULATION OF REGISTRATION FEE</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2"/>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Borders>
              <w:right w:val="single" w:sz="8" w:color="auto"/>
            </w:tcBorders>
          </w:tcPr>
          <w:p>
            <w:pPr>
              <w:jc w:val="center"/>
              <w:ind w:right="308"/>
              <w:spacing w:after="0" w:line="133" w:lineRule="exact"/>
              <w:rPr>
                <w:sz w:val="20"/>
                <w:szCs w:val="20"/>
                <w:color w:val="auto"/>
              </w:rPr>
            </w:pPr>
            <w:r>
              <w:rPr>
                <w:rFonts w:ascii="Arial" w:cs="Arial" w:eastAsia="Arial" w:hAnsi="Arial"/>
                <w:sz w:val="14"/>
                <w:szCs w:val="14"/>
                <w:b w:val="1"/>
                <w:bCs w:val="1"/>
                <w:color w:val="auto"/>
                <w:w w:val="86"/>
              </w:rPr>
              <w:t>Proposed</w:t>
            </w:r>
          </w:p>
        </w:tc>
        <w:tc>
          <w:tcPr>
            <w:tcW w:w="15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Proposed</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340" w:type="dxa"/>
            <w:vAlign w:val="bottom"/>
          </w:tcPr>
          <w:p>
            <w:pPr>
              <w:spacing w:after="0"/>
              <w:rPr>
                <w:sz w:val="12"/>
                <w:szCs w:val="12"/>
                <w:color w:val="auto"/>
              </w:rPr>
            </w:pPr>
          </w:p>
        </w:tc>
        <w:tc>
          <w:tcPr>
            <w:tcW w:w="1260" w:type="dxa"/>
            <w:vAlign w:val="bottom"/>
            <w:tcBorders>
              <w:right w:val="single" w:sz="8" w:color="auto"/>
            </w:tcBorders>
          </w:tcPr>
          <w:p>
            <w:pPr>
              <w:jc w:val="center"/>
              <w:ind w:right="288"/>
              <w:spacing w:after="0" w:line="149" w:lineRule="exact"/>
              <w:rPr>
                <w:sz w:val="20"/>
                <w:szCs w:val="20"/>
                <w:color w:val="auto"/>
              </w:rPr>
            </w:pPr>
            <w:r>
              <w:rPr>
                <w:rFonts w:ascii="Arial" w:cs="Arial" w:eastAsia="Arial" w:hAnsi="Arial"/>
                <w:sz w:val="14"/>
                <w:szCs w:val="14"/>
                <w:b w:val="1"/>
                <w:bCs w:val="1"/>
                <w:color w:val="auto"/>
                <w:w w:val="94"/>
              </w:rPr>
              <w:t>maximum</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220" w:type="dxa"/>
            <w:vAlign w:val="bottom"/>
          </w:tcPr>
          <w:p>
            <w:pPr>
              <w:spacing w:after="0"/>
              <w:rPr>
                <w:sz w:val="12"/>
                <w:szCs w:val="12"/>
                <w:color w:val="auto"/>
              </w:rPr>
            </w:pPr>
          </w:p>
        </w:tc>
        <w:tc>
          <w:tcPr>
            <w:tcW w:w="10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Borders>
              <w:right w:val="single" w:sz="8" w:color="auto"/>
            </w:tcBorders>
          </w:tcPr>
          <w:p>
            <w:pPr>
              <w:jc w:val="center"/>
              <w:ind w:right="308"/>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Title of securities to be registered</w:t>
            </w:r>
          </w:p>
        </w:tc>
        <w:tc>
          <w:tcPr>
            <w:tcW w:w="10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Registered</w:t>
            </w:r>
          </w:p>
        </w:tc>
        <w:tc>
          <w:tcPr>
            <w:tcW w:w="340" w:type="dxa"/>
            <w:vAlign w:val="bottom"/>
          </w:tcPr>
          <w:p>
            <w:pPr>
              <w:spacing w:after="0"/>
              <w:rPr>
                <w:sz w:val="12"/>
                <w:szCs w:val="12"/>
                <w:color w:val="auto"/>
              </w:rPr>
            </w:pPr>
          </w:p>
        </w:tc>
        <w:tc>
          <w:tcPr>
            <w:tcW w:w="1260" w:type="dxa"/>
            <w:vAlign w:val="bottom"/>
            <w:tcBorders>
              <w:right w:val="single" w:sz="8" w:color="auto"/>
            </w:tcBorders>
          </w:tcPr>
          <w:p>
            <w:pPr>
              <w:jc w:val="center"/>
              <w:ind w:right="288"/>
              <w:spacing w:after="0" w:line="149" w:lineRule="exact"/>
              <w:rPr>
                <w:sz w:val="20"/>
                <w:szCs w:val="20"/>
                <w:color w:val="auto"/>
              </w:rPr>
            </w:pPr>
            <w:r>
              <w:rPr>
                <w:rFonts w:ascii="Arial" w:cs="Arial" w:eastAsia="Arial" w:hAnsi="Arial"/>
                <w:sz w:val="14"/>
                <w:szCs w:val="14"/>
                <w:b w:val="1"/>
                <w:bCs w:val="1"/>
                <w:color w:val="auto"/>
                <w:w w:val="91"/>
              </w:rPr>
              <w:t>per share</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220" w:type="dxa"/>
            <w:vAlign w:val="bottom"/>
          </w:tcPr>
          <w:p>
            <w:pPr>
              <w:spacing w:after="0"/>
              <w:rPr>
                <w:sz w:val="12"/>
                <w:szCs w:val="12"/>
                <w:color w:val="auto"/>
              </w:rPr>
            </w:pPr>
          </w:p>
        </w:tc>
        <w:tc>
          <w:tcPr>
            <w:tcW w:w="10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registration fee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(1)(2)</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(3)</w:t>
            </w:r>
          </w:p>
        </w:tc>
        <w:tc>
          <w:tcPr>
            <w:tcW w:w="1580" w:type="dxa"/>
            <w:vAlign w:val="bottom"/>
            <w:tcBorders>
              <w:bottom w:val="single" w:sz="8" w:color="auto"/>
              <w:right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Common Stock, $0.01 per share (“Common Stock”)</w:t>
            </w:r>
          </w:p>
        </w:tc>
        <w:tc>
          <w:tcPr>
            <w:tcW w:w="10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right"/>
              <w:ind w:right="448"/>
              <w:spacing w:after="0"/>
              <w:rPr>
                <w:sz w:val="20"/>
                <w:szCs w:val="20"/>
                <w:color w:val="auto"/>
              </w:rPr>
            </w:pPr>
            <w:r>
              <w:rPr>
                <w:rFonts w:ascii="Arial" w:cs="Arial" w:eastAsia="Arial" w:hAnsi="Arial"/>
                <w:sz w:val="14"/>
                <w:szCs w:val="14"/>
                <w:color w:val="auto"/>
              </w:rPr>
              <w:t>2,575,000</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right"/>
              <w:ind w:right="548"/>
              <w:spacing w:after="0"/>
              <w:rPr>
                <w:sz w:val="20"/>
                <w:szCs w:val="20"/>
                <w:color w:val="auto"/>
              </w:rPr>
            </w:pPr>
            <w:r>
              <w:rPr>
                <w:rFonts w:ascii="Arial" w:cs="Arial" w:eastAsia="Arial" w:hAnsi="Arial"/>
                <w:sz w:val="14"/>
                <w:szCs w:val="14"/>
                <w:color w:val="auto"/>
              </w:rPr>
              <w:t>$19.09</w:t>
            </w:r>
          </w:p>
        </w:tc>
        <w:tc>
          <w:tcPr>
            <w:tcW w:w="158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$49,156,750</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$5,958</w:t>
            </w:r>
          </w:p>
        </w:tc>
        <w:tc>
          <w:tcPr>
            <w:tcW w:w="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340" w:right="40" w:hanging="332"/>
        <w:spacing w:after="0" w:line="27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Form S-8 registration statement (the “Registration Statement”) registers 2,575,000 additional shares of Common Stock of California Resources Corporation (the “Registrant”) that may be delivered with respect to awards under the California Resources Corporation Long-Term Incentive Plan (as amended from time to time, the “Plan”).</w:t>
      </w:r>
    </w:p>
    <w:p>
      <w:pPr>
        <w:spacing w:after="0" w:line="65" w:lineRule="exact"/>
        <w:rPr>
          <w:rFonts w:ascii="Arial" w:cs="Arial" w:eastAsia="Arial" w:hAnsi="Arial"/>
          <w:sz w:val="14"/>
          <w:szCs w:val="14"/>
          <w:color w:val="auto"/>
        </w:rPr>
      </w:pPr>
    </w:p>
    <w:p>
      <w:pPr>
        <w:ind w:left="340" w:right="140" w:hanging="332"/>
        <w:spacing w:after="0" w:line="277"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416(a) under the Securities Act, this Registration Statement shall also cover any additional shares of Common Stock of the Registrant that may become issuable pursuant to the adjustment provisions of the Plan, including as a result of a stock split, stock dividend, or similar transaction. Additionally, pursuant to Rule 416(b) under the Securities Act, if prior to the completion of the distribution of the shares of Common Stock registered under this Registration Statement all shares of Common Stock are combined by a reverse stock split into a lesser number of shares of Common Stock, the number of undistributed shares of Common Stock covered by this Registration Statement shall be proportionately reduced.</w:t>
      </w:r>
    </w:p>
    <w:p>
      <w:pPr>
        <w:spacing w:after="0" w:line="66" w:lineRule="exact"/>
        <w:rPr>
          <w:rFonts w:ascii="Arial" w:cs="Arial" w:eastAsia="Arial" w:hAnsi="Arial"/>
          <w:sz w:val="13"/>
          <w:szCs w:val="13"/>
          <w:color w:val="auto"/>
        </w:rPr>
      </w:pPr>
    </w:p>
    <w:p>
      <w:pPr>
        <w:ind w:left="340" w:right="60" w:hanging="332"/>
        <w:spacing w:after="0" w:line="25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Rules 457(c) and (h) under the Securities Act, the proposed maximum offering price per share, the proposed maximum aggregate offering price and the amount of registration fee have been computed on the basis of the average of the high and low prices of the Common Stock as reported on the New York Stock Exchange on May 2, 2019; this price is used solely for the purpose of calculating the registration fee.</w:t>
      </w:r>
    </w:p>
    <w:p>
      <w:pPr>
        <w:sectPr>
          <w:pgSz w:w="11900" w:h="16838" w:orient="portrait"/>
          <w:cols w:equalWidth="0" w:num="1">
            <w:col w:w="11420"/>
          </w:cols>
          <w:pgMar w:left="240" w:top="688" w:right="239" w:bottom="496"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This Registration Statement is being filed for the purpose of registering the offer and sale of an additional 2,575,000 shares of Common Stock that may be issued pursuant to the Plan. Except as otherwise set forth below, the contents of the registration statements on Form S-8 previously filed with the Securities and Exchange Commission (the “Commission”) on each of November 26, 2014 (File No. 333-200611) and May 4, 2016 (File No. 333-211107), which registered the offer and sale of 27,500,000 and 22,000,000 shares of Common Stock under the Plan, respectively, is incorporated herein by reference and made a part of this Registration Statement as permitted by General Instruction E to Form S-8. Pursuant to a one for ten reverse stock split effective May 31, 2016, the shares previously registered on November 26, 2014 and May 4, 2016, were reduced to 2,750,000 and 2,200,000, respectively.</w:t>
      </w:r>
    </w:p>
    <w:p>
      <w:pPr>
        <w:spacing w:after="0" w:line="12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Registrant will send or give to all participants in the Plan the document(s) containing the information required by Part I of Form S-8, as specified in Rule 428(b)(1) promulgated by the Commission under the Securities Act. In accordance with Rule 428,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w:t>
      </w:r>
    </w:p>
    <w:p>
      <w:pPr>
        <w:spacing w:after="0" w:line="14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contents of the earlier registration statements relating to the Plan, previously filed with the Commission on each of November 26, 2014 (File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333-200611) and May 4, 2016 (File No. 333-211107) are incorporated herein by reference and made a part of this Registration Statement.</w:t>
      </w:r>
    </w:p>
    <w:p>
      <w:pPr>
        <w:spacing w:after="0" w:line="3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36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Unless otherwise indicated below as being incorporated by reference to another filing of the Registrant with the Commission, each of the exhibits listed on the accompanying Exhibit Index is filed herewith.</w:t>
      </w:r>
    </w:p>
    <w:p>
      <w:pPr>
        <w:sectPr>
          <w:pgSz w:w="11900" w:h="16838" w:orient="portrait"/>
          <w:cols w:equalWidth="0" w:num="1">
            <w:col w:w="11400"/>
          </w:cols>
          <w:pgMar w:left="240" w:top="580" w:right="25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Santa Clarita, State of California, on May 9, 2019.</w:t>
      </w: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Todd A. Stevens</w:t>
            </w:r>
          </w:p>
        </w:tc>
      </w:tr>
      <w:tr>
        <w:trPr>
          <w:trHeight w:val="27"/>
        </w:trPr>
        <w:tc>
          <w:tcPr>
            <w:tcW w:w="9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Todd A. Stevens</w:t>
            </w:r>
          </w:p>
        </w:tc>
      </w:tr>
      <w:tr>
        <w:trPr>
          <w:trHeight w:val="284"/>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w w:val="99"/>
              </w:rPr>
              <w:t>President, Chief Executive Officer and Director</w:t>
            </w:r>
          </w:p>
        </w:tc>
      </w:tr>
    </w:tbl>
    <w:p>
      <w:pPr>
        <w:spacing w:after="0" w:line="20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Each person whose signature appears below hereby constitutes and appoints Todd A. Stevens, Marshall D. Smith, Michael L. Preston, Jody Johnson and Ulrik Damborg and each of them severally as his true and lawful attorneys-in-fact and agents, with full power of substitution and resubstitution, for him and in his name, place and stead, in any and all capacities, to sign any and all amendments to this Registration Statement (including post-effective amendments and registration statements filed pursuant to Rule 462 or otherwise) and to file the same, with all exhibits thereto, and the other documents in connection therewith, with the Commission, and hereby grants to such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their or his substitute or substitutes, may lawfully do or cause to be done by virtue hereof.</w:t>
      </w:r>
    </w:p>
    <w:p>
      <w:pPr>
        <w:spacing w:after="0" w:line="3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1780" w:type="dxa"/>
            <w:vAlign w:val="bottom"/>
          </w:tcPr>
          <w:p>
            <w:pPr>
              <w:jc w:val="center"/>
              <w:ind w:left="790"/>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0"/>
              </w:rPr>
              <w:t>/s/ Todd A. Stevens</w:t>
            </w:r>
          </w:p>
        </w:tc>
        <w:tc>
          <w:tcPr>
            <w:tcW w:w="4880" w:type="dxa"/>
            <w:vAlign w:val="bottom"/>
          </w:tcPr>
          <w:p>
            <w:pPr>
              <w:jc w:val="center"/>
              <w:spacing w:after="0"/>
              <w:rPr>
                <w:sz w:val="20"/>
                <w:szCs w:val="20"/>
                <w:color w:val="auto"/>
              </w:rPr>
            </w:pPr>
            <w:r>
              <w:rPr>
                <w:rFonts w:ascii="Arial" w:cs="Arial" w:eastAsia="Arial" w:hAnsi="Arial"/>
                <w:sz w:val="18"/>
                <w:szCs w:val="18"/>
                <w:color w:val="auto"/>
                <w:w w:val="90"/>
              </w:rPr>
              <w:t>President and Chief Executive Officer and</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vMerge w:val="restart"/>
          </w:tcPr>
          <w:p>
            <w:pPr>
              <w:jc w:val="center"/>
              <w:spacing w:after="0"/>
              <w:rPr>
                <w:sz w:val="20"/>
                <w:szCs w:val="20"/>
                <w:color w:val="auto"/>
              </w:rPr>
            </w:pPr>
            <w:r>
              <w:rPr>
                <w:rFonts w:ascii="Arial" w:cs="Arial" w:eastAsia="Arial" w:hAnsi="Arial"/>
                <w:sz w:val="18"/>
                <w:szCs w:val="18"/>
                <w:color w:val="auto"/>
                <w:w w:val="94"/>
              </w:rPr>
              <w:t>Director (</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88"/>
              </w:rPr>
              <w:t>Todd A. Stevens</w:t>
            </w:r>
          </w:p>
        </w:tc>
        <w:tc>
          <w:tcPr>
            <w:tcW w:w="488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2"/>
              </w:rPr>
              <w:t>/s/ Marshall D. Smith</w:t>
            </w: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Senior Executive Vice President and Chief</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vMerge w:val="restart"/>
          </w:tcPr>
          <w:p>
            <w:pPr>
              <w:jc w:val="center"/>
              <w:spacing w:after="0"/>
              <w:rPr>
                <w:sz w:val="20"/>
                <w:szCs w:val="20"/>
                <w:color w:val="auto"/>
              </w:rPr>
            </w:pPr>
            <w:r>
              <w:rPr>
                <w:rFonts w:ascii="Arial" w:cs="Arial" w:eastAsia="Arial" w:hAnsi="Arial"/>
                <w:sz w:val="18"/>
                <w:szCs w:val="18"/>
                <w:color w:val="auto"/>
                <w:w w:val="95"/>
              </w:rPr>
              <w:t>Financial Officer</w:t>
            </w: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tcPr>
          <w:p>
            <w:pPr>
              <w:jc w:val="center"/>
              <w:spacing w:after="0"/>
              <w:rPr>
                <w:sz w:val="20"/>
                <w:szCs w:val="20"/>
                <w:color w:val="auto"/>
              </w:rPr>
            </w:pPr>
            <w:r>
              <w:rPr>
                <w:rFonts w:ascii="Arial" w:cs="Arial" w:eastAsia="Arial" w:hAnsi="Arial"/>
                <w:sz w:val="18"/>
                <w:szCs w:val="18"/>
                <w:color w:val="auto"/>
                <w:w w:val="94"/>
              </w:rPr>
              <w:t>Marshall D. Smith</w:t>
            </w:r>
          </w:p>
        </w:tc>
        <w:tc>
          <w:tcPr>
            <w:tcW w:w="488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900" w:type="dxa"/>
            <w:vAlign w:val="bottom"/>
          </w:tcPr>
          <w:p>
            <w:pPr>
              <w:jc w:val="center"/>
              <w:spacing w:after="0"/>
              <w:rPr>
                <w:sz w:val="20"/>
                <w:szCs w:val="20"/>
                <w:color w:val="auto"/>
              </w:rPr>
            </w:pPr>
            <w:r>
              <w:rPr>
                <w:rFonts w:ascii="Arial" w:cs="Arial" w:eastAsia="Arial" w:hAnsi="Arial"/>
                <w:sz w:val="18"/>
                <w:szCs w:val="18"/>
                <w:color w:val="auto"/>
                <w:w w:val="93"/>
              </w:rPr>
              <w:t>/s/ Roy M. Pineci</w:t>
            </w:r>
          </w:p>
        </w:tc>
        <w:tc>
          <w:tcPr>
            <w:tcW w:w="4880" w:type="dxa"/>
            <w:vAlign w:val="bottom"/>
          </w:tcPr>
          <w:p>
            <w:pPr>
              <w:jc w:val="center"/>
              <w:spacing w:after="0"/>
              <w:rPr>
                <w:sz w:val="20"/>
                <w:szCs w:val="20"/>
                <w:color w:val="auto"/>
              </w:rPr>
            </w:pPr>
            <w:r>
              <w:rPr>
                <w:rFonts w:ascii="Arial" w:cs="Arial" w:eastAsia="Arial" w:hAnsi="Arial"/>
                <w:sz w:val="18"/>
                <w:szCs w:val="18"/>
                <w:color w:val="auto"/>
                <w:w w:val="90"/>
              </w:rPr>
              <w:t>Executive Vice President - Finance</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vMerge w:val="restart"/>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3"/>
              </w:rPr>
              <w:t>Roy M. Pineci</w:t>
            </w:r>
          </w:p>
        </w:tc>
        <w:tc>
          <w:tcPr>
            <w:tcW w:w="488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4"/>
              </w:rPr>
              <w:t>/s/ William E. Albrecht</w:t>
            </w: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6"/>
              </w:rPr>
              <w:t>William E. Albrecht</w:t>
            </w:r>
          </w:p>
        </w:tc>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0"/>
              </w:rPr>
              <w:t>/s/ Justin A. Gannon</w:t>
            </w: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1"/>
              </w:rPr>
              <w:t>Justin A. Gannon</w:t>
            </w:r>
          </w:p>
        </w:tc>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5"/>
              </w:rPr>
              <w:t>/s/ Harold M. Korell</w:t>
            </w: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7"/>
              </w:rPr>
              <w:t>Harold M. Korell</w:t>
            </w:r>
          </w:p>
        </w:tc>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3"/>
              </w:rPr>
              <w:t>/s/ Harry T. McMahon</w:t>
            </w: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3"/>
              </w:rPr>
              <w:t>Harry T. McMahon</w:t>
            </w:r>
          </w:p>
        </w:tc>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3"/>
              </w:rPr>
              <w:t>/s/ Richard W. Moncrief</w:t>
            </w: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4"/>
              </w:rPr>
              <w:t>Richard W. Moncrief</w:t>
            </w:r>
          </w:p>
        </w:tc>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2"/>
              </w:rPr>
              <w:t>/s/ Avedick B. Poladian</w:t>
            </w: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2"/>
              </w:rPr>
              <w:t>Avedick B. Poladian</w:t>
            </w:r>
          </w:p>
        </w:tc>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2"/>
              </w:rPr>
              <w:t>/s/ Anita M. Powers</w:t>
            </w: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3"/>
              </w:rPr>
              <w:t>Anita M. Powers</w:t>
            </w:r>
          </w:p>
        </w:tc>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2"/>
              </w:rPr>
              <w:t>/s/ Laurie A. Siegel</w:t>
            </w: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2"/>
              </w:rPr>
              <w:t>Laurie A. Siegel</w:t>
            </w:r>
          </w:p>
        </w:tc>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900" w:type="dxa"/>
            <w:vAlign w:val="bottom"/>
          </w:tcPr>
          <w:p>
            <w:pPr>
              <w:jc w:val="center"/>
              <w:spacing w:after="0"/>
              <w:rPr>
                <w:sz w:val="20"/>
                <w:szCs w:val="20"/>
                <w:color w:val="auto"/>
              </w:rPr>
            </w:pPr>
            <w:r>
              <w:rPr>
                <w:rFonts w:ascii="Arial" w:cs="Arial" w:eastAsia="Arial" w:hAnsi="Arial"/>
                <w:sz w:val="18"/>
                <w:szCs w:val="18"/>
                <w:color w:val="auto"/>
                <w:w w:val="90"/>
              </w:rPr>
              <w:t>/s/ Robert V. Sinnott</w:t>
            </w: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790"/>
              <w:spacing w:after="0"/>
              <w:rPr>
                <w:sz w:val="20"/>
                <w:szCs w:val="20"/>
                <w:color w:val="auto"/>
              </w:rPr>
            </w:pPr>
            <w:r>
              <w:rPr>
                <w:rFonts w:ascii="Arial" w:cs="Arial" w:eastAsia="Arial" w:hAnsi="Arial"/>
                <w:sz w:val="18"/>
                <w:szCs w:val="18"/>
                <w:color w:val="auto"/>
                <w:w w:val="90"/>
              </w:rPr>
              <w:t>May 9, 2019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jc w:val="center"/>
              <w:spacing w:after="0"/>
              <w:rPr>
                <w:sz w:val="20"/>
                <w:szCs w:val="20"/>
                <w:color w:val="auto"/>
              </w:rPr>
            </w:pPr>
            <w:r>
              <w:rPr>
                <w:rFonts w:ascii="Arial" w:cs="Arial" w:eastAsia="Arial" w:hAnsi="Arial"/>
                <w:sz w:val="18"/>
                <w:szCs w:val="18"/>
                <w:color w:val="auto"/>
                <w:w w:val="91"/>
              </w:rPr>
              <w:t>Robert V. Sinnott</w:t>
            </w:r>
          </w:p>
        </w:tc>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742" w:right="10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60" w:type="dxa"/>
            <w:vAlign w:val="bottom"/>
            <w:gridSpan w:val="23"/>
          </w:tcPr>
          <w:p>
            <w:pPr>
              <w:ind w:left="1860"/>
              <w:spacing w:after="0"/>
              <w:rPr>
                <w:sz w:val="20"/>
                <w:szCs w:val="20"/>
                <w:color w:val="auto"/>
              </w:rPr>
            </w:pPr>
            <w:r>
              <w:rPr>
                <w:rFonts w:ascii="Arial" w:cs="Arial" w:eastAsia="Arial" w:hAnsi="Arial"/>
                <w:sz w:val="18"/>
                <w:szCs w:val="18"/>
                <w:b w:val="1"/>
                <w:bCs w:val="1"/>
                <w:color w:val="auto"/>
              </w:rPr>
              <w:t>INDEX TO EXHIBITS</w:t>
            </w:r>
          </w:p>
        </w:tc>
      </w:tr>
      <w:tr>
        <w:trPr>
          <w:trHeight w:val="548"/>
        </w:trPr>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Number</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60" w:type="dxa"/>
            <w:vAlign w:val="bottom"/>
            <w:gridSpan w:val="23"/>
          </w:tcPr>
          <w:p>
            <w:pPr>
              <w:ind w:left="30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40" w:type="dxa"/>
            <w:vAlign w:val="bottom"/>
            <w:tcBorders>
              <w:bottom w:val="single" w:sz="8" w:color="0000FF"/>
            </w:tcBorders>
            <w:gridSpan w:val="22"/>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Amended and Restated Certificate of Incorporation of California Resources Corporation (incorporated herein by reference to Exhibit 3.1</w:t>
              </w:r>
            </w:hyperlink>
          </w:p>
        </w:tc>
        <w:tc>
          <w:tcPr>
            <w:tcW w:w="1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to the Registrant’s Current Report on Form 8-K (File. No. 001-36478) filed June 3, 2016).</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60" w:type="dxa"/>
            <w:vAlign w:val="bottom"/>
            <w:tcBorders>
              <w:bottom w:val="single" w:sz="8" w:color="0000FF"/>
            </w:tcBorders>
            <w:gridSpan w:val="18"/>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Amended and Restated Bylaws of California Resources Corporation (incorporated herein by reference to Exhibit 3.2 to the Registrant’s</w:t>
              </w:r>
            </w:hyperlink>
          </w:p>
        </w:tc>
        <w:tc>
          <w:tcPr>
            <w:tcW w:w="24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Current Report on Form 8-K (File No. 001-36478) filed on November 10, 2015).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California Resources Corporation Long-Term Incentive Plan, as amended and restated.</w:t>
            </w:r>
          </w:p>
        </w:tc>
        <w:tc>
          <w:tcPr>
            <w:tcW w:w="3740" w:type="dxa"/>
            <w:vAlign w:val="bottom"/>
            <w:gridSpan w:val="20"/>
          </w:tcPr>
          <w:p>
            <w:pPr>
              <w:spacing w:after="0"/>
              <w:rPr>
                <w:sz w:val="24"/>
                <w:szCs w:val="24"/>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tcBorders>
              <w:bottom w:val="single" w:sz="8" w:color="0000FF"/>
            </w:tcBorders>
            <w:gridSpan w:val="23"/>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Form of Nonstatutory Stock Option Award Terms and Conditions (incorporated herein by reference to Exhibit 10.6 to Amendment No. 3</w:t>
              </w:r>
            </w:hyperlink>
          </w:p>
        </w:tc>
        <w:tc>
          <w:tcPr>
            <w:tcW w:w="1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to the Registrant’s Registration Statement on Form 10 (File No. 001-36478) filed on September 22, 2014).</w:t>
              </w:r>
            </w:hyperlink>
          </w:p>
        </w:tc>
        <w:tc>
          <w:tcPr>
            <w:tcW w:w="2340" w:type="dxa"/>
            <w:vAlign w:val="bottom"/>
            <w:gridSpan w:val="17"/>
          </w:tcPr>
          <w:p>
            <w:pPr>
              <w:spacing w:after="0"/>
              <w:rPr>
                <w:sz w:val="17"/>
                <w:szCs w:val="17"/>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tcBorders>
              <w:bottom w:val="single" w:sz="8" w:color="0000FF"/>
            </w:tcBorders>
            <w:gridSpan w:val="20"/>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Form of Restricted Stock Incentive Award Terms and Conditions (Not Performance-Based) (incorporated herein by reference to Exhibit</w:t>
              </w:r>
            </w:hyperlink>
          </w:p>
        </w:tc>
        <w:tc>
          <w:tcPr>
            <w:tcW w:w="20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8</w:t>
              </w:r>
              <w:r>
                <w:rPr>
                  <w:rFonts w:ascii="Arial" w:cs="Arial" w:eastAsia="Arial" w:hAnsi="Arial"/>
                  <w:sz w:val="18"/>
                  <w:szCs w:val="18"/>
                  <w:color w:val="0000FF"/>
                  <w:w w:val="90"/>
                </w:rPr>
                <w:t xml:space="preserve"> to Amendment No. 3 to the Registrant’s Registration Statement on Form 10 (File No. 001-36478) filed on September 22, 2014).</w:t>
              </w:r>
            </w:hyperlink>
          </w:p>
        </w:tc>
        <w:tc>
          <w:tcPr>
            <w:tcW w:w="420" w:type="dxa"/>
            <w:vAlign w:val="bottom"/>
            <w:gridSpan w:val="9"/>
          </w:tcPr>
          <w:p>
            <w:pPr>
              <w:spacing w:after="0"/>
              <w:rPr>
                <w:sz w:val="17"/>
                <w:szCs w:val="17"/>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tcBorders>
              <w:bottom w:val="single" w:sz="8" w:color="0000FF"/>
            </w:tcBorders>
            <w:gridSpan w:val="23"/>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Form of Restricted Stock Unit Award for Non-Employee Directors Grant Agreement (incorporated herein by reference to Exhibit 10.9 to</w:t>
              </w:r>
            </w:hyperlink>
          </w:p>
        </w:tc>
        <w:tc>
          <w:tcPr>
            <w:tcW w:w="1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Amendment No. 3 to the Registrant’s Registration Statement on Form 10 (File No. 001-36478) filed on September 22, 2014).</w:t>
              </w:r>
            </w:hyperlink>
          </w:p>
        </w:tc>
        <w:tc>
          <w:tcPr>
            <w:tcW w:w="960" w:type="dxa"/>
            <w:vAlign w:val="bottom"/>
            <w:gridSpan w:val="14"/>
          </w:tcPr>
          <w:p>
            <w:pPr>
              <w:spacing w:after="0"/>
              <w:rPr>
                <w:sz w:val="17"/>
                <w:szCs w:val="17"/>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80" w:type="dxa"/>
            <w:vAlign w:val="bottom"/>
            <w:tcBorders>
              <w:bottom w:val="single" w:sz="8" w:color="0000FF"/>
            </w:tcBorders>
            <w:gridSpan w:val="19"/>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Form of Long-Term Incentive Award Terms and Conditions (Replacement Award) (incorporated herein by reference to Exhibit 10.10 to</w:t>
              </w:r>
            </w:hyperlink>
          </w:p>
        </w:tc>
        <w:tc>
          <w:tcPr>
            <w:tcW w:w="2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Amendment No. 3 to the Registrant’s Registration Statement on Form 10 (File No. 001-36478) filed on September 22, 2014).</w:t>
              </w:r>
            </w:hyperlink>
          </w:p>
        </w:tc>
        <w:tc>
          <w:tcPr>
            <w:tcW w:w="960" w:type="dxa"/>
            <w:vAlign w:val="bottom"/>
            <w:gridSpan w:val="14"/>
          </w:tcPr>
          <w:p>
            <w:pPr>
              <w:spacing w:after="0"/>
              <w:rPr>
                <w:sz w:val="17"/>
                <w:szCs w:val="17"/>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5"/>
              </w:rPr>
            </w:pPr>
            <w:hyperlink r:id="rId16">
              <w:r>
                <w:rPr>
                  <w:rFonts w:ascii="Arial" w:cs="Arial" w:eastAsia="Arial" w:hAnsi="Arial"/>
                  <w:sz w:val="18"/>
                  <w:szCs w:val="18"/>
                  <w:color w:val="0000FF"/>
                  <w:w w:val="95"/>
                </w:rPr>
                <w:t>Form of Restricted Stock Incentive Award Terms and Conditions (Replacement Award-Performance-Based) (incorporated herein by</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reference to Exhibit 10.11 to Amendment No. 3 to the Registrant’s Registration Statement on Form 10 (File No. 001-36478) filed on</w:t>
              </w:r>
            </w:hyperlink>
          </w:p>
        </w:tc>
        <w:tc>
          <w:tcPr>
            <w:tcW w:w="46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September 22, 2014).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Form of Restricted Stock Incentive Award Terms and Conditions (Replacement Award-Not Performance-Based) (incorporated herein by</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top w:val="single" w:sz="8" w:color="0000FF"/>
            </w:tcBorders>
            <w:gridSpan w:val="21"/>
          </w:tcPr>
          <w:p>
            <w:pPr>
              <w:spacing w:after="0" w:line="196"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reference to Exhibit 10.12 to Amendment No. 3 to the Registrant’s Registration Statement on Form 10 (File No. 001-36478) filed on</w:t>
              </w:r>
            </w:hyperlink>
          </w:p>
        </w:tc>
        <w:tc>
          <w:tcPr>
            <w:tcW w:w="1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September 22, 2014).</w:t>
              </w:r>
            </w:hyperlink>
          </w:p>
        </w:tc>
        <w:tc>
          <w:tcPr>
            <w:tcW w:w="460" w:type="dxa"/>
            <w:vAlign w:val="bottom"/>
            <w:gridSpan w:val="10"/>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00" w:type="dxa"/>
            <w:vAlign w:val="bottom"/>
            <w:tcBorders>
              <w:bottom w:val="single" w:sz="8" w:color="0000FF"/>
            </w:tcBorders>
            <w:gridSpan w:val="16"/>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Form of Phantom Share Unit Award Terms and Conditions (Replacement Award) (incorporated herein by reference to Exhibit 10.13 to</w:t>
              </w:r>
            </w:hyperlink>
          </w:p>
        </w:tc>
        <w:tc>
          <w:tcPr>
            <w:tcW w:w="30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Amendment No. 3 to the Registrant’s Information Statement on Form 10 (File No. 001-36478) filed on September 22, 2014).</w:t>
              </w:r>
            </w:hyperlink>
          </w:p>
        </w:tc>
        <w:tc>
          <w:tcPr>
            <w:tcW w:w="980" w:type="dxa"/>
            <w:vAlign w:val="bottom"/>
            <w:gridSpan w:val="15"/>
          </w:tcPr>
          <w:p>
            <w:pPr>
              <w:spacing w:after="0"/>
              <w:rPr>
                <w:sz w:val="17"/>
                <w:szCs w:val="17"/>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Form of Restricted Stock Incentive Award Terms and Conditions (Performance-Based) (incorporated herein by reference to Exhibit 10.1</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to the Registrant’s Current Report on Form 8-K (File No. 001-36478) filed on February 10, 2015).</w:t>
              </w:r>
            </w:hyperlink>
          </w:p>
        </w:tc>
        <w:tc>
          <w:tcPr>
            <w:tcW w:w="2740" w:type="dxa"/>
            <w:vAlign w:val="bottom"/>
            <w:tcBorders>
              <w:top w:val="single" w:sz="8" w:color="0000FF"/>
            </w:tcBorders>
            <w:gridSpan w:val="15"/>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3"/>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California Resources Corporation Long-Term Incentive Plan Nonstatutory Stock Option Award Terms and Conditions (incorporated</w:t>
              </w:r>
            </w:hyperlink>
          </w:p>
        </w:tc>
        <w:tc>
          <w:tcPr>
            <w:tcW w:w="4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herein by reference to Exhibit 10.4 to the Registrant’s Current Report on Form 10-Q (File No. 001-36478) filed on November 6, 2015).</w:t>
              </w:r>
            </w:hyperlink>
          </w:p>
        </w:tc>
        <w:tc>
          <w:tcPr>
            <w:tcW w:w="260" w:type="dxa"/>
            <w:vAlign w:val="bottom"/>
            <w:gridSpan w:val="7"/>
          </w:tcPr>
          <w:p>
            <w:pPr>
              <w:spacing w:after="0"/>
              <w:rPr>
                <w:sz w:val="17"/>
                <w:szCs w:val="17"/>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California Resources Corporation Long-Term Incentive Plan Restricted Stock Unit Award Terms and Conditions (incorporated herein by</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reference to Exhibit 10.3 to the Registrant’s Current Report Form 10-Q (File No. 001-36478) filed on November 6, 2015).</w:t>
              </w:r>
            </w:hyperlink>
          </w:p>
        </w:tc>
        <w:tc>
          <w:tcPr>
            <w:tcW w:w="1040" w:type="dxa"/>
            <w:vAlign w:val="bottom"/>
            <w:tcBorders>
              <w:top w:val="single" w:sz="8" w:color="0000FF"/>
            </w:tcBorders>
            <w:gridSpan w:val="14"/>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California Resources Corporation Long-Term Incentive Plan Performance Stock Unit Award Terms and Conditions (incorporated herein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tcBorders>
              <w:top w:val="single" w:sz="8" w:color="0000FF"/>
            </w:tcBorders>
            <w:gridSpan w:val="20"/>
          </w:tcPr>
          <w:p>
            <w:pPr>
              <w:spacing w:after="0" w:line="196" w:lineRule="exact"/>
              <w:rPr>
                <w:rFonts w:ascii="Arial" w:cs="Arial" w:eastAsia="Arial" w:hAnsi="Arial"/>
                <w:sz w:val="18"/>
                <w:szCs w:val="18"/>
                <w:color w:val="0000FF"/>
                <w:w w:val="97"/>
              </w:rPr>
            </w:pPr>
            <w:hyperlink r:id="rId22">
              <w:r>
                <w:rPr>
                  <w:rFonts w:ascii="Arial" w:cs="Arial" w:eastAsia="Arial" w:hAnsi="Arial"/>
                  <w:sz w:val="18"/>
                  <w:szCs w:val="18"/>
                  <w:color w:val="0000FF"/>
                  <w:w w:val="97"/>
                </w:rPr>
                <w:t>by reference to Exhibit 10.2 to the Registrant’s Current Report on Form 10-Q (File No. 001-36478) filed on November 6, 2015).</w:t>
              </w:r>
            </w:hyperlink>
          </w:p>
        </w:tc>
        <w:tc>
          <w:tcPr>
            <w:tcW w:w="20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gridSpan w:val="2"/>
            <w:shd w:val="clear" w:color="auto" w:fill="0000FF"/>
          </w:tcPr>
          <w:p>
            <w:pPr>
              <w:spacing w:after="0" w:line="20" w:lineRule="exact"/>
              <w:rPr>
                <w:sz w:val="1"/>
                <w:szCs w:val="1"/>
                <w:color w:val="auto"/>
              </w:rPr>
            </w:pPr>
          </w:p>
        </w:tc>
        <w:tc>
          <w:tcPr>
            <w:tcW w:w="3520" w:type="dxa"/>
            <w:vAlign w:val="bottom"/>
            <w:gridSpan w:val="9"/>
            <w:shd w:val="clear" w:color="auto" w:fill="0000FF"/>
          </w:tcPr>
          <w:p>
            <w:pPr>
              <w:spacing w:after="0" w:line="20" w:lineRule="exact"/>
              <w:rPr>
                <w:sz w:val="1"/>
                <w:szCs w:val="1"/>
                <w:color w:val="auto"/>
              </w:rPr>
            </w:pPr>
          </w:p>
        </w:tc>
        <w:tc>
          <w:tcPr>
            <w:tcW w:w="760" w:type="dxa"/>
            <w:vAlign w:val="bottom"/>
            <w:gridSpan w:val="13"/>
          </w:tcPr>
          <w:p>
            <w:pPr>
              <w:spacing w:after="0" w:line="20" w:lineRule="exact"/>
              <w:rPr>
                <w:sz w:val="1"/>
                <w:szCs w:val="1"/>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8"/>
              </w:rPr>
            </w:pPr>
            <w:hyperlink r:id="rId23">
              <w:r>
                <w:rPr>
                  <w:rFonts w:ascii="Arial" w:cs="Arial" w:eastAsia="Arial" w:hAnsi="Arial"/>
                  <w:sz w:val="18"/>
                  <w:szCs w:val="18"/>
                  <w:color w:val="0000FF"/>
                  <w:w w:val="98"/>
                </w:rPr>
                <w:t>Form of Restricted Stock Unit Award Terms and Conditions (incorporated herein by reference to Exhibit 10.6 to the Registrant’s</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Quarterly Report on Form 10-Q (File No. 001-36478) filed on August 4, 2016).</w:t>
              </w:r>
            </w:hyperlink>
          </w:p>
        </w:tc>
        <w:tc>
          <w:tcPr>
            <w:tcW w:w="760" w:type="dxa"/>
            <w:vAlign w:val="bottom"/>
            <w:gridSpan w:val="1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ind w:left="80"/>
        <w:spacing w:after="0"/>
        <w:tabs>
          <w:tab w:leader="none" w:pos="598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760" w:right="399" w:bottom="1440" w:gutter="0" w:footer="0" w:header="0"/>
        </w:sect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4.16</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4.17</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4.18</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4.19</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4.20</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4.21</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right="200"/>
        <w:spacing w:after="0" w:line="277" w:lineRule="auto"/>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Form of Nonstatutory Stock Option Award Terms and Conditions (incorporated herein by reference to Exhibit 10.5 to the Registrant’s</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Quarterly Report on Form 10-Q (File No. 001-36478) filed on November 3, 2016).</w:t>
        </w:r>
      </w:hyperlink>
    </w:p>
    <w:p>
      <w:pPr>
        <w:spacing w:after="0" w:line="279" w:lineRule="exact"/>
        <w:rPr>
          <w:sz w:val="20"/>
          <w:szCs w:val="20"/>
          <w:color w:val="auto"/>
        </w:rPr>
      </w:pPr>
    </w:p>
    <w:p>
      <w:pPr>
        <w:ind w:right="500"/>
        <w:spacing w:after="0" w:line="277" w:lineRule="auto"/>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Form of Performance Incentive Award Terms and Conditions (incorporated herein by reference to Exhibit 10.6 to the Registrant’s</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Quarterly Report on Form 10-Q (File No. 001-36478) filed on November 3, 2016).</w:t>
        </w:r>
      </w:hyperlink>
    </w:p>
    <w:p>
      <w:pPr>
        <w:spacing w:after="0" w:line="279" w:lineRule="exact"/>
        <w:rPr>
          <w:sz w:val="20"/>
          <w:szCs w:val="20"/>
          <w:color w:val="auto"/>
        </w:rPr>
      </w:pPr>
    </w:p>
    <w:p>
      <w:pPr>
        <w:ind w:right="700"/>
        <w:spacing w:after="0" w:line="277" w:lineRule="auto"/>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Form of 2018 Nonstatutory Stock Option Award Terms and Conditions (incorporated herein by reference to Exhibit 10.1 to the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Registrant’s Quarterly Report on Form 10-Q (File No. 001-36478) filed on May 9, 2018).</w:t>
        </w:r>
      </w:hyperlink>
    </w:p>
    <w:p>
      <w:pPr>
        <w:spacing w:after="0" w:line="170" w:lineRule="exact"/>
        <w:rPr>
          <w:sz w:val="20"/>
          <w:szCs w:val="20"/>
          <w:color w:val="auto"/>
        </w:rPr>
      </w:pPr>
    </w:p>
    <w:p>
      <w:pPr>
        <w:ind w:right="180"/>
        <w:spacing w:after="0" w:line="277" w:lineRule="auto"/>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Form of 2018 Restricted Stock Unit Award Terms and Conditions (incorporated herein by reference to Exhibit 10.2 to the Registrant’s</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Quarterly Report on Form 10-Q (File No. 001-36478) filed on May 9, 2018).</w:t>
        </w:r>
      </w:hyperlink>
    </w:p>
    <w:p>
      <w:pPr>
        <w:spacing w:after="0" w:line="170" w:lineRule="exact"/>
        <w:rPr>
          <w:sz w:val="20"/>
          <w:szCs w:val="20"/>
          <w:color w:val="auto"/>
        </w:rPr>
      </w:pPr>
    </w:p>
    <w:p>
      <w:pPr>
        <w:spacing w:after="0" w:line="277"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Form of 2018 Performance Stock Unit Award Terms and Conditions (incorporated herein by reference to Exhibit 10.3 to the Registrant’s</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Quarterly Report on Form 10-Q (File No. 001-36478) filed on May 9, 2018).</w:t>
        </w:r>
      </w:hyperlink>
    </w:p>
    <w:p>
      <w:pPr>
        <w:spacing w:after="0" w:line="279" w:lineRule="exact"/>
        <w:rPr>
          <w:sz w:val="20"/>
          <w:szCs w:val="20"/>
          <w:color w:val="auto"/>
        </w:rPr>
      </w:pPr>
    </w:p>
    <w:p>
      <w:pPr>
        <w:ind w:right="700"/>
        <w:spacing w:after="0" w:line="277"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Form of 2019 Nonstatutory Stock Option Award Terms and Conditions (incorporated herein by reference to Exhibit 10.1 to the</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Registrant’s Quarterly Report on Form 10-Q (File No. 001-36478) filed on May 2, 2019).</w:t>
        </w:r>
      </w:hyperlink>
    </w:p>
    <w:p>
      <w:pPr>
        <w:spacing w:after="0" w:line="153" w:lineRule="exact"/>
        <w:rPr>
          <w:sz w:val="20"/>
          <w:szCs w:val="20"/>
          <w:color w:val="auto"/>
        </w:rPr>
      </w:pPr>
    </w:p>
    <w:p>
      <w:pPr>
        <w:sectPr>
          <w:pgSz w:w="11900" w:h="16838" w:orient="portrait"/>
          <w:cols w:equalWidth="0" w:num="2">
            <w:col w:w="700" w:space="720"/>
            <w:col w:w="9840"/>
          </w:cols>
          <w:pgMar w:left="240" w:top="760" w:right="3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40"/>
              <w:spacing w:after="0"/>
              <w:rPr>
                <w:sz w:val="20"/>
                <w:szCs w:val="20"/>
                <w:color w:val="auto"/>
              </w:rPr>
            </w:pPr>
            <w:r>
              <w:rPr>
                <w:rFonts w:ascii="Arial" w:cs="Arial" w:eastAsia="Arial" w:hAnsi="Arial"/>
                <w:sz w:val="18"/>
                <w:szCs w:val="18"/>
                <w:color w:val="auto"/>
              </w:rPr>
              <w:t>4.22</w:t>
            </w:r>
          </w:p>
        </w:tc>
        <w:tc>
          <w:tcPr>
            <w:tcW w:w="9660" w:type="dxa"/>
            <w:vAlign w:val="bottom"/>
            <w:tcBorders>
              <w:bottom w:val="single" w:sz="8" w:color="0000FF"/>
            </w:tcBorders>
            <w:gridSpan w:val="8"/>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Form of 2019 Restricted Stock Unit Award Terms and Conditions (incorporated herein by reference to Exhibit 10.2 to the Registrant’s</w:t>
              </w:r>
            </w:hyperlink>
          </w:p>
        </w:tc>
        <w:tc>
          <w:tcPr>
            <w:tcW w:w="18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5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Quarterly Report on Form 10-Q (File No. 001-36478) filed on May 2, 2019).</w:t>
              </w:r>
            </w:hyperlink>
          </w:p>
        </w:tc>
        <w:tc>
          <w:tcPr>
            <w:tcW w:w="4280" w:type="dxa"/>
            <w:vAlign w:val="bottom"/>
            <w:gridSpan w:val="4"/>
          </w:tcPr>
          <w:p>
            <w:pPr>
              <w:spacing w:after="0"/>
              <w:rPr>
                <w:sz w:val="17"/>
                <w:szCs w:val="17"/>
                <w:color w:val="auto"/>
              </w:rPr>
            </w:pPr>
          </w:p>
        </w:tc>
      </w:tr>
      <w:tr>
        <w:trPr>
          <w:trHeight w:val="412"/>
        </w:trPr>
        <w:tc>
          <w:tcPr>
            <w:tcW w:w="1420" w:type="dxa"/>
            <w:vAlign w:val="bottom"/>
          </w:tcPr>
          <w:p>
            <w:pPr>
              <w:ind w:left="40"/>
              <w:spacing w:after="0"/>
              <w:rPr>
                <w:sz w:val="20"/>
                <w:szCs w:val="20"/>
                <w:color w:val="auto"/>
              </w:rPr>
            </w:pPr>
            <w:r>
              <w:rPr>
                <w:rFonts w:ascii="Arial" w:cs="Arial" w:eastAsia="Arial" w:hAnsi="Arial"/>
                <w:sz w:val="18"/>
                <w:szCs w:val="18"/>
                <w:color w:val="auto"/>
              </w:rPr>
              <w:t>4.23</w:t>
            </w:r>
          </w:p>
        </w:tc>
        <w:tc>
          <w:tcPr>
            <w:tcW w:w="9840" w:type="dxa"/>
            <w:vAlign w:val="bottom"/>
            <w:tcBorders>
              <w:bottom w:val="single" w:sz="8" w:color="0000FF"/>
            </w:tcBorders>
            <w:gridSpan w:val="9"/>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Form of 2019 Performance Stock Unit Award Terms and Conditions (incorporated herein by reference to Exhibit 10.3 to the Registrant’s</w:t>
              </w:r>
            </w:hyperlink>
          </w:p>
        </w:tc>
      </w:tr>
      <w:tr>
        <w:trPr>
          <w:trHeight w:val="196"/>
        </w:trPr>
        <w:tc>
          <w:tcPr>
            <w:tcW w:w="1420" w:type="dxa"/>
            <w:vAlign w:val="bottom"/>
          </w:tcPr>
          <w:p>
            <w:pPr>
              <w:spacing w:after="0"/>
              <w:rPr>
                <w:sz w:val="17"/>
                <w:szCs w:val="17"/>
                <w:color w:val="auto"/>
              </w:rPr>
            </w:pPr>
          </w:p>
        </w:tc>
        <w:tc>
          <w:tcPr>
            <w:tcW w:w="55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Quarterly Report on Form 10-Q (File No. 001-36478) filed on May 2, 2019).</w:t>
              </w:r>
            </w:hyperlink>
          </w:p>
        </w:tc>
        <w:tc>
          <w:tcPr>
            <w:tcW w:w="4300" w:type="dxa"/>
            <w:vAlign w:val="bottom"/>
            <w:gridSpan w:val="5"/>
          </w:tcPr>
          <w:p>
            <w:pPr>
              <w:spacing w:after="0"/>
              <w:rPr>
                <w:sz w:val="17"/>
                <w:szCs w:val="17"/>
                <w:color w:val="auto"/>
              </w:rPr>
            </w:pPr>
          </w:p>
        </w:tc>
      </w:tr>
      <w:tr>
        <w:trPr>
          <w:trHeight w:val="412"/>
        </w:trPr>
        <w:tc>
          <w:tcPr>
            <w:tcW w:w="1420" w:type="dxa"/>
            <w:vAlign w:val="bottom"/>
          </w:tcPr>
          <w:p>
            <w:pPr>
              <w:ind w:left="40"/>
              <w:spacing w:after="0"/>
              <w:rPr>
                <w:sz w:val="20"/>
                <w:szCs w:val="20"/>
                <w:color w:val="auto"/>
              </w:rPr>
            </w:pPr>
            <w:r>
              <w:rPr>
                <w:rFonts w:ascii="Arial" w:cs="Arial" w:eastAsia="Arial" w:hAnsi="Arial"/>
                <w:sz w:val="18"/>
                <w:szCs w:val="18"/>
                <w:color w:val="auto"/>
              </w:rPr>
              <w:t>5.1*</w:t>
            </w:r>
          </w:p>
        </w:tc>
        <w:tc>
          <w:tcPr>
            <w:tcW w:w="9840" w:type="dxa"/>
            <w:vAlign w:val="bottom"/>
            <w:gridSpan w:val="9"/>
          </w:tcPr>
          <w:p>
            <w:pPr>
              <w:spacing w:after="0"/>
              <w:rPr>
                <w:sz w:val="20"/>
                <w:szCs w:val="20"/>
                <w:color w:val="auto"/>
              </w:rPr>
            </w:pPr>
            <w:r>
              <w:rPr>
                <w:rFonts w:ascii="Arial" w:cs="Arial" w:eastAsia="Arial" w:hAnsi="Arial"/>
                <w:sz w:val="18"/>
                <w:szCs w:val="18"/>
                <w:color w:val="0000FF"/>
              </w:rPr>
              <w:t>Opinion of Vinson &amp; Elkins L.L.P.</w:t>
            </w:r>
          </w:p>
        </w:tc>
      </w:tr>
      <w:tr>
        <w:trPr>
          <w:trHeight w:val="412"/>
        </w:trPr>
        <w:tc>
          <w:tcPr>
            <w:tcW w:w="1420" w:type="dxa"/>
            <w:vAlign w:val="bottom"/>
          </w:tcPr>
          <w:p>
            <w:pPr>
              <w:ind w:left="40"/>
              <w:spacing w:after="0"/>
              <w:rPr>
                <w:sz w:val="20"/>
                <w:szCs w:val="20"/>
                <w:color w:val="auto"/>
              </w:rPr>
            </w:pPr>
            <w:r>
              <w:rPr>
                <w:rFonts w:ascii="Arial" w:cs="Arial" w:eastAsia="Arial" w:hAnsi="Arial"/>
                <w:sz w:val="18"/>
                <w:szCs w:val="18"/>
                <w:color w:val="auto"/>
              </w:rPr>
              <w:t>23.1*</w:t>
            </w:r>
          </w:p>
        </w:tc>
        <w:tc>
          <w:tcPr>
            <w:tcW w:w="25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Consent of KPMG LLP</w:t>
            </w:r>
          </w:p>
        </w:tc>
        <w:tc>
          <w:tcPr>
            <w:tcW w:w="7340" w:type="dxa"/>
            <w:vAlign w:val="bottom"/>
            <w:gridSpan w:val="7"/>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r>
      <w:tr>
        <w:trPr>
          <w:trHeight w:val="412"/>
        </w:trPr>
        <w:tc>
          <w:tcPr>
            <w:tcW w:w="1420" w:type="dxa"/>
            <w:vAlign w:val="bottom"/>
          </w:tcPr>
          <w:p>
            <w:pPr>
              <w:ind w:left="40"/>
              <w:spacing w:after="0"/>
              <w:rPr>
                <w:sz w:val="20"/>
                <w:szCs w:val="20"/>
                <w:color w:val="auto"/>
              </w:rPr>
            </w:pPr>
            <w:r>
              <w:rPr>
                <w:rFonts w:ascii="Arial" w:cs="Arial" w:eastAsia="Arial" w:hAnsi="Arial"/>
                <w:sz w:val="18"/>
                <w:szCs w:val="18"/>
                <w:color w:val="auto"/>
              </w:rPr>
              <w:t>23.2*</w:t>
            </w:r>
          </w:p>
        </w:tc>
        <w:tc>
          <w:tcPr>
            <w:tcW w:w="27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Consent of Ryder Scott Company, L.P.</w:t>
            </w:r>
          </w:p>
        </w:tc>
        <w:tc>
          <w:tcPr>
            <w:tcW w:w="7060" w:type="dxa"/>
            <w:vAlign w:val="bottom"/>
            <w:gridSpan w:val="6"/>
          </w:tcPr>
          <w:p>
            <w:pPr>
              <w:spacing w:after="0"/>
              <w:rPr>
                <w:sz w:val="24"/>
                <w:szCs w:val="24"/>
                <w:color w:val="auto"/>
              </w:rPr>
            </w:pPr>
          </w:p>
        </w:tc>
      </w:tr>
      <w:tr>
        <w:trPr>
          <w:trHeight w:val="412"/>
        </w:trPr>
        <w:tc>
          <w:tcPr>
            <w:tcW w:w="1420" w:type="dxa"/>
            <w:vAlign w:val="bottom"/>
          </w:tcPr>
          <w:p>
            <w:pPr>
              <w:ind w:left="40"/>
              <w:spacing w:after="0"/>
              <w:rPr>
                <w:sz w:val="20"/>
                <w:szCs w:val="20"/>
                <w:color w:val="auto"/>
              </w:rPr>
            </w:pPr>
            <w:r>
              <w:rPr>
                <w:rFonts w:ascii="Arial" w:cs="Arial" w:eastAsia="Arial" w:hAnsi="Arial"/>
                <w:sz w:val="18"/>
                <w:szCs w:val="18"/>
                <w:color w:val="auto"/>
              </w:rPr>
              <w:t>23.3*</w:t>
            </w:r>
          </w:p>
        </w:tc>
        <w:tc>
          <w:tcPr>
            <w:tcW w:w="65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Consent of Vinson &amp; Elkins L.L.P. (contained in Exhibit 5.1 to this registration statement).</w:t>
            </w:r>
          </w:p>
        </w:tc>
        <w:tc>
          <w:tcPr>
            <w:tcW w:w="3300" w:type="dxa"/>
            <w:vAlign w:val="bottom"/>
            <w:gridSpan w:val="2"/>
          </w:tcPr>
          <w:p>
            <w:pPr>
              <w:spacing w:after="0"/>
              <w:rPr>
                <w:sz w:val="24"/>
                <w:szCs w:val="24"/>
                <w:color w:val="auto"/>
              </w:rPr>
            </w:pPr>
          </w:p>
        </w:tc>
      </w:tr>
      <w:tr>
        <w:trPr>
          <w:trHeight w:val="412"/>
        </w:trPr>
        <w:tc>
          <w:tcPr>
            <w:tcW w:w="1420" w:type="dxa"/>
            <w:vAlign w:val="bottom"/>
          </w:tcPr>
          <w:p>
            <w:pPr>
              <w:ind w:left="40"/>
              <w:spacing w:after="0"/>
              <w:rPr>
                <w:sz w:val="20"/>
                <w:szCs w:val="20"/>
                <w:color w:val="auto"/>
              </w:rPr>
            </w:pPr>
            <w:r>
              <w:rPr>
                <w:rFonts w:ascii="Arial" w:cs="Arial" w:eastAsia="Arial" w:hAnsi="Arial"/>
                <w:sz w:val="18"/>
                <w:szCs w:val="18"/>
                <w:color w:val="auto"/>
              </w:rPr>
              <w:t>24.1*</w:t>
            </w:r>
          </w:p>
        </w:tc>
        <w:tc>
          <w:tcPr>
            <w:tcW w:w="984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Power of Attorney (included in the signature page of this registration statement).</w:t>
              </w:r>
            </w:hyperlink>
          </w:p>
        </w:tc>
      </w:tr>
      <w:tr>
        <w:trPr>
          <w:trHeight w:val="258"/>
        </w:trPr>
        <w:tc>
          <w:tcPr>
            <w:tcW w:w="1420" w:type="dxa"/>
            <w:vAlign w:val="bottom"/>
          </w:tcPr>
          <w:p>
            <w:pPr>
              <w:spacing w:after="0"/>
              <w:rPr>
                <w:sz w:val="20"/>
                <w:szCs w:val="20"/>
                <w:color w:val="auto"/>
              </w:rPr>
            </w:pPr>
            <w:r>
              <w:rPr>
                <w:rFonts w:ascii="Arial" w:cs="Arial" w:eastAsia="Arial" w:hAnsi="Arial"/>
                <w:sz w:val="16"/>
                <w:szCs w:val="16"/>
                <w:color w:val="auto"/>
              </w:rPr>
              <w:t>_____________</w:t>
            </w:r>
          </w:p>
        </w:tc>
        <w:tc>
          <w:tcPr>
            <w:tcW w:w="1700" w:type="dxa"/>
            <w:vAlign w:val="bottom"/>
            <w:tcBorders>
              <w:top w:val="single" w:sz="8" w:color="0000EE"/>
            </w:tcBorders>
          </w:tcPr>
          <w:p>
            <w:pPr>
              <w:spacing w:after="0"/>
              <w:rPr>
                <w:sz w:val="22"/>
                <w:szCs w:val="22"/>
                <w:color w:val="auto"/>
              </w:rPr>
            </w:pPr>
          </w:p>
        </w:tc>
        <w:tc>
          <w:tcPr>
            <w:tcW w:w="8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27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7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80" w:type="dxa"/>
            <w:vAlign w:val="bottom"/>
          </w:tcPr>
          <w:p>
            <w:pPr>
              <w:spacing w:after="0"/>
              <w:rPr>
                <w:sz w:val="22"/>
                <w:szCs w:val="22"/>
                <w:color w:val="auto"/>
              </w:rPr>
            </w:pPr>
          </w:p>
        </w:tc>
      </w:tr>
    </w:tbl>
    <w:p>
      <w:pPr>
        <w:spacing w:after="0" w:line="3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Filed herewith.</w:t>
      </w:r>
    </w:p>
    <w:p>
      <w:pPr>
        <w:sectPr>
          <w:pgSz w:w="11900" w:h="16838" w:orient="portrait"/>
          <w:cols w:equalWidth="0" w:num="1">
            <w:col w:w="11260"/>
          </w:cols>
          <w:pgMar w:left="240" w:top="760" w:right="39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4.3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RESOURCES CORPORATION LONG-TERM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as of May 8, 2019)</w:t>
      </w:r>
    </w:p>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PURPOSE; PRIOR PLAN</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purposes of this Plan are (i) to furnish a significant incentive to the employees, consultants and non-employee Directors of the Company and its Affiliates by making available to them the benefits of increased ownership of Shares, (ii) to promote the alignment of the interests of employees, consultants and non-employee Directors of the Company and its Affiliates on the one hand and stockholders on the other hand and (iii) to assist in the recruitment and retention of employees, consultants and non-employee Directors of the Company and its Affiliates.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as set forth herein constitutes an amendment and restatement of the Company’s Long-Term Incentive Plan as in effect immediately prior to the Effective Date (the “</w:t>
      </w:r>
      <w:r>
        <w:rPr>
          <w:rFonts w:ascii="Arial" w:cs="Arial" w:eastAsia="Arial" w:hAnsi="Arial"/>
          <w:sz w:val="18"/>
          <w:szCs w:val="18"/>
          <w:b w:val="1"/>
          <w:bCs w:val="1"/>
          <w:color w:val="auto"/>
        </w:rPr>
        <w:t>Prior Plan</w:t>
      </w:r>
      <w:r>
        <w:rPr>
          <w:rFonts w:ascii="Arial" w:cs="Arial" w:eastAsia="Arial" w:hAnsi="Arial"/>
          <w:sz w:val="18"/>
          <w:szCs w:val="18"/>
          <w:color w:val="auto"/>
        </w:rPr>
        <w:t>”). This Plan shall supersede and replace in its entirety the Prior Plan; provided, however, that, notwithstanding any provisions herein to the contrary, except for the provisions of Section 3.1 and for the required composition of the Committee, each award granted under the Prior Plan prior to the Effective Date shall be subject to the terms and provisions applicable to such award under the Prior Plan as in effect immediately prior to the Effective Date.</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DEFINITIONS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corporation, partnership, limited liability company or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percent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a merger, consolidation, or other reorganization, with or into, or the sale of all or substantially all of the Company’s business and/or assets as an entirety to, one or more entities that are not Affiliates.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unless provided otherwise in an award agreement, the occurrence of any of the following events:</w:t>
      </w:r>
    </w:p>
    <w:p>
      <w:pPr>
        <w:spacing w:after="0" w:line="175" w:lineRule="exact"/>
        <w:rPr>
          <w:sz w:val="20"/>
          <w:szCs w:val="20"/>
          <w:color w:val="auto"/>
        </w:rPr>
      </w:pPr>
    </w:p>
    <w:p>
      <w:pPr>
        <w:ind w:left="660" w:hanging="4"/>
        <w:spacing w:after="0" w:line="277" w:lineRule="auto"/>
        <w:tabs>
          <w:tab w:leader="none" w:pos="1066"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by the stockholders of the Company of the dissolution or liquidation of the Company, other than in the context of a transaction that does not constitute a Change in Control under clause (b) below;</w:t>
      </w:r>
    </w:p>
    <w:p>
      <w:pPr>
        <w:spacing w:after="0" w:line="116" w:lineRule="exact"/>
        <w:rPr>
          <w:rFonts w:ascii="Arial" w:cs="Arial" w:eastAsia="Arial" w:hAnsi="Arial"/>
          <w:sz w:val="18"/>
          <w:szCs w:val="18"/>
          <w:color w:val="auto"/>
        </w:rPr>
      </w:pPr>
    </w:p>
    <w:p>
      <w:pPr>
        <w:jc w:val="both"/>
        <w:ind w:left="660" w:hanging="4"/>
        <w:spacing w:after="0" w:line="271" w:lineRule="auto"/>
        <w:tabs>
          <w:tab w:leader="none" w:pos="1069"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Consummation of a Business Combination, unless (1) as a result of the Business Combination, more than 50 percent of the outstanding voting power of the Successor Entity immediately after the reorganization is, or will be, owned, directly or indirectly, by persons who were holders of the Company’s voting securities immediately before the Business Combination; (2) no “person” (as such term is used in Sections 13(d) and 14(d) of the Exchange Act), excluding the Successor Entity or an Excluded Person, beneficially owns, directly or indirectly, more than 30 percent of the outstanding shares or the combined voting power of the outstanding voting securities of the Successor Entity, after giving effect to the Business Combination, except to the extent that such ownership existed prior to the Business Combination; and (3) at least 50 percent of the members of the board of directors of the entity resulting from the Business Combination were Directors at the time of the execution of the initial agreement or of the action of the Board approving the Business Combination;</w:t>
      </w:r>
    </w:p>
    <w:p>
      <w:pPr>
        <w:sectPr>
          <w:pgSz w:w="11900" w:h="16838" w:orient="portrait"/>
          <w:cols w:equalWidth="0" w:num="1">
            <w:col w:w="11420"/>
          </w:cols>
          <w:pgMar w:left="240" w:top="576" w:right="239" w:bottom="1440" w:gutter="0" w:footer="0" w:header="0"/>
        </w:sectPr>
      </w:pPr>
    </w:p>
    <w:bookmarkStart w:id="7" w:name="page8"/>
    <w:bookmarkEnd w:id="7"/>
    <w:p>
      <w:pPr>
        <w:jc w:val="both"/>
        <w:ind w:left="660" w:hanging="4"/>
        <w:spacing w:after="0" w:line="257"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but excluding any Excluded Person) is or becomes the beneficial owner (as defined in Rule 13d-3 under the Exchange Act), directly or indirectly, of securities of the Company representing 30 percent or more of the combined voting power of the Company’s then outstanding voting securities, other than as a result of (1) an acquisition directly from the Company; (2) an acquisition by the Company; or (3) an acquisition by any employee benefit plan (or related trust) sponsored or maintained by the Company or a Successor Entity; or</w:t>
      </w:r>
    </w:p>
    <w:p>
      <w:pPr>
        <w:spacing w:after="0" w:line="134" w:lineRule="exact"/>
        <w:rPr>
          <w:rFonts w:ascii="Arial" w:cs="Arial" w:eastAsia="Arial" w:hAnsi="Arial"/>
          <w:sz w:val="18"/>
          <w:szCs w:val="18"/>
          <w:color w:val="auto"/>
        </w:rPr>
      </w:pPr>
    </w:p>
    <w:p>
      <w:pPr>
        <w:jc w:val="both"/>
        <w:ind w:left="660" w:hanging="4"/>
        <w:spacing w:after="0" w:line="293" w:lineRule="auto"/>
        <w:tabs>
          <w:tab w:leader="none" w:pos="1092"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any period not longer than two consecutive years and beginning no earlier than October 6, 2014, individuals who at the beginning of such period constituted the Board cease to constitute at least a majority thereof, unless the election, or the nomination for election by the Company’s stockholders, of each new Director was approved by a vote of at least two-thirds (2/3) of the Directors then still in office who were Directors at the beginning of such period (including for these purposes, new members whose election or nomination was so approved),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(i) if a Change in Control constitutes a payment event with respect to any award that provides for the deferral of compensation and is subject to the Nonqualified Deferred Compensation Rules, then the transaction or event described in subsection (a), (b), (c) or (d) above with respect to such award must also constitute a “change in control event,” as defined in Treasury Regulation Section 1.409A-3(i)(5), and as relates to the holder of such award, to the extent required to comply with the Nonqualified Deferred Compensation Rules and (ii) in no event shall the separation of the Company from Occidental Petroleum Corporation and its Affiliates be a Change in Control.</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committee appointed by the Board to administer this Plan, which shall be composed of not less than two members of the Board, each of whom shall be (i) a “non-employee director” within the meaning of Rule 16b-3 and (ii) for so long as any award remains outstanding under the Prior Plan that could qualify for the written binding contract exception set forth in Section 13601(e)(2) of Public Law 115-97 (commonly referred to as the Tax Cuts and Jobs Act), an “outside director” within the meaning of Section 162(m).</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California Resources Corporation, a Delaware corporation.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who is not an employee of the Company or an Affiliate.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permanent and total disability as defined in Section 22(e)(3) of the Code.</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May 8, 2019, which is the date on which this amendment and restatement was approved by the stockholders of the Company.</w:t>
      </w:r>
    </w:p>
    <w:p>
      <w:pPr>
        <w:spacing w:after="0" w:line="10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Person</w:t>
      </w:r>
      <w:r>
        <w:rPr>
          <w:rFonts w:ascii="Arial" w:cs="Arial" w:eastAsia="Arial" w:hAnsi="Arial"/>
          <w:sz w:val="18"/>
          <w:szCs w:val="18"/>
          <w:color w:val="auto"/>
        </w:rPr>
        <w:t>” means any person who is an officer, employee or consultant of the Company or any Affiliate and any person who is a non-employee Director; provided, however that an ISO may be granted only to an individual who is employed by the Company or any “parent corporation” or “subsidiary corporation” (as such terms are defined in Section 424 of the Code) of the Company at the time the ISO is granted.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Person</w:t>
      </w:r>
      <w:r>
        <w:rPr>
          <w:rFonts w:ascii="Arial" w:cs="Arial" w:eastAsia="Arial" w:hAnsi="Arial"/>
          <w:sz w:val="18"/>
          <w:szCs w:val="18"/>
          <w:color w:val="auto"/>
        </w:rPr>
        <w:t>” means any employee benefit plan of the Company and any trustee or other fiduciary holding securities under a Company employee benefit plan or any person described in and satisfying the conditions of Rule 13d-1(b)(i) of the Exchange Act.</w:t>
      </w:r>
    </w:p>
    <w:p>
      <w:pPr>
        <w:spacing w:after="0" w:line="10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as of any specified date, the closing price of a Share, if the Shares are listed on a national stock exchange registered under Section 6(a) of the Exchange Act, reported on the stock exchange composite tape on that date (or such other reporting service approved by the Committee); or, if no closing price is reported on that date, on the last preceding date on which such closing price of the Share is so reported. If the Shares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302" w:lineRule="auto"/>
        <w:rPr>
          <w:sz w:val="20"/>
          <w:szCs w:val="20"/>
          <w:color w:val="auto"/>
        </w:rPr>
      </w:pPr>
      <w:r>
        <w:rPr>
          <w:rFonts w:ascii="Arial" w:cs="Arial" w:eastAsia="Arial" w:hAnsi="Arial"/>
          <w:sz w:val="16"/>
          <w:szCs w:val="16"/>
          <w:color w:val="auto"/>
        </w:rPr>
        <w:t>are traded over the counter at the time a determination of its fair market value is required to be made hereunder, its fair market value shall be deemed to be equal to the average between the reported high and low or closing bid and asked prices of a Share on the most recent date on which Shares were publicly traded. In the event Shares are not publicly traded at the time a determination of its value is required to be made hereunder, the determination of its fair market value shall be made by the Committee in such manner as it deems appropriate and as is consistent with the requirements of Section 409A of the Code.</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Five Percent Basket</w:t>
      </w:r>
      <w:r>
        <w:rPr>
          <w:rFonts w:ascii="Arial" w:cs="Arial" w:eastAsia="Arial" w:hAnsi="Arial"/>
          <w:sz w:val="18"/>
          <w:szCs w:val="18"/>
          <w:color w:val="auto"/>
        </w:rPr>
        <w:t>” has the meaning set forth in Section 5.5.</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ISO</w:t>
      </w:r>
      <w:r>
        <w:rPr>
          <w:rFonts w:ascii="Arial" w:cs="Arial" w:eastAsia="Arial" w:hAnsi="Arial"/>
          <w:sz w:val="18"/>
          <w:szCs w:val="18"/>
          <w:color w:val="auto"/>
        </w:rPr>
        <w:t>” means an incentive stock option qualified under Section 422 of the Code.</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Deferred Compensation Rules</w:t>
      </w:r>
      <w:r>
        <w:rPr>
          <w:rFonts w:ascii="Arial" w:cs="Arial" w:eastAsia="Arial" w:hAnsi="Arial"/>
          <w:sz w:val="18"/>
          <w:szCs w:val="18"/>
          <w:color w:val="auto"/>
        </w:rPr>
        <w:t>” means the limitations or requirements of Section 409A of the Code and the guidance and regulations promulgated thereunder.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Performance-Based Award</w:t>
      </w:r>
      <w:r>
        <w:rPr>
          <w:rFonts w:ascii="Arial" w:cs="Arial" w:eastAsia="Arial" w:hAnsi="Arial"/>
          <w:sz w:val="18"/>
          <w:szCs w:val="18"/>
          <w:color w:val="auto"/>
        </w:rPr>
        <w:t>” means any Qualifying Option or award granted pursuant to Section 5.2.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Goal</w:t>
      </w:r>
      <w:r>
        <w:rPr>
          <w:rFonts w:ascii="Arial" w:cs="Arial" w:eastAsia="Arial" w:hAnsi="Arial"/>
          <w:sz w:val="18"/>
          <w:szCs w:val="18"/>
          <w:color w:val="auto"/>
        </w:rPr>
        <w:t>” means a preestablished targeted level or levels of any one or more Performance Objectives.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Objectives</w:t>
      </w:r>
      <w:r>
        <w:rPr>
          <w:rFonts w:ascii="Arial" w:cs="Arial" w:eastAsia="Arial" w:hAnsi="Arial"/>
          <w:sz w:val="18"/>
          <w:szCs w:val="18"/>
          <w:color w:val="auto"/>
        </w:rPr>
        <w:t>” means those performance objectives established by the Committee as provided in Section 5.2.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California Resources Corporation Long-Term Incentive Plan, as amended from time to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Plan</w:t>
      </w:r>
      <w:r>
        <w:rPr>
          <w:rFonts w:ascii="Arial" w:cs="Arial" w:eastAsia="Arial" w:hAnsi="Arial"/>
          <w:sz w:val="18"/>
          <w:szCs w:val="18"/>
          <w:color w:val="auto"/>
        </w:rPr>
        <w:t>” has the meaning set forth in Section 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Qualifying Options</w:t>
      </w:r>
      <w:r>
        <w:rPr>
          <w:rFonts w:ascii="Arial" w:cs="Arial" w:eastAsia="Arial" w:hAnsi="Arial"/>
          <w:sz w:val="16"/>
          <w:szCs w:val="16"/>
          <w:color w:val="auto"/>
        </w:rPr>
        <w:t>” mean options and stock appreciation rights granted with an exercise price not less than Fair Market Value on the date of grant.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Qualifying Options are intended to be Performance-Based Awards.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16b-3</w:t>
      </w:r>
      <w:r>
        <w:rPr>
          <w:rFonts w:ascii="Arial" w:cs="Arial" w:eastAsia="Arial" w:hAnsi="Arial"/>
          <w:sz w:val="18"/>
          <w:szCs w:val="18"/>
          <w:color w:val="auto"/>
        </w:rPr>
        <w:t>” means Rule 16b-3 under Section 16 of the Exchange Act.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162(m)</w:t>
      </w:r>
      <w:r>
        <w:rPr>
          <w:rFonts w:ascii="Arial" w:cs="Arial" w:eastAsia="Arial" w:hAnsi="Arial"/>
          <w:sz w:val="18"/>
          <w:szCs w:val="18"/>
          <w:color w:val="auto"/>
        </w:rPr>
        <w:t>” means Section 162(m) of the Code and the applicable regulations and interpretations thereunder.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 Limit</w:t>
      </w:r>
      <w:r>
        <w:rPr>
          <w:rFonts w:ascii="Arial" w:cs="Arial" w:eastAsia="Arial" w:hAnsi="Arial"/>
          <w:sz w:val="17"/>
          <w:szCs w:val="17"/>
          <w:color w:val="auto"/>
        </w:rPr>
        <w:t>” means the maximum number of Shares, as adjusted, that may be delivered pursuant to all awards granted under this Plan.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 the Company’s Common Stock, par value $0.01 per share.</w:t>
      </w:r>
    </w:p>
    <w:p>
      <w:pPr>
        <w:spacing w:after="0" w:line="17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Award</w:t>
      </w:r>
      <w:r>
        <w:rPr>
          <w:rFonts w:ascii="Arial" w:cs="Arial" w:eastAsia="Arial" w:hAnsi="Arial"/>
          <w:sz w:val="17"/>
          <w:szCs w:val="17"/>
          <w:color w:val="auto"/>
        </w:rPr>
        <w:t>” means an award granted in substitution for similar awards held by individuals who become Eligible Persons as a result of a merger, consolidation, acquisition or other transaction by the Company or an Affiliate with or of another entity or the assets of another entity.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surviving or resulting entity or a parent thereof of a Business Combination.</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SHARES SUBJECT TO PLAN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3.1 AGGREGATE SHARE LIMIT </w:t>
      </w:r>
      <w:r>
        <w:rPr>
          <w:rFonts w:ascii="Arial" w:cs="Arial" w:eastAsia="Arial" w:hAnsi="Arial"/>
          <w:sz w:val="18"/>
          <w:szCs w:val="18"/>
          <w:color w:val="auto"/>
        </w:rPr>
        <w:t>- Subject to adjustment as provided in or pursuant to this Section 3 or Section 7, from and after the original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this Plan of October 6, 2014, (a) a total of 7,275,000 Shares shall be authorized for issuance pursuant to awards granted under this Plan and (b) the aggregate maximum number of Shares that may be issued under this Plan through ISOs shall not exceed 7,275,000 (which amount shall be included within the total Share limit set forth in clause (a) of this sentence).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3" w:lineRule="auto"/>
        <w:rPr>
          <w:sz w:val="20"/>
          <w:szCs w:val="20"/>
          <w:color w:val="auto"/>
        </w:rPr>
      </w:pPr>
      <w:r>
        <w:rPr>
          <w:rFonts w:ascii="Arial" w:cs="Arial" w:eastAsia="Arial" w:hAnsi="Arial"/>
          <w:sz w:val="17"/>
          <w:szCs w:val="17"/>
          <w:b w:val="1"/>
          <w:bCs w:val="1"/>
          <w:color w:val="auto"/>
        </w:rPr>
        <w:t xml:space="preserve">3.2 INDIVIDUAL LIMIT </w:t>
      </w:r>
      <w:r>
        <w:rPr>
          <w:rFonts w:ascii="Arial" w:cs="Arial" w:eastAsia="Arial" w:hAnsi="Arial"/>
          <w:sz w:val="17"/>
          <w:szCs w:val="17"/>
          <w:color w:val="auto"/>
        </w:rPr>
        <w:t>- Subject to adjustment as provided in or pursuant to this Section 3 or Section 7, no individual may be granted (i) options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stock appreciation rights during any calendar year with respect to more than 1,000,000 Shares and (ii) other awards under this Plan (other than options or stock appreciation rights) during any calendar year that are denominated in Shares with respect to more than 1,000,000 Shares (and the vesting or performance period applicable to such awards shall not exceed 10 years). The maximum amount of compensation that may be paid under all Performance-Based Awards that are not denominated in Shares (including the Fair Market Value of any Shares paid in satisfaction of such Performance-Based Awards) granted to any one individual during any calendar year may not exceed $20,000,000 (and any payment due with respect to such a Performance-Based Award shall be paid no later than 10 years after the date of grant of such Performance-Based Award).</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and notwithstanding any provisions to the contrary in this Plan, the aggregate grant date fair value (computed as of the date of grant in accordance with applicable financial accounting rules) of all awards granted under this Plan to any individual, non-employee Director during any single calendar year beginning on or after January 1, 2016 shall not exceed $750,000; provided, however, that such limitation shall be determined without regard to grants of awards, if any, made under this Plan to a non-employee Director during any period in which such individual was an employee or consultant (other than in the capacity of a non-employee Director).</w:t>
      </w:r>
    </w:p>
    <w:p>
      <w:pPr>
        <w:spacing w:after="0" w:line="13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3.3 REISSUE OF AWARDS AND SHARES </w:t>
      </w:r>
      <w:r>
        <w:rPr>
          <w:rFonts w:ascii="Arial" w:cs="Arial" w:eastAsia="Arial" w:hAnsi="Arial"/>
          <w:sz w:val="16"/>
          <w:szCs w:val="16"/>
          <w:color w:val="auto"/>
        </w:rPr>
        <w:t>- Awards payable in cash or payable in cash or Shares, including restricted shares, that are forfeited,</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or for any reason do not vest under this Plan, and Shares that are subject to awards that expire or for any reason are terminated, cancelled or fail to vest shall be available for subsequent awards under this Plan. If an award under this Plan is or may be settled only in cash, such award need not be counted against any of the share limits under this Section 3. Shares subject to options or stock appreciation rights that are exercised shall not be available for subsequent awards. The following transactions involving Shares will not result in additional Shares becoming available for subsequent awards under this Plan: (i) Shares tendered in payment of an option; (ii) Shares withheld for taxes; and (iii) Shares repurchased by the Company using option proceeds.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3.4 SOURCE OF SHARES DELIVERED UNDER PLAN </w:t>
      </w:r>
      <w:r>
        <w:rPr>
          <w:rFonts w:ascii="Arial" w:cs="Arial" w:eastAsia="Arial" w:hAnsi="Arial"/>
          <w:sz w:val="18"/>
          <w:szCs w:val="18"/>
          <w:color w:val="auto"/>
        </w:rPr>
        <w:t>- The Shares to be offered pursuant to the grant of an award may (a) be authorized but</w:t>
      </w:r>
      <w:r>
        <w:rPr>
          <w:rFonts w:ascii="Arial" w:cs="Arial" w:eastAsia="Arial" w:hAnsi="Arial"/>
          <w:sz w:val="18"/>
          <w:szCs w:val="18"/>
          <w:b w:val="1"/>
          <w:bCs w:val="1"/>
          <w:color w:val="auto"/>
        </w:rPr>
        <w:t xml:space="preserve"> </w:t>
      </w:r>
      <w:r>
        <w:rPr>
          <w:rFonts w:ascii="Arial" w:cs="Arial" w:eastAsia="Arial" w:hAnsi="Arial"/>
          <w:sz w:val="18"/>
          <w:szCs w:val="18"/>
          <w:color w:val="auto"/>
        </w:rPr>
        <w:t>unissued Shares, (b) Shares held in the treasury of the Company, or (c) previously issued Shares reacquired by the Company, including shares purchased on the open market.</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PLAN ADMINISTRATION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Plan shall be administered by the Committee.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4.1 POWERS OF THE COMMITTEE </w:t>
      </w:r>
      <w:r>
        <w:rPr>
          <w:rFonts w:ascii="Arial" w:cs="Arial" w:eastAsia="Arial" w:hAnsi="Arial"/>
          <w:sz w:val="18"/>
          <w:szCs w:val="18"/>
          <w:color w:val="auto"/>
        </w:rPr>
        <w:t>- Subject to the express provisions of this Plan, the Committee shall be authorized and empowered to do all things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desirable in connection with the authorization of awards and the administration of this Plan within its delegated authority, including, without limitation, the authority to:</w:t>
      </w:r>
    </w:p>
    <w:p>
      <w:pPr>
        <w:spacing w:after="0" w:line="126" w:lineRule="exact"/>
        <w:rPr>
          <w:sz w:val="20"/>
          <w:szCs w:val="20"/>
          <w:color w:val="auto"/>
        </w:rPr>
      </w:pPr>
    </w:p>
    <w:p>
      <w:pPr>
        <w:ind w:left="660" w:hanging="4"/>
        <w:spacing w:after="0" w:line="277"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 amend and rescind rules, regulations and procedures relating to this Plan and its administration or the awards granted under this Plan and determine the forms and terms of individual awards;</w:t>
      </w:r>
    </w:p>
    <w:p>
      <w:pPr>
        <w:spacing w:after="0" w:line="116"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who is an Eligible Person and to which Eligible Persons, if any, awards will be granted under this Plan;</w:t>
      </w:r>
    </w:p>
    <w:p>
      <w:pPr>
        <w:spacing w:after="0" w:line="171" w:lineRule="exact"/>
        <w:rPr>
          <w:rFonts w:ascii="Arial" w:cs="Arial" w:eastAsia="Arial" w:hAnsi="Arial"/>
          <w:sz w:val="18"/>
          <w:szCs w:val="18"/>
          <w:color w:val="auto"/>
        </w:rPr>
      </w:pPr>
    </w:p>
    <w:p>
      <w:pPr>
        <w:jc w:val="both"/>
        <w:ind w:left="660" w:hanging="4"/>
        <w:spacing w:after="0" w:line="312" w:lineRule="auto"/>
        <w:tabs>
          <w:tab w:leader="none" w:pos="1068" w:val="left"/>
        </w:tabs>
        <w:numPr>
          <w:ilvl w:val="0"/>
          <w:numId w:val="5"/>
        </w:numPr>
        <w:rPr>
          <w:rFonts w:ascii="Arial" w:cs="Arial" w:eastAsia="Arial" w:hAnsi="Arial"/>
          <w:sz w:val="16"/>
          <w:szCs w:val="16"/>
          <w:color w:val="auto"/>
        </w:rPr>
      </w:pPr>
      <w:r>
        <w:rPr>
          <w:rFonts w:ascii="Arial" w:cs="Arial" w:eastAsia="Arial" w:hAnsi="Arial"/>
          <w:sz w:val="16"/>
          <w:szCs w:val="16"/>
          <w:color w:val="auto"/>
        </w:rPr>
        <w:t>grant awards to Eligible Persons and determine the terms and conditions of such awards, including but not limited to the number and value of Shares issuable pursuant thereto, the times (subject to Section 5.5) at which and conditions upon which awards become exercisable or vest or shall expire or terminate, and (subject to applicable law) the consideration, if any, to be paid upon receipt, exercise or vesting of awards;</w:t>
      </w:r>
    </w:p>
    <w:p>
      <w:pPr>
        <w:spacing w:after="0" w:line="92" w:lineRule="exact"/>
        <w:rPr>
          <w:rFonts w:ascii="Arial" w:cs="Arial" w:eastAsia="Arial" w:hAnsi="Arial"/>
          <w:sz w:val="16"/>
          <w:szCs w:val="16"/>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date of grant of an award, which may be a designated date after but not before the date of the Committee’s action;</w:t>
      </w:r>
    </w:p>
    <w:p>
      <w:pPr>
        <w:spacing w:after="0" w:line="171"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whether (subject to Section 7.2), and the extent to which, adjustments are required pursuant to Section 7 hereof;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 w:name="page11"/>
    <w:bookmarkEnd w:id="10"/>
    <w:p>
      <w:pPr>
        <w:ind w:left="660" w:hanging="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interpret and construe this Plan and terms and conditions of any award granted hereunder (including under any award agreement) and correct any defect therein, whether before or after the date set forth in Section 5;</w:t>
      </w:r>
    </w:p>
    <w:p>
      <w:pPr>
        <w:spacing w:after="0" w:line="116" w:lineRule="exact"/>
        <w:rPr>
          <w:rFonts w:ascii="Arial" w:cs="Arial" w:eastAsia="Arial" w:hAnsi="Arial"/>
          <w:sz w:val="18"/>
          <w:szCs w:val="18"/>
          <w:color w:val="auto"/>
        </w:rPr>
      </w:pPr>
    </w:p>
    <w:p>
      <w:pPr>
        <w:ind w:left="660" w:hanging="4"/>
        <w:spacing w:after="0" w:line="277" w:lineRule="auto"/>
        <w:tabs>
          <w:tab w:leader="none" w:pos="106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circumstances under which, consistent with the provisions of Section 8.2, any outstanding award may be amended and make any amendments thereto that the Committee determines are necessary or appropriate; and</w:t>
      </w:r>
    </w:p>
    <w:p>
      <w:pPr>
        <w:spacing w:after="0" w:line="116"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acquire or settle rights under options, stock appreciation rights or other awards in cash, stock of equivalent value, or other consideration.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authority granted herein shall remain in effect so long as any award remains outstanding under this Plan. The Committee and each member thereof shall be entitled to, in good faith, rely or act upon any report or other information furnished to him or her by any officer or employee of the Company or any Affiliate, the Company’s legal counsel, independent auditors, consultants or any other agents assisting in the administration of this Plan. Members of the Committee and any officer or employee of the Company or any Affiliate acting at the direction or on behalf of the Committee shall not be personally liable for any action or determination taken or made in good faith with respect to this Plan, and shall, to the fullest extent permitted by law, be indemnified and held harmless by the Company with respect to any such action or determination.</w:t>
      </w:r>
    </w:p>
    <w:p>
      <w:pPr>
        <w:spacing w:after="0" w:line="13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4.2 SPECIFIC COMMITTEE RESPONSIBILITY AND DISCRETION REGARDING AWARDS </w:t>
      </w:r>
      <w:r>
        <w:rPr>
          <w:rFonts w:ascii="Arial" w:cs="Arial" w:eastAsia="Arial" w:hAnsi="Arial"/>
          <w:sz w:val="17"/>
          <w:szCs w:val="17"/>
          <w:color w:val="auto"/>
        </w:rPr>
        <w:t>- Subject to the express provisions of this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in its sole and absolute discretion, shall determine all of the terms and conditions of each award granted under this Plan, which terms and conditions may include, subject to such limitations as the Committee may from time to time impose, among other things, provisions that:</w:t>
      </w:r>
    </w:p>
    <w:p>
      <w:pPr>
        <w:spacing w:after="0" w:line="108" w:lineRule="exact"/>
        <w:rPr>
          <w:sz w:val="20"/>
          <w:szCs w:val="20"/>
          <w:color w:val="auto"/>
        </w:rPr>
      </w:pPr>
    </w:p>
    <w:p>
      <w:pPr>
        <w:ind w:left="660" w:hanging="4"/>
        <w:spacing w:after="0" w:line="342" w:lineRule="auto"/>
        <w:tabs>
          <w:tab w:leader="none" w:pos="1063"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permit the recipient of such award to pay the purchase price of the Shares or other property issuable pursuant to such award, or any applicable tax withholding obligation upon such issuance or in respect of such award or Shares, in whole or in part, by any one or more of the following:</w:t>
      </w:r>
    </w:p>
    <w:p>
      <w:pPr>
        <w:spacing w:after="0" w:line="69" w:lineRule="exact"/>
        <w:rPr>
          <w:rFonts w:ascii="Arial" w:cs="Arial" w:eastAsia="Arial" w:hAnsi="Arial"/>
          <w:sz w:val="16"/>
          <w:szCs w:val="16"/>
          <w:color w:val="auto"/>
        </w:rPr>
      </w:pPr>
    </w:p>
    <w:p>
      <w:pPr>
        <w:ind w:left="1660" w:hanging="355"/>
        <w:spacing w:after="0"/>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cash, cash equivalent, or electronic funds transfer,</w:t>
      </w:r>
    </w:p>
    <w:p>
      <w:pPr>
        <w:spacing w:after="0" w:line="171" w:lineRule="exact"/>
        <w:rPr>
          <w:rFonts w:ascii="Arial" w:cs="Arial" w:eastAsia="Arial" w:hAnsi="Arial"/>
          <w:sz w:val="18"/>
          <w:szCs w:val="18"/>
          <w:color w:val="auto"/>
        </w:rPr>
      </w:pPr>
    </w:p>
    <w:p>
      <w:pPr>
        <w:ind w:left="1300" w:firstLine="5"/>
        <w:spacing w:after="0" w:line="277" w:lineRule="auto"/>
        <w:tabs>
          <w:tab w:leader="none" w:pos="171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delivery of previously owned shares of capital stock of the Company (including shares acquired as or pursuant to awards) or other property,</w:t>
      </w:r>
    </w:p>
    <w:p>
      <w:pPr>
        <w:spacing w:after="0" w:line="116" w:lineRule="exact"/>
        <w:rPr>
          <w:rFonts w:ascii="Arial" w:cs="Arial" w:eastAsia="Arial" w:hAnsi="Arial"/>
          <w:sz w:val="18"/>
          <w:szCs w:val="18"/>
          <w:color w:val="auto"/>
        </w:rPr>
      </w:pPr>
    </w:p>
    <w:p>
      <w:pPr>
        <w:ind w:left="1760" w:hanging="455"/>
        <w:spacing w:after="0"/>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reduction in the amount of Shares or other property otherwise issuable pursuant to such award,</w:t>
      </w:r>
    </w:p>
    <w:p>
      <w:pPr>
        <w:spacing w:after="0" w:line="171" w:lineRule="exact"/>
        <w:rPr>
          <w:rFonts w:ascii="Arial" w:cs="Arial" w:eastAsia="Arial" w:hAnsi="Arial"/>
          <w:sz w:val="18"/>
          <w:szCs w:val="18"/>
          <w:color w:val="auto"/>
        </w:rPr>
      </w:pPr>
    </w:p>
    <w:p>
      <w:pPr>
        <w:ind w:left="1740" w:hanging="435"/>
        <w:spacing w:after="0"/>
        <w:tabs>
          <w:tab w:leader="none" w:pos="1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cashless exercise, or</w:t>
      </w:r>
    </w:p>
    <w:p>
      <w:pPr>
        <w:spacing w:after="0" w:line="171" w:lineRule="exact"/>
        <w:rPr>
          <w:rFonts w:ascii="Arial" w:cs="Arial" w:eastAsia="Arial" w:hAnsi="Arial"/>
          <w:sz w:val="18"/>
          <w:szCs w:val="18"/>
          <w:color w:val="auto"/>
        </w:rPr>
      </w:pPr>
    </w:p>
    <w:p>
      <w:pPr>
        <w:ind w:left="1700" w:hanging="395"/>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other legal consideration the Committee deems appropriate;</w:t>
      </w:r>
    </w:p>
    <w:p>
      <w:pPr>
        <w:spacing w:after="0" w:line="171"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intended to qualify such award as an ISO;</w:t>
      </w:r>
    </w:p>
    <w:p>
      <w:pPr>
        <w:spacing w:after="0" w:line="171" w:lineRule="exact"/>
        <w:rPr>
          <w:rFonts w:ascii="Arial" w:cs="Arial" w:eastAsia="Arial" w:hAnsi="Arial"/>
          <w:sz w:val="18"/>
          <w:szCs w:val="18"/>
          <w:color w:val="auto"/>
        </w:rPr>
      </w:pPr>
    </w:p>
    <w:p>
      <w:pPr>
        <w:jc w:val="both"/>
        <w:ind w:left="660" w:hanging="4"/>
        <w:spacing w:after="0" w:line="289" w:lineRule="auto"/>
        <w:tabs>
          <w:tab w:leader="none" w:pos="1048"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accelerate the receipt of benefits pursuant to an award or adjust the exercisability, term (subject to other limits) or vesting schedule of any or all outstanding awards, adjust the number of Shares subject to any award, adjust the price of any or all outstanding awards or otherwise change previously imposed terms and conditions, pursuant to a termination of employment or an event referenced in Section 7 (in which case the Committee’s discretion shall be exercised in a manner consistent with Section 7) or in other circumstances or upon the occurrence of other events as deemed appropriate by the Committee, by amendment of an outstanding award, by substitution of an outstanding award, by waiver or by other legally valid means (which may result, among other changes, in a greater or lesser number of shares subject to the award, a shorter or longer vesting or exercise period, or, except as provided below, an exercise or purchase price that is higher or lower than the original or prior award), in each case subject to Sections 3, 5.5 and 8.2; provided, however, that in no case (other than an adjustment contemplated by Section 7.2) shall the exercise price of any option or stock appreciation right be reduced by an amendment to the award or a cancellation and re-grant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1" w:name="page12"/>
    <w:bookmarkEnd w:id="11"/>
    <w:p>
      <w:pPr>
        <w:ind w:left="660" w:right="20"/>
        <w:spacing w:after="0" w:line="277" w:lineRule="auto"/>
        <w:rPr>
          <w:sz w:val="20"/>
          <w:szCs w:val="20"/>
          <w:color w:val="auto"/>
        </w:rPr>
      </w:pPr>
      <w:r>
        <w:rPr>
          <w:rFonts w:ascii="Arial" w:cs="Arial" w:eastAsia="Arial" w:hAnsi="Arial"/>
          <w:sz w:val="18"/>
          <w:szCs w:val="18"/>
          <w:color w:val="auto"/>
        </w:rPr>
        <w:t>award to effect a repricing of the award to a price below the Fair Market Value of the underlying Shares on the grant date of the original option or stock appreciation right unless specific stockholder consent is obtained;</w:t>
      </w:r>
    </w:p>
    <w:p>
      <w:pPr>
        <w:spacing w:after="0" w:line="116" w:lineRule="exact"/>
        <w:rPr>
          <w:sz w:val="20"/>
          <w:szCs w:val="20"/>
          <w:color w:val="auto"/>
        </w:rPr>
      </w:pPr>
    </w:p>
    <w:p>
      <w:pPr>
        <w:jc w:val="both"/>
        <w:ind w:left="660" w:right="20" w:hanging="4"/>
        <w:spacing w:after="0" w:line="264" w:lineRule="auto"/>
        <w:tabs>
          <w:tab w:leader="none" w:pos="105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authorize (subject to Sections 7, 8, and 10) the conversion, succession or substitution of one or more outstanding awards upon the occurrence of an event of the type described in Section 7 or in other circumstances or upon the occurrence of other events as deemed appropriate by the Committee; and</w:t>
      </w:r>
    </w:p>
    <w:p>
      <w:pPr>
        <w:spacing w:after="0" w:line="127" w:lineRule="exact"/>
        <w:rPr>
          <w:rFonts w:ascii="Arial" w:cs="Arial" w:eastAsia="Arial" w:hAnsi="Arial"/>
          <w:sz w:val="18"/>
          <w:szCs w:val="18"/>
          <w:color w:val="auto"/>
        </w:rPr>
      </w:pPr>
    </w:p>
    <w:p>
      <w:pPr>
        <w:ind w:left="660" w:hanging="4"/>
        <w:spacing w:after="0" w:line="277" w:lineRule="auto"/>
        <w:tabs>
          <w:tab w:leader="none" w:pos="1068"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 the value of and acquire or otherwise settle awards upon termination of employment, upon such terms as the Committee (subject to Sections 7, 8 and 10) deems appropriate.</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4.3 DELEGATION </w:t>
      </w:r>
      <w:r>
        <w:rPr>
          <w:rFonts w:ascii="Arial" w:cs="Arial" w:eastAsia="Arial" w:hAnsi="Arial"/>
          <w:sz w:val="16"/>
          <w:szCs w:val="16"/>
          <w:color w:val="auto"/>
        </w:rPr>
        <w:t>- Subject to Section 4.5, the Board may delegate different levels of authority to different committees with administrative and grant</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under this Plan, provided that each designated committee granting any awards hereunder shall consist exclusively of a member or members of the Board. A majority of the members of the acting committee shall constitute a quorum. The vote of a majority of the members present assuming the presence of a quorum or the unanimous written consent of the Committee shall constitute action by the committee. The Committee may delegate authority to grant awards under this Plan for new employees to an officer of the Company who is also a director and may delegate ministerial, non-discretionary functions to individuals who are officers or employees of the Company or a subsidiary or to third parties. In addition, subject to the constraints of applicable law, the Committee may from time to time, in its sole discretion, delegate to the Chief Executive Officer of the Company the administration (or interpretation of any provision) of this Plan, and the right to grant awards under this Plan, insofar as such administration (and interpretation) and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 Notwithstanding the foregoing, no delegation pursuant to this Section 4.3 shall be made to the extent that such delegation would (i) result in the loss of an exemption under Rule 16b-3(d)(1) for awards granted to Eligible Persons subject to Section 16 of the Exchange Act in respect of the Company or (ii) cause awards made under the Prior Plan that were intended to qualify as “performance-based compensation” under Section 162(m) (prior to its amendment in 2017) to fail to so qualify.</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4.4 BIFURCATION </w:t>
      </w:r>
      <w:r>
        <w:rPr>
          <w:rFonts w:ascii="Arial" w:cs="Arial" w:eastAsia="Arial" w:hAnsi="Arial"/>
          <w:sz w:val="18"/>
          <w:szCs w:val="18"/>
          <w:color w:val="auto"/>
        </w:rPr>
        <w:t>- Notwithstanding anything to the contrary in this Plan, the provisions of this Plan may at any time be bifurcated by the Board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any manner so that provisions of any award agreement (or this Plan) intended or required in order to satisfy the applicable requirements of Rule 16b-3 or other applicable law, to the extent permitted thereby, are applicable only to persons subject to those provisions and to those awards to those persons intended to satisfy the requirements of the applicable legal restriction.</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4.5 AWARDS TO NON-EMPLOYEE DIRECTORS </w:t>
      </w:r>
      <w:r>
        <w:rPr>
          <w:rFonts w:ascii="Arial" w:cs="Arial" w:eastAsia="Arial" w:hAnsi="Arial"/>
          <w:sz w:val="18"/>
          <w:szCs w:val="18"/>
          <w:color w:val="auto"/>
        </w:rPr>
        <w:t>- Notwithstanding any provision in this Plan to the contrary and without being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discretion, the Board, acting through the non-employee Directors only, shall have the authority, in its sole and absolute discretion, to select non-employee Directors to receive awards other than ISOs under this Plan subject to the limitations of Section 3.2. The Board, acting through the non-employee Directors only shall set the terms of any such awards in its sole and absolute discretion, and the Board, acting through the non-employee Directors only, shall be responsible for administering and construing such awards in substantially the same manner that the Committee administers and construes awards to other Eligible Persons.</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AWARDS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5.1 TYPE AND FORM OF AWARDS </w:t>
      </w:r>
      <w:r>
        <w:rPr>
          <w:rFonts w:ascii="Arial" w:cs="Arial" w:eastAsia="Arial" w:hAnsi="Arial"/>
          <w:sz w:val="17"/>
          <w:szCs w:val="17"/>
          <w:color w:val="auto"/>
        </w:rPr>
        <w:t>- All awards shall be evidenced in writing (including electronic form), substantially in the form approved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or its delegate. The types of awards that the Committee may grant include, but are not limited to, any of the following, on an immediate or deferred basis, either singly, or in tandem or in combination with or in substitution for, other awards of the same or another type: (i) Shares, (ii) options (ISOs or nonqualified stock options), stock appreciation rights (including limited stock appreciation rights), restricted stock, stock units, or similar rights to purchase or acquire shares, whether at a fixed or variable price or ratio related to the Shares, upon the passage of time, the occurrence of one or more events, or the satisfaction of Performance Goals or other conditions, or any combination thereof, (iii) any similar securities with a value derived from the value of or related to the Shares or other securities of the Company and/or returns thereon, or (iv) cash. Share-based awards may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include (without limitation) stock options, stock purchase rights, stock bonuses, stock units, stock appreciation rights, limited stock appreciation rights, phantom stock, dividend equivalents (independently or in tandem with any form of stock grant), dividend rights (independently or in tandem with any form of stock grant), Shares, any of which may be payable in Shares or cash, and may consist of one or more of such features in any combination, as determined by the Committee.</w:t>
      </w:r>
    </w:p>
    <w:p>
      <w:pPr>
        <w:spacing w:after="0" w:line="1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 xml:space="preserve">PERFORMANCE-BASED AWARDS </w:t>
      </w:r>
      <w:r>
        <w:rPr>
          <w:rFonts w:ascii="Arial" w:cs="Arial" w:eastAsia="Arial" w:hAnsi="Arial"/>
          <w:sz w:val="17"/>
          <w:szCs w:val="17"/>
          <w:color w:val="auto"/>
        </w:rPr>
        <w:t>-</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right of a participant to exercise or receive a grant or settlement of any type of award listed in Section 5.1, and the timing thereof, may be subject to such performance conditions as may be specified by the Committee. The Committee may use such business criteria and other measures of performance as it may deem appropriate in establishing any performance conditions, and may exercise its discretion to reduce or increase the amounts payable under any award subject to performance conditions, except as limited under the Prior Plan in the case of awards made under the Prior Plan that were intended to constitute “performance-based compensation” under Section 162(m) (prior to its amendment in 2017).</w:t>
      </w:r>
    </w:p>
    <w:p>
      <w:pPr>
        <w:spacing w:after="0" w:line="119" w:lineRule="exact"/>
        <w:rPr>
          <w:sz w:val="20"/>
          <w:szCs w:val="20"/>
          <w:color w:val="auto"/>
        </w:rPr>
      </w:pPr>
    </w:p>
    <w:p>
      <w:pPr>
        <w:jc w:val="both"/>
        <w:ind w:left="660" w:hanging="4"/>
        <w:spacing w:after="0" w:line="287" w:lineRule="auto"/>
        <w:tabs>
          <w:tab w:leader="none" w:pos="1161"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Performance Goals Generally</w:t>
      </w:r>
      <w:r>
        <w:rPr>
          <w:rFonts w:ascii="Arial" w:cs="Arial" w:eastAsia="Arial" w:hAnsi="Arial"/>
          <w:sz w:val="16"/>
          <w:szCs w:val="16"/>
          <w:color w:val="auto"/>
        </w:rPr>
        <w:t>. The Performance Goals for Performance-Based Awards shall consist of one or more business criteria or individual performance criteria and a targeted level or levels of performance with respect to each of such criteria, as specified by the Committee consistent with this Section 5.2, which level may also be expressed in terms of a specified increase or decrease in the particular criteria compared to a past period. The Committee may determine that Performance-Based Awards shall be granted, exercised and/or settled upon achievement of any one Performance Goal or that two or more of the Performance Goals must be achieved as a condition to grant, exercise and/or settlement of such Performance-Based Awards. Performance Goals may differ for Performance-Based Awards granted to any one participant or to different participants. The Performance Goals may be determined on an absolute or relative basis or as compared to the performance of a published or special index deemed applicable by the Committee including, but not limited to, the Standard &amp; Poor’s 500 Stock Index or a group of comparable companies. In addition, subject to any limitations under Section 162(m) (prior to its amendment in 2017) with respect to awards granted under the Prior Plan that are intended to constitute “performance-based compensation,” such performance measures may be subject to adjustment by the Committee for changes in accounting principles, to satisfy regulatory requirements and other specified extraordinary, unusual or infrequent items or events.</w:t>
      </w:r>
    </w:p>
    <w:p>
      <w:pPr>
        <w:spacing w:after="0" w:line="118" w:lineRule="exact"/>
        <w:rPr>
          <w:rFonts w:ascii="Arial" w:cs="Arial" w:eastAsia="Arial" w:hAnsi="Arial"/>
          <w:sz w:val="16"/>
          <w:szCs w:val="16"/>
          <w:color w:val="auto"/>
        </w:rPr>
      </w:pPr>
    </w:p>
    <w:p>
      <w:pPr>
        <w:ind w:left="660" w:hanging="4"/>
        <w:spacing w:after="0" w:line="277" w:lineRule="auto"/>
        <w:tabs>
          <w:tab w:leader="none" w:pos="114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Achievement of Performance Goals in respect of Performance-Based Awards shall be measured over a performance period of up to ten years, as specified by the Committee.</w:t>
      </w:r>
    </w:p>
    <w:p>
      <w:pPr>
        <w:spacing w:after="0" w:line="116" w:lineRule="exact"/>
        <w:rPr>
          <w:rFonts w:ascii="Arial" w:cs="Arial" w:eastAsia="Arial" w:hAnsi="Arial"/>
          <w:sz w:val="18"/>
          <w:szCs w:val="18"/>
          <w:color w:val="auto"/>
        </w:rPr>
      </w:pPr>
    </w:p>
    <w:p>
      <w:pPr>
        <w:jc w:val="both"/>
        <w:ind w:left="660" w:hanging="4"/>
        <w:spacing w:after="0" w:line="255" w:lineRule="auto"/>
        <w:tabs>
          <w:tab w:leader="none" w:pos="114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Performance-Based Award Pool</w:t>
      </w:r>
      <w:r>
        <w:rPr>
          <w:rFonts w:ascii="Arial" w:cs="Arial" w:eastAsia="Arial" w:hAnsi="Arial"/>
          <w:sz w:val="18"/>
          <w:szCs w:val="18"/>
          <w:color w:val="auto"/>
        </w:rPr>
        <w:t>. The Committee may establish a Performance-Based Award pool, which shall be an unfunded pool, for purposes of measuring performance of the Company in connection with Performance-Based Awards. The amount of such Performance-Based Award pool shall be based upon the achievement of a Performance Goal or Goals during the given performance period, as specified by the Committee in accordance with this Section 5.2. The Committee may specify the amount of the Performance-Based Award pool as a percentage of any of such criteria, a percentage thereof in excess of a threshold amount, or as another amount which need not bear a strictly mathematical relationship to such criteria.</w:t>
      </w:r>
    </w:p>
    <w:p>
      <w:pPr>
        <w:spacing w:after="0" w:line="139" w:lineRule="exact"/>
        <w:rPr>
          <w:rFonts w:ascii="Arial" w:cs="Arial" w:eastAsia="Arial" w:hAnsi="Arial"/>
          <w:sz w:val="18"/>
          <w:szCs w:val="18"/>
          <w:color w:val="auto"/>
        </w:rPr>
      </w:pPr>
    </w:p>
    <w:p>
      <w:pPr>
        <w:jc w:val="both"/>
        <w:ind w:left="660" w:hanging="4"/>
        <w:spacing w:after="0" w:line="270" w:lineRule="auto"/>
        <w:tabs>
          <w:tab w:leader="none" w:pos="106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Settlement of Performance-Based Awards; Other Terms</w:t>
      </w:r>
      <w:r>
        <w:rPr>
          <w:rFonts w:ascii="Arial" w:cs="Arial" w:eastAsia="Arial" w:hAnsi="Arial"/>
          <w:sz w:val="17"/>
          <w:szCs w:val="17"/>
          <w:color w:val="auto"/>
        </w:rPr>
        <w:t>. After the end of each performance period, the Committee shall determine the amount, if any, of (A) the Performance-Based Award pool, and the maximum amount of the potential Performance-Based Award payable to each Participant in the Performance-Based Award pool, or (B) the amount of the potential Performance-Based Award otherwise payable to each Participant. Settlement of such Performance-Based Awards shall be in cash, Stock, other awards or other property, in the discretion of the Committee. The Committee may, in its discretion, reduce or increase the amount of a settlement otherwise to be made in connection with such Performance-Based Awards, but may not exercise discretion to increase any such amount payable with respect to an award under the Prior Plan that was intended to constitute “performance-based compensation” under Section 162(m) (prior to its amendment in 2017). The Committee shall specify the circumstances in which such Performance-Based Awards shall be paid or forfeited in the event of termination of employment by the participant prior to the end of a performance period or settlement of Performance-Based Awards.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13" w:name="page14"/>
    <w:bookmarkEnd w:id="13"/>
    <w:p>
      <w:pPr>
        <w:jc w:val="both"/>
        <w:ind w:left="660" w:hanging="4"/>
        <w:spacing w:after="0" w:line="257" w:lineRule="auto"/>
        <w:tabs>
          <w:tab w:leader="none" w:pos="106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Written Determinations</w:t>
      </w:r>
      <w:r>
        <w:rPr>
          <w:rFonts w:ascii="Arial" w:cs="Arial" w:eastAsia="Arial" w:hAnsi="Arial"/>
          <w:sz w:val="18"/>
          <w:szCs w:val="18"/>
          <w:color w:val="auto"/>
        </w:rPr>
        <w:t>. All determinations by the Committee as to the establishment of Performance Goals, the amount of any Performance-Based Award pool or potential individual Performance-Based Awards and as to the achievement of Performance Goals relating to and final settlement of Performance-Based Awards under this Section 5.2 shall be certified in writing in the case of any award under the Prior Plan that was intended to constitute “performance-based compensation” under Section 162(m) (prior to its amendment in 2017). The Committee may not delegate any responsibility relating to such Performance-Based Awards.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5.3 CONSIDERATION FOR SHARES </w:t>
      </w:r>
      <w:r>
        <w:rPr>
          <w:rFonts w:ascii="Arial" w:cs="Arial" w:eastAsia="Arial" w:hAnsi="Arial"/>
          <w:sz w:val="18"/>
          <w:szCs w:val="18"/>
          <w:color w:val="auto"/>
        </w:rPr>
        <w:t>- Shares may be issued pursuant to an award for any lawful consideration as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services rendered by the recipient of such award, but shall not be issued for less than the minimum lawful consideration. Awards may be payable in cash, stock or other consideration or any combination thereof, as the Committee shall designate in or (except as required by Section 5.2) by amendment to the terms and conditions governing such award.</w:t>
      </w:r>
    </w:p>
    <w:p>
      <w:pPr>
        <w:spacing w:after="0" w:line="12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5.4 LIMITED RIGHTS </w:t>
      </w:r>
      <w:r>
        <w:rPr>
          <w:rFonts w:ascii="Arial" w:cs="Arial" w:eastAsia="Arial" w:hAnsi="Arial"/>
          <w:sz w:val="16"/>
          <w:szCs w:val="16"/>
          <w:color w:val="auto"/>
        </w:rPr>
        <w:t>- Except as otherwise expressly authorized by the Committee or this Plan or in the applicable award terms and conditions,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will not be entitled to any privilege of stock ownership as to any Shares not actually delivered to and held of record by the participant. Except as described in Section 5.11, no adjustment will be made for dividends or other rights as a stockholder for which a record date is prior to such date of delivery.</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5.5 OPTION/STOCK APPRECIATION RIGHT PRICING, TERM LIMITS AND VESTING </w:t>
      </w:r>
      <w:r>
        <w:rPr>
          <w:rFonts w:ascii="Arial" w:cs="Arial" w:eastAsia="Arial" w:hAnsi="Arial"/>
          <w:sz w:val="18"/>
          <w:szCs w:val="18"/>
          <w:color w:val="auto"/>
        </w:rPr>
        <w:t>- The purchase price per share of the Shares covered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any option or the base price of any stock appreciation right shall be determined by the Committee at the time of the grant, but, except in the case of a Substitute Award, shall not be less than 100 percent of the Fair Market Value of a Share on the date of grant. No option or stock appreciation right shall be exercisable after the expiration of 10 years from the date of grant. An award may be converted or convertible, notwithstanding the foregoing limits, into or payable in, Shares or another award that otherwise satisfies the requirements of this Plan.</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 option, stock appreciation right or other non-full value appreciation award granted under this Plan on or after the Effective Date may vest in less than one year from its date of grant. Notwithstanding the foregoing, up to five percent of the available Shares authorized for issuance under this Plan as of the Effective Date may be subject to options, stock appreciation rights or other non-full value appreciation awards that vest (in full or in part) in less than one year from their date of grant (the “</w:t>
      </w:r>
      <w:r>
        <w:rPr>
          <w:rFonts w:ascii="Arial" w:cs="Arial" w:eastAsia="Arial" w:hAnsi="Arial"/>
          <w:sz w:val="16"/>
          <w:szCs w:val="16"/>
          <w:b w:val="1"/>
          <w:bCs w:val="1"/>
          <w:color w:val="auto"/>
        </w:rPr>
        <w:t>Five Percent Basket</w:t>
      </w:r>
      <w:r>
        <w:rPr>
          <w:rFonts w:ascii="Arial" w:cs="Arial" w:eastAsia="Arial" w:hAnsi="Arial"/>
          <w:sz w:val="16"/>
          <w:szCs w:val="16"/>
          <w:color w:val="auto"/>
        </w:rPr>
        <w:t>”). Further, any option, stock appreciation right or other non-full value award granted under this Plan may vest in full or in part upon death or disability of the participant, or upon a Change in Control, and such vesting shall not count against the Five Percent Basket.</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5.6 SPECIAL LIMITATIONS RELATING TO ISOS </w:t>
      </w:r>
      <w:r>
        <w:rPr>
          <w:rFonts w:ascii="Arial" w:cs="Arial" w:eastAsia="Arial" w:hAnsi="Arial"/>
          <w:sz w:val="16"/>
          <w:szCs w:val="16"/>
          <w:color w:val="auto"/>
        </w:rPr>
        <w:t>- An ISO may be granted only to an individual who is employed by the Company or any “parent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“subsidiary corporation” (as such terms are defined in Section 424 of the Code) of the Company at the time the ISO is granted. To the extent that the aggregate fair market value (determined at the time the respective ISO is granted) of stock with respect to which ISOs are exercisable for the first time by an individual during any calendar year under all incentive stock option plans of the Company and its parent and subsidiary corporations, within the meaning of Section 424 of the Code, exceeds $100,000 or such other amount as may be prescribed under Section 422 of the Code or applicable regulations or rulings from time to time, such ISOs shall be treated as options that do not constitute ISOs. The Committee shall determine, in accordance with applicable provisions of the Code, Treasury regulations, and other administrative pronouncements, which of a participant’s ISOs will not constitute ISOs because of such limitation and shall notify the participant of such determination as soon as practicable after such determination. No ISO shall be granted to an individual if, at the time the option is granted, such individual owns stock possessing more than 10 percent of the total combined voting power of all classes of stock of the Company or of its parent or subsidiary corporation, within the meaning of Section 422(b)(6) of the Code, unless (i) at the time such option is granted, the option price is at least 110 percent of the Fair Market Value of a Share and (ii) such option by its terms is not exercisable after the expiration of five years from the date of grant. Except as otherwise provided in Sections 421 or 422 of the Code, an ISO shall not be transferable otherwise than by will or the laws of descent and distribution and shall be exercisable during the participant’s lifetime only by such participant or the participant’s guardian or legal representative.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81" w:lineRule="auto"/>
        <w:rPr>
          <w:sz w:val="20"/>
          <w:szCs w:val="20"/>
          <w:color w:val="auto"/>
        </w:rPr>
      </w:pPr>
      <w:r>
        <w:rPr>
          <w:rFonts w:ascii="Arial" w:cs="Arial" w:eastAsia="Arial" w:hAnsi="Arial"/>
          <w:sz w:val="17"/>
          <w:szCs w:val="17"/>
          <w:b w:val="1"/>
          <w:bCs w:val="1"/>
          <w:color w:val="auto"/>
        </w:rPr>
        <w:t xml:space="preserve">5.7 TRANSFER RESTRICTIONS </w:t>
      </w:r>
      <w:r>
        <w:rPr>
          <w:rFonts w:ascii="Arial" w:cs="Arial" w:eastAsia="Arial" w:hAnsi="Arial"/>
          <w:sz w:val="17"/>
          <w:szCs w:val="17"/>
          <w:color w:val="auto"/>
        </w:rPr>
        <w:t>- Unless otherwise expressly provided in or permitted by this Section 5.7, by applicable law or by the award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(i) all awards are nontransferable and shall not be subject in any manner to sale, transfer, anticipation, alienation, assignment, pledge, encumbrance or charge; (ii) awards shall be exercised only by the holder; and (iii) amounts payable or shares issuable pursuant to an award shall be delivered only to (or for the account of) the holder. No award may be transferred for consideration to a financial institution.</w:t>
      </w:r>
    </w:p>
    <w:p>
      <w:pPr>
        <w:spacing w:after="0" w:line="111" w:lineRule="exact"/>
        <w:rPr>
          <w:sz w:val="20"/>
          <w:szCs w:val="20"/>
          <w:color w:val="auto"/>
        </w:rPr>
      </w:pPr>
    </w:p>
    <w:p>
      <w:pPr>
        <w:jc w:val="both"/>
        <w:ind w:left="660"/>
        <w:spacing w:after="0" w:line="281" w:lineRule="auto"/>
        <w:rPr>
          <w:sz w:val="20"/>
          <w:szCs w:val="20"/>
          <w:color w:val="auto"/>
        </w:rPr>
      </w:pPr>
      <w:r>
        <w:rPr>
          <w:rFonts w:ascii="Arial" w:cs="Arial" w:eastAsia="Arial" w:hAnsi="Arial"/>
          <w:sz w:val="17"/>
          <w:szCs w:val="17"/>
          <w:b w:val="1"/>
          <w:bCs w:val="1"/>
          <w:color w:val="auto"/>
        </w:rPr>
        <w:t xml:space="preserve">5.7.1 Exceptions by Committee Action </w:t>
      </w:r>
      <w:r>
        <w:rPr>
          <w:rFonts w:ascii="Arial" w:cs="Arial" w:eastAsia="Arial" w:hAnsi="Arial"/>
          <w:sz w:val="17"/>
          <w:szCs w:val="17"/>
          <w:color w:val="auto"/>
        </w:rPr>
        <w:t>- The Committee, in its sole discretion, may permit an award to be transferred for estate and/or tax</w:t>
      </w:r>
      <w:r>
        <w:rPr>
          <w:rFonts w:ascii="Arial" w:cs="Arial" w:eastAsia="Arial" w:hAnsi="Arial"/>
          <w:sz w:val="17"/>
          <w:szCs w:val="17"/>
          <w:b w:val="1"/>
          <w:bCs w:val="1"/>
          <w:color w:val="auto"/>
        </w:rPr>
        <w:t xml:space="preserve"> </w:t>
      </w:r>
      <w:r>
        <w:rPr>
          <w:rFonts w:ascii="Arial" w:cs="Arial" w:eastAsia="Arial" w:hAnsi="Arial"/>
          <w:sz w:val="17"/>
          <w:szCs w:val="17"/>
          <w:color w:val="auto"/>
        </w:rPr>
        <w:t>planning purposes and on a basis consistent with the Company’s lawful issue of securities and the incentive purposes of the award and this Plan. Notwithstanding the foregoing, awards intended as ISOs or restricted stock awards for purposes of the Code shall be subject to any and all additional transfer restrictions necessary to preserve their status as ISOs or restricted shares, as the case may be, under the Code.</w:t>
      </w:r>
    </w:p>
    <w:p>
      <w:pPr>
        <w:spacing w:after="0" w:line="1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5.7.2</w:t>
      </w:r>
      <w:r>
        <w:rPr>
          <w:sz w:val="20"/>
          <w:szCs w:val="20"/>
          <w:color w:val="auto"/>
        </w:rPr>
        <w:tab/>
      </w:r>
      <w:r>
        <w:rPr>
          <w:rFonts w:ascii="Arial" w:cs="Arial" w:eastAsia="Arial" w:hAnsi="Arial"/>
          <w:sz w:val="16"/>
          <w:szCs w:val="16"/>
          <w:b w:val="1"/>
          <w:bCs w:val="1"/>
          <w:color w:val="auto"/>
        </w:rPr>
        <w:t xml:space="preserve">Exclusions </w:t>
      </w:r>
      <w:r>
        <w:rPr>
          <w:rFonts w:ascii="Arial" w:cs="Arial" w:eastAsia="Arial" w:hAnsi="Arial"/>
          <w:sz w:val="16"/>
          <w:szCs w:val="16"/>
          <w:color w:val="auto"/>
        </w:rPr>
        <w:t>- The exercise and transfer restrictions in this Section 5.7 shall not apply to:</w:t>
      </w:r>
    </w:p>
    <w:p>
      <w:pPr>
        <w:spacing w:after="0" w:line="175" w:lineRule="exact"/>
        <w:rPr>
          <w:sz w:val="20"/>
          <w:szCs w:val="20"/>
          <w:color w:val="auto"/>
        </w:rPr>
      </w:pPr>
    </w:p>
    <w:p>
      <w:pPr>
        <w:ind w:left="1680" w:hanging="375"/>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transfers to the Company,</w:t>
      </w:r>
    </w:p>
    <w:p>
      <w:pPr>
        <w:spacing w:after="0" w:line="171" w:lineRule="exact"/>
        <w:rPr>
          <w:rFonts w:ascii="Arial" w:cs="Arial" w:eastAsia="Arial" w:hAnsi="Arial"/>
          <w:sz w:val="18"/>
          <w:szCs w:val="18"/>
          <w:color w:val="auto"/>
        </w:rPr>
      </w:pPr>
    </w:p>
    <w:p>
      <w:pPr>
        <w:jc w:val="both"/>
        <w:ind w:left="1300" w:firstLine="5"/>
        <w:spacing w:after="0" w:line="264" w:lineRule="auto"/>
        <w:tabs>
          <w:tab w:leader="none" w:pos="17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27" w:lineRule="exact"/>
        <w:rPr>
          <w:rFonts w:ascii="Arial" w:cs="Arial" w:eastAsia="Arial" w:hAnsi="Arial"/>
          <w:sz w:val="18"/>
          <w:szCs w:val="18"/>
          <w:color w:val="auto"/>
        </w:rPr>
      </w:pPr>
    </w:p>
    <w:p>
      <w:pPr>
        <w:ind w:left="1740" w:hanging="435"/>
        <w:spacing w:after="0"/>
        <w:tabs>
          <w:tab w:leader="none" w:pos="1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transfers pursuant to a domestic relations order (if approved or ratified by the Committee), if (in the case of ISOs) permitted by the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156" w:lineRule="exact"/>
        <w:rPr>
          <w:rFonts w:ascii="Arial" w:cs="Arial" w:eastAsia="Arial" w:hAnsi="Arial"/>
          <w:sz w:val="16"/>
          <w:szCs w:val="16"/>
          <w:color w:val="auto"/>
        </w:rPr>
      </w:pPr>
    </w:p>
    <w:p>
      <w:pPr>
        <w:ind w:left="1700" w:hanging="395"/>
        <w:spacing w:after="0"/>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participant has suffered a Disability, permitted transfers to or exercises on behalf of the holder by his or her legal representative,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56" w:lineRule="exact"/>
        <w:rPr>
          <w:rFonts w:ascii="Arial" w:cs="Arial" w:eastAsia="Arial" w:hAnsi="Arial"/>
          <w:sz w:val="16"/>
          <w:szCs w:val="16"/>
          <w:color w:val="auto"/>
        </w:rPr>
      </w:pPr>
    </w:p>
    <w:p>
      <w:pPr>
        <w:ind w:left="1300" w:firstLine="5"/>
        <w:spacing w:after="0" w:line="277" w:lineRule="auto"/>
        <w:tabs>
          <w:tab w:leader="none" w:pos="17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authorization by the Committee of “cashless exercise” procedures with third parties who finance or who otherwise facilitate the exercise of awards consistent with applicable laws and the express authorization of the Committee.</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5.8 TAX WITHHOLDING </w:t>
      </w:r>
      <w:r>
        <w:rPr>
          <w:rFonts w:ascii="Arial" w:cs="Arial" w:eastAsia="Arial" w:hAnsi="Arial"/>
          <w:sz w:val="17"/>
          <w:szCs w:val="17"/>
          <w:color w:val="auto"/>
        </w:rPr>
        <w:t>- The Company and any of its Affiliates are authorized to withhold from any award granted, or any payment relating to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under this Plan, including from a distribution of Shares, amounts of withholding and other taxes due or potentially payable in connection with any transaction involving an award, and to take such other action as the Committee may deem advisable to enable the Company, its Affiliates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 Notwithstanding the foregoing, the Company and its Affiliates may, in their sole discretion and in satisfaction of the foregoing requirement, withhold or permit the participant to elect to have the Company or its Affiliate withhold a sufficient number of Shares that are otherwise issuable to the participant pursuant to an award (or allow the surrender of Shares by the participant to the Company or its Affiliate). The number of Shares that may be so withheld or surrendered shall be limited to the number of Shares that have a Fair Market Value on the date of withholding or repurchase equal to the aggregate amount of such liabilities based on the applicable minimum statutory withholding rates for U.S. federal, state, local or non-U.S. income and social insurance taxes and payroll taxes, as determined by the Committee. Notwithstanding the preceding provisions of this Section 5.8, withholding taxes may be based on rates in excess of the minimum required tax withholding rates if the Committee (a) determines, with respect to an award granted to an Eligible Person who is not a non-employee Director, that such withholding would not result in adverse accounting, tax or other consequences to the Company or any Affiliate (other than immaterial administrative, reporting or similar consequences) and (b) authorizes withholding at such greater rates.</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5.9 CASH AWARDS </w:t>
      </w:r>
      <w:r>
        <w:rPr>
          <w:rFonts w:ascii="Arial" w:cs="Arial" w:eastAsia="Arial" w:hAnsi="Arial"/>
          <w:sz w:val="18"/>
          <w:szCs w:val="18"/>
          <w:color w:val="auto"/>
        </w:rPr>
        <w:t>- The Committee shall have the express authority to pay awards in cash under this Plan, whether in lieu of, in addition to or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award.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5" w:name="page16"/>
    <w:bookmarkEnd w:id="15"/>
    <w:p>
      <w:pPr>
        <w:jc w:val="both"/>
        <w:spacing w:after="0" w:line="266" w:lineRule="auto"/>
        <w:rPr>
          <w:sz w:val="20"/>
          <w:szCs w:val="20"/>
          <w:color w:val="auto"/>
        </w:rPr>
      </w:pPr>
      <w:r>
        <w:rPr>
          <w:rFonts w:ascii="Arial" w:cs="Arial" w:eastAsia="Arial" w:hAnsi="Arial"/>
          <w:sz w:val="18"/>
          <w:szCs w:val="18"/>
          <w:b w:val="1"/>
          <w:bCs w:val="1"/>
          <w:color w:val="auto"/>
        </w:rPr>
        <w:t xml:space="preserve">5.10 TERMINATION OF EMPLOYMENT OR SERVICE </w:t>
      </w:r>
      <w:r>
        <w:rPr>
          <w:rFonts w:ascii="Arial" w:cs="Arial" w:eastAsia="Arial" w:hAnsi="Arial"/>
          <w:sz w:val="18"/>
          <w:szCs w:val="18"/>
          <w:color w:val="auto"/>
        </w:rPr>
        <w:t>- If an Eligible Person’s employment with or service to the Company or to any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for any reason, his or her outstanding awards may thereafter be exercised (if at all) to the extent provided in the agreement evidencing such award, or as otherwise determined by the Committee.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5.11 DIVIDENDS AND DIVIDEND EQUIVALENTS </w:t>
      </w:r>
      <w:r>
        <w:rPr>
          <w:rFonts w:ascii="Arial" w:cs="Arial" w:eastAsia="Arial" w:hAnsi="Arial"/>
          <w:sz w:val="16"/>
          <w:szCs w:val="16"/>
          <w:color w:val="auto"/>
        </w:rPr>
        <w:t>- No dividend equivalents shall be granted in connection with stock options, stock appreciation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or other non-full value appreciation awards granted under this Plan on or after the Effective Date. Any cash dividend distributed with respect to a Share subject to a restricted stock award granted on or after the Effective Date shall be treated in the following manner as determined by the Committee in its sole discretion and set forth in the award agreement: (a) accrued and paid at such time, if any, as the underlying restricted stock to which it relates vests and settles;</w:t>
      </w:r>
    </w:p>
    <w:p>
      <w:pPr>
        <w:spacing w:after="0" w:line="3" w:lineRule="exact"/>
        <w:rPr>
          <w:sz w:val="20"/>
          <w:szCs w:val="20"/>
          <w:color w:val="auto"/>
        </w:rPr>
      </w:pPr>
    </w:p>
    <w:p>
      <w:pPr>
        <w:jc w:val="both"/>
        <w:ind w:firstLine="8"/>
        <w:spacing w:after="0" w:line="267" w:lineRule="auto"/>
        <w:tabs>
          <w:tab w:leader="none" w:pos="257"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reinvested in additional Shares (or restricted stock), based on the Fair Market Value on the dividend payment date, and paid at such time (or, in the case of additional shares of restricted stock, vest at such time), if any, as the underlying restricted stock to which it relates vests and settles; or (c) any combination of the foregoing. The Committee may provide that restricted stock units and other full-value awards (other than restricted stock) awarded under this Plan shall be entitled to an amount per unit equal in value to the cash dividend, if any, paid per Share on issued and outstanding Shares, on the dividend payment dates occurring during the period between the date on which the award is granted and the date on which such award is settled under this Plan (or such other period designated by the Committee). Any such paid amounts with respect to such awards granted on or after the Effective Date shall be treated in the following manner as determined by the Committee in its sole discretion and set forth in the award agreement: (i) accrued and paid at such time, if any, as the underlying award to which it relates vests and settles; (ii) reinvested in additional Shares, based on the Fair Market Value on the dividend payment date, and paid at such time, if any, as the underlying award to which it relates vests and settles; or (iii) any combination of the foregoing. Notwithstanding any preceding provision in this Section 5.11 to the contrary, any cash, stock, or other property distributed as a dividend or otherwise with respect to any restricted stock, restricted stock unit or other full-value award granted under this Plan on or after the Effective Date shall be subject to restrictions and risk of forfeiture to the same extent as the underlying restricted stock, restricted stock unit or other full-value award with respect to which such cash, stock or other property has been distributed.</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TERM OF PLAN</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amended and restated Plan was adopted by the Board on February 19, 2019, and is subject to approval by the Company’s stockholders at the 2019 annual meeting of the Company’s stockholders. If this amendment and restatement is not so approved by the stockholders, then this amendment and restatement shall be void </w:t>
      </w:r>
      <w:r>
        <w:rPr>
          <w:rFonts w:ascii="Arial" w:cs="Arial" w:eastAsia="Arial" w:hAnsi="Arial"/>
          <w:sz w:val="17"/>
          <w:szCs w:val="17"/>
          <w:i w:val="1"/>
          <w:iCs w:val="1"/>
          <w:color w:val="auto"/>
        </w:rPr>
        <w:t>ab initio</w:t>
      </w:r>
      <w:r>
        <w:rPr>
          <w:rFonts w:ascii="Arial" w:cs="Arial" w:eastAsia="Arial" w:hAnsi="Arial"/>
          <w:sz w:val="17"/>
          <w:szCs w:val="17"/>
          <w:color w:val="auto"/>
        </w:rPr>
        <w:t>, and the Prior Plan shall continue in effect as if this amendment and restatement had not occurred, and any awards previously granted under the Prior Plan shall continue in effect under the terms of the grant and the Prior Plan; provided, further, that thereafter awards may continue to be granted pursuant to the terms of the Prior Plan, as in effect prior to this amendment and restatement and as may be otherwise amended thereafter. This amended and restated Plan shall become effective on the Effective Date if it is approved on such date by the Company’s stockholders, and this Plan shall remain in effect, subject to the right of the Board to terminate this Plan at any time pursuant to Section 8.1, until all Shares subject to it shall have been purchased or acquired according to the provisions herein. However, in no event may an award be granted under this Plan on or after the tenth anniversary of the Effective Date. After this Plan is terminated, no future awards may be granted pursuant to this Plan, but awards previously granted shall remain outstanding in accordance with their applicable terms and conditions and this Plan’s terms and conditions. In addition, any then outstanding award may be amended thereafter in any manner that would have been permitted earlier, except that no such amendment shall increase the number of Shares subject to, comprising or referenced in the award or reduce the exercise or base price of an option or stock appreciation right or permit cash payments in an amount that exceeds the limits of Section 3 (as adjusted pursuant to Section 7.2).</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ADJUSTMENTS; CHANGE IN CONTROL</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7.1 CHANGE IN CONTROL; ACCELERATION AND TERMINATION OF AWARDS </w:t>
      </w:r>
      <w:r>
        <w:rPr>
          <w:rFonts w:ascii="Arial" w:cs="Arial" w:eastAsia="Arial" w:hAnsi="Arial"/>
          <w:sz w:val="18"/>
          <w:szCs w:val="18"/>
          <w:color w:val="auto"/>
        </w:rPr>
        <w:t>- Unless otherwise provided in an award agreement,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of a Change in Control:</w:t>
      </w:r>
    </w:p>
    <w:p>
      <w:pPr>
        <w:spacing w:after="0" w:line="112" w:lineRule="exact"/>
        <w:rPr>
          <w:sz w:val="20"/>
          <w:szCs w:val="20"/>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option and stock appreciation right shall become immediately exercisable and vested upon the termination of the participant’s employment or service on or after the date of the Change in Control and as a result of such event,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6" w:name="page17"/>
    <w:bookmarkEnd w:id="16"/>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restricted stock shall immediately vest free of restrictions upon the termination of the participant’s employment or service on or after the date of the Change in Control and as a result of such event,</w:t>
      </w:r>
    </w:p>
    <w:p>
      <w:pPr>
        <w:spacing w:after="0" w:line="11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award under Section 5.2 shall become payable to the participant upon the termination of the participant’s employment or service on or after the date of the Change in Control and as a result of such event, and the level of achievement of the applicable Performance Goals shall be determined by the Committee,</w:t>
      </w:r>
    </w:p>
    <w:p>
      <w:pPr>
        <w:spacing w:after="0" w:line="12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covered by each stock unit account shall be issued to the participant upon the termination of the participant’s employment or service on or after the date of the Change in Control and as a result of such event, and</w:t>
      </w:r>
    </w:p>
    <w:p>
      <w:pPr>
        <w:spacing w:after="0" w:line="116"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other rights of a participant under any other award will be accelerated to give the participant the benefit intended under any such award upon the termination of the participant’s employment or service on or after the date of the Change in Control and as a result of such event.</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Committee may override the provisions regarding acceleration in this Section 7.1 and may accord any Eligible Person a right to refuse any acceleration, whether pursuant to the award agreement or otherwise, in such circumstances as the Committee may approve. Any acceleration of awards shall comply with applicable legal and regulatory requirements, including the Nonqualified Deferred Compensation Rules.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option or other right to acquire Shares under this Plan has been fully accelerated as required or permitted by this Plan but is not exercised prior to (i) a dissolution of the Company, or (ii) an event described in this Section 7.1 that the Company does not survive, or (iii) the consummation of a Change in Control approved by the Board, such option or right will terminate, subject to any provision that has been expressly made by the Committee or the Board through a plan of reorganization approved by the Board or otherwise for the survival, substitution, assumption, exchange or other settlement of such option or right.</w:t>
      </w:r>
    </w:p>
    <w:p>
      <w:pPr>
        <w:spacing w:after="0" w:line="13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 xml:space="preserve">ADJUSTMENTS </w:t>
      </w:r>
      <w:r>
        <w:rPr>
          <w:rFonts w:ascii="Arial" w:cs="Arial" w:eastAsia="Arial" w:hAnsi="Arial"/>
          <w:sz w:val="17"/>
          <w:szCs w:val="17"/>
          <w:color w:val="auto"/>
        </w:rPr>
        <w:t>-</w:t>
      </w:r>
    </w:p>
    <w:p>
      <w:pPr>
        <w:spacing w:after="0" w:line="171" w:lineRule="exact"/>
        <w:rPr>
          <w:sz w:val="20"/>
          <w:szCs w:val="20"/>
          <w:color w:val="auto"/>
        </w:rPr>
      </w:pPr>
    </w:p>
    <w:p>
      <w:pPr>
        <w:jc w:val="both"/>
        <w:ind w:left="660"/>
        <w:spacing w:after="0" w:line="274" w:lineRule="auto"/>
        <w:rPr>
          <w:sz w:val="20"/>
          <w:szCs w:val="20"/>
          <w:color w:val="auto"/>
        </w:rPr>
      </w:pPr>
      <w:r>
        <w:rPr>
          <w:rFonts w:ascii="Arial" w:cs="Arial" w:eastAsia="Arial" w:hAnsi="Arial"/>
          <w:sz w:val="17"/>
          <w:szCs w:val="17"/>
          <w:b w:val="1"/>
          <w:bCs w:val="1"/>
          <w:color w:val="auto"/>
        </w:rPr>
        <w:t>7.2.1 ADJUSTMENTS GENERALLY</w:t>
      </w:r>
      <w:r>
        <w:rPr>
          <w:rFonts w:ascii="Arial" w:cs="Arial" w:eastAsia="Arial" w:hAnsi="Arial"/>
          <w:sz w:val="17"/>
          <w:szCs w:val="17"/>
          <w:color w:val="auto"/>
        </w:rPr>
        <w:t>. The following provisions will apply if any extraordinary dividend or other extraordinary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occurs in respect of the Shares (whether in the form of cash, Shares, other securities, or other property), or any reclassification, recapitalization, stock split (including a stock split in the form of a stock dividend), reverse stock split, reorganization, merger, combination, consolidation, split-up, spin-off, repurchase, or exchange of Shares or other securities of the Company, or any similar, unusual, infrequent or extraordinary corporate transaction (or event in respect of the Shares) or a sale of substantially all the assets of the Company as an entirety occurs. The Committee will, in such manner and to such extent (if any) as it deems appropriate and equitable:</w:t>
      </w:r>
    </w:p>
    <w:p>
      <w:pPr>
        <w:spacing w:after="0" w:line="124" w:lineRule="exact"/>
        <w:rPr>
          <w:sz w:val="20"/>
          <w:szCs w:val="20"/>
          <w:color w:val="auto"/>
        </w:rPr>
      </w:pPr>
    </w:p>
    <w:p>
      <w:pPr>
        <w:jc w:val="both"/>
        <w:ind w:left="660" w:hanging="4"/>
        <w:spacing w:after="0" w:line="276" w:lineRule="auto"/>
        <w:tabs>
          <w:tab w:leader="none" w:pos="10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proportionately adjust any or all of (i) the number and type of Shares (or other securities) that thereafter may be made the subject of awards (including the specific maxima and numbers of shares set forth elsewhere in this Plan and the individual award limitations set forth in Section 3), (ii) the number, amount and type of shares (or other securities or property) subject to any or all outstanding awards, (iii) the grant, purchase, or exercise price of any or all outstanding awards, (iv) the securities, cash or other property deliverable upon exercise of any outstanding awards, or (v) the Performance Goals or Performance Objectives appropriate to any outstanding awards, or</w:t>
      </w:r>
    </w:p>
    <w:p>
      <w:pPr>
        <w:spacing w:after="0" w:line="118" w:lineRule="exact"/>
        <w:rPr>
          <w:rFonts w:ascii="Arial" w:cs="Arial" w:eastAsia="Arial" w:hAnsi="Arial"/>
          <w:sz w:val="17"/>
          <w:szCs w:val="17"/>
          <w:color w:val="auto"/>
        </w:rPr>
      </w:pPr>
    </w:p>
    <w:p>
      <w:pPr>
        <w:jc w:val="both"/>
        <w:ind w:left="660" w:hanging="4"/>
        <w:spacing w:after="0" w:line="259" w:lineRule="auto"/>
        <w:tabs>
          <w:tab w:leader="none" w:pos="12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an extraordinary dividend or other distribution, recapitalization, reclassification, merger, reorganization, consolidation, combination, sale of assets, split-up, exchange, or spin-off, make provision for a cash payment or for the substitution or exchange of any or all outstanding awards or the cash, securities or property deliverable to the holder of any or all outstanding awards based upon the distribution or consideration payable to holders of the Shares of the Company upon or in respect of such event.</w:t>
      </w:r>
    </w:p>
    <w:p>
      <w:pPr>
        <w:spacing w:after="0" w:line="12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7.2.2 EQUITY RESTRUCTURING </w:t>
      </w:r>
      <w:r>
        <w:rPr>
          <w:rFonts w:ascii="Arial" w:cs="Arial" w:eastAsia="Arial" w:hAnsi="Arial"/>
          <w:sz w:val="18"/>
          <w:szCs w:val="18"/>
          <w:color w:val="auto"/>
        </w:rPr>
        <w:t>- If the Company recapitalizes, reclassifies its capital stock or otherwise changes its capital structure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change or event occurs that constitutes an “equity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7" w:name="page18"/>
    <w:bookmarkEnd w:id="17"/>
    <w:p>
      <w:pPr>
        <w:jc w:val="both"/>
        <w:ind w:left="660"/>
        <w:spacing w:after="0" w:line="272" w:lineRule="auto"/>
        <w:rPr>
          <w:sz w:val="20"/>
          <w:szCs w:val="20"/>
          <w:color w:val="auto"/>
        </w:rPr>
      </w:pPr>
      <w:r>
        <w:rPr>
          <w:rFonts w:ascii="Arial" w:cs="Arial" w:eastAsia="Arial" w:hAnsi="Arial"/>
          <w:sz w:val="17"/>
          <w:szCs w:val="17"/>
          <w:color w:val="auto"/>
        </w:rPr>
        <w:t xml:space="preserve">restructuring” pursuant to Accounting Standards Codification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or any successor accounting standard (a “</w:t>
      </w:r>
      <w:r>
        <w:rPr>
          <w:rFonts w:ascii="Arial" w:cs="Arial" w:eastAsia="Arial" w:hAnsi="Arial"/>
          <w:sz w:val="17"/>
          <w:szCs w:val="17"/>
          <w:b w:val="1"/>
          <w:bCs w:val="1"/>
          <w:i w:val="1"/>
          <w:iCs w:val="1"/>
          <w:color w:val="auto"/>
        </w:rPr>
        <w:t>recapitalization</w:t>
      </w:r>
      <w:r>
        <w:rPr>
          <w:rFonts w:ascii="Arial" w:cs="Arial" w:eastAsia="Arial" w:hAnsi="Arial"/>
          <w:sz w:val="17"/>
          <w:szCs w:val="17"/>
          <w:color w:val="auto"/>
        </w:rPr>
        <w:t>”), (a) the Committee shall equitably adjust the number and class of Shares (or other securities or property) covered by each outstanding award and the terms and conditions, including the exercise price and performance criteria (if any), of such award to equitably reflect such recapitalization and shall adjust the number and class of Shares (or other securities or property) with respect to which awards may be granted after such recapitalization and (b) the Committee shall make a corresponding and proportionate adjustment with respect to the maximum number of Shares (or other securities) that may be delivered with respect to awards under this Plan as provided in Section 3, the individual award limitations set forth in Section 3 and the class of Shares (or other securities) available for grant under this Plan.</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PLAN AMENDMENT AND TERMINATION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8.1 AUTHORITY OF THE BOARD </w:t>
      </w:r>
      <w:r>
        <w:rPr>
          <w:rFonts w:ascii="Arial" w:cs="Arial" w:eastAsia="Arial" w:hAnsi="Arial"/>
          <w:sz w:val="18"/>
          <w:szCs w:val="18"/>
          <w:color w:val="auto"/>
        </w:rPr>
        <w:t>- Subject to Section 8.2, the Board may amend or terminate this Plan at any time and in any manner;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amendments shall be subject to the approval of the Company’s stockholders if such stockholder approval is required by any federal or state law or regulation or the rules of any stock exchange or automated quotation system on which the Shares may then be listed or quoted (and such approval shall be obtained in accordance with the requirements of such laws, regulations and rules).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8.2 RESTRICTIONS </w:t>
      </w:r>
      <w:r>
        <w:rPr>
          <w:rFonts w:ascii="Arial" w:cs="Arial" w:eastAsia="Arial" w:hAnsi="Arial"/>
          <w:sz w:val="18"/>
          <w:szCs w:val="18"/>
          <w:color w:val="auto"/>
        </w:rPr>
        <w:t>- No amendment or termination of this Plan or change in or affecting any outstanding award shall deprive in any material respect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without the consent of the holder, of any of his or her rights or benefits under or with respect to the award. Adjustments contemplated by Section 7 shall not be deemed to constitute a change requiring such consent.</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LEGAL MATTERS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9.1 COMPLIANCE AND CHOICE OF LAW; SEVERABILITY </w:t>
      </w:r>
      <w:r>
        <w:rPr>
          <w:rFonts w:ascii="Arial" w:cs="Arial" w:eastAsia="Arial" w:hAnsi="Arial"/>
          <w:sz w:val="17"/>
          <w:szCs w:val="17"/>
          <w:color w:val="auto"/>
        </w:rPr>
        <w:t>- This Plan, the granting and vesting of awards under this Plan and the issuance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Shares and/or the payment of money under this Plan or under awards granted hereunder are subject to compliance with all applicable federal and state laws, rules and regulations and to such approvals by any listing, regulatory or governmental authority as may, in the opinion of counsel for the Company, be necessary or advisable in connection therewith. This Plan, the awards, all documents evidencing awards and all other related documents shall be governed by, and construed in accordance with the laws of the state of Delaware. If any provision shall be held by a court of competent jurisdiction to be invalid and unenforceable, the remaining provisions of this Plan shall continue in effect.</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9.2 NO RIGHT TO AN AWARD </w:t>
      </w:r>
      <w:r>
        <w:rPr>
          <w:rFonts w:ascii="Arial" w:cs="Arial" w:eastAsia="Arial" w:hAnsi="Arial"/>
          <w:sz w:val="18"/>
          <w:szCs w:val="18"/>
          <w:color w:val="auto"/>
        </w:rPr>
        <w:t>- Neither the adoption of this Plan nor any action of the Board or of the Committee shall be deemed to give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any right to be granted an award or any other rights hereunder except as may be evidenced by an award agreement duly executed on behalf of the Company, and then only to the extent and on the terms and conditions expressly set forth therein.</w:t>
      </w:r>
    </w:p>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9.3 NON-EXCLUSIVITY OF PLAN </w:t>
      </w:r>
      <w:r>
        <w:rPr>
          <w:rFonts w:ascii="Arial" w:cs="Arial" w:eastAsia="Arial" w:hAnsi="Arial"/>
          <w:sz w:val="18"/>
          <w:szCs w:val="18"/>
          <w:color w:val="auto"/>
        </w:rPr>
        <w:t>- Nothing in this Plan shall limit or be deemed to limit the authority of the Board or the Committee to grant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or authorize any other compensation, with or without reference to the Shares, under any other plan or authority.</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9.4 NO EMPLOYMENT RIGHTS CONFERRED </w:t>
      </w:r>
      <w:r>
        <w:rPr>
          <w:rFonts w:ascii="Arial" w:cs="Arial" w:eastAsia="Arial" w:hAnsi="Arial"/>
          <w:sz w:val="18"/>
          <w:szCs w:val="18"/>
          <w:color w:val="auto"/>
        </w:rPr>
        <w:t>- Nothing contained in this Plan (or in any other documents relating to this Plan or to any award)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confer upon any Eligible Person or other participant any right to continue in the employ or other service of the Company or any Affiliate or constitute any contract or agreement of employment or other service, nor shall interfere in any way with the right of the Company or any Affiliate to change such person’s compensation or other benefits or to terminate the employment of such person, with or without cause.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MISCELLANEOUS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10.1 UNFUNDED PLAN </w:t>
      </w:r>
      <w:r>
        <w:rPr>
          <w:rFonts w:ascii="Arial" w:cs="Arial" w:eastAsia="Arial" w:hAnsi="Arial"/>
          <w:sz w:val="18"/>
          <w:szCs w:val="18"/>
          <w:color w:val="auto"/>
        </w:rPr>
        <w:t>- Unless otherwise determined by the Committee, this Plan shall be unfunded and shall not create (or be construed to create) a</w:t>
      </w:r>
      <w:r>
        <w:rPr>
          <w:rFonts w:ascii="Arial" w:cs="Arial" w:eastAsia="Arial" w:hAnsi="Arial"/>
          <w:sz w:val="18"/>
          <w:szCs w:val="18"/>
          <w:b w:val="1"/>
          <w:bCs w:val="1"/>
          <w:color w:val="auto"/>
        </w:rPr>
        <w:t xml:space="preserve"> </w:t>
      </w:r>
      <w:r>
        <w:rPr>
          <w:rFonts w:ascii="Arial" w:cs="Arial" w:eastAsia="Arial" w:hAnsi="Arial"/>
          <w:sz w:val="18"/>
          <w:szCs w:val="18"/>
          <w:color w:val="auto"/>
        </w:rPr>
        <w:t>trust or a separate fund or funds. This Plan shall not establish any fiduciary relationship between the Company or any Affiliate and any participant or other person. To the extent any person holds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any rights by virtue of awards granted under this Plan, such rights shall be no greater than the rights of an unsecured general creditor of the Company.</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10.2 AWARDS NOT COMPENSATION </w:t>
      </w:r>
      <w:r>
        <w:rPr>
          <w:rFonts w:ascii="Arial" w:cs="Arial" w:eastAsia="Arial" w:hAnsi="Arial"/>
          <w:sz w:val="18"/>
          <w:szCs w:val="18"/>
          <w:color w:val="auto"/>
        </w:rPr>
        <w:t>- Unless otherwise determined by the Committee, settlements of awards received by participants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part of a participant’s regular, recurring compensation for purposes of calculating payments or benefits from any Company benefit plan, severance program or severance pay law of any country.</w:t>
      </w:r>
    </w:p>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10.3 FRACTIONAL SHARES </w:t>
      </w:r>
      <w:r>
        <w:rPr>
          <w:rFonts w:ascii="Arial" w:cs="Arial" w:eastAsia="Arial" w:hAnsi="Arial"/>
          <w:sz w:val="18"/>
          <w:szCs w:val="18"/>
          <w:color w:val="auto"/>
        </w:rPr>
        <w:t>- The Company shall not be required to issue any fractional Shares pursuant to this Plan. The Committee may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elimination of fractions or for the settlement thereof in cash.</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10.4 COMPLIANCE WITH SECURITIES LAWS </w:t>
      </w:r>
      <w:r>
        <w:rPr>
          <w:rFonts w:ascii="Arial" w:cs="Arial" w:eastAsia="Arial" w:hAnsi="Arial"/>
          <w:sz w:val="18"/>
          <w:szCs w:val="18"/>
          <w:color w:val="auto"/>
        </w:rPr>
        <w:t>- Nothing herein or in any award granted hereunder shall require the Company to issue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award if that issuance would, in the opinion of counsel for the Company, constitute a violation of the Securities Act of 1933, as amended, or any similar or superseding statute or statutes, any other applicable statute or regulation, or the rules of any applicable securities exchange or securities association, as then in effect.</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10.5 CLAWBACK </w:t>
      </w:r>
      <w:r>
        <w:rPr>
          <w:rFonts w:ascii="Arial" w:cs="Arial" w:eastAsia="Arial" w:hAnsi="Arial"/>
          <w:sz w:val="17"/>
          <w:szCs w:val="17"/>
          <w:color w:val="auto"/>
        </w:rPr>
        <w:t>- To the extent required by applicable law or any applicable securities exchange listing standards, or as otherwise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or Committee, awards and amounts paid or payable pursuant to or with respect to awards shall be subject to the provisions of any applicable clawback policies or procedures adopted by the Company, which clawback policies or procedures may provide for forfeiture, repurchase and/or recoupment of awards and amounts paid or payable pursuant to or with respect to awards. Notwithstanding any provision of this Plan or any award agreement to the contrary, the Company reserves the right, without the consent of any participant or beneficiary of any award, to adopt any such clawback policies and procedures, including such policies and procedures applicable to this Plan or any award agreement with retroactive effect.</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10.6 SECTION 409A </w:t>
      </w:r>
      <w:r>
        <w:rPr>
          <w:rFonts w:ascii="Arial" w:cs="Arial" w:eastAsia="Arial" w:hAnsi="Arial"/>
          <w:sz w:val="16"/>
          <w:szCs w:val="16"/>
          <w:color w:val="auto"/>
        </w:rPr>
        <w:t>- In the event that any award granted pursuant to this Plan provides for a deferral of compensation within the meaning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Nonqualified Deferred Compensation Rules, it is the general intention, but not the obligation, of the Company to design such award to comply with the Nonqualified Deferred Compensation Rules and such award should be interpreted accordingly. Notwithstanding anything in this Plan to the contrary, to the extent that the Committee determines that any award under this Plan may be subject to the Nonqualified Deferred Compensation Rules, the Committee may, without a participant’s consent, adopt such amendments to this Plan and the applicable award agreement or take any other actions (including amendments and actions with retroactive effect), that the Committee, in its sole discretion, determines are necessary or appropriate to preserve the intended tax treatment of the award, including, without limitation, actions intended to (a) exempt such award from the Nonqualified Deferred Compensation Rules, or (b) comply with the requirements of the Nonqualified Deferred Compensation Rules;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in this Section 10.6 shall create any obligation on the part of the Company or any Affiliate to adopt any such amendment or take any other such action or any liability for any failure to do so. Notwithstanding anything herein to the contrary, in no event shall the Company or any Affiliate have any obligation to indemnify or otherwise compensate any participant for any taxes or interest imposed under the Nonqualified Deferred Compensation Rules or similar provisions of state or foreign law.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9" w:name="page20"/>
    <w:bookmarkEnd w:id="19"/>
    <w:p>
      <w:pPr>
        <w:ind w:left="1056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120904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extLst>
                    </a:blip>
                    <a:srcRect/>
                    <a:stretch>
                      <a:fillRect/>
                    </a:stretch>
                  </pic:blipFill>
                  <pic:spPr bwMode="auto">
                    <a:xfrm>
                      <a:off x="0" y="0"/>
                      <a:ext cx="1209040" cy="13716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May 9,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27200 Tourney Road, Suite 315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California 91355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36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have acted as counsel for California Resources Corporation, a Delaware corporation (the “Company”), in connection with the Company’s registration under the Securities Act of 1933, as amended (the “Act”), of the offer and sale of up to an aggregate of 2,575,000 shares of the Company’s common stock, par value $0.01 per share (the “Shares”), pursuant to the Company’s registration statement on Form S-8 (the “Registration Statement”) to be filed with the Securities and Exchange Commission on May 9, 2019, which Shares may be issued from time to time in accordance with the terms of the California Resources Corporation Long-Term Incentive Plan (as amended from time to time, the “Plan”).</w:t>
      </w:r>
    </w:p>
    <w:p>
      <w:pPr>
        <w:spacing w:after="0" w:line="30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 (iv) such other certificates, instruments, and documents as we have considered necessary for purposes of this opinion. As to any facts material to our opinions, we have made no independent investigation or verification of such facts and have relied, to the extent that we deem such reliance proper, upon certificates of public officials and officers or other representatives of the Company.</w:t>
      </w:r>
    </w:p>
    <w:p>
      <w:pPr>
        <w:spacing w:after="0" w:line="32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Shares will be issued in accordance with the terms of the Plan.</w:t>
      </w:r>
    </w:p>
    <w:p>
      <w:pPr>
        <w:spacing w:after="0" w:line="32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Based on the foregoing and subject to the limitations set forth herein, and having due regard for the legal considerations we deem relevant, we are of the opinion that the Shares have been duly authorized and, when the Shares are issued by the Company in accordance with the terms of the Plan and the instruments executed pursuant to the Plan, as applicable, the Shares will be validly issued, fully paid and non-assessable.</w:t>
      </w:r>
    </w:p>
    <w:p>
      <w:pPr>
        <w:spacing w:after="0" w:line="301"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This opinion is limited in all respects to the General Corporation Law of the State of Delaware.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this letter or advise you of any change in any matter after the date hereof.</w:t>
      </w:r>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151"/>
        </w:trPr>
        <w:tc>
          <w:tcPr>
            <w:tcW w:w="4580" w:type="dxa"/>
            <w:vAlign w:val="bottom"/>
          </w:tcPr>
          <w:p>
            <w:pPr>
              <w:spacing w:after="0"/>
              <w:rPr>
                <w:sz w:val="20"/>
                <w:szCs w:val="20"/>
                <w:color w:val="auto"/>
              </w:rPr>
            </w:pPr>
            <w:r>
              <w:rPr>
                <w:rFonts w:ascii="Arial" w:cs="Arial" w:eastAsia="Arial" w:hAnsi="Arial"/>
                <w:sz w:val="13"/>
                <w:szCs w:val="13"/>
                <w:b w:val="1"/>
                <w:bCs w:val="1"/>
                <w:color w:val="auto"/>
              </w:rPr>
              <w:t>Vinson &amp; Elkins LLP Attorneys at Law</w:t>
            </w:r>
          </w:p>
        </w:tc>
        <w:tc>
          <w:tcPr>
            <w:tcW w:w="4520" w:type="dxa"/>
            <w:vAlign w:val="bottom"/>
            <w:vMerge w:val="restart"/>
          </w:tcPr>
          <w:p>
            <w:pPr>
              <w:ind w:left="1100"/>
              <w:spacing w:after="0"/>
              <w:rPr>
                <w:sz w:val="20"/>
                <w:szCs w:val="20"/>
                <w:color w:val="auto"/>
              </w:rPr>
            </w:pPr>
            <w:r>
              <w:rPr>
                <w:rFonts w:ascii="Arial" w:cs="Arial" w:eastAsia="Arial" w:hAnsi="Arial"/>
                <w:sz w:val="13"/>
                <w:szCs w:val="13"/>
                <w:color w:val="auto"/>
              </w:rPr>
              <w:t>Trammell Crow Center, 2001 Ross Avenue, Suite 3700</w:t>
            </w:r>
          </w:p>
        </w:tc>
        <w:tc>
          <w:tcPr>
            <w:tcW w:w="0" w:type="dxa"/>
            <w:vAlign w:val="bottom"/>
          </w:tcPr>
          <w:p>
            <w:pPr>
              <w:spacing w:after="0"/>
              <w:rPr>
                <w:sz w:val="1"/>
                <w:szCs w:val="1"/>
                <w:color w:val="auto"/>
              </w:rPr>
            </w:pPr>
          </w:p>
        </w:tc>
      </w:tr>
      <w:tr>
        <w:trPr>
          <w:trHeight w:val="81"/>
        </w:trPr>
        <w:tc>
          <w:tcPr>
            <w:tcW w:w="4580" w:type="dxa"/>
            <w:vAlign w:val="bottom"/>
            <w:vMerge w:val="restart"/>
          </w:tcPr>
          <w:p>
            <w:pPr>
              <w:spacing w:after="0" w:line="135" w:lineRule="exact"/>
              <w:rPr>
                <w:sz w:val="20"/>
                <w:szCs w:val="20"/>
                <w:color w:val="auto"/>
              </w:rPr>
            </w:pPr>
            <w:r>
              <w:rPr>
                <w:rFonts w:ascii="Arial" w:cs="Arial" w:eastAsia="Arial" w:hAnsi="Arial"/>
                <w:sz w:val="13"/>
                <w:szCs w:val="13"/>
                <w:color w:val="auto"/>
              </w:rPr>
              <w:t>Austin Beijing Dallas Dubai Hong Kong Houston London</w:t>
            </w:r>
          </w:p>
        </w:tc>
        <w:tc>
          <w:tcPr>
            <w:tcW w:w="4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580" w:type="dxa"/>
            <w:vAlign w:val="bottom"/>
            <w:vMerge w:val="continue"/>
          </w:tcPr>
          <w:p>
            <w:pPr>
              <w:spacing w:after="0"/>
              <w:rPr>
                <w:sz w:val="4"/>
                <w:szCs w:val="4"/>
                <w:color w:val="auto"/>
              </w:rPr>
            </w:pPr>
          </w:p>
        </w:tc>
        <w:tc>
          <w:tcPr>
            <w:tcW w:w="4520" w:type="dxa"/>
            <w:vAlign w:val="bottom"/>
            <w:vMerge w:val="restart"/>
          </w:tcPr>
          <w:p>
            <w:pPr>
              <w:ind w:left="1100"/>
              <w:spacing w:after="0" w:line="119" w:lineRule="exact"/>
              <w:rPr>
                <w:sz w:val="20"/>
                <w:szCs w:val="20"/>
                <w:color w:val="auto"/>
              </w:rPr>
            </w:pPr>
            <w:r>
              <w:rPr>
                <w:rFonts w:ascii="Arial" w:cs="Arial" w:eastAsia="Arial" w:hAnsi="Arial"/>
                <w:sz w:val="13"/>
                <w:szCs w:val="13"/>
                <w:color w:val="auto"/>
              </w:rPr>
              <w:t>Dallas, TX 75201-2975</w:t>
            </w:r>
          </w:p>
        </w:tc>
        <w:tc>
          <w:tcPr>
            <w:tcW w:w="0" w:type="dxa"/>
            <w:vAlign w:val="bottom"/>
          </w:tcPr>
          <w:p>
            <w:pPr>
              <w:spacing w:after="0"/>
              <w:rPr>
                <w:sz w:val="1"/>
                <w:szCs w:val="1"/>
                <w:color w:val="auto"/>
              </w:rPr>
            </w:pPr>
          </w:p>
        </w:tc>
      </w:tr>
      <w:tr>
        <w:trPr>
          <w:trHeight w:val="65"/>
        </w:trPr>
        <w:tc>
          <w:tcPr>
            <w:tcW w:w="4580" w:type="dxa"/>
            <w:vAlign w:val="bottom"/>
            <w:vMerge w:val="restart"/>
          </w:tcPr>
          <w:p>
            <w:pPr>
              <w:spacing w:after="0"/>
              <w:rPr>
                <w:sz w:val="20"/>
                <w:szCs w:val="20"/>
                <w:color w:val="auto"/>
              </w:rPr>
            </w:pPr>
            <w:r>
              <w:rPr>
                <w:rFonts w:ascii="Arial" w:cs="Arial" w:eastAsia="Arial" w:hAnsi="Arial"/>
                <w:sz w:val="13"/>
                <w:szCs w:val="13"/>
                <w:color w:val="auto"/>
              </w:rPr>
              <w:t>New York Richmond Riyadh San Francisco Tokyo Washington</w:t>
            </w:r>
          </w:p>
        </w:tc>
        <w:tc>
          <w:tcPr>
            <w:tcW w:w="4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4580" w:type="dxa"/>
            <w:vAlign w:val="bottom"/>
            <w:vMerge w:val="continue"/>
          </w:tcPr>
          <w:p>
            <w:pPr>
              <w:spacing w:after="0"/>
              <w:rPr>
                <w:sz w:val="7"/>
                <w:szCs w:val="7"/>
                <w:color w:val="auto"/>
              </w:rPr>
            </w:pPr>
          </w:p>
        </w:tc>
        <w:tc>
          <w:tcPr>
            <w:tcW w:w="4520" w:type="dxa"/>
            <w:vAlign w:val="bottom"/>
            <w:vMerge w:val="restart"/>
          </w:tcPr>
          <w:p>
            <w:pPr>
              <w:ind w:left="1100"/>
              <w:spacing w:after="0"/>
              <w:rPr>
                <w:sz w:val="20"/>
                <w:szCs w:val="20"/>
                <w:color w:val="auto"/>
              </w:rPr>
            </w:pPr>
            <w:r>
              <w:rPr>
                <w:rFonts w:ascii="Arial" w:cs="Arial" w:eastAsia="Arial" w:hAnsi="Arial"/>
                <w:sz w:val="13"/>
                <w:szCs w:val="13"/>
                <w:b w:val="1"/>
                <w:bCs w:val="1"/>
                <w:color w:val="auto"/>
                <w:w w:val="96"/>
              </w:rPr>
              <w:t xml:space="preserve">Tel </w:t>
            </w:r>
            <w:r>
              <w:rPr>
                <w:rFonts w:ascii="Arial" w:cs="Arial" w:eastAsia="Arial" w:hAnsi="Arial"/>
                <w:sz w:val="13"/>
                <w:szCs w:val="13"/>
                <w:color w:val="auto"/>
                <w:w w:val="96"/>
              </w:rPr>
              <w:t>+1.214.220.7700</w:t>
            </w:r>
            <w:r>
              <w:rPr>
                <w:rFonts w:ascii="Arial" w:cs="Arial" w:eastAsia="Arial" w:hAnsi="Arial"/>
                <w:sz w:val="13"/>
                <w:szCs w:val="13"/>
                <w:b w:val="1"/>
                <w:bCs w:val="1"/>
                <w:color w:val="auto"/>
                <w:w w:val="96"/>
              </w:rPr>
              <w:t xml:space="preserve"> Fax </w:t>
            </w:r>
            <w:r>
              <w:rPr>
                <w:rFonts w:ascii="Arial" w:cs="Arial" w:eastAsia="Arial" w:hAnsi="Arial"/>
                <w:sz w:val="13"/>
                <w:szCs w:val="13"/>
                <w:color w:val="auto"/>
                <w:w w:val="96"/>
              </w:rPr>
              <w:t>+1.214.220.7716</w:t>
            </w:r>
            <w:r>
              <w:rPr>
                <w:rFonts w:ascii="Arial" w:cs="Arial" w:eastAsia="Arial" w:hAnsi="Arial"/>
                <w:sz w:val="13"/>
                <w:szCs w:val="13"/>
                <w:b w:val="1"/>
                <w:bCs w:val="1"/>
                <w:color w:val="auto"/>
                <w:w w:val="96"/>
              </w:rPr>
              <w:t xml:space="preserve"> www.velaw.com</w:t>
            </w:r>
          </w:p>
        </w:tc>
        <w:tc>
          <w:tcPr>
            <w:tcW w:w="0" w:type="dxa"/>
            <w:vAlign w:val="bottom"/>
          </w:tcPr>
          <w:p>
            <w:pPr>
              <w:spacing w:after="0"/>
              <w:rPr>
                <w:sz w:val="1"/>
                <w:szCs w:val="1"/>
                <w:color w:val="auto"/>
              </w:rPr>
            </w:pPr>
          </w:p>
        </w:tc>
      </w:tr>
      <w:tr>
        <w:trPr>
          <w:trHeight w:val="81"/>
        </w:trPr>
        <w:tc>
          <w:tcPr>
            <w:tcW w:w="4580" w:type="dxa"/>
            <w:vAlign w:val="bottom"/>
          </w:tcPr>
          <w:p>
            <w:pPr>
              <w:spacing w:after="0"/>
              <w:rPr>
                <w:sz w:val="7"/>
                <w:szCs w:val="7"/>
                <w:color w:val="auto"/>
              </w:rPr>
            </w:pPr>
          </w:p>
        </w:tc>
        <w:tc>
          <w:tcPr>
            <w:tcW w:w="4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20" w:name="page21"/>
    <w:bookmarkEnd w:id="20"/>
    <w:p>
      <w:pPr>
        <w:ind w:left="10260"/>
        <w:spacing w:after="0"/>
        <w:rPr>
          <w:sz w:val="20"/>
          <w:szCs w:val="20"/>
          <w:color w:val="auto"/>
        </w:rPr>
      </w:pPr>
      <w:r>
        <w:rPr>
          <w:rFonts w:ascii="Arial" w:cs="Arial" w:eastAsia="Arial" w:hAnsi="Arial"/>
          <w:sz w:val="12"/>
          <w:szCs w:val="12"/>
          <w:color w:val="auto"/>
        </w:rPr>
        <w:t>May 9, 2019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-83185</wp:posOffset>
            </wp:positionV>
            <wp:extent cx="42862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opinion may be filed as an exhibit to the Registration Statement. In giving this consent, we do not thereby admit that we come within the category of persons whose consent is required under Section 7 of the Act.</w:t>
      </w:r>
    </w:p>
    <w:p>
      <w:pPr>
        <w:spacing w:after="0" w:line="13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Vinson &amp; Elkins L.L.P.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400"/>
          </w:cols>
          <w:pgMar w:left="240" w:top="755" w:right="259" w:bottom="1440" w:gutter="0" w:footer="0" w:header="0"/>
        </w:sectPr>
      </w:pPr>
    </w:p>
    <w:bookmarkStart w:id="21" w:name="page22"/>
    <w:bookmarkEnd w:id="21"/>
    <w:p>
      <w:pPr>
        <w:jc w:val="right"/>
        <w:spacing w:after="0"/>
        <w:rPr>
          <w:sz w:val="20"/>
          <w:szCs w:val="20"/>
          <w:color w:val="auto"/>
        </w:rPr>
      </w:pPr>
      <w:r>
        <w:rPr>
          <w:rFonts w:ascii="Arial" w:cs="Arial" w:eastAsia="Arial" w:hAnsi="Arial"/>
          <w:sz w:val="20"/>
          <w:szCs w:val="20"/>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035935" cy="977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extLst>
                    </a:blip>
                    <a:srcRect/>
                    <a:stretch>
                      <a:fillRect/>
                    </a:stretch>
                  </pic:blipFill>
                  <pic:spPr bwMode="auto">
                    <a:xfrm>
                      <a:off x="0" y="0"/>
                      <a:ext cx="303593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8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consent to the use of our report dated February 27, 2019, with respect to the consolidated balance sheets of California Resources Corporation and subsidiaries as of December 31, 2018 and 2017, the related consolidated statements of operations, comprehensive income, equity, and cash flows for each of the years in the three-year period ended December 31, 2018, and the related notes (collectively, the consolidated financial statements), and the effectiveness of internal control over financial reporting as of December 31, 2018, incorporated herein by reference.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2019</w:t>
      </w:r>
    </w:p>
    <w:p>
      <w:pPr>
        <w:sectPr>
          <w:pgSz w:w="11900" w:h="16838" w:orient="portrait"/>
          <w:cols w:equalWidth="0" w:num="1">
            <w:col w:w="11420"/>
          </w:cols>
          <w:pgMar w:left="240" w:top="576"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883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consent to the incorporation by reference in the Registration Statement (Form S-8) pertaining to the California Resources Corporation Long-Term Incentive Plan, as amended, of references to our name and to our letter dated February 13, 2019, relating to our audit of California Resources Corporation’s 2018 oil and gas proved reserves, included in California Resources Corporation’s Form 10-K (001-36478), filed with the Securities and Exchange Commission on February 27, 2019.</w:t>
      </w: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Ryder Scott Company, L.P.</w:t>
      </w: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RYDER SCOTT COMPANY, L.P.</w:t>
      </w:r>
    </w:p>
    <w:p>
      <w:pPr>
        <w:spacing w:after="0" w:line="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2059940</wp:posOffset>
            </wp:positionV>
            <wp:extent cx="584898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extLst>
                    </a:blip>
                    <a:srcRect/>
                    <a:stretch>
                      <a:fillRect/>
                    </a:stretch>
                  </pic:blipFill>
                  <pic:spPr bwMode="auto">
                    <a:xfrm>
                      <a:off x="0" y="0"/>
                      <a:ext cx="5848985" cy="56578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3"/>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6"/>
    </w:lvl>
  </w:abstractNum>
  <w:abstractNum w:abstractNumId="6">
    <w:nsid w:val="1F16E9E8"/>
    <w:multiLevelType w:val="hybridMultilevel"/>
    <w:lvl w:ilvl="0">
      <w:lvlJc w:val="left"/>
      <w:lvlText w:val="(%1)"/>
      <w:numFmt w:val="lowerLetter"/>
      <w:start w:val="1"/>
    </w:lvl>
    <w:lvl w:ilvl="1">
      <w:lvlJc w:val="left"/>
      <w:lvlText w:val="(%2)"/>
      <w:numFmt w:val="lowerRoman"/>
      <w:start w:val="1"/>
    </w:lvl>
  </w:abstractNum>
  <w:abstractNum w:abstractNumId="7">
    <w:nsid w:val="1190CDE7"/>
    <w:multiLevelType w:val="hybridMultilevel"/>
    <w:lvl w:ilvl="0">
      <w:lvlJc w:val="left"/>
      <w:lvlText w:val="(%1)"/>
      <w:numFmt w:val="lowerLetter"/>
      <w:start w:val="4"/>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4" Type="http://schemas.openxmlformats.org/officeDocument/2006/relationships/image" Target="media/image3.png"/><Relationship Id="rId33" Type="http://schemas.openxmlformats.org/officeDocument/2006/relationships/image" Target="media/image4.jpeg"/><Relationship Id="rId34" Type="http://schemas.openxmlformats.org/officeDocument/2006/relationships/image" Target="media/image5.jpeg"/><Relationship Id="rId35" Type="http://schemas.openxmlformats.org/officeDocument/2006/relationships/image" Target="media/image6.jpeg"/><Relationship Id="rId36" Type="http://schemas.openxmlformats.org/officeDocument/2006/relationships/image" Target="media/image7.jpeg"/><Relationship Id="rId37" Type="http://schemas.openxmlformats.org/officeDocument/2006/relationships/image" Target="media/image8.jpeg"/><Relationship Id="rId10" Type="http://schemas.openxmlformats.org/officeDocument/2006/relationships/hyperlink" Target="http://www.sec.gov/Archives/edgar/data/1609253/000160925316000271/exhibit31.htm" TargetMode="External"/><Relationship Id="rId11" Type="http://schemas.openxmlformats.org/officeDocument/2006/relationships/hyperlink" Target="http://www.sec.gov/Archives/edgar/data/1609253/000160925315000168/exhibit32amendedandrestate.htm" TargetMode="External"/><Relationship Id="rId12" Type="http://schemas.openxmlformats.org/officeDocument/2006/relationships/hyperlink" Target="http://www.sec.gov/Archives/edgar/data/1609253/000104746914007767/a2221365zex-10_6.htm" TargetMode="External"/><Relationship Id="rId13" Type="http://schemas.openxmlformats.org/officeDocument/2006/relationships/hyperlink" Target="http://www.sec.gov/Archives/edgar/data/1609253/000104746914007767/a2221365zex-10_8.htm" TargetMode="External"/><Relationship Id="rId14" Type="http://schemas.openxmlformats.org/officeDocument/2006/relationships/hyperlink" Target="http://www.sec.gov/Archives/edgar/data/1609253/000104746914007767/a2221365zex-10_9.htm" TargetMode="External"/><Relationship Id="rId15" Type="http://schemas.openxmlformats.org/officeDocument/2006/relationships/hyperlink" Target="http://www.sec.gov/Archives/edgar/data/1609253/000104746914007767/a2221365zex-10_10.htm" TargetMode="External"/><Relationship Id="rId16" Type="http://schemas.openxmlformats.org/officeDocument/2006/relationships/hyperlink" Target="http://www.sec.gov/Archives/edgar/data/1609253/000104746914007767/a2221365zex-10_11.htm" TargetMode="External"/><Relationship Id="rId17" Type="http://schemas.openxmlformats.org/officeDocument/2006/relationships/hyperlink" Target="http://www.sec.gov/Archives/edgar/data/1609253/000104746914007767/a2221365zex-10_12.htm" TargetMode="External"/><Relationship Id="rId18" Type="http://schemas.openxmlformats.org/officeDocument/2006/relationships/hyperlink" Target="http://www.sec.gov/Archives/edgar/data/1609253/000104746914007767/a2221365zex-10_13.htm" TargetMode="External"/><Relationship Id="rId19" Type="http://schemas.openxmlformats.org/officeDocument/2006/relationships/hyperlink" Target="http://www.sec.gov/Archives/edgar/data/1609253/000160925315000009/crcform8-kfullvestxdoublet.htm" TargetMode="External"/><Relationship Id="rId20" Type="http://schemas.openxmlformats.org/officeDocument/2006/relationships/hyperlink" Target="http://www.sec.gov/Archives/edgar/data/1609253/000162828015008382/crcexhibit10493015.htm" TargetMode="External"/><Relationship Id="rId21" Type="http://schemas.openxmlformats.org/officeDocument/2006/relationships/hyperlink" Target="http://www.sec.gov/Archives/edgar/data/1609253/000162828015008382/crcexhibit10393015.htm" TargetMode="External"/><Relationship Id="rId22" Type="http://schemas.openxmlformats.org/officeDocument/2006/relationships/hyperlink" Target="http://www.sec.gov/Archives/edgar/data/1609253/000162828015008382/crcexhibit10293015.htm" TargetMode="External"/><Relationship Id="rId23" Type="http://schemas.openxmlformats.org/officeDocument/2006/relationships/hyperlink" Target="http://www.sec.gov/Archives/edgar/data/1609253/000160925316000305/a2016q2exhibit106.htm" TargetMode="External"/><Relationship Id="rId25" Type="http://schemas.openxmlformats.org/officeDocument/2006/relationships/hyperlink" Target="http://www.sec.gov/Archives/edgar/data/1609253/000160925316000354/a2016q3exhibit105.htm" TargetMode="External"/><Relationship Id="rId26" Type="http://schemas.openxmlformats.org/officeDocument/2006/relationships/hyperlink" Target="http://www.sec.gov/Archives/edgar/data/1609253/000160925316000354/a2016q3exhibit106.htm" TargetMode="External"/><Relationship Id="rId27" Type="http://schemas.openxmlformats.org/officeDocument/2006/relationships/hyperlink" Target="http://www.sec.gov/Archives/edgar/data/1609253/000160925318000058/a2018q1exhibit101.htm" TargetMode="External"/><Relationship Id="rId28" Type="http://schemas.openxmlformats.org/officeDocument/2006/relationships/hyperlink" Target="http://www.sec.gov/Archives/edgar/data/1609253/000160925318000058/a2018q1exhibit102.htm" TargetMode="External"/><Relationship Id="rId29" Type="http://schemas.openxmlformats.org/officeDocument/2006/relationships/hyperlink" Target="http://www.sec.gov/Archives/edgar/data/1609253/000160925318000058/a2018q1exhibit103.htm" TargetMode="External"/><Relationship Id="rId30" Type="http://schemas.openxmlformats.org/officeDocument/2006/relationships/hyperlink" Target="http://www.sec.gov/Archives/edgar/data/1609253/000160925319000066/a2019q1exhibit101stockopti.htm" TargetMode="External"/><Relationship Id="rId31" Type="http://schemas.openxmlformats.org/officeDocument/2006/relationships/hyperlink" Target="http://www.sec.gov/Archives/edgar/data/1609253/000160925319000066/a2019q1exhibit102restricte.htm" TargetMode="External"/><Relationship Id="rId32" Type="http://schemas.openxmlformats.org/officeDocument/2006/relationships/hyperlink" Target="http://www.sec.gov/Archives/edgar/data/1609253/000160925319000066/a2019q1exhibit103perform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2019-12-02T22:03:48Z</dcterms:created>
  <dcterms:modified xsi:type="dcterms:W3CDTF">2019-12-02T22:03:48Z</dcterms:modified>
</cp:coreProperties>
</file>