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49"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Date of report (Date of earliest event reported): December 9, 2021</w:t>
      </w:r>
    </w:p>
    <w:p>
      <w:pPr>
        <w:spacing w:after="0" w:line="195"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California Resources Corporation</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60"/>
          </w:cols>
          <w:pgMar w:left="320" w:top="1401" w:right="419" w:bottom="1440" w:gutter="0" w:footer="0" w:header="0"/>
        </w:sectPr>
      </w:pPr>
    </w:p>
    <w:p>
      <w:pPr>
        <w:spacing w:after="0" w:line="120"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6" w:lineRule="exact"/>
        <w:rPr>
          <w:sz w:val="24"/>
          <w:szCs w:val="24"/>
          <w:color w:val="auto"/>
        </w:rPr>
      </w:pPr>
    </w:p>
    <w:p>
      <w:pPr>
        <w:ind w:left="780"/>
        <w:spacing w:after="0"/>
        <w:rPr>
          <w:sz w:val="20"/>
          <w:szCs w:val="20"/>
          <w:color w:val="auto"/>
        </w:rPr>
      </w:pPr>
      <w:r>
        <w:rPr>
          <w:rFonts w:ascii="Arial" w:cs="Arial" w:eastAsia="Arial" w:hAnsi="Arial"/>
          <w:sz w:val="16"/>
          <w:szCs w:val="16"/>
          <w:color w:val="auto"/>
        </w:rPr>
        <w:t>(State or Other Jurisdiction of</w:t>
      </w:r>
    </w:p>
    <w:p>
      <w:pPr>
        <w:spacing w:after="0" w:line="3"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001-36478</w:t>
      </w:r>
    </w:p>
    <w:p>
      <w:pPr>
        <w:spacing w:after="0" w:line="26"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(Commission</w:t>
      </w:r>
    </w:p>
    <w:p>
      <w:pPr>
        <w:spacing w:after="0" w:line="3" w:lineRule="exact"/>
        <w:rPr>
          <w:sz w:val="24"/>
          <w:szCs w:val="24"/>
          <w:color w:val="auto"/>
        </w:rPr>
      </w:pPr>
    </w:p>
    <w:p>
      <w:pPr>
        <w:jc w:val="center"/>
        <w:ind w:right="19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46-5670947</w:t>
      </w:r>
    </w:p>
    <w:p>
      <w:pPr>
        <w:spacing w:after="0" w:line="6"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115" w:lineRule="exact"/>
        <w:rPr>
          <w:sz w:val="24"/>
          <w:szCs w:val="24"/>
          <w:color w:val="auto"/>
        </w:rPr>
      </w:pPr>
    </w:p>
    <w:p>
      <w:pPr>
        <w:sectPr>
          <w:pgSz w:w="11900" w:h="16838" w:orient="portrait"/>
          <w:cols w:equalWidth="0" w:num="3">
            <w:col w:w="4380" w:space="720"/>
            <w:col w:w="2880" w:space="720"/>
            <w:col w:w="2460"/>
          </w:cols>
          <w:pgMar w:left="320" w:top="1401" w:right="41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2"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91355</w:t>
      </w:r>
    </w:p>
    <w:p>
      <w:pPr>
        <w:spacing w:after="0" w:line="26"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183" w:lineRule="exact"/>
        <w:rPr>
          <w:sz w:val="24"/>
          <w:szCs w:val="24"/>
          <w:color w:val="auto"/>
        </w:rPr>
      </w:pPr>
    </w:p>
    <w:p>
      <w:pPr>
        <w:sectPr>
          <w:pgSz w:w="11900" w:h="16838" w:orient="portrait"/>
          <w:cols w:equalWidth="0" w:num="2">
            <w:col w:w="7300" w:space="720"/>
            <w:col w:w="3140"/>
          </w:cols>
          <w:pgMar w:left="320" w:top="1401" w:right="419" w:bottom="1440" w:gutter="0" w:footer="0" w:header="0"/>
          <w:type w:val="continuous"/>
        </w:sectPr>
      </w:pPr>
    </w:p>
    <w:p>
      <w:pPr>
        <w:ind w:left="298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66"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N/A</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_____________________</w:t>
      </w:r>
    </w:p>
    <w:p>
      <w:pPr>
        <w:spacing w:after="0" w:line="155" w:lineRule="exact"/>
        <w:rPr>
          <w:sz w:val="24"/>
          <w:szCs w:val="24"/>
          <w:color w:val="auto"/>
        </w:rPr>
      </w:pPr>
    </w:p>
    <w:p>
      <w:pPr>
        <w:spacing w:after="0" w:line="26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6"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3"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401" w:right="419" w:bottom="1440" w:gutter="0" w:footer="0" w:header="0"/>
          <w:type w:val="continuous"/>
        </w:sectPr>
      </w:pPr>
    </w:p>
    <w:p>
      <w:pPr>
        <w:spacing w:after="0" w:line="120"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Title of each class</w:t>
      </w:r>
    </w:p>
    <w:p>
      <w:pPr>
        <w:spacing w:after="0" w:line="72"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Trading Symbol(s)</w:t>
      </w:r>
    </w:p>
    <w:p>
      <w:pPr>
        <w:spacing w:after="0" w:line="4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66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2"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80" w:space="720"/>
            <w:col w:w="3960"/>
          </w:cols>
          <w:pgMar w:left="320" w:top="1401" w:right="419" w:bottom="1440" w:gutter="0" w:footer="0" w:header="0"/>
          <w:type w:val="continuous"/>
        </w:sectPr>
      </w:pPr>
    </w:p>
    <w:p>
      <w:pPr>
        <w:ind w:right="220"/>
        <w:spacing w:after="0" w:line="26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4"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0" w:lineRule="exact"/>
        <w:rPr>
          <w:sz w:val="24"/>
          <w:szCs w:val="24"/>
          <w:color w:val="auto"/>
        </w:rPr>
      </w:pPr>
    </w:p>
    <w:p>
      <w:pPr>
        <w:ind w:right="4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765810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211455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236855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401" w:right="41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39" w:lineRule="exact"/>
        <w:rPr>
          <w:sz w:val="20"/>
          <w:szCs w:val="20"/>
          <w:color w:val="auto"/>
        </w:rPr>
      </w:pPr>
    </w:p>
    <w:p>
      <w:pPr>
        <w:ind w:right="180" w:firstLine="320"/>
        <w:spacing w:after="0" w:line="267" w:lineRule="auto"/>
        <w:rPr>
          <w:sz w:val="20"/>
          <w:szCs w:val="20"/>
          <w:color w:val="auto"/>
        </w:rPr>
      </w:pPr>
      <w:r>
        <w:rPr>
          <w:rFonts w:ascii="Arial" w:cs="Arial" w:eastAsia="Arial" w:hAnsi="Arial"/>
          <w:sz w:val="18"/>
          <w:szCs w:val="18"/>
          <w:color w:val="auto"/>
        </w:rPr>
        <w:t>On December 9, 2021, the Company posted an investor presentation on its website at www.crc.com. A copy of the investor presentation is furnished as Exhibit 99.1 to this report and is incorporated herein by reference.</w:t>
      </w:r>
    </w:p>
    <w:p>
      <w:pPr>
        <w:spacing w:after="0" w:line="206" w:lineRule="exact"/>
        <w:rPr>
          <w:sz w:val="20"/>
          <w:szCs w:val="20"/>
          <w:color w:val="auto"/>
        </w:rPr>
      </w:pPr>
    </w:p>
    <w:p>
      <w:pPr>
        <w:jc w:val="both"/>
        <w:ind w:right="100" w:firstLine="320"/>
        <w:spacing w:after="0" w:line="304" w:lineRule="auto"/>
        <w:rPr>
          <w:sz w:val="20"/>
          <w:szCs w:val="20"/>
          <w:color w:val="auto"/>
        </w:rPr>
      </w:pPr>
      <w:r>
        <w:rPr>
          <w:rFonts w:ascii="Arial" w:cs="Arial" w:eastAsia="Arial" w:hAnsi="Arial"/>
          <w:sz w:val="16"/>
          <w:szCs w:val="16"/>
          <w:color w:val="auto"/>
        </w:rPr>
        <w:t>The information furnished in this Item 7.01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 regardless of any general incorporation language in such filing, except as shall be expressly set forth by specific reference in such filing.</w:t>
      </w:r>
    </w:p>
    <w:p>
      <w:pPr>
        <w:spacing w:after="0" w:line="200" w:lineRule="exact"/>
        <w:rPr>
          <w:sz w:val="20"/>
          <w:szCs w:val="20"/>
          <w:color w:val="auto"/>
        </w:rPr>
      </w:pPr>
    </w:p>
    <w:p>
      <w:pPr>
        <w:spacing w:after="0" w:line="21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00" w:type="dxa"/>
            <w:vAlign w:val="bottom"/>
          </w:tcPr>
          <w:p>
            <w:pPr>
              <w:spacing w:after="0"/>
              <w:rPr>
                <w:sz w:val="20"/>
                <w:szCs w:val="20"/>
                <w:color w:val="auto"/>
              </w:rPr>
            </w:pPr>
            <w:r>
              <w:rPr>
                <w:rFonts w:ascii="Arial" w:cs="Arial" w:eastAsia="Arial" w:hAnsi="Arial"/>
                <w:sz w:val="18"/>
                <w:szCs w:val="18"/>
                <w:color w:val="auto"/>
              </w:rPr>
              <w:t>(d)  Exhibits</w:t>
            </w:r>
          </w:p>
        </w:tc>
        <w:tc>
          <w:tcPr>
            <w:tcW w:w="1540" w:type="dxa"/>
            <w:vAlign w:val="bottom"/>
          </w:tcPr>
          <w:p>
            <w:pPr>
              <w:spacing w:after="0"/>
              <w:rPr>
                <w:sz w:val="19"/>
                <w:szCs w:val="19"/>
                <w:color w:val="auto"/>
              </w:rPr>
            </w:pPr>
          </w:p>
        </w:tc>
        <w:tc>
          <w:tcPr>
            <w:tcW w:w="7000" w:type="dxa"/>
            <w:vAlign w:val="bottom"/>
          </w:tcPr>
          <w:p>
            <w:pPr>
              <w:spacing w:after="0"/>
              <w:rPr>
                <w:sz w:val="19"/>
                <w:szCs w:val="19"/>
                <w:color w:val="auto"/>
              </w:rPr>
            </w:pPr>
          </w:p>
        </w:tc>
      </w:tr>
      <w:tr>
        <w:trPr>
          <w:trHeight w:val="493"/>
        </w:trPr>
        <w:tc>
          <w:tcPr>
            <w:tcW w:w="2700" w:type="dxa"/>
            <w:vAlign w:val="bottom"/>
          </w:tcPr>
          <w:p>
            <w:pPr>
              <w:ind w:left="920"/>
              <w:spacing w:after="0"/>
              <w:rPr>
                <w:sz w:val="20"/>
                <w:szCs w:val="20"/>
                <w:color w:val="auto"/>
              </w:rPr>
            </w:pPr>
            <w:r>
              <w:rPr>
                <w:rFonts w:ascii="Arial" w:cs="Arial" w:eastAsia="Arial" w:hAnsi="Arial"/>
                <w:sz w:val="18"/>
                <w:szCs w:val="18"/>
                <w:b w:val="1"/>
                <w:bCs w:val="1"/>
                <w:color w:val="auto"/>
              </w:rPr>
              <w:t>Exhibit No.</w:t>
            </w:r>
          </w:p>
        </w:tc>
        <w:tc>
          <w:tcPr>
            <w:tcW w:w="1540" w:type="dxa"/>
            <w:vAlign w:val="bottom"/>
          </w:tcPr>
          <w:p>
            <w:pPr>
              <w:spacing w:after="0"/>
              <w:rPr>
                <w:sz w:val="24"/>
                <w:szCs w:val="24"/>
                <w:color w:val="auto"/>
              </w:rPr>
            </w:pPr>
          </w:p>
        </w:tc>
        <w:tc>
          <w:tcPr>
            <w:tcW w:w="7000" w:type="dxa"/>
            <w:vAlign w:val="bottom"/>
          </w:tcPr>
          <w:p>
            <w:pPr>
              <w:ind w:left="2400"/>
              <w:spacing w:after="0"/>
              <w:rPr>
                <w:sz w:val="20"/>
                <w:szCs w:val="20"/>
                <w:color w:val="auto"/>
              </w:rPr>
            </w:pPr>
            <w:r>
              <w:rPr>
                <w:rFonts w:ascii="Arial" w:cs="Arial" w:eastAsia="Arial" w:hAnsi="Arial"/>
                <w:sz w:val="18"/>
                <w:szCs w:val="18"/>
                <w:b w:val="1"/>
                <w:bCs w:val="1"/>
                <w:color w:val="auto"/>
              </w:rPr>
              <w:t>Description</w:t>
            </w:r>
          </w:p>
        </w:tc>
      </w:tr>
      <w:tr>
        <w:trPr>
          <w:trHeight w:val="228"/>
        </w:trPr>
        <w:tc>
          <w:tcPr>
            <w:tcW w:w="2700" w:type="dxa"/>
            <w:vAlign w:val="bottom"/>
          </w:tcPr>
          <w:p>
            <w:pPr>
              <w:jc w:val="right"/>
              <w:ind w:right="1111"/>
              <w:spacing w:after="0"/>
              <w:rPr>
                <w:sz w:val="20"/>
                <w:szCs w:val="20"/>
                <w:color w:val="auto"/>
              </w:rPr>
            </w:pPr>
            <w:r>
              <w:rPr>
                <w:rFonts w:ascii="Arial" w:cs="Arial" w:eastAsia="Arial" w:hAnsi="Arial"/>
                <w:sz w:val="18"/>
                <w:szCs w:val="18"/>
                <w:color w:val="auto"/>
              </w:rPr>
              <w:t>99.1</w:t>
            </w:r>
          </w:p>
        </w:tc>
        <w:tc>
          <w:tcPr>
            <w:tcW w:w="1540" w:type="dxa"/>
            <w:vAlign w:val="bottom"/>
            <w:tcBorders>
              <w:bottom w:val="single" w:sz="8" w:color="0000FF"/>
            </w:tcBorders>
          </w:tcPr>
          <w:p>
            <w:pPr>
              <w:spacing w:after="0"/>
              <w:rPr>
                <w:rFonts w:ascii="Arial" w:cs="Arial" w:eastAsia="Arial" w:hAnsi="Arial"/>
                <w:sz w:val="18"/>
                <w:szCs w:val="18"/>
                <w:color w:val="0000FF"/>
                <w:w w:val="87"/>
              </w:rPr>
            </w:pPr>
            <w:hyperlink w:anchor="page4">
              <w:r>
                <w:rPr>
                  <w:rFonts w:ascii="Arial" w:cs="Arial" w:eastAsia="Arial" w:hAnsi="Arial"/>
                  <w:sz w:val="18"/>
                  <w:szCs w:val="18"/>
                  <w:color w:val="0000FF"/>
                  <w:w w:val="87"/>
                </w:rPr>
                <w:t>Investor presentation.</w:t>
              </w:r>
            </w:hyperlink>
          </w:p>
        </w:tc>
        <w:tc>
          <w:tcPr>
            <w:tcW w:w="7000" w:type="dxa"/>
            <w:vAlign w:val="bottom"/>
          </w:tcPr>
          <w:p>
            <w:pPr>
              <w:spacing w:after="0"/>
              <w:rPr>
                <w:sz w:val="19"/>
                <w:szCs w:val="19"/>
                <w:color w:val="auto"/>
              </w:rPr>
            </w:pPr>
          </w:p>
        </w:tc>
      </w:tr>
      <w:tr>
        <w:trPr>
          <w:trHeight w:val="285"/>
        </w:trPr>
        <w:tc>
          <w:tcPr>
            <w:tcW w:w="2700" w:type="dxa"/>
            <w:vAlign w:val="bottom"/>
          </w:tcPr>
          <w:p>
            <w:pPr>
              <w:jc w:val="right"/>
              <w:ind w:right="1131"/>
              <w:spacing w:after="0"/>
              <w:rPr>
                <w:sz w:val="20"/>
                <w:szCs w:val="20"/>
                <w:color w:val="auto"/>
              </w:rPr>
            </w:pPr>
            <w:r>
              <w:rPr>
                <w:rFonts w:ascii="Arial" w:cs="Arial" w:eastAsia="Arial" w:hAnsi="Arial"/>
                <w:sz w:val="18"/>
                <w:szCs w:val="18"/>
                <w:color w:val="auto"/>
              </w:rPr>
              <w:t>104</w:t>
            </w:r>
          </w:p>
        </w:tc>
        <w:tc>
          <w:tcPr>
            <w:tcW w:w="8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260"/>
        </w:trPr>
        <w:tc>
          <w:tcPr>
            <w:tcW w:w="27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right="780" w:firstLine="320"/>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 Michael L. Preston</w:t>
      </w:r>
    </w:p>
    <w:p>
      <w:pPr>
        <w:spacing w:after="0" w:line="17"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3"/>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rPr>
              <w:t>Executive Vice President, Chief Administrative</w:t>
            </w:r>
          </w:p>
        </w:tc>
      </w:tr>
      <w:tr>
        <w:trPr>
          <w:trHeight w:val="224"/>
        </w:trPr>
        <w:tc>
          <w:tcPr>
            <w:tcW w:w="740" w:type="dxa"/>
            <w:vAlign w:val="bottom"/>
          </w:tcPr>
          <w:p>
            <w:pPr>
              <w:spacing w:after="0"/>
              <w:rPr>
                <w:sz w:val="19"/>
                <w:szCs w:val="19"/>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2021</w:t>
      </w:r>
    </w:p>
    <w:p>
      <w:pPr>
        <w:sectPr>
          <w:pgSz w:w="11900" w:h="16838" w:orient="portrait"/>
          <w:cols w:equalWidth="0" w:num="1">
            <w:col w:w="11240"/>
          </w:cols>
          <w:pgMar w:left="320" w:top="1401" w:right="339" w:bottom="1440" w:gutter="0" w:footer="0" w:header="0"/>
        </w:sectPr>
      </w:pPr>
    </w:p>
    <w:bookmarkStart w:id="3" w:name="page4"/>
    <w:bookmarkEnd w:id="3"/>
    <w:p>
      <w:pPr>
        <w:ind w:left="890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356870</wp:posOffset>
            </wp:positionV>
            <wp:extent cx="5280660" cy="297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901065</wp:posOffset>
            </wp:positionV>
            <wp:extent cx="5280660" cy="29705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280660" cy="29705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2021-12-09T08:03:05Z</dcterms:created>
  <dcterms:modified xsi:type="dcterms:W3CDTF">2021-12-09T08:03:05Z</dcterms:modified>
</cp:coreProperties>
</file>