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2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215900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42"/>
          <w:szCs w:val="42"/>
          <w:b w:val="1"/>
          <w:bCs w:val="1"/>
          <w:color w:val="auto"/>
        </w:rPr>
        <w:t>CALIFORNIA RESOURCES CORPORATION</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0"/>
          <w:szCs w:val="20"/>
          <w:color w:val="auto"/>
        </w:rPr>
      </w:pPr>
    </w:p>
    <w:p>
      <w:pPr>
        <w:sectPr>
          <w:pgSz w:w="11900" w:h="16838" w:orient="portrait"/>
          <w:cols w:equalWidth="0" w:num="3">
            <w:col w:w="4500" w:space="720"/>
            <w:col w:w="2880" w:space="720"/>
            <w:col w:w="2200"/>
          </w:cols>
          <w:pgMar w:left="440" w:top="41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0"/>
          <w:szCs w:val="20"/>
          <w:color w:val="auto"/>
        </w:rPr>
      </w:pPr>
    </w:p>
    <w:p>
      <w:pPr>
        <w:sectPr>
          <w:pgSz w:w="11900" w:h="16838" w:orient="portrait"/>
          <w:cols w:equalWidth="0" w:num="3">
            <w:col w:w="4480" w:space="720"/>
            <w:col w:w="2760" w:space="720"/>
            <w:col w:w="2340"/>
          </w:cols>
          <w:pgMar w:left="440" w:top="41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2" w:lineRule="exact"/>
        <w:rPr>
          <w:sz w:val="20"/>
          <w:szCs w:val="20"/>
          <w:color w:val="auto"/>
        </w:rPr>
      </w:pPr>
    </w:p>
    <w:p>
      <w:pPr>
        <w:sectPr>
          <w:pgSz w:w="11900" w:h="16838" w:orient="portrait"/>
          <w:cols w:equalWidth="0" w:num="2">
            <w:col w:w="7400" w:space="720"/>
            <w:col w:w="2900"/>
          </w:cols>
          <w:pgMar w:left="440" w:top="41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0"/>
          <w:szCs w:val="20"/>
          <w:color w:val="auto"/>
        </w:rPr>
      </w:pPr>
    </w:p>
    <w:p>
      <w:pPr>
        <w:sectPr>
          <w:pgSz w:w="11900" w:h="16838" w:orient="portrait"/>
          <w:cols w:equalWidth="0" w:num="2">
            <w:col w:w="7300" w:space="720"/>
            <w:col w:w="3000"/>
          </w:cols>
          <w:pgMar w:left="440" w:top="41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11" w:lineRule="auto"/>
        <w:tabs>
          <w:tab w:leader="none" w:pos="9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On June 5, 2024, California Resources Corporation (the “Company”) completed its previously announced private offering of $600.0 million aggregate principal amount of its 8.250% senior notes due 2029 (the “Notes”). The terms of the Notes are governed by the Indenture (the “Indenture”), dated as of June 5, 2024, by and among the Company, the guarantors party thereto (the “Guarantors”) and Wilmington Trust, National Association, as trustee (the “Trustee”). The Notes will mature on June 15, 2029. Interest will accrue from June 5, 2024 and will be payable semi-annually on June 15 and December 15 of each year, commencing December 15, 2024.</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and its existing 7.125% Senior Notes due 2026, and the Notes will be guaranteed by certain of the Company’s future subsidiaries. Following the consummation of the Company’s pending business combination (the “Aera Merger”) with Aera Energy LLC and Aera Energy Services Company (the “Aera Companies”), the Notes will be guaranteed by all of the entities that become guarantors under the revolving credit facility and the existing 7.125% Senior Notes due 2026 in connection of the consummation of the Aera Merger.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are subject to a special mandatory redemption at a redemption price equal to 100% of the initial issue price of the Notes plus accrued and unpaid interest to, but excluding, the payment date of such mandatory redemption, if (x) the Aera Merger does not occur on or before May 7, 2025 (the “Outside Date”), or (y) prior thereto, the Company notifies the Trustee in writing that (i) the merger agreement related to the Aera Merger (the “Merger Agreement”) has been terminated or (ii) the Company will not pursue the consummation of the Aera Merger or has determined in its sole discretion that the Aera Merger cannot or is not reasonably likely to be consummated by the Outside Date.</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June 15, 2026 at the redemption prices specified in the Indenture. Prior to such time, the Company may, at its option, redeem up to 35% of the aggregate principal amount of the Notes with an amount of cash not greater than the net cash proceeds from certain equity offerings at the redemption price specified in the Indenture. In addition, before June 15, 2026,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Indenture, which is filed as Exhibit 4.1 hereto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relating to the Aera Merger,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INVESTORS AND SECURITY HOLDERS OF THE COMPANY ARE URGED TO READ THE PROXY STATEMENT AND OTHER RELEVANT DOCUMENTS FILED OR TO BE FILED WITH</w:t>
      </w:r>
    </w:p>
    <w:p>
      <w:pPr>
        <w:sectPr>
          <w:pgSz w:w="11900" w:h="16838" w:orient="portrait"/>
          <w:cols w:equalWidth="0" w:num="1">
            <w:col w:w="11000"/>
          </w:cols>
          <w:pgMar w:left="440" w:top="266" w:right="459" w:bottom="1440" w:gutter="0" w:footer="0" w:header="0"/>
        </w:sectPr>
      </w:pPr>
    </w:p>
    <w:bookmarkStart w:id="3" w:name="page4"/>
    <w:bookmarkEnd w:id="3"/>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2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7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6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6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Indenture, dated June 5, 2024, by and among the Company, the Guarantors and the Trustee.</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300" w:hanging="5464"/>
        <w:spacing w:after="0" w:line="454" w:lineRule="auto"/>
        <w:tabs>
          <w:tab w:leader="none" w:pos="8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04"/>
          </w:cols>
          <w:pgMar w:left="436" w:top="270" w:right="45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2024</w:t>
      </w:r>
    </w:p>
    <w:p>
      <w:pPr>
        <w:sectPr>
          <w:pgSz w:w="11900" w:h="16838" w:orient="portrait"/>
          <w:cols w:equalWidth="0" w:num="1">
            <w:col w:w="10780"/>
          </w:cols>
          <w:pgMar w:left="440" w:top="266"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EACH OF THE GUARANTORS PARTY HERETO</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8.250%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76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TABLE OF CONTENTS</w:t>
            </w:r>
          </w:p>
        </w:tc>
        <w:tc>
          <w:tcPr>
            <w:tcW w:w="2220" w:type="dxa"/>
            <w:vAlign w:val="bottom"/>
          </w:tcPr>
          <w:p>
            <w:pPr>
              <w:spacing w:after="0"/>
              <w:rPr>
                <w:sz w:val="20"/>
                <w:szCs w:val="20"/>
                <w:color w:val="auto"/>
              </w:rPr>
            </w:pPr>
          </w:p>
        </w:tc>
      </w:tr>
      <w:tr>
        <w:trPr>
          <w:trHeight w:val="408"/>
        </w:trPr>
        <w:tc>
          <w:tcPr>
            <w:tcW w:w="9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1</w:t>
            </w:r>
          </w:p>
        </w:tc>
        <w:tc>
          <w:tcPr>
            <w:tcW w:w="222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2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BY REFERENCE</w:t>
            </w:r>
          </w:p>
        </w:tc>
        <w:tc>
          <w:tcPr>
            <w:tcW w:w="2220" w:type="dxa"/>
            <w:vAlign w:val="bottom"/>
          </w:tcPr>
          <w:p>
            <w:pPr>
              <w:spacing w:after="0"/>
              <w:rPr>
                <w:sz w:val="20"/>
                <w:szCs w:val="20"/>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No Incorporation by Reference of Trust Indenture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2</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THE NOTES</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and Paying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Defaulted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Issuance of Additional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Computation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3</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Price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in Part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Special Mandatory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Offer to Purchase by Application of Excess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4</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COVENANTS</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Stay, Extension and Usury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Payments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Dividend and Other Payment Restrictions Affecting 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Incurrence of Indebtedness and Issuance of Preferred Stock</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Sales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Transactions with Affiliates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Existence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Offer to Repurchase Upon Change of Control Triggering Event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Guarantees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Designation of Restricted and Unrestricted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5</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SUCCESSORS</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Issuer Substituted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6</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7</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TRUSTEE</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8</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Issuer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9</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10</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GUARANTEES</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 Evidenced by Indenture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11</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12</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MISCELLANEOUS</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of Indenture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Members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3"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12.11  Severability; Entire Agreement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Originals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12.13  Table of Contents, Headings, etc.</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12.14  Payment Date Other Than a Business Day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12.15  Action by Holders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Delivery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Language of Notices, Etc.</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3" w:right="499" w:bottom="1440" w:gutter="0" w:footer="0" w:header="0"/>
        </w:sectPr>
      </w:pPr>
    </w:p>
    <w:bookmarkStart w:id="10" w:name="page11"/>
    <w:bookmarkEnd w:id="10"/>
    <w:p>
      <w:pPr>
        <w:ind w:left="5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CERTIFICATE OF TRANSFER</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CERTIFICATE OF EXCHANGE</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SUPPLEMENTAL INDENTURE TO BE DELIVERED BY SUBSEQUENT GUARANTORS</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70" w:right="1440" w:bottom="1440" w:gutter="0" w:footer="0" w:header="0"/>
        </w:sectPr>
      </w:pPr>
    </w:p>
    <w:bookmarkStart w:id="11" w:name="page12"/>
    <w:bookmarkEnd w:id="11"/>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June 5, 2024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(as defined below) and Wilmington Trust,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Issuer, the Guarantors and the Trustee agree as follows for the benefit of each other and for the equal and ratable benefit of the Holders (as defined below) of the 8.250% Senior Notes due 2029 (as further defined herein,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20" w:firstLine="419"/>
        <w:spacing w:after="0" w:line="26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Assets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used or useful in the Oil and Gas Business, other than Indebtedness or Capital Stock;</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becomes a Restricted Subsidiary as a result of the acquisition of such Capital Stock by the Issuer or any of its Restricted Subsidiaries;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Restricted Subsidiary described in clause (2) or (3) above is primarily engaged in the Oil and Gas Business.</w:t>
      </w:r>
    </w:p>
    <w:p>
      <w:pPr>
        <w:spacing w:after="0" w:line="22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means additional Notes (other than the Initial Notes) issued under this Indenture in accordance with Sections 2.02, 2.13 and 4.09, as part of the same series as the Initial Notes.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Consolidated Net Tangible Assets</w:t>
      </w:r>
      <w:r>
        <w:rPr>
          <w:rFonts w:ascii="Times New Roman" w:cs="Times New Roman" w:eastAsia="Times New Roman" w:hAnsi="Times New Roman"/>
          <w:sz w:val="18"/>
          <w:szCs w:val="18"/>
          <w:color w:val="auto"/>
        </w:rPr>
        <w:t>” means (without duplication), as of the date of determination,</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8" w:right="479" w:bottom="1440" w:gutter="0" w:footer="0" w:header="0"/>
        </w:sectPr>
      </w:pPr>
    </w:p>
    <w:bookmarkStart w:id="12" w:name="page13"/>
    <w:bookmarkEnd w:id="12"/>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w:t>
      </w:r>
    </w:p>
    <w:p>
      <w:pPr>
        <w:spacing w:after="0" w:line="130" w:lineRule="exact"/>
        <w:rPr>
          <w:rFonts w:ascii="Times New Roman" w:cs="Times New Roman" w:eastAsia="Times New Roman" w:hAnsi="Times New Roman"/>
          <w:sz w:val="18"/>
          <w:szCs w:val="18"/>
          <w:color w:val="auto"/>
        </w:rPr>
      </w:pPr>
    </w:p>
    <w:p>
      <w:pPr>
        <w:ind w:left="1000" w:right="60" w:hanging="439"/>
        <w:spacing w:after="0" w:line="255"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Times New Roman" w:cs="Times New Roman" w:eastAsia="Times New Roman" w:hAnsi="Times New Roman"/>
          <w:sz w:val="18"/>
          <w:szCs w:val="18"/>
          <w:i w:val="1"/>
          <w:iCs w:val="1"/>
          <w:color w:val="auto"/>
        </w:rPr>
        <w:t>increased by</w:t>
      </w:r>
      <w:r>
        <w:rPr>
          <w:rFonts w:ascii="Times New Roman" w:cs="Times New Roman" w:eastAsia="Times New Roman" w:hAnsi="Times New Roman"/>
          <w:sz w:val="18"/>
          <w:szCs w:val="18"/>
          <w:color w:val="auto"/>
        </w:rPr>
        <w:t>, as of the date of determination, the estimated discounted future net revenues calculated in accordance with SEC guidelines from:</w:t>
      </w:r>
    </w:p>
    <w:p>
      <w:pPr>
        <w:spacing w:after="0" w:line="94" w:lineRule="exact"/>
        <w:rPr>
          <w:rFonts w:ascii="Times New Roman" w:cs="Times New Roman" w:eastAsia="Times New Roman" w:hAnsi="Times New Roman"/>
          <w:sz w:val="18"/>
          <w:szCs w:val="18"/>
          <w:color w:val="auto"/>
        </w:rPr>
      </w:pPr>
    </w:p>
    <w:p>
      <w:pPr>
        <w:ind w:left="1540" w:right="380" w:hanging="533"/>
        <w:spacing w:after="0" w:line="282" w:lineRule="auto"/>
        <w:tabs>
          <w:tab w:leader="none" w:pos="15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acquired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60" w:hanging="533"/>
        <w:spacing w:after="0" w:line="258" w:lineRule="auto"/>
        <w:tabs>
          <w:tab w:leader="none" w:pos="15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decreased by</w:t>
      </w:r>
      <w:r>
        <w:rPr>
          <w:rFonts w:ascii="Times New Roman" w:cs="Times New Roman" w:eastAsia="Times New Roman" w:hAnsi="Times New Roman"/>
          <w:sz w:val="18"/>
          <w:szCs w:val="18"/>
          <w:color w:val="auto"/>
        </w:rPr>
        <w:t>, as of the date of determination, the estimated discounted future net revenue attributable to:</w:t>
      </w:r>
    </w:p>
    <w:p>
      <w:pPr>
        <w:spacing w:after="0" w:line="133" w:lineRule="exact"/>
        <w:rPr>
          <w:sz w:val="20"/>
          <w:szCs w:val="20"/>
          <w:color w:val="auto"/>
        </w:rPr>
      </w:pPr>
    </w:p>
    <w:p>
      <w:pPr>
        <w:ind w:left="1540" w:right="360" w:hanging="533"/>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reflected in such reserve report produced or disposed of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80" w:hanging="533"/>
        <w:spacing w:after="0" w:line="261"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72" w:lineRule="exact"/>
        <w:rPr>
          <w:sz w:val="20"/>
          <w:szCs w:val="20"/>
          <w:color w:val="auto"/>
        </w:rPr>
      </w:pPr>
    </w:p>
    <w:p>
      <w:pPr>
        <w:jc w:val="both"/>
        <w:ind w:left="1000" w:right="180"/>
        <w:spacing w:after="0" w:line="266" w:lineRule="auto"/>
        <w:rPr>
          <w:sz w:val="20"/>
          <w:szCs w:val="20"/>
          <w:color w:val="auto"/>
        </w:rPr>
      </w:pPr>
      <w:r>
        <w:rPr>
          <w:rFonts w:ascii="Times New Roman" w:cs="Times New Roman" w:eastAsia="Times New Roman" w:hAnsi="Times New Roman"/>
          <w:sz w:val="18"/>
          <w:szCs w:val="18"/>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81" w:lineRule="exact"/>
        <w:rPr>
          <w:sz w:val="20"/>
          <w:szCs w:val="20"/>
          <w:color w:val="auto"/>
        </w:rPr>
      </w:pPr>
    </w:p>
    <w:p>
      <w:pPr>
        <w:ind w:left="1000" w:hanging="439"/>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3" w:name="page14"/>
    <w:bookmarkEnd w:id="13"/>
    <w:p>
      <w:pPr>
        <w:ind w:left="1420" w:right="400" w:hanging="43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Net Working Capital of the Issuer and its Restricted Subsidiaries as of a date no earlier than the last day of the Issuer’s most recent quarterly or annual period for which internal financial statements are available;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book value and</w:t>
      </w:r>
    </w:p>
    <w:p>
      <w:pPr>
        <w:spacing w:after="0" w:line="130" w:lineRule="exact"/>
        <w:rPr>
          <w:rFonts w:ascii="Times New Roman" w:cs="Times New Roman" w:eastAsia="Times New Roman" w:hAnsi="Times New Roman"/>
          <w:sz w:val="18"/>
          <w:szCs w:val="18"/>
          <w:color w:val="auto"/>
        </w:rPr>
      </w:pPr>
    </w:p>
    <w:p>
      <w:pPr>
        <w:ind w:left="1960" w:right="1100" w:hanging="533"/>
        <w:spacing w:after="0" w:line="282"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appraised value, as estimated by independent appraisers, of other tangible assets (including Investments in unconsolidated Subsidiaries)</w:t>
      </w:r>
    </w:p>
    <w:p>
      <w:pPr>
        <w:spacing w:after="0" w:line="54" w:lineRule="exact"/>
        <w:rPr>
          <w:sz w:val="20"/>
          <w:szCs w:val="20"/>
          <w:color w:val="auto"/>
        </w:rPr>
      </w:pPr>
    </w:p>
    <w:p>
      <w:pPr>
        <w:ind w:left="1420" w:right="260"/>
        <w:spacing w:after="0" w:line="266" w:lineRule="auto"/>
        <w:rPr>
          <w:sz w:val="20"/>
          <w:szCs w:val="20"/>
          <w:color w:val="auto"/>
        </w:rPr>
      </w:pPr>
      <w:r>
        <w:rPr>
          <w:rFonts w:ascii="Times New Roman" w:cs="Times New Roman" w:eastAsia="Times New Roman" w:hAnsi="Times New Roman"/>
          <w:sz w:val="18"/>
          <w:szCs w:val="18"/>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such appraisal has been performed, the Issuer shall not be required to obtain such an appraisal and only clause (iv)(A) of this definition shall apply,</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not otherwise taken into account in the immediately preceding clause (a),</w:t>
      </w:r>
    </w:p>
    <w:p>
      <w:pPr>
        <w:spacing w:after="0" w:line="133"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interests;</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(a)(iii) of this definition;</w:t>
      </w:r>
    </w:p>
    <w:p>
      <w:pPr>
        <w:spacing w:after="0" w:line="81" w:lineRule="exact"/>
        <w:rPr>
          <w:rFonts w:ascii="Times New Roman" w:cs="Times New Roman" w:eastAsia="Times New Roman" w:hAnsi="Times New Roman"/>
          <w:sz w:val="18"/>
          <w:szCs w:val="18"/>
          <w:color w:val="auto"/>
        </w:rPr>
      </w:pPr>
    </w:p>
    <w:p>
      <w:pPr>
        <w:jc w:val="both"/>
        <w:ind w:left="1420" w:right="500" w:hanging="439"/>
        <w:spacing w:after="0" w:line="261"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85" w:lineRule="exact"/>
        <w:rPr>
          <w:rFonts w:ascii="Times New Roman" w:cs="Times New Roman" w:eastAsia="Times New Roman" w:hAnsi="Times New Roman"/>
          <w:sz w:val="18"/>
          <w:szCs w:val="18"/>
          <w:color w:val="auto"/>
        </w:rPr>
      </w:pPr>
    </w:p>
    <w:p>
      <w:pPr>
        <w:ind w:left="1420" w:right="280" w:hanging="439"/>
        <w:spacing w:after="0" w:line="258" w:lineRule="auto"/>
        <w:tabs>
          <w:tab w:leader="none" w:pos="1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3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or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119" w:lineRule="exact"/>
        <w:rPr>
          <w:sz w:val="20"/>
          <w:szCs w:val="20"/>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the Note;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2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the Note at June 15, 2026 (such redemption price being set forth in the table appearing in Section 3.08(d))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June 15, 2026 (in each case, excluding accrued but unpaid interest to the redemption date), computed using a discount rate equal to the Treasury Rate as of such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discounted to the redemption date on a semi-annual basis (assuming a 360-day year consisting of twelve 30-day months), over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w:t>
      </w:r>
    </w:p>
    <w:p>
      <w:pPr>
        <w:spacing w:after="0" w:line="223" w:lineRule="exact"/>
        <w:rPr>
          <w:sz w:val="20"/>
          <w:szCs w:val="20"/>
          <w:color w:val="auto"/>
        </w:rPr>
      </w:pPr>
    </w:p>
    <w:p>
      <w:pPr>
        <w:ind w:right="8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determined in good faith by the Issuer</w:t>
      </w:r>
      <w:r>
        <w:rPr>
          <w:rFonts w:ascii="Times New Roman" w:cs="Times New Roman" w:eastAsia="Times New Roman" w:hAnsi="Times New Roman"/>
          <w:sz w:val="18"/>
          <w:szCs w:val="18"/>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80" w:firstLine="419"/>
        <w:spacing w:after="0" w:line="282"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(other than operating leases entered into in the ordinary course of business), conveyance or other disposition of any assets or rights by the Issuer or any of the Issuer’s Restricted Subsidiaries; and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70" w:lineRule="exact"/>
        <w:rPr>
          <w:sz w:val="20"/>
          <w:szCs w:val="20"/>
          <w:color w:val="auto"/>
        </w:rPr>
      </w:pPr>
    </w:p>
    <w:p>
      <w:pPr>
        <w:jc w:val="both"/>
        <w:ind w:left="44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 (1) or (2), the sale, assignment, transfer, conveyance, lease or other disposition of all 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assets of the Issuer and its Subsidiaries (including by way of a merger or consolidation) will be governed by Section 4.15 and/or by Section 5.01 and not by the provisions of Section 4.10;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preceding, none of the following items will be deemed to be an Asset Sale:</w:t>
      </w:r>
    </w:p>
    <w:p>
      <w:pPr>
        <w:spacing w:after="0" w:line="117" w:lineRule="exact"/>
        <w:rPr>
          <w:sz w:val="20"/>
          <w:szCs w:val="20"/>
          <w:color w:val="auto"/>
        </w:rPr>
      </w:pPr>
    </w:p>
    <w:p>
      <w:pPr>
        <w:ind w:right="28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or Equity Interests having a Fair Market Value of less than $40.0 million;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the Issuer and its Restricted Subsidiaries;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or sale of Equity Interests by a Restricted Subsidiary of the Issuer to the Issuer or to a Restricted Subsidiary of the Issuer;</w:t>
      </w:r>
    </w:p>
    <w:p>
      <w:pPr>
        <w:spacing w:after="0" w:line="117"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71" w:lineRule="exact"/>
        <w:rPr>
          <w:rFonts w:ascii="Times New Roman" w:cs="Times New Roman" w:eastAsia="Times New Roman" w:hAnsi="Times New Roman"/>
          <w:sz w:val="18"/>
          <w:szCs w:val="18"/>
          <w:color w:val="auto"/>
        </w:rPr>
      </w:pPr>
    </w:p>
    <w:p>
      <w:pPr>
        <w:ind w:right="62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the Issuer or any of its Restricted Subsidiaries of software, intellectual property or other general intangibles in the ordinary course of business;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settlement, release, recovery on or surrender of contract, tort or other claims;</w:t>
      </w:r>
    </w:p>
    <w:p>
      <w:pPr>
        <w:spacing w:after="0" w:line="117"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 or other financial instruments (other than Oil and Gas Hedging Contracts);</w:t>
      </w:r>
    </w:p>
    <w:p>
      <w:pPr>
        <w:spacing w:after="0" w:line="117" w:lineRule="exact"/>
        <w:rPr>
          <w:rFonts w:ascii="Times New Roman" w:cs="Times New Roman" w:eastAsia="Times New Roman" w:hAnsi="Times New Roman"/>
          <w:sz w:val="18"/>
          <w:szCs w:val="18"/>
          <w:color w:val="auto"/>
        </w:rPr>
      </w:pPr>
    </w:p>
    <w:p>
      <w:pPr>
        <w:ind w:right="380" w:firstLine="419"/>
        <w:spacing w:after="0" w:line="282"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Hydrocarbons or other mineral products in the ordinary course of business;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Swap;</w:t>
      </w:r>
    </w:p>
    <w:p>
      <w:pPr>
        <w:spacing w:after="0" w:line="115" w:lineRule="exact"/>
        <w:rPr>
          <w:rFonts w:ascii="Times New Roman" w:cs="Times New Roman" w:eastAsia="Times New Roman" w:hAnsi="Times New Roman"/>
          <w:sz w:val="18"/>
          <w:szCs w:val="18"/>
          <w:color w:val="auto"/>
        </w:rPr>
      </w:pPr>
    </w:p>
    <w:p>
      <w:pPr>
        <w:ind w:right="80" w:firstLine="419"/>
        <w:spacing w:after="0" w:line="284"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crude oil and natural gas properties (whether or not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any such disposition such properties do not have associated with them any proved reserves;</w:t>
      </w:r>
    </w:p>
    <w:p>
      <w:pPr>
        <w:spacing w:after="0" w:line="50"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1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80" w:top="270" w:right="519" w:bottom="1440" w:gutter="0" w:footer="0" w:header="0"/>
        </w:sectPr>
      </w:pPr>
    </w:p>
    <w:bookmarkStart w:id="16" w:name="page17"/>
    <w:bookmarkEnd w:id="16"/>
    <w:p>
      <w:pPr>
        <w:ind w:left="440" w:right="30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disposition of assets or Equity Interests received in settlement of debts owing to a Person as a result of foreclosure, perfection or enforcement of any Lien or debt, which debts were owing to such Person;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or other disposition (i) of Equity Interests in, or Indebtedness or other securities of, an Unrestricted Subsidiary (other than an Unrestricted Subsidiary the primary assets of which are cash and/or Cash Equivalents) or (ii) in connection with the CMB Transactions.</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Swap</w:t>
      </w:r>
      <w:r>
        <w:rPr>
          <w:rFonts w:ascii="Times New Roman" w:cs="Times New Roman" w:eastAsia="Times New Roman" w:hAnsi="Times New Roman"/>
          <w:sz w:val="18"/>
          <w:szCs w:val="18"/>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Fair Market Value of the properties or assets traded or exchanged by the Issuer or such Restricted Subsidiary (together with any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Equivalents) is reasonably equivalent to the Fair Market Value of the properties or assets (together with any cash or Cash Equivalents) to be received by the Issuer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net cash or Cash Equivalents received must be applied in accordance with Section 4.10 if then in effect as if the Asset Swap were an Asset Sale.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sale and leaseback transaction results in a Finance Lease Obligation, the amount of Indebtedness represented thereby will be determined in accordance with the definition of “Finance Lease Obligation.”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w:t>
      </w:r>
      <w:r>
        <w:rPr>
          <w:rFonts w:ascii="Times New Roman" w:cs="Times New Roman" w:eastAsia="Times New Roman" w:hAnsi="Times New Roman"/>
          <w:sz w:val="18"/>
          <w:szCs w:val="18"/>
          <w:i w:val="1"/>
          <w:i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Beneficially Owned</w:t>
      </w:r>
      <w:r>
        <w:rPr>
          <w:rFonts w:ascii="Times New Roman" w:cs="Times New Roman" w:eastAsia="Times New Roman" w:hAnsi="Times New Roman"/>
          <w:sz w:val="18"/>
          <w:szCs w:val="18"/>
          <w:color w:val="auto"/>
        </w:rPr>
        <w:t>”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 members thereof;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with respect to any other Person, the board or committee of such Person serving a similar function.</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Legal Holiday.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117"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 having maturities of not more than one year from the date of acquisition;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S&amp;P or Moody’s;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demand deposits and eurodollar time deposits with maturities of one year or less from the date of acquisition, bankers’ acceptances with maturities not exceeding six months and overnight bank deposits, in each case, with any domestic commercial bank having capital and surplus in excess of $500.0 million or that is a lender under the Credit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left="1120" w:hanging="261"/>
        <w:spacing w:after="0"/>
        <w:tabs>
          <w:tab w:leader="none" w:pos="11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obligations with a term of not more than seven days for underlying securities of the types described in clauses (2), (3)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entered into with any financial institution meeting the qualifications specified in clause (4) above;</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one year after the date of acquisition;</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(1) through (6) of this definition;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Subsidiary of the Issuer organized or operating outside the United States, investments denominated in local currency that are similar to the items specified in clauses (1) through (7) above; and</w:t>
      </w:r>
    </w:p>
    <w:p>
      <w:pPr>
        <w:spacing w:after="0" w:line="53"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Moody’s or S&amp;P, respectively, and in each case maturing within 24 months after the date of the creation thereof.</w:t>
      </w:r>
    </w:p>
    <w:p>
      <w:pPr>
        <w:spacing w:after="0" w:line="160"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Obligations</w:t>
      </w:r>
      <w:r>
        <w:rPr>
          <w:rFonts w:ascii="Times New Roman" w:cs="Times New Roman" w:eastAsia="Times New Roman" w:hAnsi="Times New Roman"/>
          <w:sz w:val="18"/>
          <w:szCs w:val="18"/>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19" w:lineRule="exact"/>
        <w:rPr>
          <w:sz w:val="20"/>
          <w:szCs w:val="20"/>
          <w:color w:val="auto"/>
        </w:rPr>
      </w:pPr>
    </w:p>
    <w:p>
      <w:pPr>
        <w:ind w:left="440" w:firstLine="419"/>
        <w:spacing w:after="0" w:line="256"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liquidated or dissolved or adopts a plan of liquidation or dissolution other than in a transaction which complies with the provisions described under Section 5.01.</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Decline.</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CMB Transactions</w:t>
      </w:r>
      <w:r>
        <w:rPr>
          <w:rFonts w:ascii="Times New Roman" w:cs="Times New Roman" w:eastAsia="Times New Roman" w:hAnsi="Times New Roman"/>
          <w:sz w:val="18"/>
          <w:szCs w:val="18"/>
          <w:color w:val="auto"/>
        </w:rPr>
        <w:t>” means any transaction deemed by the Issuer in good faith to be necessary or advisable in connection with a separation of the Issuer’s and its Subsidiaries’ carbon management and power generation business into a separate entity, including any spin-off, split-off or sale transaction.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 or statutes thereto.</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Cash Flow</w:t>
      </w:r>
      <w:r>
        <w:rPr>
          <w:rFonts w:ascii="Times New Roman" w:cs="Times New Roman" w:eastAsia="Times New Roman" w:hAnsi="Times New Roman"/>
          <w:sz w:val="18"/>
          <w:szCs w:val="18"/>
          <w:color w:val="auto"/>
        </w:rPr>
        <w:t xml:space="preserve">” means, with respect to any specified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50" w:lineRule="exact"/>
        <w:rPr>
          <w:sz w:val="20"/>
          <w:szCs w:val="20"/>
          <w:color w:val="auto"/>
        </w:rPr>
      </w:pPr>
    </w:p>
    <w:p>
      <w:pPr>
        <w:ind w:left="440" w:right="200" w:firstLine="419"/>
        <w:spacing w:after="0" w:line="284"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expenses or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loss realized by such Person or any of its Restricted Subsidiaries in connection with an Asset Sale, to the extent such expenses or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2"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Person accounts for its oil and gas operations using successful efforts or a similar method of accounting, consolidated exploration expense of such Person and its Restricted Subsidiaries;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increasing such Consolidated Net Income for such period, other than the accrual of revenue in the ordinary course of business; and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20" w:name="page21"/>
    <w:bookmarkEnd w:id="20"/>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Consolidated Leverage Ratio Indebtedness</w:t>
      </w:r>
      <w:r>
        <w:rPr>
          <w:rFonts w:ascii="Times New Roman" w:cs="Times New Roman" w:eastAsia="Times New Roman" w:hAnsi="Times New Roman"/>
          <w:sz w:val="18"/>
          <w:szCs w:val="18"/>
          <w:color w:val="auto"/>
        </w:rPr>
        <w:t>” of any Person as of any date means the aggregate amount of Indebtedness for money borrowed and Finance Lease Obligations of such Person and its Restricted Subsidiaries, determined on a consolidated basis.</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360" w:firstLine="419"/>
        <w:spacing w:after="0" w:line="266"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w:t>
      </w:r>
    </w:p>
    <w:p>
      <w:pPr>
        <w:spacing w:after="0" w:line="115"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net of taxes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7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“ceiling limitation” on oil and gas properties or other asset impairment writedowns on oil and gas properties or other non-current assets under GAAP or SEC guidelines will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 compensation expenses, including under FASB ASC 718, will be excluded;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provision will be excluded;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non-cash gains or losses or charges in respect of Hedging Obligations (including those resulting from the application of FASB ASC 815) will be excluded.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1" w:name="page22"/>
    <w:bookmarkEnd w:id="21"/>
    <w:p>
      <w:pPr>
        <w:ind w:left="4" w:right="14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Consolidated Net Working Capital</w:t>
      </w:r>
      <w:r>
        <w:rPr>
          <w:rFonts w:ascii="Times New Roman" w:cs="Times New Roman" w:eastAsia="Times New Roman" w:hAnsi="Times New Roman"/>
          <w:sz w:val="17"/>
          <w:szCs w:val="17"/>
          <w:color w:val="auto"/>
        </w:rPr>
        <w:t xml:space="preserve">” means (a) all current assets of the Issuer and its Restricted Subsidiaries except current assets from Oil and Gas Hedging Contracts,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(b) all current liabilities of the Issuer and its Restricted Subsidiaries, except (i) current liabilities included in Indebtedness,</w:t>
      </w:r>
    </w:p>
    <w:p>
      <w:pPr>
        <w:spacing w:after="0" w:line="1" w:lineRule="exact"/>
        <w:rPr>
          <w:sz w:val="20"/>
          <w:szCs w:val="20"/>
          <w:color w:val="auto"/>
        </w:rPr>
      </w:pPr>
    </w:p>
    <w:p>
      <w:pPr>
        <w:jc w:val="both"/>
        <w:ind w:left="4" w:right="120" w:hanging="4"/>
        <w:spacing w:after="0" w:line="277" w:lineRule="auto"/>
        <w:tabs>
          <w:tab w:leader="none" w:pos="26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ind w:left="4"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 of the Trustee</w:t>
      </w:r>
      <w:r>
        <w:rPr>
          <w:rFonts w:ascii="Times New Roman" w:cs="Times New Roman" w:eastAsia="Times New Roman" w:hAnsi="Times New Roman"/>
          <w:sz w:val="18"/>
          <w:szCs w:val="18"/>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the Amended and Restated Credit Agreement dated as of April 26, 2023, as amended to the Issue Date, among the Issuer, the guarantors party thereto, Citibank, N.A., as administrative agent, and the lenders and agents party thereto from time to time, as such agreement, in whole or in part, in one or more instances,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183"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Recourse Exceptions</w:t>
      </w:r>
      <w:r>
        <w:rPr>
          <w:rFonts w:ascii="Times New Roman" w:cs="Times New Roman" w:eastAsia="Times New Roman" w:hAnsi="Times New Roman"/>
          <w:sz w:val="18"/>
          <w:szCs w:val="18"/>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left="4"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Increases or Decreases of Interests in the Global Note” attached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De Minimis Guaranteed Amount</w:t>
      </w:r>
      <w:r>
        <w:rPr>
          <w:rFonts w:ascii="Times New Roman" w:cs="Times New Roman" w:eastAsia="Times New Roman" w:hAnsi="Times New Roman"/>
          <w:sz w:val="18"/>
          <w:szCs w:val="18"/>
          <w:color w:val="auto"/>
        </w:rPr>
        <w:t>” means a principal amount of Indebtedness that does not exceed $15.0 million.</w:t>
      </w:r>
    </w:p>
    <w:p>
      <w:pPr>
        <w:spacing w:after="0" w:line="225"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xml:space="preserve">” means the Fair Market Value of non-cash consideration received by the Issuer or a Restricted Subsidiary in connection with an Asset Sale that is so designated as Designated Non-cash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73" w:lineRule="exact"/>
        <w:rPr>
          <w:sz w:val="20"/>
          <w:szCs w:val="20"/>
          <w:color w:val="auto"/>
        </w:rPr>
      </w:pPr>
    </w:p>
    <w:p>
      <w:pPr>
        <w:jc w:val="both"/>
        <w:ind w:right="3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the portion of Capital Stock which is mandatorily redeemable or matures or is redeemable at the option of the holder thereof prior to such date will be deemed to be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9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Dollar-Denominated Production Payments</w:t>
      </w:r>
      <w:r>
        <w:rPr>
          <w:rFonts w:ascii="Times New Roman" w:cs="Times New Roman" w:eastAsia="Times New Roman" w:hAnsi="Times New Roman"/>
          <w:sz w:val="18"/>
          <w:szCs w:val="18"/>
          <w:color w:val="auto"/>
        </w:rPr>
        <w:t>” means production payment obligations recorded as liabilities in accordance with GAAP, together with all undertakings and obligations in connection therewith.</w:t>
      </w:r>
    </w:p>
    <w:p>
      <w:pPr>
        <w:spacing w:after="0" w:line="158"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EHP Entities</w:t>
      </w:r>
      <w:r>
        <w:rPr>
          <w:rFonts w:ascii="Times New Roman" w:cs="Times New Roman" w:eastAsia="Times New Roman" w:hAnsi="Times New Roman"/>
          <w:sz w:val="18"/>
          <w:szCs w:val="18"/>
          <w:color w:val="auto"/>
        </w:rPr>
        <w:t>” means EHP Topco Holding Company, LLC, EHP Midco Holding Company, LLC, Elk Hills Power, LLC and their respective Subsidiaries, and any successor thereto.</w:t>
      </w:r>
    </w:p>
    <w:p>
      <w:pPr>
        <w:spacing w:after="0" w:line="158"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Electronic Means</w:t>
      </w:r>
      <w:r>
        <w:rPr>
          <w:rFonts w:ascii="Times New Roman" w:cs="Times New Roman" w:eastAsia="Times New Roman" w:hAnsi="Times New Roman"/>
          <w:sz w:val="18"/>
          <w:szCs w:val="18"/>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23" w:name="page24"/>
    <w:bookmarkEnd w:id="23"/>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80"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Indebtedness</w:t>
      </w:r>
      <w:r>
        <w:rPr>
          <w:rFonts w:ascii="Times New Roman" w:cs="Times New Roman" w:eastAsia="Times New Roman" w:hAnsi="Times New Roman"/>
          <w:sz w:val="18"/>
          <w:szCs w:val="18"/>
          <w:color w:val="auto"/>
        </w:rPr>
        <w:t>” means all Indebtedness of the Issuer and its Subsidiaries (other than Indebtedness under the Credit Agreement, the Notes and the Guarantees) in existence on the Issue Date, until such amounts are repaid.</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an unaffiliated willing seller in a transaction not involving distress or necessity of either party.</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Finance Lease Obligation</w:t>
      </w:r>
      <w:r>
        <w:rPr>
          <w:rFonts w:ascii="Times New Roman" w:cs="Times New Roman" w:eastAsia="Times New Roman" w:hAnsi="Times New Roman"/>
          <w:sz w:val="18"/>
          <w:szCs w:val="18"/>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and any successor to the ratings business thereof.</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 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 created after the end of such four fiscal quarters, the average daily balance of such Indebtedness during the period from the date of creation of such revolving Credit Facility to the date of such determination). If 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bears a floating rate of interest and is being given pro forma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pro forma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117" w:lineRule="exact"/>
        <w:rPr>
          <w:sz w:val="20"/>
          <w:szCs w:val="20"/>
          <w:color w:val="auto"/>
        </w:rPr>
      </w:pPr>
    </w:p>
    <w:p>
      <w:pPr>
        <w:ind w:left="440" w:right="60" w:firstLine="419"/>
        <w:spacing w:after="0" w:line="25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pro forma effect as if they had occurred on the first day of the four-quarter reference period;</w:t>
      </w:r>
    </w:p>
    <w:p>
      <w:pPr>
        <w:spacing w:after="0" w:line="79"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to be a Restricted Subsidiary of the specified Person immediately following the Calculation Date will be deemed not to have been a Restricted Subsidiary at any time during such four-quarter reference period;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reasonably anticipated by such Person to be received during the applicable four-quarter reference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25" w:name="page26"/>
    <w:bookmarkEnd w:id="25"/>
    <w:p>
      <w:pPr>
        <w:ind w:left="440" w:right="100" w:firstLine="419"/>
        <w:spacing w:after="0" w:line="255"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pro forma effect thereto as if such disposition or acquisition, contribution or Investment had occurred on the first day of such four-quarter reference period.</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definition, whenever pro forma effect is to be given to any calculation under this definition, the pro forma calculations will be determined in good faith by a responsible financial or accounting Officer of the Issuer, which determination shall be conclusive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Officer may in such Officer’s discretion include any reasonably identifiable and factually supportable pro forma changes to Consolidated Cash Flow or Fixed Charges, including any pro forma expense and cost reductions or synergies that have occurred or are reasonably expected to occur within the 12 months immediately following the Calculation Date (regardless of whether those cost savings or operating improvements could then be reflected in pro forma financial statements in accordance with Regulation S-X promulgated under the Securities Act or any other regulation or policy of the SEC related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117" w:lineRule="exact"/>
        <w:rPr>
          <w:sz w:val="20"/>
          <w:szCs w:val="20"/>
          <w:color w:val="auto"/>
        </w:rPr>
      </w:pPr>
    </w:p>
    <w:p>
      <w:pPr>
        <w:ind w:left="440" w:right="280" w:firstLine="419"/>
        <w:spacing w:after="0" w:line="262"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expense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interest income) of such Person and its Restricted Subsidiaries for such period, whether paid or accrued (excluding (i) any interest attributable to Dollar-Denominated Production Payments, (ii) write-off of deferred financing costs and</w:t>
      </w:r>
    </w:p>
    <w:p>
      <w:pPr>
        <w:ind w:left="440" w:right="20" w:hanging="4"/>
        <w:spacing w:after="0" w:line="253" w:lineRule="auto"/>
        <w:tabs>
          <w:tab w:leader="none" w:pos="7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7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6" w:name="page27"/>
    <w:bookmarkEnd w:id="26"/>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which are in effect from time to time. All ratio computations based on GAAP contained in this Indenture will be computed in conformity with GAAP.</w:t>
      </w:r>
    </w:p>
    <w:p>
      <w:pPr>
        <w:spacing w:after="0" w:line="158"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means the legend set forth in Section 2.06(g)(2), which is required to be placed on all Global Notes issued under this Indenture.</w:t>
      </w:r>
    </w:p>
    <w:p>
      <w:pPr>
        <w:spacing w:after="0" w:line="15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80"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of, or obligations guaranteed by, the United States of America, and the payment for which the United States pledges its full faith and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the guarantee by each Guarantor of the Issuer’s obligations under this Indenture and the Notes, as provided in Article 10.</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83" w:lineRule="exact"/>
        <w:rPr>
          <w:sz w:val="20"/>
          <w:szCs w:val="20"/>
          <w:color w:val="auto"/>
        </w:rPr>
      </w:pPr>
    </w:p>
    <w:p>
      <w:pPr>
        <w:ind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Guarantors</w:t>
      </w:r>
      <w:r>
        <w:rPr>
          <w:rFonts w:ascii="Times New Roman" w:cs="Times New Roman" w:eastAsia="Times New Roman" w:hAnsi="Times New Roman"/>
          <w:sz w:val="17"/>
          <w:szCs w:val="17"/>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3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Hydrocarbons</w:t>
      </w:r>
      <w:r>
        <w:rPr>
          <w:rFonts w:ascii="Times New Roman" w:cs="Times New Roman" w:eastAsia="Times New Roman" w:hAnsi="Times New Roman"/>
          <w:sz w:val="18"/>
          <w:szCs w:val="18"/>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58"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(excluding accrued expenses and Trade Payables), whether or not contingent:</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in respect of borrowed money;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8" w:right="479" w:bottom="1440" w:gutter="0" w:footer="0" w:header="0"/>
        </w:sectPr>
      </w:pPr>
    </w:p>
    <w:bookmarkStart w:id="27" w:name="page28"/>
    <w:bookmarkEnd w:id="27"/>
    <w:p>
      <w:pPr>
        <w:ind w:left="440" w:right="80" w:firstLine="419"/>
        <w:spacing w:after="0" w:line="276" w:lineRule="auto"/>
        <w:tabs>
          <w:tab w:leader="none" w:pos="111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evidenced by bonds, notes, debentures or similar instruments or (b) constituting letters of credit (or reimbursement agreements in respect thereof) (other than obligations with respect to letters of credit securing obligations (other than obligations described in clauses (1), (2)(a),</w:t>
      </w:r>
    </w:p>
    <w:p>
      <w:pPr>
        <w:ind w:left="440" w:right="3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77"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Finance Lease Obligations or Attributable Debt in respect of sale and leaseback transactions;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six months after such property is acquired or such services are completed;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“Indebtedness” of any Person shall include Indebtedness described in the preceding paragraph that would not appear as a liability on the balance sheet of such Person if:</w:t>
      </w:r>
    </w:p>
    <w:p>
      <w:pPr>
        <w:spacing w:after="0" w:line="54" w:lineRule="exact"/>
        <w:rPr>
          <w:sz w:val="20"/>
          <w:szCs w:val="20"/>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the obligation of a partnership that is a Joint Venture;</w:t>
      </w:r>
    </w:p>
    <w:p>
      <w:pPr>
        <w:spacing w:after="0" w:line="11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 Restricted Subsidiary of such Person is a general partner of the Joint Venture (a “</w:t>
      </w:r>
      <w:r>
        <w:rPr>
          <w:rFonts w:ascii="Times New Roman" w:cs="Times New Roman" w:eastAsia="Times New Roman" w:hAnsi="Times New Roman"/>
          <w:sz w:val="18"/>
          <w:szCs w:val="18"/>
          <w:i w:val="1"/>
          <w:iCs w:val="1"/>
          <w:color w:val="auto"/>
        </w:rPr>
        <w:t>Joint Venture General Partner</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2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the amount determined pursuant to clause (a) immediately above, the actual amount of such Indebtedness that is recourse to such Person or a 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following shall not in any event constitute “Indebtedness”:</w:t>
      </w:r>
    </w:p>
    <w:p>
      <w:pPr>
        <w:spacing w:after="0" w:line="117" w:lineRule="exact"/>
        <w:rPr>
          <w:sz w:val="20"/>
          <w:szCs w:val="20"/>
          <w:color w:val="auto"/>
        </w:rPr>
      </w:pPr>
    </w:p>
    <w:p>
      <w:pPr>
        <w:ind w:left="440" w:right="100" w:firstLine="419"/>
        <w:spacing w:after="0" w:line="261"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1" w:lineRule="auto"/>
        <w:tabs>
          <w:tab w:leader="none" w:pos="111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56" w:lineRule="exact"/>
        <w:rPr>
          <w:rFonts w:ascii="Times New Roman" w:cs="Times New Roman" w:eastAsia="Times New Roman" w:hAnsi="Times New Roman"/>
          <w:sz w:val="17"/>
          <w:szCs w:val="17"/>
          <w:color w:val="auto"/>
        </w:rPr>
      </w:pPr>
    </w:p>
    <w:p>
      <w:pPr>
        <w:ind w:left="440" w:right="380" w:firstLine="419"/>
        <w:spacing w:after="0" w:line="282"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losses or charges in respect of Interest Rate Agreements or Oil and Gas Hedging Contracts (including those resulting from the application of FASB ASC 815);</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and other obligations, agreements, instruments or arrangements described in clauses (10), (18) and (19) of the definition of “Permitted Liens”;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means the first $600,000,000 aggregate principal amount of Notes issued under this Indenture on the Issue Date.</w:t>
      </w:r>
    </w:p>
    <w:p>
      <w:pPr>
        <w:spacing w:after="0" w:line="225"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means, with respect to any Person, any direct or indirect investment by such Person in other Persons (including Affiliates) in the form of loans (including guarantees), advances or capital 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 (3) advances to customers in the ordinary course of business that are recorded as accounts receivable on the balance sheet of the lender, prepaid expenses or deposits and extensions of trade credit on commercially reasonable terms in accordance 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8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or BBB- (or the equivalent) by Fitch or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June 5, 2024.</w:t>
      </w:r>
    </w:p>
    <w:p>
      <w:pPr>
        <w:spacing w:after="0" w:line="225"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the Issuer in which the Issuer or any of its Restricted Subsidiaries makes any Investment.</w:t>
      </w:r>
    </w:p>
    <w:p>
      <w:pPr>
        <w:spacing w:after="0" w:line="15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83"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Midstream and Infrastructure Assets</w:t>
      </w:r>
      <w:r>
        <w:rPr>
          <w:rFonts w:ascii="Times New Roman" w:cs="Times New Roman" w:eastAsia="Times New Roman" w:hAnsi="Times New Roman"/>
          <w:sz w:val="17"/>
          <w:szCs w:val="17"/>
          <w:color w:val="auto"/>
        </w:rPr>
        <w:t>” means (i) assets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(ii) power and cogeneration facilities, steam flood facilities, carbon capture and sequestration facilities and assets, and any infrastructure or fixtures or assets related thereto, including machinery, valves, engines, boilers, tanks, parts, fittings, lines, cables, towers, rights of way and easements and (iii) 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the ratings business thereof.</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30" w:name="page31"/>
    <w:bookmarkEnd w:id="3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with respect to Indebtedness of any Unrestricted Subsidiary or Joint Venture, Indebtedness:</w:t>
      </w:r>
    </w:p>
    <w:p>
      <w:pPr>
        <w:spacing w:after="0" w:line="119" w:lineRule="exact"/>
        <w:rPr>
          <w:sz w:val="20"/>
          <w:szCs w:val="20"/>
          <w:color w:val="auto"/>
        </w:rPr>
      </w:pPr>
    </w:p>
    <w:p>
      <w:pPr>
        <w:ind w:left="440" w:right="140" w:firstLine="419"/>
        <w:spacing w:after="0" w:line="261"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jc w:val="both"/>
        <w:ind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NYMEX</w:t>
      </w:r>
      <w:r>
        <w:rPr>
          <w:rFonts w:ascii="Times New Roman" w:cs="Times New Roman" w:eastAsia="Times New Roman" w:hAnsi="Times New Roman"/>
          <w:sz w:val="18"/>
          <w:szCs w:val="18"/>
          <w:color w:val="auto"/>
        </w:rPr>
        <w:t>” means the New York Mercantile Exchange, a commodity futures exchange owned and operated by CME Group of Chicago.</w:t>
      </w:r>
    </w:p>
    <w:p>
      <w:pPr>
        <w:spacing w:after="0" w:line="225"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Memorandum</w:t>
      </w:r>
      <w:r>
        <w:rPr>
          <w:rFonts w:ascii="Times New Roman" w:cs="Times New Roman" w:eastAsia="Times New Roman" w:hAnsi="Times New Roman"/>
          <w:sz w:val="18"/>
          <w:szCs w:val="18"/>
          <w:color w:val="auto"/>
        </w:rPr>
        <w:t>” means the offering memorandum of the Issuer dated May 21, 2024 relating to the issuance of the Initial Notes.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31" w:name="page32"/>
    <w:bookmarkEnd w:id="31"/>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the Issuer by two of its Officers, one of whom must be the principal executive officer, the principal financial officer or the principal accounting officer, that meets the requirements of Section 12.05.</w:t>
      </w:r>
    </w:p>
    <w:p>
      <w:pPr>
        <w:spacing w:after="0" w:line="15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Business</w:t>
      </w:r>
      <w:r>
        <w:rPr>
          <w:rFonts w:ascii="Times New Roman" w:cs="Times New Roman" w:eastAsia="Times New Roman" w:hAnsi="Times New Roman"/>
          <w:sz w:val="18"/>
          <w:szCs w:val="18"/>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(iv) any business relating to exploration for or development, production, treatment, processing, storage, transportation or marketing of oil, gas and other minerals and products produced in association therewith, including steam and water, (v) developing, constructing, owning, operating and maintaining (a)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(b) solar, wind, geothermal or other renewable power generation or deployment technologies, facilities or assets, (c) the production, storage, or transportation of hydrogen, ammonia or other substances, and (d) energy storage or other clean energy technologies, facilities or assets, (vi) any other activities conducted by the Issuer and its Subsidiaries on the Issue Date and (vii) any activity that, as determined in good faith by the Issuer, arises from, relates to or is ancillary, complementary or incidental to or necessary or appropriate for the activities described in clauses (i) through (vi) of this definition.</w:t>
      </w:r>
    </w:p>
    <w:p>
      <w:pPr>
        <w:spacing w:after="0" w:line="190"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Hedging Contracts</w:t>
      </w:r>
      <w:r>
        <w:rPr>
          <w:rFonts w:ascii="Times New Roman" w:cs="Times New Roman" w:eastAsia="Times New Roman" w:hAnsi="Times New Roman"/>
          <w:sz w:val="18"/>
          <w:szCs w:val="18"/>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 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80"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Oil and Gas Properties</w:t>
      </w:r>
      <w:r>
        <w:rPr>
          <w:rFonts w:ascii="Times New Roman" w:cs="Times New Roman" w:eastAsia="Times New Roman" w:hAnsi="Times New Roman"/>
          <w:sz w:val="17"/>
          <w:szCs w:val="17"/>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35" w:lineRule="exact"/>
        <w:rPr>
          <w:sz w:val="20"/>
          <w:szCs w:val="20"/>
          <w:color w:val="auto"/>
        </w:rPr>
      </w:pPr>
    </w:p>
    <w:p>
      <w:pPr>
        <w:ind w:right="8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5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PDP Coverage Ratio</w:t>
      </w:r>
      <w:r>
        <w:rPr>
          <w:rFonts w:ascii="Times New Roman" w:cs="Times New Roman" w:eastAsia="Times New Roman" w:hAnsi="Times New Roman"/>
          <w:sz w:val="18"/>
          <w:szCs w:val="18"/>
          <w:color w:val="auto"/>
        </w:rPr>
        <w:t>” means, as of any date of determination, the ratio of (a) the PDP Reserve Value of the Issuer and its Restricted Subsidiaries, to (b) the total principal amount of outstanding Indebtedness for borrowed money, net of cash and Cash Equivalents, of the Issuer and its Restricted Subsidiaries determined on a consolidated basis as of such date.</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PDP Reserve Value</w:t>
      </w:r>
      <w:r>
        <w:rPr>
          <w:rFonts w:ascii="Times New Roman" w:cs="Times New Roman" w:eastAsia="Times New Roman" w:hAnsi="Times New Roman"/>
          <w:sz w:val="18"/>
          <w:szCs w:val="18"/>
          <w:color w:val="auto"/>
        </w:rPr>
        <w:t>” means the net present value of the estimated future net revenues, before state or federal income taxes, discounted at an annual discount rate of 10%, from the oil and natural gas reserves of the Issuer and its Restricted Subsidiaries that are categorized as “proved developed producing” reserves (or an equivalent designation) either (a) in the most recent semi-annual reserve report prepared for purposes of determining the Borrowing Base under the Credit Agreement (or, if the Credit Agreement no longer requires delivery of semi-annual reserve reports for such purpose, in the most recent semi-annual reserve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32" w:name="page33"/>
    <w:bookmarkEnd w:id="3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prepared in a manner consistent with reports contemplated by the Credit Agreement as of the Issue Date) or (b) at the Issuer’s option, in a reserve report prepared as of the end of its most recently completed fiscal quarter, in either case after giving effect to any acquisitions by the Issuer or its Restricted Subsidiaries of proved developed producing reserves, all calculated based on Strip Prices as of a date not more than 30 days prior to the date of such reserve report and calculated after giving effect to the net mark to market value of Oil and Gas Hedging Contracts. The PDP Reserve Value shall be determined by the Issuer in good faith (based on its internal calculations or calculations provided by third party reserve engineers), which determination shall be conclusive and binding for all purposes under this Indenture.</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Acquisition Indebtedness</w:t>
      </w:r>
      <w:r>
        <w:rPr>
          <w:rFonts w:ascii="Times New Roman" w:cs="Times New Roman" w:eastAsia="Times New Roman" w:hAnsi="Times New Roman"/>
          <w:sz w:val="18"/>
          <w:szCs w:val="18"/>
          <w:color w:val="auto"/>
        </w:rPr>
        <w:t xml:space="preserve">”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date such Person became a Restricted Subsidiary or the date such Person was merged or consolidated with or into the Issuer or any of its Restricted Subsidiaries, as applicable, either of:</w:t>
      </w:r>
    </w:p>
    <w:p>
      <w:pPr>
        <w:spacing w:after="0" w:line="76" w:lineRule="exact"/>
        <w:rPr>
          <w:sz w:val="20"/>
          <w:szCs w:val="20"/>
          <w:color w:val="auto"/>
        </w:rPr>
      </w:pPr>
    </w:p>
    <w:p>
      <w:pPr>
        <w:ind w:left="440" w:right="40" w:firstLine="419"/>
        <w:spacing w:after="0" w:line="289" w:lineRule="auto"/>
        <w:tabs>
          <w:tab w:leader="none" w:pos="11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and any related financing transaction on a pro forma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49" w:lineRule="exact"/>
        <w:rPr>
          <w:rFonts w:ascii="Times New Roman" w:cs="Times New Roman" w:eastAsia="Times New Roman" w:hAnsi="Times New Roman"/>
          <w:sz w:val="17"/>
          <w:szCs w:val="17"/>
          <w:color w:val="auto"/>
        </w:rPr>
      </w:pPr>
    </w:p>
    <w:p>
      <w:pPr>
        <w:ind w:left="440" w:right="40" w:firstLine="419"/>
        <w:spacing w:after="0" w:line="266"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any related financing transaction on a pro forma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7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 Investments</w:t>
      </w:r>
      <w:r>
        <w:rPr>
          <w:rFonts w:ascii="Times New Roman" w:cs="Times New Roman" w:eastAsia="Times New Roman" w:hAnsi="Times New Roman"/>
          <w:sz w:val="18"/>
          <w:szCs w:val="18"/>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which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 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 (iv) 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Issuer (including, without limitation, through the purchase of any Notes) or in a Restricted Subsidiary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9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and Cash Equivalents;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Issuer or any Restricted Subsidiary of the Issuer in a Person, if as a result of such Investment:</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Restricted Subsidiary of the Issuer; or</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1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substantially all of its properties or assets to, or is liquidated into, the Issuer or a Restricted Subsidiary of the Issuer;</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or Asset Swap that was made pursuant to and in compliance with Section 4.10;</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of assets or Capital Stock solely in exchange for the issuance of, or with or out of the net cash proceeds of the substantially concurrent (a) contribution (other than from a Restricted Subsidiary) to the equity capital of the Issuer in respect of or (b) sale (other than to a Restricted Subsidiary) of, Equity Interests (other than Disqualified Stock)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amount of such issuance, contribution or sale will be disregarded for purposes of clause (C)(ii) of Section 4.07(a);</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Hedging Obligations;</w:t>
      </w:r>
    </w:p>
    <w:p>
      <w:pPr>
        <w:spacing w:after="0" w:line="117" w:lineRule="exact"/>
        <w:rPr>
          <w:rFonts w:ascii="Times New Roman" w:cs="Times New Roman" w:eastAsia="Times New Roman" w:hAnsi="Times New Roman"/>
          <w:sz w:val="18"/>
          <w:szCs w:val="18"/>
          <w:color w:val="auto"/>
        </w:rPr>
      </w:pPr>
    </w:p>
    <w:p>
      <w:pPr>
        <w:ind w:right="360" w:firstLine="419"/>
        <w:spacing w:after="0" w:line="26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allowances for, and loans or advances to, officers, directors or employees made in the ordinary course of business of the Issuer or any Restricted Subsidiary of the Issuer;</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the Notes or Guarantees;</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7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Indebtedness of (a) the Issuer or a Restricted Subsidiary or (b) any Person that is not an Affiliate of the Issuer, in each case permitted to be incurred by Section 4.09;</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68" w:right="459" w:bottom="1440" w:gutter="0" w:footer="0" w:header="0"/>
        </w:sectPr>
      </w:pPr>
    </w:p>
    <w:bookmarkStart w:id="34" w:name="page35"/>
    <w:bookmarkEnd w:id="34"/>
    <w:p>
      <w:pPr>
        <w:ind w:left="4" w:firstLine="419"/>
        <w:spacing w:after="0" w:line="272" w:lineRule="auto"/>
        <w:tabs>
          <w:tab w:leader="none" w:pos="77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Investment existing on, or made pursuant to binding commitments existing on, the Issue Date and any Investment consisting of an extension, modification or renewal of any Investment existing on, or made pursuant to a binding commitment existing on, the Issue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amount of any such Investment may be increased (a) as required by the terms of such Investment as in existence on the Issue Date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permitted under this Indenture;</w:t>
      </w:r>
    </w:p>
    <w:p>
      <w:pPr>
        <w:spacing w:after="0" w:line="98" w:lineRule="exact"/>
        <w:rPr>
          <w:rFonts w:ascii="Times New Roman" w:cs="Times New Roman" w:eastAsia="Times New Roman" w:hAnsi="Times New Roman"/>
          <w:sz w:val="18"/>
          <w:szCs w:val="18"/>
          <w:color w:val="auto"/>
        </w:rPr>
      </w:pPr>
    </w:p>
    <w:p>
      <w:pPr>
        <w:ind w:left="4" w:firstLine="419"/>
        <w:spacing w:after="0" w:line="261"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Business Investments, Permitted Other Investments and any Investment made in connection with the CMB Transactions;</w:t>
      </w:r>
    </w:p>
    <w:p>
      <w:pPr>
        <w:spacing w:after="0" w:line="117"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as a result of a foreclosure by, or other transfer of title to, the Issuer or any of its Restricted Subsidiaries with respect to any secured Investment in default;</w:t>
      </w:r>
    </w:p>
    <w:p>
      <w:pPr>
        <w:spacing w:after="0" w:line="53"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to the Issuer or any Restricted Subsidiary created or acquired in the ordinary course of business and payable or dischargeable in accordance with customary trade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trade terms may include such concessionary trade terms as the Issuer or any such Restricted Subsidiary deems reasonable under the circumstances;</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53"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67"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and prepayments for asset purchases in the ordinary course of business in the Oil and Gas Business of the Issuer or any Restricted Subsidiary;</w:t>
      </w:r>
    </w:p>
    <w:p>
      <w:pPr>
        <w:spacing w:after="0" w:line="53" w:lineRule="exact"/>
        <w:rPr>
          <w:rFonts w:ascii="Times New Roman" w:cs="Times New Roman" w:eastAsia="Times New Roman" w:hAnsi="Times New Roman"/>
          <w:sz w:val="18"/>
          <w:szCs w:val="18"/>
          <w:color w:val="auto"/>
        </w:rPr>
      </w:pPr>
    </w:p>
    <w:p>
      <w:pPr>
        <w:ind w:left="4" w:right="240" w:firstLine="419"/>
        <w:spacing w:after="0" w:line="282"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the Capital Stock of any of the EHP Entities to one or more Unrestricted Subsidiaries or the designation of any of the EHP Entities as Unrestricted Subsidiaries; and</w:t>
      </w:r>
    </w:p>
    <w:p>
      <w:pPr>
        <w:spacing w:after="0" w:line="53"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7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(21) that are at the time outstanding, that does not exceed the greater of (a) $300.0 million and (b) 5.0% of Adjusted Consolidated Net Tangible Assets determined at the time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(21) is made in any Person that is not a Restricted Subsidiary of the Issuer at the date of the making of such Investment and such Person becomes a Restricted Subsidiary of the Issuer after such date, such Investment shall thereafter be deemed to have been made pursuant to clause</w:t>
      </w:r>
    </w:p>
    <w:p>
      <w:pPr>
        <w:spacing w:after="0" w:line="5"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above and shall cease to have been made pursuant to this clause (21) for so long as such Person continues to be a Restricted Subsidiary of the Issuer (unless the Issuer otherwise classifies such Investment in compliance with this Indenture).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35" w:name="page36"/>
    <w:bookmarkEnd w:id="35"/>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Investment, the Issuer may, in its sole discretion, classify all or any portion of such Investment in one or more of the above clauses so that the entire Investment is a Permitted Investment.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20" w:firstLine="419"/>
        <w:spacing w:after="0" w:line="282" w:lineRule="auto"/>
        <w:tabs>
          <w:tab w:leader="none" w:pos="11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Issuer or any Restricted Subsidiary securing Indebtedness under Credit Facilities that was permitted by the terms of this Indenture to be incurred pursuant to clause (1) of Section 4.09(b);</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Issuer or the Guarantors;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becomes a Restricted Subsidiary of the Issuer or is merged with or into or consolidated with the Issuer or any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other property owned by such Person or any of its Restricted Subsidiaries;</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Capital Stock) existing at the time of acquisition of the property by the Issuer or any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property other than that acquired;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represented by (x) Sale and Leaseback Transactions permitted to be incurred under this Indenture and</w:t>
      </w:r>
    </w:p>
    <w:p>
      <w:pPr>
        <w:spacing w:after="0" w:line="27" w:lineRule="exact"/>
        <w:rPr>
          <w:rFonts w:ascii="Times New Roman" w:cs="Times New Roman" w:eastAsia="Times New Roman" w:hAnsi="Times New Roman"/>
          <w:sz w:val="18"/>
          <w:szCs w:val="18"/>
          <w:color w:val="auto"/>
        </w:rPr>
      </w:pPr>
    </w:p>
    <w:p>
      <w:pPr>
        <w:ind w:left="440" w:right="100" w:hanging="4"/>
        <w:spacing w:after="0" w:line="265" w:lineRule="auto"/>
        <w:tabs>
          <w:tab w:leader="none" w:pos="69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such Liens are in favor of the seller or other transferor or lessor of such asset or property, in favor of the Person or Persons designing, constructing, installing, developing, repairing or improving such asset or property, or in favor of the Person or Persons that provided the funding for the acquisition, design, construction, installation, development, repair or improvement cost, as the case may be, of such asset or property, (b) such Liens are created no later than 360 days after the acquisition, lease, leaseback, design, construction, installation, development, repair or improvement,</w:t>
      </w:r>
    </w:p>
    <w:p>
      <w:pPr>
        <w:spacing w:after="0" w:line="1" w:lineRule="exact"/>
        <w:rPr>
          <w:rFonts w:ascii="Times New Roman" w:cs="Times New Roman" w:eastAsia="Times New Roman" w:hAnsi="Times New Roman"/>
          <w:sz w:val="17"/>
          <w:szCs w:val="17"/>
          <w:color w:val="auto"/>
        </w:rPr>
      </w:pPr>
    </w:p>
    <w:p>
      <w:pPr>
        <w:ind w:left="440" w:right="80" w:hanging="4"/>
        <w:spacing w:after="0" w:line="252"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Indebtedness secured by such Liens is otherwise permitted to be incurred under this Indenture and does not exceed the greater of (i) the cost of the asset or property so acquired, designed, constructed, installed, developed, repaired or improved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related financing costs and (ii) the Fair Market Value of the asset or property so acquired, leased, designed, constructed, installed, developed, repaired or improved, measured at the date of such acquisition or lease, or the date of completion of such design, construction, installation, development, repair or improvement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related financing costs, and (d) 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36" w:name="page37"/>
    <w:bookmarkEnd w:id="36"/>
    <w:p>
      <w:pPr>
        <w:ind w:right="180" w:firstLine="419"/>
        <w:spacing w:after="0" w:line="28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existing on the Issue Date after giving effect to the issuance of the Initial Notes and the application of proceeds therefrom (other than Liens securing Indebtedness under the Credit Agreement);</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for the benefit of (or to secure) the Notes or the Guarantees or to secure other obligations under this Indenture;</w:t>
      </w:r>
    </w:p>
    <w:p>
      <w:pPr>
        <w:spacing w:after="0" w:line="117" w:lineRule="exact"/>
        <w:rPr>
          <w:rFonts w:ascii="Times New Roman" w:cs="Times New Roman" w:eastAsia="Times New Roman" w:hAnsi="Times New Roman"/>
          <w:sz w:val="18"/>
          <w:szCs w:val="18"/>
          <w:color w:val="auto"/>
        </w:rPr>
      </w:pPr>
    </w:p>
    <w:p>
      <w:pPr>
        <w:ind w:right="180" w:firstLine="419"/>
        <w:spacing w:after="0" w:line="312" w:lineRule="auto"/>
        <w:tabs>
          <w:tab w:leader="none" w:pos="6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31"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reserved in oil and natural gas mineral leases for bonus or rental payments and for compliance with the terms of such leases;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Indebtedness incurred to refinance or replace Indebtedness secured by any Lien described under clauses (3), (4),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(7), (8), (12) and (22) of this definition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8" w:lineRule="exact"/>
        <w:rPr>
          <w:rFonts w:ascii="Times New Roman" w:cs="Times New Roman" w:eastAsia="Times New Roman" w:hAnsi="Times New Roman"/>
          <w:sz w:val="18"/>
          <w:szCs w:val="18"/>
          <w:color w:val="auto"/>
        </w:rPr>
      </w:pPr>
    </w:p>
    <w:p>
      <w:pPr>
        <w:ind w:left="540" w:right="320" w:firstLine="408"/>
        <w:spacing w:after="0" w:line="266" w:lineRule="auto"/>
        <w:tabs>
          <w:tab w:leader="none" w:pos="118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Lien is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to such property or proceeds or distributions thereof); and</w:t>
      </w:r>
    </w:p>
    <w:p>
      <w:pPr>
        <w:spacing w:after="0" w:line="67" w:lineRule="exact"/>
        <w:rPr>
          <w:rFonts w:ascii="Times New Roman" w:cs="Times New Roman" w:eastAsia="Times New Roman" w:hAnsi="Times New Roman"/>
          <w:sz w:val="18"/>
          <w:szCs w:val="18"/>
          <w:color w:val="auto"/>
        </w:rPr>
      </w:pPr>
    </w:p>
    <w:p>
      <w:pPr>
        <w:ind w:left="540" w:firstLine="408"/>
        <w:spacing w:after="0" w:line="261" w:lineRule="auto"/>
        <w:tabs>
          <w:tab w:leader="none" w:pos="11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proceeds thereof, or other deposits, to secure insurance premium financings;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117" w:lineRule="exact"/>
        <w:rPr>
          <w:rFonts w:ascii="Times New Roman" w:cs="Times New Roman" w:eastAsia="Times New Roman" w:hAnsi="Times New Roman"/>
          <w:sz w:val="18"/>
          <w:szCs w:val="18"/>
          <w:color w:val="auto"/>
        </w:rPr>
      </w:pPr>
    </w:p>
    <w:p>
      <w:pPr>
        <w:jc w:val="both"/>
        <w:ind w:right="280" w:firstLine="419"/>
        <w:spacing w:after="0" w:line="289" w:lineRule="auto"/>
        <w:tabs>
          <w:tab w:leader="none" w:pos="76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49"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117" w:lineRule="exact"/>
        <w:rPr>
          <w:rFonts w:ascii="Times New Roman" w:cs="Times New Roman" w:eastAsia="Times New Roman" w:hAnsi="Times New Roman"/>
          <w:sz w:val="18"/>
          <w:szCs w:val="18"/>
          <w:color w:val="auto"/>
        </w:rPr>
      </w:pPr>
    </w:p>
    <w:p>
      <w:pPr>
        <w:jc w:val="both"/>
        <w:ind w:right="400" w:firstLine="419"/>
        <w:spacing w:after="0" w:line="266" w:lineRule="auto"/>
        <w:tabs>
          <w:tab w:leader="none" w:pos="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0"/>
          </w:cols>
          <w:pgMar w:left="880" w:top="270" w:right="499" w:bottom="1440" w:gutter="0" w:footer="0" w:header="0"/>
        </w:sectPr>
      </w:pPr>
    </w:p>
    <w:bookmarkStart w:id="37" w:name="page38"/>
    <w:bookmarkEnd w:id="37"/>
    <w:p>
      <w:pPr>
        <w:ind w:right="120" w:firstLine="419"/>
        <w:spacing w:after="0" w:line="284"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respect of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limited to the property that is subject to such Production Payments and Reserve Sales;</w:t>
      </w:r>
    </w:p>
    <w:p>
      <w:pPr>
        <w:spacing w:after="0" w:line="52" w:lineRule="exact"/>
        <w:rPr>
          <w:rFonts w:ascii="Times New Roman" w:cs="Times New Roman" w:eastAsia="Times New Roman" w:hAnsi="Times New Roman"/>
          <w:sz w:val="18"/>
          <w:szCs w:val="18"/>
          <w:color w:val="auto"/>
        </w:rPr>
      </w:pPr>
    </w:p>
    <w:p>
      <w:pPr>
        <w:ind w:right="80" w:firstLine="419"/>
        <w:spacing w:after="0" w:line="254"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 customary in the Oil and Gas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all instances that such Liens are limited to the assets that are the subject of the relevant agreement, program, order or contract;</w:t>
      </w:r>
    </w:p>
    <w:p>
      <w:pPr>
        <w:spacing w:after="0" w:line="80"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Hedging Obligations of the Issuer or any of its Restricted Subsidiaries entered into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are solely for the benefit of the trustees, agents or representatives in their capacities as such and not for the benefit of the holders of such Indebtedness;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 (22), does not exceed the greater of (a) $300.0 million and (b) 5.0% of Adjusted Consolidated Net Tangible Assets determined at the time such Lien is incurred;</w:t>
      </w:r>
    </w:p>
    <w:p>
      <w:pPr>
        <w:spacing w:after="0" w:line="75" w:lineRule="exact"/>
        <w:rPr>
          <w:rFonts w:ascii="Times New Roman" w:cs="Times New Roman" w:eastAsia="Times New Roman" w:hAnsi="Times New Roman"/>
          <w:sz w:val="18"/>
          <w:szCs w:val="18"/>
          <w:color w:val="auto"/>
        </w:rPr>
      </w:pPr>
    </w:p>
    <w:p>
      <w:pPr>
        <w:ind w:right="34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subleases of real property which do not materially interfere with the ordinary conduct of the business of the Issuer or the Restricted Subsidiaries;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by reason of:</w:t>
      </w:r>
    </w:p>
    <w:p>
      <w:pPr>
        <w:spacing w:after="0" w:line="117"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1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assessments or governmental charges or claims that are not yet delinquent or which are being contested in good faith by appropriate proceedings promptly instituted and diligently conducted;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will be required in conformity with GAAP will have been made therefor,</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faith deposits in connection with tenders, leases and contracts (other than contracts for the payment of Indebtedness),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68" w:right="479" w:bottom="1440" w:gutter="0" w:footer="0" w:header="0"/>
        </w:sectPr>
      </w:pPr>
    </w:p>
    <w:bookmarkStart w:id="38" w:name="page39"/>
    <w:bookmarkEnd w:id="38"/>
    <w:p>
      <w:pPr>
        <w:ind w:left="980" w:right="60" w:firstLine="408"/>
        <w:spacing w:after="0" w:line="256" w:lineRule="auto"/>
        <w:tabs>
          <w:tab w:leader="none" w:pos="16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79"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 proceedings which suspend the collection thereof; if such reserve or other appropriate provision, if any, as shall be required by GAAP shall have been made in respect thereof, or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depository or cash-management arrangements with banks;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8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74"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Other Investments</w:t>
      </w:r>
      <w:r>
        <w:rPr>
          <w:rFonts w:ascii="Times New Roman" w:cs="Times New Roman" w:eastAsia="Times New Roman" w:hAnsi="Times New Roman"/>
          <w:sz w:val="18"/>
          <w:szCs w:val="18"/>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40" w:firstLine="419"/>
        <w:spacing w:after="0" w:line="266" w:lineRule="auto"/>
        <w:tabs>
          <w:tab w:leader="none" w:pos="11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any such Investment and immediately thereafter, (a) the Issuer would be permitted to incur at least $1.00 of additional Indebtedness pursuant to the Fixed Charge Coverage Ratio test set forth in Section 4.09(a) and (b) the PDP Coverage Ratio is not less than 2.00 to 1.00;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has outstanding Indebtedness at the time of any such Investment, either (a) all such Indebtedness is Non-Recourse Debt or</w:t>
      </w:r>
    </w:p>
    <w:p>
      <w:pPr>
        <w:spacing w:after="0" w:line="27" w:lineRule="exact"/>
        <w:rPr>
          <w:rFonts w:ascii="Times New Roman" w:cs="Times New Roman" w:eastAsia="Times New Roman" w:hAnsi="Times New Roman"/>
          <w:sz w:val="18"/>
          <w:szCs w:val="18"/>
          <w:color w:val="auto"/>
        </w:rPr>
      </w:pPr>
    </w:p>
    <w:p>
      <w:pPr>
        <w:ind w:left="440" w:hanging="4"/>
        <w:spacing w:after="0" w:line="260"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of such Person that is not Non-Recourse Debt could, at the time such Investment is made, be incurred at that time by the Issuer pursuant to the Fixed Charge Coverage Ratio test set forth in Section 4.09(a).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right="100" w:firstLine="44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Permitted Refinancing Indebtedness</w:t>
      </w:r>
      <w:r>
        <w:rPr>
          <w:rFonts w:ascii="Times New Roman" w:cs="Times New Roman" w:eastAsia="Times New Roman" w:hAnsi="Times New Roman"/>
          <w:sz w:val="17"/>
          <w:szCs w:val="17"/>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49" w:lineRule="exact"/>
        <w:rPr>
          <w:sz w:val="20"/>
          <w:szCs w:val="20"/>
          <w:color w:val="auto"/>
        </w:rPr>
      </w:pPr>
    </w:p>
    <w:p>
      <w:pPr>
        <w:jc w:val="both"/>
        <w:ind w:left="440" w:firstLine="419"/>
        <w:spacing w:after="0" w:line="261"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all accrued dividends on the Disqualified Stock or Preferred Stock and the amount of all fees and expenses, including premiums, incurred in connection therewith);</w:t>
      </w:r>
    </w:p>
    <w:p>
      <w:pPr>
        <w:spacing w:after="0" w:line="71"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that is either (a) no earlier than the final maturity date of, and has a Weighted Average Life to Maturity equal to or 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160"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58"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with respect to any Person, any and all preferred or preference stock or other similar Equity Interests (however designated) of such Person whether outstanding or issued after the Issue Date.</w:t>
      </w:r>
    </w:p>
    <w:p>
      <w:pPr>
        <w:spacing w:after="0" w:line="158"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 means the legend set forth in Section 2.06(g)(1) to be placed on all Notes issued under this Indenture except where otherwise permitted by the provisions of this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w:t>
      </w:r>
      <w:r>
        <w:rPr>
          <w:rFonts w:ascii="Times New Roman" w:cs="Times New Roman" w:eastAsia="Times New Roman" w:hAnsi="Times New Roman"/>
          <w:sz w:val="18"/>
          <w:szCs w:val="18"/>
          <w:color w:val="auto"/>
        </w:rPr>
        <w:t>” means Dollar-Denominated Production Payments and Volumetric Production Payments, collectively.</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68" w:right="519" w:bottom="1440" w:gutter="0" w:footer="0" w:header="0"/>
        </w:sectPr>
      </w:pPr>
    </w:p>
    <w:bookmarkStart w:id="40" w:name="page41"/>
    <w:bookmarkEnd w:id="4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Production Payments and Reserve Sales</w:t>
      </w:r>
      <w:r>
        <w:rPr>
          <w:rFonts w:ascii="Times New Roman" w:cs="Times New Roman" w:eastAsia="Times New Roman" w:hAnsi="Times New Roman"/>
          <w:sz w:val="18"/>
          <w:szCs w:val="18"/>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Fitch, Moody’s or S&amp;P, as the case may be.</w:t>
      </w:r>
    </w:p>
    <w:p>
      <w:pPr>
        <w:spacing w:after="0" w:line="174"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earlier of the date of public notice of (i) the occurrence of a Change of Control or (ii) the Issuer’s intention to effect a Change of Control.</w:t>
      </w:r>
    </w:p>
    <w:p>
      <w:pPr>
        <w:spacing w:after="0" w:line="15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xml:space="preserve">” shall be deemed to have occurred if, no later than 30 days after the Rating Date (which period shall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 at least two of the Rating Agencies decrease their rating of the Notes to a rating that is below their respective ratings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Notwithstanding the foregoing, if the Notes have an Investment Grade Rating by at least two of the Rating Agencies immediately prior to the Rating Date, then “Rating Decline” means a decrease in the ratings of the Notes by one or more gradations (including gradations within categories as well as between rating categories) by at least two of the Rating Agencies such that the rating of the Notes by each such Rating Agency falls below an Investment Grade Rating no later than 30 days after the Rating Date (which 30-day period will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8" w:right="479" w:bottom="1440" w:gutter="0" w:footer="0" w:header="0"/>
        </w:sectPr>
      </w:pPr>
    </w:p>
    <w:bookmarkStart w:id="41" w:name="page42"/>
    <w:bookmarkEnd w:id="41"/>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Resale Restriction Termination Date</w:t>
      </w:r>
      <w:r>
        <w:rPr>
          <w:rFonts w:ascii="Times New Roman" w:cs="Times New Roman" w:eastAsia="Times New Roman" w:hAnsi="Times New Roman"/>
          <w:sz w:val="18"/>
          <w:szCs w:val="18"/>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4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Issuer or any of its Restricted Subsidiaries outstanding under Credit Facilities and all obligations under Hedging Obligations with respect thereto;</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42" w:name="page43"/>
    <w:bookmarkEnd w:id="42"/>
    <w:p>
      <w:pPr>
        <w:jc w:val="center"/>
        <w:ind w:right="3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all Obligations with respect to the items listed in the preceding clauses (1) and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in the preceding sentence, Senior Debt will not include:</w:t>
      </w:r>
    </w:p>
    <w:p>
      <w:pPr>
        <w:spacing w:after="0" w:line="117" w:lineRule="exact"/>
        <w:rPr>
          <w:sz w:val="20"/>
          <w:szCs w:val="20"/>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Indebtedness of the Issuer or any of its Restricted Subsidiaries to the Issuer or any Affiliate;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is incurred in violation of this Indenture;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158"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7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Strip Prices</w:t>
      </w:r>
      <w:r>
        <w:rPr>
          <w:rFonts w:ascii="Times New Roman" w:cs="Times New Roman" w:eastAsia="Times New Roman" w:hAnsi="Times New Roman"/>
          <w:sz w:val="18"/>
          <w:szCs w:val="18"/>
          <w:color w:val="auto"/>
        </w:rPr>
        <w:t xml:space="preserve">” means, as of any date of determination, the forward month prices for the most comparable Hydrocarbon commodity applicable to such future production month for a five year period (or such shorter period if forward month prices are not quoted for a reasonably comparable Hydrocarbon commodity for the full specified period), with such prices held constant thereafter based on the last quoted forward month price of such period, as such prices are (i) quoted on the NYMEX (or its successor), and (ii) as adjusted in good faith by the Issuer’s management for energy content, quality and basis differentials;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estimated future production for which prices are defined, within the meaning of SEC guidelines, by contractual arrangements (excluding escalations based upon future conditions), then such contract prices shall be applied to future production subject to such arrangements.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60" w:firstLine="419"/>
        <w:spacing w:after="0" w:line="266"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(15 U.S.C. §§ 77aaa-77bbbb), as in effect on the Issue Date.</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3" w:name="page44"/>
    <w:bookmarkEnd w:id="43"/>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with such pro forma adjustments to Consolidated Leverage Ratio Indebtedness and Consolidated Cash Flow as are appropriate and consistent with the pro forma adjustment provisions set forth in the definition of “Fixed Charge Coverage Ratio.”</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Trade Payables</w:t>
      </w:r>
      <w:r>
        <w:rPr>
          <w:rFonts w:ascii="Times New Roman" w:cs="Times New Roman" w:eastAsia="Times New Roman" w:hAnsi="Times New Roman"/>
          <w:sz w:val="18"/>
          <w:szCs w:val="18"/>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xml:space="preserve">”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 most nearly equal to the period from the redemption date to June 15,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the redemption date to June 15, 2026, is less than one year, the weekly average yield on actively traded United States Treasury securities adjusted to a constant maturity of one year will be used. The Issuer 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18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Wilmington Trust, National Association, in its capacity as such, until a successor replaces it in accordance with the applicable provisions of this Indenture and thereafter means the successor serving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Definitive Note</w:t>
      </w:r>
      <w:r>
        <w:rPr>
          <w:rFonts w:ascii="Times New Roman" w:cs="Times New Roman" w:eastAsia="Times New Roman" w:hAnsi="Times New Roman"/>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Global Note</w:t>
      </w:r>
      <w:r>
        <w:rPr>
          <w:rFonts w:ascii="Times New Roman" w:cs="Times New Roman" w:eastAsia="Times New Roman" w:hAnsi="Times New Roman"/>
          <w:sz w:val="18"/>
          <w:szCs w:val="18"/>
          <w:color w:val="auto"/>
        </w:rPr>
        <w:t>” means a Global Note that does not bear and is not required to bear the Private Placement Legend.</w:t>
      </w:r>
    </w:p>
    <w:p>
      <w:pPr>
        <w:spacing w:after="0" w:line="225"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Unrestricted Subsidiary</w:t>
      </w:r>
      <w:r>
        <w:rPr>
          <w:rFonts w:ascii="Times New Roman" w:cs="Times New Roman" w:eastAsia="Times New Roman" w:hAnsi="Times New Roman"/>
          <w:sz w:val="17"/>
          <w:szCs w:val="17"/>
          <w:color w:val="auto"/>
        </w:rPr>
        <w:t>” means (a) as of the Issue Date, without further action, Carbon TerraVault Holdings, LLC, Oso Rojo, LLC and their respective Subsidiaries and (b)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in the case of this clause (b), that such Subsidiary, at the time of such designation:</w:t>
      </w:r>
    </w:p>
    <w:p>
      <w:pPr>
        <w:spacing w:after="0" w:line="58" w:lineRule="exact"/>
        <w:rPr>
          <w:sz w:val="20"/>
          <w:szCs w:val="20"/>
          <w:color w:val="auto"/>
        </w:rPr>
      </w:pPr>
    </w:p>
    <w:p>
      <w:pPr>
        <w:ind w:left="440" w:right="40" w:firstLine="419"/>
        <w:spacing w:after="0" w:line="282"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8" w:right="499" w:bottom="1440" w:gutter="0" w:footer="0" w:header="0"/>
        </w:sectPr>
      </w:pPr>
    </w:p>
    <w:bookmarkStart w:id="44" w:name="page45"/>
    <w:bookmarkEnd w:id="44"/>
    <w:p>
      <w:pPr>
        <w:ind w:left="440" w:right="500" w:firstLine="419"/>
        <w:spacing w:after="0" w:line="282" w:lineRule="auto"/>
        <w:tabs>
          <w:tab w:leader="none" w:pos="11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7" w:lineRule="auto"/>
        <w:tabs>
          <w:tab w:leader="none" w:pos="11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w:t>
      </w:r>
    </w:p>
    <w:p>
      <w:pPr>
        <w:spacing w:after="0" w:line="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Notes and the Guarantees,</w:t>
      </w:r>
    </w:p>
    <w:p>
      <w:pPr>
        <w:spacing w:after="0" w:line="20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except, in the case of clauses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Subsidiaries of an Unrestricted Subsidiary shall also be Unrestricted Subsidiaries automatically without further action.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means a U.S. Person as defined in Rule 902(k) promulgated under the Securities Act.</w:t>
      </w:r>
    </w:p>
    <w:p>
      <w:pPr>
        <w:spacing w:after="0" w:line="22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Volumetric Production Payments</w:t>
      </w:r>
      <w:r>
        <w:rPr>
          <w:rFonts w:ascii="Times New Roman" w:cs="Times New Roman" w:eastAsia="Times New Roman" w:hAnsi="Times New Roman"/>
          <w:sz w:val="18"/>
          <w:szCs w:val="18"/>
          <w:color w:val="auto"/>
        </w:rPr>
        <w:t>” means production payment obligations recorded as deferred revenue in accordance with GAAP, together with all undertakings and obligations in connection therewith.</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xml:space="preserve">” of any specified Person as of any date means the Capital Stock of such Person entitling the holders thereof (whether at all times or only so long as no senior class of Capital Stock has voting power by reason of any contingency) to vote in the election of members of the Board of Directors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 limited partnership or other entity which does not have a Board of Directors, Voting Stock means the Capital Stock of the general partner of such limited partnership or other business entity with the ultimate authority to manage the business and operations of such Person.</w:t>
      </w:r>
    </w:p>
    <w:p>
      <w:pPr>
        <w:spacing w:after="0" w:line="18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xml:space="preserve">” means, when applied to any Indebtedness (or Disqualified Stock or Preferred Stock) at any date, the number of years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440" w:right="60" w:firstLine="419"/>
        <w:spacing w:after="0" w:line="261"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products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number of years (calculated to the nearest one-twelfth) that will elapse between such date and the making of such payment; </w:t>
      </w:r>
      <w:r>
        <w:rPr>
          <w:rFonts w:ascii="Times New Roman" w:cs="Times New Roman" w:eastAsia="Times New Roman" w:hAnsi="Times New Roman"/>
          <w:sz w:val="18"/>
          <w:szCs w:val="18"/>
          <w:i w:val="1"/>
          <w:iCs w:val="1"/>
          <w:color w:val="auto"/>
        </w:rPr>
        <w:t>by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5" w:name="page46"/>
    <w:bookmarkEnd w:id="45"/>
    <w:p>
      <w:pPr>
        <w:ind w:left="440" w:right="2520" w:firstLine="419"/>
        <w:spacing w:after="0" w:line="407"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then outstanding principal amount of such Indebtedness (or Disqualified Stock or Preferred Stock). Section 1.02 </w:t>
      </w:r>
      <w:r>
        <w:rPr>
          <w:rFonts w:ascii="Times New Roman" w:cs="Times New Roman" w:eastAsia="Times New Roman" w:hAnsi="Times New Roman"/>
          <w:sz w:val="18"/>
          <w:szCs w:val="18"/>
          <w:i w:val="1"/>
          <w:iCs w:val="1"/>
          <w:color w:val="auto"/>
        </w:rPr>
        <w:t>Other Definitions.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55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91"/>
        </w:trPr>
        <w:tc>
          <w:tcPr>
            <w:tcW w:w="442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3"/>
        </w:trPr>
        <w:tc>
          <w:tcPr>
            <w:tcW w:w="3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7"/>
              </w:rPr>
              <w:t>“</w:t>
            </w:r>
            <w:r>
              <w:rPr>
                <w:rFonts w:ascii="Times New Roman" w:cs="Times New Roman" w:eastAsia="Times New Roman" w:hAnsi="Times New Roman"/>
                <w:sz w:val="18"/>
                <w:szCs w:val="18"/>
                <w:i w:val="1"/>
                <w:iCs w:val="1"/>
                <w:color w:val="auto"/>
                <w:w w:val="87"/>
              </w:rPr>
              <w:t>Act</w:t>
            </w:r>
          </w:p>
        </w:tc>
        <w:tc>
          <w:tcPr>
            <w:tcW w:w="4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12.15(a)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Aera Merger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4.11(a)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4.15(d)</w:t>
            </w:r>
          </w:p>
        </w:tc>
        <w:tc>
          <w:tcPr>
            <w:tcW w:w="0" w:type="dxa"/>
            <w:vAlign w:val="bottom"/>
          </w:tcPr>
          <w:p>
            <w:pPr>
              <w:spacing w:after="0"/>
              <w:rPr>
                <w:sz w:val="1"/>
                <w:szCs w:val="1"/>
                <w:color w:val="auto"/>
              </w:rPr>
            </w:pPr>
          </w:p>
        </w:tc>
      </w:tr>
      <w:tr>
        <w:trPr>
          <w:trHeight w:val="2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8.04(a) 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11.01(a)(2),</w:t>
            </w:r>
          </w:p>
        </w:tc>
        <w:tc>
          <w:tcPr>
            <w:tcW w:w="0" w:type="dxa"/>
            <w:vAlign w:val="bottom"/>
          </w:tcPr>
          <w:p>
            <w:pPr>
              <w:spacing w:after="0"/>
              <w:rPr>
                <w:sz w:val="1"/>
                <w:szCs w:val="1"/>
                <w:color w:val="auto"/>
              </w:rPr>
            </w:pPr>
          </w:p>
        </w:tc>
      </w:tr>
      <w:tr>
        <w:trPr>
          <w:trHeight w:val="229"/>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w:t>
            </w:r>
          </w:p>
        </w:tc>
        <w:tc>
          <w:tcPr>
            <w:tcW w:w="55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applicable</w:t>
            </w:r>
          </w:p>
        </w:tc>
        <w:tc>
          <w:tcPr>
            <w:tcW w:w="0" w:type="dxa"/>
            <w:vAlign w:val="bottom"/>
          </w:tcPr>
          <w:p>
            <w:pPr>
              <w:spacing w:after="0"/>
              <w:rPr>
                <w:sz w:val="1"/>
                <w:szCs w:val="1"/>
                <w:color w:val="auto"/>
              </w:rPr>
            </w:pPr>
          </w:p>
        </w:tc>
      </w:tr>
      <w:tr>
        <w:trPr>
          <w:trHeight w:val="214"/>
        </w:trPr>
        <w:tc>
          <w:tcPr>
            <w:tcW w:w="4420" w:type="dxa"/>
            <w:vAlign w:val="bottom"/>
            <w:gridSpan w:val="2"/>
            <w:vMerge w:val="continue"/>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Amount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6.01(g)(1)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4.07(b)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2.06(g)(1)(B)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4.07(a)(4)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3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w:t>
            </w:r>
          </w:p>
        </w:tc>
        <w:tc>
          <w:tcPr>
            <w:tcW w:w="55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5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i w:val="1"/>
          <w:iCs w:val="1"/>
          <w:color w:val="auto"/>
        </w:rPr>
        <w:t>No Incorporation by Reference of Trust Indenture Act.</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 “including” shall be deemed to be followed by the words “without limitation”; and</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(as amended or supplemented from time to time) and not to any particular Article, Section or other subdivision.</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p>
      <w:pPr>
        <w:spacing w:after="0" w:line="225" w:lineRule="exact"/>
        <w:rPr>
          <w:sz w:val="20"/>
          <w:szCs w:val="20"/>
          <w:color w:val="auto"/>
        </w:rPr>
      </w:pPr>
    </w:p>
    <w:p>
      <w:pPr>
        <w:ind w:firstLine="987"/>
        <w:spacing w:after="0" w:line="267"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will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Notes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notations, legends or endorsements required by law, stock exchange rule or usage. Each Note will be dated the date of its authentication. The Notes shall be in minimum denominations of $2,000 and integral multiples of $1,000 in excess thereof.</w:t>
      </w:r>
    </w:p>
    <w:p>
      <w:pPr>
        <w:spacing w:after="0" w:line="17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Notes will include those stated in this Indenture.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8" w:right="479" w:bottom="1440" w:gutter="0" w:footer="0" w:header="0"/>
        </w:sectPr>
      </w:pPr>
    </w:p>
    <w:bookmarkStart w:id="47" w:name="page48"/>
    <w:bookmarkEnd w:id="47"/>
    <w:p>
      <w:pPr>
        <w:jc w:val="both"/>
        <w:ind w:left="4" w:firstLine="987"/>
        <w:spacing w:after="0" w:line="269" w:lineRule="auto"/>
        <w:tabs>
          <w:tab w:leader="none" w:pos="125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Notes</w:t>
      </w:r>
      <w:r>
        <w:rPr>
          <w:rFonts w:ascii="Times New Roman" w:cs="Times New Roman" w:eastAsia="Times New Roman" w:hAnsi="Times New Roman"/>
          <w:sz w:val="17"/>
          <w:szCs w:val="17"/>
          <w:color w:val="auto"/>
        </w:rPr>
        <w:t>. Notes issued in global form will be substantially in the form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(including the Global Note Legend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exchange, in accordance with instructions given by the Holder thereof as required by Section 2.06 or (ii) in the case of a redemption or repurchase, in accordance with Section 2.06(a).</w:t>
      </w:r>
    </w:p>
    <w:p>
      <w:pPr>
        <w:spacing w:after="0" w:line="17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Procedures Applicable. </w:t>
      </w:r>
      <w:r>
        <w:rPr>
          <w:rFonts w:ascii="Times New Roman" w:cs="Times New Roman" w:eastAsia="Times New Roman" w:hAnsi="Times New Roman"/>
          <w:sz w:val="18"/>
          <w:szCs w:val="18"/>
          <w:color w:val="auto"/>
        </w:rPr>
        <w:t>The provisions of the “Operating Procedures of the Euroclear System” and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79" w:lineRule="exact"/>
        <w:rPr>
          <w:rFonts w:ascii="Times New Roman" w:cs="Times New Roman" w:eastAsia="Times New Roman" w:hAnsi="Times New Roman"/>
          <w:sz w:val="18"/>
          <w:szCs w:val="18"/>
          <w:color w:val="auto"/>
        </w:rPr>
      </w:pPr>
    </w:p>
    <w:p>
      <w:pPr>
        <w:ind w:left="4" w:right="80" w:firstLine="987"/>
        <w:spacing w:after="0" w:line="284"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Notes issued in definitive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(but without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Legend thereon and without the “Schedule of Increases or Decreases of Interests in the Global Note” attached thereto).</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least one Officer must sign the Notes for the Issuer by manual, facsimile, electronic or electronically transmitted signature.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signature of the Trustee. The signature will be conclusive evidence that the Note has been authenticated under this Indenture.</w:t>
      </w:r>
    </w:p>
    <w:p>
      <w:pPr>
        <w:spacing w:after="0" w:line="16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Trustee will, upon receipt of a written order of the Issuer signed by an Officer of the Issuer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Notes for original issue (i) on the Issue Date as Initial Notes in the aggregate principal amount of $600,000,000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Trustee shall also authenticate and deliver Notes at the times and in the manner specified in Sections 2.06, 2.07, 2.10, 3.06, 3.10, 4.15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9.04.</w:t>
      </w:r>
    </w:p>
    <w:p>
      <w:pPr>
        <w:spacing w:after="0" w:line="207"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68"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i w:val="1"/>
          <w:iCs w:val="1"/>
          <w:color w:val="auto"/>
        </w:rPr>
        <w:t>Registrar and Paying Agent.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The Issuer will maintain an office or agency where Notes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p>
    <w:p>
      <w:pPr>
        <w:spacing w:after="0" w:line="22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Holder Lists.</w:t>
      </w:r>
    </w:p>
    <w:p>
      <w:pPr>
        <w:spacing w:after="0" w:line="22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p>
      <w:pPr>
        <w:spacing w:after="0" w:line="225" w:lineRule="exact"/>
        <w:rPr>
          <w:sz w:val="20"/>
          <w:szCs w:val="20"/>
          <w:color w:val="auto"/>
        </w:rPr>
      </w:pPr>
    </w:p>
    <w:p>
      <w:pPr>
        <w:ind w:firstLine="987"/>
        <w:spacing w:after="0" w:line="267"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except as a whole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8" w:right="459" w:bottom="1440" w:gutter="0" w:footer="0" w:header="0"/>
        </w:sectPr>
      </w:pPr>
    </w:p>
    <w:bookmarkStart w:id="49" w:name="page50"/>
    <w:bookmarkEnd w:id="49"/>
    <w:p>
      <w:pPr>
        <w:ind w:left="440" w:right="80" w:firstLine="948"/>
        <w:spacing w:after="0" w:line="282"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occurred and is continuing an Event of Default and the Depositary notifies the Trustee of its decision to exchange such Global Note for Definitive Notes.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Upon the occurrence of the preceding events in clause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92" w:lineRule="exact"/>
        <w:rPr>
          <w:sz w:val="20"/>
          <w:szCs w:val="20"/>
          <w:color w:val="auto"/>
        </w:rPr>
      </w:pPr>
    </w:p>
    <w:p>
      <w:pPr>
        <w:ind w:firstLine="987"/>
        <w:spacing w:after="0" w:line="253"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w:t>
      </w:r>
    </w:p>
    <w:p>
      <w:pPr>
        <w:spacing w:after="0" w:line="2" w:lineRule="exact"/>
        <w:rPr>
          <w:rFonts w:ascii="Times New Roman" w:cs="Times New Roman" w:eastAsia="Times New Roman" w:hAnsi="Times New Roman"/>
          <w:sz w:val="18"/>
          <w:szCs w:val="18"/>
          <w:color w:val="auto"/>
        </w:rPr>
      </w:pPr>
    </w:p>
    <w:p>
      <w:pPr>
        <w:jc w:val="both"/>
        <w:ind w:righ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6" w:lineRule="exact"/>
        <w:rPr>
          <w:rFonts w:ascii="Times New Roman" w:cs="Times New Roman" w:eastAsia="Times New Roman" w:hAnsi="Times New Roman"/>
          <w:sz w:val="18"/>
          <w:szCs w:val="18"/>
          <w:color w:val="auto"/>
        </w:rPr>
      </w:pPr>
    </w:p>
    <w:p>
      <w:pPr>
        <w:ind w:left="440" w:right="20" w:firstLine="948"/>
        <w:spacing w:after="0" w:line="257" w:lineRule="auto"/>
        <w:tabs>
          <w:tab w:leader="none" w:pos="164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 any Applicable Procedures, no written orders or instructions shall be required to be delivered to the Registrar to effect the transfers described in this Section 2.06(b)(1).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50" w:name="page51"/>
    <w:bookmarkEnd w:id="50"/>
    <w:p>
      <w:pPr>
        <w:ind w:right="200" w:firstLine="948"/>
        <w:spacing w:after="0" w:line="315" w:lineRule="auto"/>
        <w:tabs>
          <w:tab w:leader="none" w:pos="12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Other Transfers and Exchanges of Beneficial Interests in Global Notes. </w:t>
      </w:r>
      <w:r>
        <w:rPr>
          <w:rFonts w:ascii="Times New Roman" w:cs="Times New Roman" w:eastAsia="Times New Roman" w:hAnsi="Times New Roman"/>
          <w:sz w:val="17"/>
          <w:szCs w:val="17"/>
          <w:color w:val="auto"/>
        </w:rPr>
        <w:t>In connection with all transfers and exchanges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interests that are not subject to Section 2.06(b)(1) above, the transferor of such beneficial interest must deliver to the Registrar either:</w:t>
      </w:r>
    </w:p>
    <w:p>
      <w:pPr>
        <w:spacing w:after="0" w:line="28" w:lineRule="exact"/>
        <w:rPr>
          <w:rFonts w:ascii="Times New Roman" w:cs="Times New Roman" w:eastAsia="Times New Roman" w:hAnsi="Times New Roman"/>
          <w:sz w:val="17"/>
          <w:szCs w:val="17"/>
          <w:color w:val="auto"/>
        </w:rPr>
      </w:pPr>
    </w:p>
    <w:p>
      <w:pPr>
        <w:ind w:left="1740" w:hanging="290"/>
        <w:spacing w:after="0"/>
        <w:tabs>
          <w:tab w:leader="none" w:pos="17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980" w:firstLine="871"/>
        <w:spacing w:after="0" w:line="266" w:lineRule="auto"/>
        <w:tabs>
          <w:tab w:leader="none" w:pos="205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980" w:right="280" w:firstLine="871"/>
        <w:spacing w:after="0" w:line="282" w:lineRule="auto"/>
        <w:tabs>
          <w:tab w:leader="none" w:pos="210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980" w:firstLine="871"/>
        <w:spacing w:after="0" w:line="266" w:lineRule="auto"/>
        <w:tabs>
          <w:tab w:leader="none" w:pos="205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980" w:right="300" w:firstLine="871"/>
        <w:spacing w:after="0" w:line="282" w:lineRule="auto"/>
        <w:tabs>
          <w:tab w:leader="none" w:pos="210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w:t>
      </w:r>
    </w:p>
    <w:p>
      <w:pPr>
        <w:spacing w:after="0" w:line="66" w:lineRule="exact"/>
        <w:rPr>
          <w:sz w:val="20"/>
          <w:szCs w:val="20"/>
          <w:color w:val="auto"/>
        </w:rPr>
      </w:pPr>
    </w:p>
    <w:p>
      <w:pPr>
        <w:jc w:val="both"/>
        <w:ind w:right="280" w:firstLine="948"/>
        <w:spacing w:after="0" w:line="267" w:lineRule="auto"/>
        <w:tabs>
          <w:tab w:leader="none" w:pos="12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Note. </w:t>
      </w:r>
      <w:r>
        <w:rPr>
          <w:rFonts w:ascii="Times New Roman" w:cs="Times New Roman" w:eastAsia="Times New Roman" w:hAnsi="Times New Roman"/>
          <w:sz w:val="18"/>
          <w:szCs w:val="18"/>
          <w:color w:val="auto"/>
        </w:rPr>
        <w:t>A beneficial interest in any Restricted Global Note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240" w:firstLine="910"/>
        <w:spacing w:after="0" w:line="282" w:lineRule="auto"/>
        <w:tabs>
          <w:tab w:leader="none" w:pos="173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540" w:firstLine="910"/>
        <w:spacing w:after="0" w:line="261" w:lineRule="auto"/>
        <w:tabs>
          <w:tab w:leader="none" w:pos="17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shall take delivery in the form of a beneficial interest in the Regulation S Global Note, then the transferor shall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w:t>
      </w:r>
    </w:p>
    <w:p>
      <w:pPr>
        <w:spacing w:after="0" w:line="69" w:lineRule="exact"/>
        <w:rPr>
          <w:rFonts w:ascii="Times New Roman" w:cs="Times New Roman" w:eastAsia="Times New Roman" w:hAnsi="Times New Roman"/>
          <w:sz w:val="18"/>
          <w:szCs w:val="18"/>
          <w:color w:val="auto"/>
        </w:rPr>
      </w:pPr>
    </w:p>
    <w:p>
      <w:pPr>
        <w:ind w:firstLine="948"/>
        <w:spacing w:after="0" w:line="261" w:lineRule="auto"/>
        <w:tabs>
          <w:tab w:leader="none" w:pos="12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a Restricted Global Note for Beneficial Interests in an Unrestricted Global Note. </w:t>
      </w:r>
      <w:r>
        <w:rPr>
          <w:rFonts w:ascii="Times New Roman" w:cs="Times New Roman" w:eastAsia="Times New Roman" w:hAnsi="Times New Roman"/>
          <w:sz w:val="18"/>
          <w:szCs w:val="18"/>
          <w:color w:val="auto"/>
        </w:rPr>
        <w:t>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7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68" w:right="479" w:bottom="1440" w:gutter="0" w:footer="0" w:header="0"/>
        </w:sectPr>
      </w:pPr>
    </w:p>
    <w:bookmarkStart w:id="51" w:name="page52"/>
    <w:bookmarkEnd w:id="51"/>
    <w:p>
      <w:pPr>
        <w:ind w:left="2100" w:hanging="289"/>
        <w:spacing w:after="0"/>
        <w:tabs>
          <w:tab w:leader="none" w:pos="2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1420" w:right="180" w:firstLine="871"/>
        <w:spacing w:after="0" w:line="266" w:lineRule="auto"/>
        <w:tabs>
          <w:tab w:leader="none" w:pos="24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67" w:lineRule="exact"/>
        <w:rPr>
          <w:rFonts w:ascii="Times New Roman" w:cs="Times New Roman" w:eastAsia="Times New Roman" w:hAnsi="Times New Roman"/>
          <w:sz w:val="18"/>
          <w:szCs w:val="18"/>
          <w:color w:val="auto"/>
        </w:rPr>
      </w:pPr>
    </w:p>
    <w:p>
      <w:pPr>
        <w:ind w:left="1420" w:right="180" w:firstLine="871"/>
        <w:spacing w:after="0" w:line="266" w:lineRule="auto"/>
        <w:tabs>
          <w:tab w:leader="none" w:pos="25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0" w:right="6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0" w:lineRule="exact"/>
        <w:rPr>
          <w:sz w:val="20"/>
          <w:szCs w:val="20"/>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90" w:lineRule="auto"/>
        <w:tabs>
          <w:tab w:leader="none" w:pos="164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Beneficial Interests in Restricted Global Notes to Restricted Definitive Notes. </w:t>
      </w:r>
      <w:r>
        <w:rPr>
          <w:rFonts w:ascii="Times New Roman" w:cs="Times New Roman" w:eastAsia="Times New Roman" w:hAnsi="Times New Roman"/>
          <w:sz w:val="17"/>
          <w:szCs w:val="17"/>
          <w:color w:val="auto"/>
        </w:rPr>
        <w:t>If any holder of a beneficial interest in a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49" w:lineRule="exact"/>
        <w:rPr>
          <w:rFonts w:ascii="Times New Roman" w:cs="Times New Roman" w:eastAsia="Times New Roman" w:hAnsi="Times New Roman"/>
          <w:sz w:val="17"/>
          <w:szCs w:val="17"/>
          <w:color w:val="auto"/>
        </w:rPr>
      </w:pPr>
    </w:p>
    <w:p>
      <w:pPr>
        <w:ind w:left="980" w:firstLine="910"/>
        <w:spacing w:after="0" w:line="282" w:lineRule="auto"/>
        <w:tabs>
          <w:tab w:leader="none" w:pos="217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53" w:lineRule="exact"/>
        <w:rPr>
          <w:rFonts w:ascii="Times New Roman" w:cs="Times New Roman" w:eastAsia="Times New Roman" w:hAnsi="Times New Roman"/>
          <w:sz w:val="18"/>
          <w:szCs w:val="18"/>
          <w:color w:val="auto"/>
        </w:rPr>
      </w:pPr>
    </w:p>
    <w:p>
      <w:pPr>
        <w:ind w:left="980" w:right="20" w:firstLine="910"/>
        <w:spacing w:after="0" w:line="282" w:lineRule="auto"/>
        <w:tabs>
          <w:tab w:leader="none" w:pos="216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540" w:firstLine="910"/>
        <w:spacing w:after="0" w:line="266" w:lineRule="auto"/>
        <w:tabs>
          <w:tab w:leader="none" w:pos="17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to a Non-U.S. Person in an offshore transaction (as defined in Section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67" w:lineRule="exact"/>
        <w:rPr>
          <w:rFonts w:ascii="Times New Roman" w:cs="Times New Roman" w:eastAsia="Times New Roman" w:hAnsi="Times New Roman"/>
          <w:sz w:val="18"/>
          <w:szCs w:val="18"/>
          <w:color w:val="auto"/>
        </w:rPr>
      </w:pPr>
    </w:p>
    <w:p>
      <w:pPr>
        <w:ind w:left="540" w:right="20" w:firstLine="910"/>
        <w:spacing w:after="0" w:line="266"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67" w:lineRule="exact"/>
        <w:rPr>
          <w:rFonts w:ascii="Times New Roman" w:cs="Times New Roman" w:eastAsia="Times New Roman" w:hAnsi="Times New Roman"/>
          <w:sz w:val="18"/>
          <w:szCs w:val="18"/>
          <w:color w:val="auto"/>
        </w:rPr>
      </w:pPr>
    </w:p>
    <w:p>
      <w:pPr>
        <w:ind w:left="1720" w:hanging="270"/>
        <w:spacing w:after="0"/>
        <w:tabs>
          <w:tab w:leader="none" w:pos="1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180" w:firstLine="910"/>
        <w:spacing w:after="0" w:line="282" w:lineRule="auto"/>
        <w:tabs>
          <w:tab w:leader="none" w:pos="17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280" w:firstLine="910"/>
        <w:spacing w:after="0" w:line="282"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82" w:lineRule="exact"/>
        <w:rPr>
          <w:sz w:val="20"/>
          <w:szCs w:val="20"/>
          <w:color w:val="auto"/>
        </w:rPr>
      </w:pPr>
    </w:p>
    <w:p>
      <w:pPr>
        <w:jc w:val="both"/>
        <w:ind w:right="220" w:firstLine="948"/>
        <w:spacing w:after="0" w:line="267" w:lineRule="auto"/>
        <w:tabs>
          <w:tab w:leader="none" w:pos="12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 interest in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may exchange such beneficial interest for an Unrestricted Definitive Note or may transfer such beneficial interest to a Person who takes delivery thereof in the form of an Unrestricted Definitive Note only if:</w:t>
      </w:r>
    </w:p>
    <w:p>
      <w:pPr>
        <w:spacing w:after="0" w:line="6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firstLine="871"/>
        <w:spacing w:after="0" w:line="276" w:lineRule="auto"/>
        <w:tabs>
          <w:tab w:leader="none" w:pos="2057" w:val="left"/>
        </w:tabs>
        <w:numPr>
          <w:ilvl w:val="3"/>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 (1)</w:t>
      </w:r>
    </w:p>
    <w:p>
      <w:pPr>
        <w:ind w:left="1240" w:hanging="252"/>
        <w:spacing w:after="0"/>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or</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53" w:name="page54"/>
    <w:bookmarkEnd w:id="53"/>
    <w:p>
      <w:pPr>
        <w:jc w:val="both"/>
        <w:ind w:left="980" w:right="160" w:firstLine="871"/>
        <w:spacing w:after="0" w:line="266" w:lineRule="auto"/>
        <w:tabs>
          <w:tab w:leader="none" w:pos="21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0" w:lineRule="exact"/>
        <w:rPr>
          <w:sz w:val="20"/>
          <w:szCs w:val="20"/>
          <w:color w:val="auto"/>
        </w:rPr>
      </w:pPr>
    </w:p>
    <w:p>
      <w:pPr>
        <w:ind w:right="40" w:firstLine="948"/>
        <w:spacing w:after="0" w:line="258" w:lineRule="auto"/>
        <w:tabs>
          <w:tab w:leader="none" w:pos="120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Unrestricted Global Notes to Unrestricted Definitive Notes. </w:t>
      </w:r>
      <w:r>
        <w:rPr>
          <w:rFonts w:ascii="Times New Roman" w:cs="Times New Roman" w:eastAsia="Times New Roman" w:hAnsi="Times New Roman"/>
          <w:sz w:val="18"/>
          <w:szCs w:val="18"/>
          <w:color w:val="auto"/>
        </w:rPr>
        <w:t>Subject to Section 2.06(a), if any holder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w:t>
      </w: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86"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00" w:firstLine="948"/>
        <w:spacing w:after="0" w:line="261" w:lineRule="auto"/>
        <w:tabs>
          <w:tab w:leader="none" w:pos="12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3" w:lineRule="exact"/>
        <w:rPr>
          <w:rFonts w:ascii="Times New Roman" w:cs="Times New Roman" w:eastAsia="Times New Roman" w:hAnsi="Times New Roman"/>
          <w:sz w:val="18"/>
          <w:szCs w:val="18"/>
          <w:color w:val="auto"/>
        </w:rPr>
      </w:pPr>
    </w:p>
    <w:p>
      <w:pPr>
        <w:ind w:left="540" w:right="200" w:firstLine="910"/>
        <w:spacing w:after="0" w:line="282" w:lineRule="auto"/>
        <w:tabs>
          <w:tab w:leader="none" w:pos="1737"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53" w:lineRule="exact"/>
        <w:rPr>
          <w:rFonts w:ascii="Times New Roman" w:cs="Times New Roman" w:eastAsia="Times New Roman" w:hAnsi="Times New Roman"/>
          <w:sz w:val="18"/>
          <w:szCs w:val="18"/>
          <w:color w:val="auto"/>
        </w:rPr>
      </w:pPr>
    </w:p>
    <w:p>
      <w:pPr>
        <w:ind w:left="540" w:right="220" w:firstLine="910"/>
        <w:spacing w:after="0" w:line="282" w:lineRule="auto"/>
        <w:tabs>
          <w:tab w:leader="none" w:pos="1727"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727"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0"/>
          </w:cols>
          <w:pgMar w:left="880" w:top="270" w:right="479" w:bottom="1440" w:gutter="0" w:footer="0" w:header="0"/>
        </w:sectPr>
      </w:pPr>
    </w:p>
    <w:bookmarkStart w:id="54" w:name="page55"/>
    <w:bookmarkEnd w:id="54"/>
    <w:p>
      <w:pPr>
        <w:ind w:left="540" w:firstLine="910"/>
        <w:spacing w:after="0" w:line="266" w:lineRule="auto"/>
        <w:tabs>
          <w:tab w:leader="none" w:pos="173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Definitive Note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67" w:lineRule="exact"/>
        <w:rPr>
          <w:rFonts w:ascii="Times New Roman" w:cs="Times New Roman" w:eastAsia="Times New Roman" w:hAnsi="Times New Roman"/>
          <w:sz w:val="18"/>
          <w:szCs w:val="18"/>
          <w:color w:val="auto"/>
        </w:rPr>
      </w:pPr>
    </w:p>
    <w:p>
      <w:pPr>
        <w:ind w:left="1720" w:hanging="270"/>
        <w:spacing w:after="0"/>
        <w:tabs>
          <w:tab w:leader="none" w:pos="1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120" w:firstLine="910"/>
        <w:spacing w:after="0" w:line="282" w:lineRule="auto"/>
        <w:tabs>
          <w:tab w:leader="none" w:pos="170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120" w:firstLine="910"/>
        <w:spacing w:after="0" w:line="282" w:lineRule="auto"/>
        <w:tabs>
          <w:tab w:leader="none" w:pos="173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8"/>
          <w:szCs w:val="18"/>
          <w:color w:val="auto"/>
        </w:rPr>
        <w:t>the Trustee will cancel the Restricted Definitive Note, increase or cause to be increased the aggregate principal amount of, in the case of clause (A) above, the appropriate Restricted Global Note, in the case of clause (B) above, the 144A Global Note, and in the case of clause</w:t>
      </w:r>
    </w:p>
    <w:p>
      <w:pPr>
        <w:ind w:left="840" w:hanging="293"/>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Regulation S Global Note.</w:t>
      </w:r>
    </w:p>
    <w:p>
      <w:pPr>
        <w:spacing w:after="0" w:line="96" w:lineRule="exact"/>
        <w:rPr>
          <w:rFonts w:ascii="Times New Roman" w:cs="Times New Roman" w:eastAsia="Times New Roman" w:hAnsi="Times New Roman"/>
          <w:sz w:val="18"/>
          <w:szCs w:val="18"/>
          <w:color w:val="auto"/>
        </w:rPr>
      </w:pPr>
    </w:p>
    <w:p>
      <w:pPr>
        <w:ind w:right="260" w:firstLine="948"/>
        <w:spacing w:after="0" w:line="267"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Unrestricted Global Notes. </w:t>
      </w:r>
      <w:r>
        <w:rPr>
          <w:rFonts w:ascii="Times New Roman" w:cs="Times New Roman" w:eastAsia="Times New Roman" w:hAnsi="Times New Roman"/>
          <w:sz w:val="18"/>
          <w:szCs w:val="18"/>
          <w:color w:val="auto"/>
        </w:rPr>
        <w:t>A Holder of a 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Restricted Definitive Note to a Person who takes delivery thereof in the form of a beneficial interest in an Unrestricted Global Note only if:</w:t>
      </w:r>
    </w:p>
    <w:p>
      <w:pPr>
        <w:spacing w:after="0" w:line="6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220" w:firstLine="871"/>
        <w:spacing w:after="0" w:line="282" w:lineRule="auto"/>
        <w:tabs>
          <w:tab w:leader="none" w:pos="2057"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980" w:right="80" w:firstLine="871"/>
        <w:spacing w:after="0" w:line="266" w:lineRule="auto"/>
        <w:tabs>
          <w:tab w:leader="none" w:pos="2107"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40"/>
          </w:cols>
          <w:pgMar w:left="880" w:top="270" w:right="479" w:bottom="1440" w:gutter="0" w:footer="0" w:header="0"/>
        </w:sectPr>
      </w:pPr>
    </w:p>
    <w:bookmarkStart w:id="55" w:name="page56"/>
    <w:bookmarkEnd w:id="55"/>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satisfaction of the conditions of any of the subparagraphs in this Section 2.06(d)(2), the Trustee will cancel the Definitive Notes and increase or cause to be increased the aggregate principal amount of the Unrestricted Global Note.</w:t>
      </w:r>
    </w:p>
    <w:p>
      <w:pPr>
        <w:spacing w:after="0" w:line="52" w:lineRule="exact"/>
        <w:rPr>
          <w:sz w:val="20"/>
          <w:szCs w:val="20"/>
          <w:color w:val="auto"/>
        </w:rPr>
      </w:pPr>
    </w:p>
    <w:p>
      <w:pPr>
        <w:ind w:left="440" w:right="100" w:firstLine="948"/>
        <w:spacing w:after="0" w:line="258" w:lineRule="auto"/>
        <w:tabs>
          <w:tab w:leader="none" w:pos="164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7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subparagraph (2)(D) or</w:t>
      </w:r>
    </w:p>
    <w:p>
      <w:pPr>
        <w:spacing w:after="0" w:line="27" w:lineRule="exact"/>
        <w:rPr>
          <w:rFonts w:ascii="Times New Roman" w:cs="Times New Roman" w:eastAsia="Times New Roman" w:hAnsi="Times New Roman"/>
          <w:sz w:val="18"/>
          <w:szCs w:val="18"/>
          <w:color w:val="auto"/>
        </w:rPr>
      </w:pPr>
    </w:p>
    <w:p>
      <w:pPr>
        <w:ind w:left="440" w:right="20" w:hanging="4"/>
        <w:spacing w:after="0" w:line="255"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83"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Notes for Definitive Notes. </w:t>
      </w:r>
      <w:r>
        <w:rPr>
          <w:rFonts w:ascii="Times New Roman" w:cs="Times New Roman" w:eastAsia="Times New Roman" w:hAnsi="Times New Roman"/>
          <w:sz w:val="18"/>
          <w:szCs w:val="18"/>
          <w:color w:val="auto"/>
        </w:rPr>
        <w:t>Upon request by a Holder of Definitive Notes and such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74" w:lineRule="exact"/>
        <w:rPr>
          <w:rFonts w:ascii="Times New Roman" w:cs="Times New Roman" w:eastAsia="Times New Roman" w:hAnsi="Times New Roman"/>
          <w:sz w:val="18"/>
          <w:szCs w:val="18"/>
          <w:color w:val="auto"/>
        </w:rPr>
      </w:pPr>
    </w:p>
    <w:p>
      <w:pPr>
        <w:ind w:left="440" w:right="80" w:firstLine="948"/>
        <w:spacing w:after="0" w:line="284" w:lineRule="auto"/>
        <w:tabs>
          <w:tab w:leader="none" w:pos="164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Restricted Definitive Notes. </w:t>
      </w:r>
      <w:r>
        <w:rPr>
          <w:rFonts w:ascii="Times New Roman" w:cs="Times New Roman" w:eastAsia="Times New Roman" w:hAnsi="Times New Roman"/>
          <w:sz w:val="18"/>
          <w:szCs w:val="18"/>
          <w:color w:val="auto"/>
        </w:rPr>
        <w:t>Any Restricted Definitive Note may be transferred to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name of Persons who take delivery thereof in the form of a Restricted Definitive Note if:</w:t>
      </w:r>
    </w:p>
    <w:p>
      <w:pPr>
        <w:spacing w:after="0" w:line="52"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180" w:firstLine="910"/>
        <w:spacing w:after="0" w:line="282" w:lineRule="auto"/>
        <w:tabs>
          <w:tab w:leader="none" w:pos="2167"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160" w:firstLine="910"/>
        <w:spacing w:after="0" w:line="282" w:lineRule="auto"/>
        <w:tabs>
          <w:tab w:leader="none" w:pos="2167"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53" w:lineRule="exact"/>
        <w:rPr>
          <w:rFonts w:ascii="Times New Roman" w:cs="Times New Roman" w:eastAsia="Times New Roman" w:hAnsi="Times New Roman"/>
          <w:sz w:val="18"/>
          <w:szCs w:val="18"/>
          <w:color w:val="auto"/>
        </w:rPr>
      </w:pPr>
    </w:p>
    <w:p>
      <w:pPr>
        <w:ind w:left="980" w:right="80" w:firstLine="910"/>
        <w:spacing w:after="0" w:line="266" w:lineRule="auto"/>
        <w:tabs>
          <w:tab w:leader="none" w:pos="2177"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5" w:lineRule="exact"/>
        <w:rPr>
          <w:rFonts w:ascii="Times New Roman" w:cs="Times New Roman" w:eastAsia="Times New Roman" w:hAnsi="Times New Roman"/>
          <w:sz w:val="18"/>
          <w:szCs w:val="18"/>
          <w:color w:val="auto"/>
        </w:rPr>
      </w:pPr>
    </w:p>
    <w:p>
      <w:pPr>
        <w:ind w:left="440" w:right="320" w:firstLine="948"/>
        <w:spacing w:after="0" w:line="267" w:lineRule="auto"/>
        <w:tabs>
          <w:tab w:leader="none" w:pos="164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Unrestricted Definitive Notes. </w:t>
      </w:r>
      <w:r>
        <w:rPr>
          <w:rFonts w:ascii="Times New Roman" w:cs="Times New Roman" w:eastAsia="Times New Roman" w:hAnsi="Times New Roman"/>
          <w:sz w:val="18"/>
          <w:szCs w:val="18"/>
          <w:color w:val="auto"/>
        </w:rPr>
        <w:t>Any Restricted Definitive Note may be exchanged by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for an Unrestricted Definitive Note or transferred to a Person or Persons who take delivery thereof in the form of an Unrestricted Definitive Note if:</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6" w:name="page57"/>
    <w:bookmarkEnd w:id="56"/>
    <w:p>
      <w:pPr>
        <w:ind w:left="2180" w:hanging="290"/>
        <w:spacing w:after="0"/>
        <w:tabs>
          <w:tab w:leader="none" w:pos="2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1420" w:right="340" w:firstLine="871"/>
        <w:spacing w:after="0" w:line="282" w:lineRule="auto"/>
        <w:tabs>
          <w:tab w:leader="none" w:pos="24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53" w:lineRule="exact"/>
        <w:rPr>
          <w:rFonts w:ascii="Times New Roman" w:cs="Times New Roman" w:eastAsia="Times New Roman" w:hAnsi="Times New Roman"/>
          <w:sz w:val="18"/>
          <w:szCs w:val="18"/>
          <w:color w:val="auto"/>
        </w:rPr>
      </w:pPr>
    </w:p>
    <w:p>
      <w:pPr>
        <w:ind w:left="1420" w:right="40" w:firstLine="871"/>
        <w:spacing w:after="0" w:line="266" w:lineRule="auto"/>
        <w:tabs>
          <w:tab w:leader="none" w:pos="254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6" w:lineRule="exact"/>
        <w:rPr>
          <w:sz w:val="20"/>
          <w:szCs w:val="20"/>
          <w:color w:val="auto"/>
        </w:rPr>
      </w:pPr>
    </w:p>
    <w:p>
      <w:pPr>
        <w:ind w:left="440" w:right="140" w:firstLine="948"/>
        <w:spacing w:after="0" w:line="267" w:lineRule="auto"/>
        <w:tabs>
          <w:tab w:leader="none" w:pos="16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Unrestricted Definitive Notes. </w:t>
      </w:r>
      <w:r>
        <w:rPr>
          <w:rFonts w:ascii="Times New Roman" w:cs="Times New Roman" w:eastAsia="Times New Roman" w:hAnsi="Times New Roman"/>
          <w:sz w:val="18"/>
          <w:szCs w:val="18"/>
          <w:color w:val="auto"/>
        </w:rPr>
        <w:t>A Holder of Unrestricted Definitive Notes may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right="200" w:firstLine="987"/>
        <w:spacing w:after="0" w:line="284"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all Global Notes and Definitive Notes issued under this Indenture unless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otherwise in the applicable provisions of this Indenture.</w:t>
      </w:r>
    </w:p>
    <w:p>
      <w:pPr>
        <w:spacing w:after="0" w:line="5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420" w:firstLine="910"/>
        <w:spacing w:after="0" w:line="282" w:lineRule="auto"/>
        <w:tabs>
          <w:tab w:leader="none" w:pos="217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 LEGALLY AVAILABLE. THIS LEGEND WILL BE REMOVED UPON THE REQUEST OF THE HOLDER AFTER THE RESALE RESTRICTION TERMINATION DATE.</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 ANY EMPLOYEE BENEFIT PLAN THAT IS SUBJECT TO TITLE I OF THE U.S. EMPLOYEE RETIREMENT INCOME SECURITY ACT OF 1974, AS 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58" w:name="page59"/>
    <w:bookmarkEnd w:id="58"/>
    <w:p>
      <w:pPr>
        <w:ind w:right="40" w:firstLine="910"/>
        <w:spacing w:after="0" w:line="266" w:lineRule="auto"/>
        <w:tabs>
          <w:tab w:leader="none" w:pos="11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any Global Note or Definitive Note issued pursuant to subparagraphs (b)(4), (c)(2), (c)(3), (d)(2), (d)(3), (e)(2) or (e)(3) of this Section 2.06 (and all Notes issued in exchange therefor or substitution thereof) will not bear the Private Placement Legend.</w:t>
      </w:r>
    </w:p>
    <w:p>
      <w:pPr>
        <w:spacing w:after="0" w:line="68" w:lineRule="exact"/>
        <w:rPr>
          <w:sz w:val="20"/>
          <w:szCs w:val="20"/>
          <w:color w:val="auto"/>
        </w:rPr>
      </w:pPr>
    </w:p>
    <w:p>
      <w:pPr>
        <w:ind w:firstLine="401"/>
        <w:spacing w:after="0" w:line="266" w:lineRule="auto"/>
        <w:rPr>
          <w:sz w:val="20"/>
          <w:szCs w:val="20"/>
          <w:color w:val="auto"/>
        </w:rPr>
      </w:pPr>
      <w:r>
        <w:rPr>
          <w:rFonts w:ascii="Times New Roman" w:cs="Times New Roman" w:eastAsia="Times New Roman" w:hAnsi="Times New Roman"/>
          <w:sz w:val="17"/>
          <w:szCs w:val="17"/>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 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 deemed to be or to have been, respectively, owned by an Affiliate of the Issuer; and</w:t>
      </w:r>
    </w:p>
    <w:p>
      <w:pPr>
        <w:spacing w:after="0" w:line="8" w:lineRule="exact"/>
        <w:rPr>
          <w:sz w:val="20"/>
          <w:szCs w:val="20"/>
          <w:color w:val="auto"/>
        </w:rPr>
      </w:pPr>
    </w:p>
    <w:p>
      <w:pPr>
        <w:ind w:right="100" w:firstLine="7"/>
        <w:spacing w:after="0" w:line="253" w:lineRule="auto"/>
        <w:tabs>
          <w:tab w:leader="none" w:pos="2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Holder of any Note evidenced by any Restricted Global Note, by its acceptance thereof, (A) authorizes and consents to, (B) appoints the Issuer as its agent for the sole purpose of delivering such electronic messages, executing and delivering such instruments and taking such other actions, on such Holder’s behalf, as the Depositary or the Trustee may require to effect, and (C) 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020"/>
          </w:cols>
          <w:pgMar w:left="1420" w:top="270" w:right="459" w:bottom="1440" w:gutter="0" w:footer="0" w:header="0"/>
        </w:sectPr>
      </w:pPr>
    </w:p>
    <w:bookmarkStart w:id="59" w:name="page60"/>
    <w:bookmarkEnd w:id="59"/>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a legend in substantially the following form:</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Regulation S Legend</w:t>
      </w:r>
      <w:r>
        <w:rPr>
          <w:rFonts w:ascii="Times New Roman" w:cs="Times New Roman" w:eastAsia="Times New Roman" w:hAnsi="Times New Roman"/>
          <w:sz w:val="18"/>
          <w:szCs w:val="18"/>
          <w:color w:val="auto"/>
        </w:rPr>
        <w:t>. Each Regulation S Global Note will bear a legend in substantially the following form:</w:t>
      </w:r>
    </w:p>
    <w:p>
      <w:pPr>
        <w:spacing w:after="0" w:line="1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73" w:lineRule="exact"/>
        <w:rPr>
          <w:sz w:val="20"/>
          <w:szCs w:val="20"/>
          <w:color w:val="auto"/>
        </w:rPr>
      </w:pPr>
    </w:p>
    <w:p>
      <w:pPr>
        <w:ind w:firstLine="987"/>
        <w:spacing w:after="0" w:line="254"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8" w:right="459" w:bottom="1440" w:gutter="0" w:footer="0" w:header="0"/>
        </w:sectPr>
      </w:pPr>
    </w:p>
    <w:bookmarkStart w:id="60" w:name="page61"/>
    <w:bookmarkEnd w:id="60"/>
    <w:p>
      <w:pPr>
        <w:ind w:right="260" w:firstLine="948"/>
        <w:spacing w:after="0" w:line="282"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53" w:lineRule="exact"/>
        <w:rPr>
          <w:rFonts w:ascii="Times New Roman" w:cs="Times New Roman" w:eastAsia="Times New Roman" w:hAnsi="Times New Roman"/>
          <w:sz w:val="18"/>
          <w:szCs w:val="18"/>
          <w:color w:val="auto"/>
        </w:rPr>
      </w:pPr>
    </w:p>
    <w:p>
      <w:pPr>
        <w:ind w:right="60" w:firstLine="948"/>
        <w:spacing w:after="0" w:line="261"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3.10, 4.10, 4.15 and 9.04 not involving any transfer).</w:t>
      </w:r>
    </w:p>
    <w:p>
      <w:pPr>
        <w:spacing w:after="0" w:line="71" w:lineRule="exact"/>
        <w:rPr>
          <w:rFonts w:ascii="Times New Roman" w:cs="Times New Roman" w:eastAsia="Times New Roman" w:hAnsi="Times New Roman"/>
          <w:sz w:val="18"/>
          <w:szCs w:val="18"/>
          <w:color w:val="auto"/>
        </w:rPr>
      </w:pPr>
    </w:p>
    <w:p>
      <w:pPr>
        <w:ind w:right="20" w:firstLine="948"/>
        <w:spacing w:after="0" w:line="282"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firstLine="948"/>
        <w:spacing w:after="0" w:line="266"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will be required:</w:t>
      </w:r>
    </w:p>
    <w:p>
      <w:pPr>
        <w:spacing w:after="0" w:line="117" w:lineRule="exact"/>
        <w:rPr>
          <w:rFonts w:ascii="Times New Roman" w:cs="Times New Roman" w:eastAsia="Times New Roman" w:hAnsi="Times New Roman"/>
          <w:sz w:val="18"/>
          <w:szCs w:val="18"/>
          <w:color w:val="auto"/>
        </w:rPr>
      </w:pPr>
    </w:p>
    <w:p>
      <w:pPr>
        <w:ind w:left="540" w:firstLine="910"/>
        <w:spacing w:after="0" w:line="282" w:lineRule="auto"/>
        <w:tabs>
          <w:tab w:leader="none" w:pos="173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53" w:lineRule="exact"/>
        <w:rPr>
          <w:rFonts w:ascii="Times New Roman" w:cs="Times New Roman" w:eastAsia="Times New Roman" w:hAnsi="Times New Roman"/>
          <w:sz w:val="18"/>
          <w:szCs w:val="18"/>
          <w:color w:val="auto"/>
        </w:rPr>
      </w:pPr>
    </w:p>
    <w:p>
      <w:pPr>
        <w:ind w:left="540" w:right="280" w:firstLine="910"/>
        <w:spacing w:after="0" w:line="282" w:lineRule="auto"/>
        <w:tabs>
          <w:tab w:leader="none" w:pos="172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 Date.</w:t>
      </w:r>
    </w:p>
    <w:p>
      <w:pPr>
        <w:spacing w:after="0" w:line="117" w:lineRule="exact"/>
        <w:rPr>
          <w:rFonts w:ascii="Times New Roman" w:cs="Times New Roman" w:eastAsia="Times New Roman" w:hAnsi="Times New Roman"/>
          <w:sz w:val="18"/>
          <w:szCs w:val="18"/>
          <w:color w:val="auto"/>
        </w:rPr>
      </w:pPr>
    </w:p>
    <w:p>
      <w:pPr>
        <w:ind w:right="60" w:firstLine="948"/>
        <w:spacing w:after="0" w:line="289" w:lineRule="auto"/>
        <w:tabs>
          <w:tab w:leader="none" w:pos="120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49" w:lineRule="exact"/>
        <w:rPr>
          <w:rFonts w:ascii="Times New Roman" w:cs="Times New Roman" w:eastAsia="Times New Roman" w:hAnsi="Times New Roman"/>
          <w:sz w:val="17"/>
          <w:szCs w:val="17"/>
          <w:color w:val="auto"/>
        </w:rPr>
      </w:pPr>
    </w:p>
    <w:p>
      <w:pPr>
        <w:ind w:left="1200" w:hanging="252"/>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2.02.</w:t>
      </w:r>
    </w:p>
    <w:p>
      <w:pPr>
        <w:spacing w:after="0" w:line="117"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53" w:lineRule="exact"/>
        <w:rPr>
          <w:rFonts w:ascii="Times New Roman" w:cs="Times New Roman" w:eastAsia="Times New Roman" w:hAnsi="Times New Roman"/>
          <w:sz w:val="18"/>
          <w:szCs w:val="18"/>
          <w:color w:val="auto"/>
        </w:rPr>
      </w:pPr>
    </w:p>
    <w:p>
      <w:pPr>
        <w:ind w:right="400" w:firstLine="948"/>
        <w:spacing w:after="0" w:line="312" w:lineRule="auto"/>
        <w:tabs>
          <w:tab w:leader="none" w:pos="120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460"/>
          </w:cols>
          <w:pgMar w:left="880" w:top="270" w:right="55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i w:val="1"/>
          <w:iCs w:val="1"/>
          <w:color w:val="auto"/>
        </w:rPr>
        <w:t>Replacement Notes.</w:t>
      </w:r>
    </w:p>
    <w:p>
      <w:pPr>
        <w:spacing w:after="0" w:line="22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92"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Every replacement Note is an additional obligation of the Issuer and will be entitled to all of the benefits of this Indenture equally and proportionately with all other Notes duly issued hereunder.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Notes.</w:t>
      </w:r>
    </w:p>
    <w:p>
      <w:pPr>
        <w:spacing w:after="0" w:line="22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it ceases to be outstanding and interest on it ceases to accrue.</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by 11:00 a.m., New York City time, on a redemption date or other maturity date, money sufficient to pay Notes payable on that date, then on and after that date such Notes will be deemed to be no longer outstanding and will cease to accrue interest.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Treasury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temporary Notes will be entitled to all of the benefits of this Indenture.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Defaulted Interest.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will pay the defaulted interest in any lawful manner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lawful, interest payable on the defaulted interest, to the Persons who are Holders on a subsequent special record date, in each case at the rate provided in the Notes and in Section 4.01;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may be less than 10 days prior to the related payment date for such defaulted interest. For purposes of Sections 2.05, 2.06, 3.05, 3.08, 3.10,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ind w:firstLine="987"/>
        <w:spacing w:after="0" w:line="254"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Additional Notes are not fungible with the Initial Notes for U.S. federal income tax purposes, such Additional Notes shall have a different CUSIP number (or other applicable identifying number).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3" w:name="page64"/>
    <w:bookmarkEnd w:id="63"/>
    <w:p>
      <w:pPr>
        <w:ind w:right="80" w:firstLine="987"/>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Additional Notes, the Issuer shall set forth in a supplemental indenture or an Officers’ Certificate, a copy of which shall be delivered to the Trustee at or prior to original issuance thereof, the following information:</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4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 (and the corresponding date from which interest shall accrue thereon and the first Interest Payment Date therefor), the CUSIP and/or ISIN number and the issue price of such Additional Notes; and</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Notes shall be subject to the restrictions on transfer set forth in Section 2.06 relating to Restricted Global Notes and Restricted Definitive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Computation of Interest.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CUSIP Number.</w:t>
      </w:r>
    </w:p>
    <w:p>
      <w:pPr>
        <w:spacing w:after="0" w:line="22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numbers as they appear on the Notes, in any 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p>
      <w:pPr>
        <w:spacing w:after="0" w:line="22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the Issuer elects to redeem Notes pursuant to the optional redemption provisions of Section 3.08, the Issuer must furnish to the Trustee, at least five Business Days prior to the giving of notice of a redemption (or such shorter period as shall be acceptable to the Trustee), an Officers’ Certificate setting forth:</w:t>
      </w:r>
    </w:p>
    <w:p>
      <w:pPr>
        <w:spacing w:after="0" w:line="68" w:lineRule="exact"/>
        <w:rPr>
          <w:sz w:val="20"/>
          <w:szCs w:val="20"/>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5420" w:right="3600" w:hanging="4433"/>
        <w:spacing w:after="0" w:line="454" w:lineRule="auto"/>
        <w:tabs>
          <w:tab w:leader="none" w:pos="12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(if then determined and otherwise the method of determination). 53</w:t>
      </w:r>
    </w:p>
    <w:p>
      <w:pPr>
        <w:sectPr>
          <w:pgSz w:w="11900" w:h="16838" w:orient="portrait"/>
          <w:cols w:equalWidth="0" w:num="1">
            <w:col w:w="11000"/>
          </w:cols>
          <w:pgMar w:left="440" w:top="270" w:right="45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Selection of Notes to Be Redeemed.</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will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Notes issued in global form pursuant to Article 2, based on a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the applicable procedures of DTC) unless otherwise required by law or applicable stock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knows of such listing) or depositary requirements.</w:t>
      </w:r>
    </w:p>
    <w:p>
      <w:pPr>
        <w:spacing w:after="0" w:line="182"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Section 3.07, 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117" w:lineRule="exact"/>
        <w:rPr>
          <w:sz w:val="20"/>
          <w:szCs w:val="20"/>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(if then determined and otherwise the method of determination);</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or portions thereof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representation is made as to the correctness or accuracy of the CUSIP or ISIN number, if any, listed in such notice or printed 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Notes; and</w:t>
      </w:r>
    </w:p>
    <w:p>
      <w:pPr>
        <w:spacing w:after="0" w:line="206"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such redemption.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68" w:right="479" w:bottom="1440" w:gutter="0" w:footer="0" w:header="0"/>
        </w:sectPr>
      </w:pPr>
    </w:p>
    <w:bookmarkStart w:id="65" w:name="page66"/>
    <w:bookmarkEnd w:id="65"/>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Issuer’s request, the Trustee will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Officers’ Certificate delivered to the Trustee pursuant to Section 3.01 requests that the Trustee give such notice and sets forth the information to be stated in such notice as provided in the preceding paragraph.</w:t>
      </w:r>
    </w:p>
    <w:p>
      <w:pPr>
        <w:spacing w:after="0" w:line="17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 notice of redemption with respect to a redemption described in Section 3.08(b)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p>
      <w:pPr>
        <w:spacing w:after="0" w:line="227"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No later than 11:00 a.m., New York City time, on the redemption date, the Issuer will deposit with the Trustee or with the Paying Agent money sufficient to pay the redemption price of and accrued interest 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8" w:right="4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i w:val="1"/>
          <w:iCs w:val="1"/>
          <w:color w:val="auto"/>
        </w:rPr>
        <w:t>Special Mandatory Redemption.</w:t>
      </w:r>
    </w:p>
    <w:p>
      <w:pPr>
        <w:spacing w:after="0" w:line="225" w:lineRule="exact"/>
        <w:rPr>
          <w:sz w:val="20"/>
          <w:szCs w:val="20"/>
          <w:color w:val="auto"/>
        </w:rPr>
      </w:pPr>
    </w:p>
    <w:p>
      <w:pPr>
        <w:ind w:right="20" w:firstLine="987"/>
        <w:spacing w:after="0" w:line="254"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consummation of the Aera Merger does not occur on or before May 7, 2025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or (y) prior thereto, the Issuer notifies the Trustee in writing that the Merger Agreement has been terminated or the Issuer will not pursue the consummation of the Aera Merger or has determined in its sole discretion that the Aera Merger cannot or is not reasonably likely to be consummated by the Outside Date (the earlier of the date of delivery of such notice described in clause (y) and the Outside Date, the “</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 the Issuer will be required to redeem all Notes then outstanding (such redemption, the “</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 xml:space="preserve">”) at a redemption price equal to 100% of the initial issue price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Special Mandatory Redemption Date (as defined below) (the “</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 For purposes of the foregoing, consummation of the Aera Merger refers to the occurrence of the “Effective Time” of the “Initial Mergers”, each as defined in the Agreement and Plan of Merger dated February 7, 2024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among the Issuer, certain Subsidiaries, and certain owners and Affiliates of Aera Energy LLC and Aera Energy Services Company, as such Merger Agreement shall be amended, modified or waived from time to time.</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Issuer becomes obligated to redeem the Notes pursuant to the Special Mandatory Redemption, the Issuer will promptly, and in any event not more than ten Business Days after the Special Mandatory Redemption Trigger Date deliver notice to the Trustee of the Special Mandatory Redemption and the date upon which the Notes will be redeemed (the “</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 which date shall be no earlier than the third Business Day or later than the twentieth Business Day following the date of such notice) together with a notice of Special Mandatory Redemption and written instructions to the Trustee instructing the Trustee to deliver such notice to each registered Holder of Notes (which instructions must be delivered to the Trustee at least two Business Days prior to the date such notice of redemption is to be sent). The Trustee will then promptly mail, or deliver electronically if such Notes are held by any depositary (including DTC) in accordance with such depositary’s customary procedures, such notice of Special Mandatory Redemption to each registered Holder of Notes to be redeemed. Unless the Issuer defaults in payment of the Special Mandatory Redemption Price, on and after such Special Mandatory Redemption Date interest will cease to accrue on the Notes.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firstLine="987"/>
        <w:spacing w:after="0" w:line="255"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up to 35%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108.250%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88"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all or a part of the Notes, upon notice as provided in this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Section 3.08(a), (b) or (e), the Notes will not be redeemable at the Issuer’s option prior to June 15,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8" w:right="459" w:bottom="1440" w:gutter="0" w:footer="0" w:header="0"/>
        </w:sectPr>
      </w:pPr>
    </w:p>
    <w:bookmarkStart w:id="67" w:name="page68"/>
    <w:bookmarkEnd w:id="67"/>
    <w:p>
      <w:pPr>
        <w:jc w:val="both"/>
        <w:ind w:right="180" w:firstLine="987"/>
        <w:spacing w:after="0" w:line="281" w:lineRule="auto"/>
        <w:tabs>
          <w:tab w:leader="none" w:pos="124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or after June 15, 2026, the Issuer may on any one or more occasions redeem all or a part of the Notes, upon notice as provided in this Indenture, at the redemption prices (expressed as percentages of principal amount) set forth below,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if any, on the Notes redeemed to, but excluding, the applicable date of redemption, subject to the rights of Holders of Notes on the relevant record date to receive interest on the relevant Interest Payment Date, if redeemed during the twelve-month period beginning on June 15 of the years indicated below:</w:t>
      </w:r>
    </w:p>
    <w:p>
      <w:pPr>
        <w:spacing w:after="0" w:line="187"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104.125%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3.08 shall be made pursuant to the provisions of Sections 3.01 through 3.06.</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Section 3.07, the Issuer is not required to make mandatory redemption or sinking fund payments with respect to the Notes. The Issuer may at any time and from time to time purchase Notes in the open market or otherwise, in each case, without any restriction under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Offer to Purchase by Application of Excess Proceeds.</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pursuant to Section 4.10, the Issuer is required to commence an Asset Sale Offer to all Holders to purchase Notes, it will follow the procedures specified below.</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Asset Sale Offer shall be made to all Holders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those set forth in this Indenture with respect to offers to purchase, prepay or redeem with the proceeds of sales of assets. The Asset Sale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remain open for a period of at least 20 Business Days following its commencement and not more than 30 Business Days, except to the extent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period is required by applicable law (the “</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 No later than three Business Days after the termination of the Offer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Purchase Date</w:t>
      </w:r>
      <w:r>
        <w:rPr>
          <w:rFonts w:ascii="Times New Roman" w:cs="Times New Roman" w:eastAsia="Times New Roman" w:hAnsi="Times New Roman"/>
          <w:sz w:val="17"/>
          <w:szCs w:val="17"/>
          <w:color w:val="auto"/>
        </w:rPr>
        <w:t>”), the Issuer will apply all Excess Proceeds (the “</w:t>
      </w:r>
      <w:r>
        <w:rPr>
          <w:rFonts w:ascii="Times New Roman" w:cs="Times New Roman" w:eastAsia="Times New Roman" w:hAnsi="Times New Roman"/>
          <w:sz w:val="17"/>
          <w:szCs w:val="17"/>
          <w:i w:val="1"/>
          <w:iCs w:val="1"/>
          <w:color w:val="auto"/>
        </w:rPr>
        <w:t>Offer Amount</w:t>
      </w:r>
      <w:r>
        <w:rPr>
          <w:rFonts w:ascii="Times New Roman" w:cs="Times New Roman" w:eastAsia="Times New Roman" w:hAnsi="Times New Roman"/>
          <w:sz w:val="17"/>
          <w:szCs w:val="17"/>
          <w:color w:val="auto"/>
        </w:rPr>
        <w:t xml:space="preserve">”) to the purchase of Notes and such other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Indebtedness (on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based on the principal amount of Notes and such other</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Indebtedness surrendered, if applicable) or, if less than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has been tendered, all Notes and other Indebtedness tendered in response to the Asset Sale Offer. Payment for any Notes so purchased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the same manner specified in the last paragraph of this Section 3.10.</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7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that the Asset Sale Offer is being made pursuant to this Section 3.10 and Section 4.10 and the length of time the Asset Sale Offer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open;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68" w:name="page69"/>
    <w:bookmarkEnd w:id="68"/>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Offer Amount, the purchase price and the Purchase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will continue to accrue interest;</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Asset Sale Offer will cease to accrue interest on and after the Purchase Date;</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Asset Sale Offer may elect to have Notes purchased in minimum denominations of $2,000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Global Note shall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or before the Purchase Date, the Issuer will, to the extent lawful, accept for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necessary, the Notes or portions thereof tendered pursuant to the Asset Sale Offer and required to be purchased pursuant to this Section 3.10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3.10.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9" w:name="page70"/>
    <w:bookmarkEnd w:id="6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Issuer will pay or cause to be paid the principal of, premium on, if any, and interest on the Notes on the dates and in the manner provided in the Notes. Principal, interest and premium, if any,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interest and premium, if any, if any, then due.</w:t>
      </w:r>
    </w:p>
    <w:p>
      <w:pPr>
        <w:spacing w:after="0" w:line="180"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p>
      <w:pPr>
        <w:spacing w:after="0" w:line="22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not be deemed an agent of the Issuer for service of legal process.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 Section 2.03 of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0" w:name="page71"/>
    <w:bookmarkEnd w:id="70"/>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presentation, surrender or delivery effected pursuant to the Applicable Procedures of the Depositary shall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effected at such office or agency in accordance with the provisions of this Indenture.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Reports.</w:t>
      </w:r>
    </w:p>
    <w:p>
      <w:pPr>
        <w:spacing w:after="0" w:line="227" w:lineRule="exact"/>
        <w:rPr>
          <w:sz w:val="20"/>
          <w:szCs w:val="20"/>
          <w:color w:val="auto"/>
        </w:rPr>
      </w:pPr>
    </w:p>
    <w:p>
      <w:pPr>
        <w:ind w:right="32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9" w:lineRule="auto"/>
        <w:tabs>
          <w:tab w:leader="none" w:pos="164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and</w:t>
      </w:r>
    </w:p>
    <w:p>
      <w:pPr>
        <w:spacing w:after="0" w:line="49"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Issuer were required to file such reports.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availability of the foregoing reports on the SEC’s EDGAR filing system will be deemed to satisfy the foregoing delivery requirements.</w:t>
      </w:r>
    </w:p>
    <w:p>
      <w:pPr>
        <w:spacing w:after="0" w:line="225" w:lineRule="exact"/>
        <w:rPr>
          <w:sz w:val="20"/>
          <w:szCs w:val="20"/>
          <w:color w:val="auto"/>
        </w:rPr>
      </w:pPr>
    </w:p>
    <w:p>
      <w:pPr>
        <w:ind w:right="60" w:firstLine="987"/>
        <w:spacing w:after="0" w:line="255"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has designated as an Unrestricted Subsidiary any of its Subsidiaries that is a Significant Subsidiary (or that, taken together with other Unrestricted Subsidiaries, would be a Significant Subsidiary), then the quarterly and annual financial information required by Section 4.03(a) will include (a) the aggregate amount of total property, plant and equipment, net, total operating revenues and net income represented by such Unrestricted Subsidiaries and (b)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cure shall not otherwise affect the rights of the Holders under Article 6 if the principal, interest and premium, if any,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in accordance with the terms of this Indenture and such acceleration has not been rescinded or cancelled prior to such cure.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1" w:name="page72"/>
    <w:bookmarkEnd w:id="71"/>
    <w:p>
      <w:pPr>
        <w:ind w:firstLine="987"/>
        <w:spacing w:after="0" w:line="26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4.03 does not impose any duty on the Issuer under the Sarbanes Oxley Act of 2002, as amended,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 means the collection of web pages that may be accessed on the World Wide Web using the URL address http://www.crc.com or such other address as the Issuer may from time to time maintain for public information.</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Trustee’s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Compliance Certificate.</w:t>
      </w:r>
    </w:p>
    <w:p>
      <w:pPr>
        <w:spacing w:after="0" w:line="227" w:lineRule="exact"/>
        <w:rPr>
          <w:sz w:val="20"/>
          <w:szCs w:val="20"/>
          <w:color w:val="auto"/>
        </w:rPr>
      </w:pPr>
    </w:p>
    <w:p>
      <w:pPr>
        <w:ind w:firstLine="987"/>
        <w:spacing w:after="0" w:line="255"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beginning with the fiscal year ending December 31, 2024,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Event of Default, unless such Default or Event of Default has been cured before the end of the 30-day period.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i w:val="1"/>
          <w:iCs w:val="1"/>
          <w:color w:val="auto"/>
        </w:rPr>
        <w:t>Stay, Extension and Usury Laws.</w:t>
      </w:r>
    </w:p>
    <w:p>
      <w:pPr>
        <w:spacing w:after="0" w:line="22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Restricted Payments.</w:t>
      </w:r>
    </w:p>
    <w:p>
      <w:pPr>
        <w:spacing w:after="0" w:line="227" w:lineRule="exact"/>
        <w:rPr>
          <w:sz w:val="20"/>
          <w:szCs w:val="20"/>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other payments or distributions payable in Equity Interests (other than Disqualified Stock) of the Issuer and other than dividends or other payments or distributions payable to the Issuer or a Restricted Subsidiary of the Issuer);</w:t>
      </w:r>
    </w:p>
    <w:p>
      <w:pPr>
        <w:spacing w:after="0" w:line="75"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71"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75"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payments and other actions set forth in clauses (1) through (4) of this Section 4.07(a), being collectively referred to as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at the time of and after giving effect to such Restricted Payment,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 no Default or Event of Default has occurred and is continuing or would occur as a consequence of such Restricted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Payment;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68" w:right="499" w:bottom="1440" w:gutter="0" w:footer="0" w:header="0"/>
        </w:sectPr>
      </w:pPr>
    </w:p>
    <w:bookmarkStart w:id="73" w:name="page74"/>
    <w:bookmarkEnd w:id="73"/>
    <w:p>
      <w:pPr>
        <w:jc w:val="both"/>
        <w:ind w:left="-20" w:right="280" w:firstLine="910"/>
        <w:spacing w:after="0" w:line="266" w:lineRule="auto"/>
        <w:tabs>
          <w:tab w:leader="none" w:pos="11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67" w:lineRule="exact"/>
        <w:rPr>
          <w:rFonts w:ascii="Times New Roman" w:cs="Times New Roman" w:eastAsia="Times New Roman" w:hAnsi="Times New Roman"/>
          <w:sz w:val="18"/>
          <w:szCs w:val="18"/>
          <w:color w:val="auto"/>
        </w:rPr>
      </w:pPr>
    </w:p>
    <w:p>
      <w:pPr>
        <w:ind w:left="-20" w:right="20" w:firstLine="910"/>
        <w:spacing w:after="0" w:line="258" w:lineRule="auto"/>
        <w:tabs>
          <w:tab w:leader="none" w:pos="11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Issuer and its Restricted Subsidiaries since the Issue Date (excluding Restricted Payments permitted by clauses (1) (with respect to a Restricted Payment made under clauses (2) through (14) of Section 4.07(b)) or clauses (2) through (14) of Section 4.07(b), but including Restricted Payments made under clause (15) of Section 4.07(b) only to the extent that such Restricted Payments at the time thereof would not reduce the amount available for Restricted Payments under this clause (4)(C) to less than zero) is less than the sum, without duplication, of:</w:t>
      </w:r>
    </w:p>
    <w:p>
      <w:pPr>
        <w:spacing w:after="0" w:line="75" w:lineRule="exact"/>
        <w:rPr>
          <w:rFonts w:ascii="Times New Roman" w:cs="Times New Roman" w:eastAsia="Times New Roman" w:hAnsi="Times New Roman"/>
          <w:sz w:val="18"/>
          <w:szCs w:val="18"/>
          <w:color w:val="auto"/>
        </w:rPr>
      </w:pPr>
    </w:p>
    <w:p>
      <w:pPr>
        <w:ind w:left="420" w:right="60" w:firstLine="871"/>
        <w:spacing w:after="0" w:line="266" w:lineRule="auto"/>
        <w:tabs>
          <w:tab w:leader="none" w:pos="149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Consolidated Net Income of the Issuer for the period (taken as one accounting period) from April 1, 2024 to the end of the Issuer’s most recently ended fiscal quarter for which internal financial statements are available at the time of such Restricted Payment (or, if such Consolidated Net Income for such period is a deficit,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20" w:firstLine="871"/>
        <w:spacing w:after="0" w:line="253" w:lineRule="auto"/>
        <w:tabs>
          <w:tab w:leader="none" w:pos="154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the Issue Date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the Issue Date or from the issue or sale of options, warrants or rights to purchase such Equity Interests that have been exercised for such Equity Interests since the Issue Date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Times New Roman" w:cs="Times New Roman" w:eastAsia="Times New Roman" w:hAnsi="Times New Roman"/>
          <w:sz w:val="18"/>
          <w:szCs w:val="18"/>
          <w:i w:val="1"/>
          <w:iCs w:val="1"/>
          <w:color w:val="auto"/>
        </w:rPr>
        <w:t>plus</w:t>
      </w:r>
    </w:p>
    <w:p>
      <w:pPr>
        <w:spacing w:after="0" w:line="86" w:lineRule="exact"/>
        <w:rPr>
          <w:rFonts w:ascii="Times New Roman" w:cs="Times New Roman" w:eastAsia="Times New Roman" w:hAnsi="Times New Roman"/>
          <w:sz w:val="18"/>
          <w:szCs w:val="18"/>
          <w:color w:val="auto"/>
        </w:rPr>
      </w:pPr>
    </w:p>
    <w:p>
      <w:pPr>
        <w:ind w:left="420" w:right="20" w:firstLine="871"/>
        <w:spacing w:after="0" w:line="256" w:lineRule="auto"/>
        <w:tabs>
          <w:tab w:leader="none" w:pos="159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included in Consolidated Net Income for such period, if any Restricted Investment that was made by the Issuer or any of its Restricted Subsidiaries after the Issue Date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out-of-pocket costs incurred in connection with any such sale); </w:t>
      </w:r>
      <w:r>
        <w:rPr>
          <w:rFonts w:ascii="Times New Roman" w:cs="Times New Roman" w:eastAsia="Times New Roman" w:hAnsi="Times New Roman"/>
          <w:sz w:val="18"/>
          <w:szCs w:val="18"/>
          <w:i w:val="1"/>
          <w:iCs w:val="1"/>
          <w:color w:val="auto"/>
        </w:rPr>
        <w:t>plus</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000"/>
          </w:cols>
          <w:pgMar w:left="1440" w:top="270" w:right="459" w:bottom="1440" w:gutter="0" w:footer="0" w:header="0"/>
        </w:sectPr>
      </w:pPr>
    </w:p>
    <w:bookmarkStart w:id="74" w:name="page75"/>
    <w:bookmarkEnd w:id="74"/>
    <w:p>
      <w:pPr>
        <w:ind w:left="980" w:firstLine="871"/>
        <w:spacing w:after="0" w:line="255" w:lineRule="auto"/>
        <w:tabs>
          <w:tab w:leader="none" w:pos="214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by which Indebtedness of the Issuer or its Restricted Subsidiaries is reduced on the Issuer’s balance sheet upon the conversion or exchange (other than by a Restricted Subsidiary of the Issuer) subsequent to the Issue Date of any such Indebtedness of the Issuer or its Restricted Subsidiaries convertible or exchangeable for Equity Interests (other than Disqualified Stock) of the Issuer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firstLine="871"/>
        <w:spacing w:after="0" w:line="255" w:lineRule="auto"/>
        <w:tabs>
          <w:tab w:leader="none" w:pos="209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Unrestricted Subsidiary of the Issuer designated as such after the Issue Date is redesignated as a Restricted Subsidiary pursuant to the terms of this Indenture or is merged or consolidated with or into, or transfers or otherwise disposes of all of substantially all of its properties or assets to or is liquidated into, the Issuer or a Restricted Subsidiary after the Issue Date,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the Issue Date;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firstLine="871"/>
        <w:spacing w:after="0" w:line="258" w:lineRule="auto"/>
        <w:tabs>
          <w:tab w:leader="none" w:pos="214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the net reduction in Restricted Investments made since the Issue Date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left="980" w:right="240" w:firstLine="871"/>
        <w:spacing w:after="0" w:line="266" w:lineRule="auto"/>
        <w:tabs>
          <w:tab w:leader="none" w:pos="219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clause (vi), any dividends received in cash by the Issuer or any of its Restricted Subsidiaries since the Issue Date from an Unrestricted Subsidiary, to the extent such dividends were not otherwise included in the Consolidated Net Income of the Issuer for such period;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2260" w:hanging="409"/>
        <w:spacing w:after="0"/>
        <w:tabs>
          <w:tab w:leader="none" w:pos="2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w:t>
      </w:r>
    </w:p>
    <w:p>
      <w:pPr>
        <w:spacing w:after="0" w:line="22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4.07(a) will not prohibit any of the following actions:</w:t>
      </w:r>
    </w:p>
    <w:p>
      <w:pPr>
        <w:spacing w:after="0" w:line="117" w:lineRule="exact"/>
        <w:rPr>
          <w:rFonts w:ascii="Times New Roman" w:cs="Times New Roman" w:eastAsia="Times New Roman" w:hAnsi="Times New Roman"/>
          <w:sz w:val="18"/>
          <w:szCs w:val="18"/>
          <w:color w:val="auto"/>
        </w:rPr>
      </w:pPr>
    </w:p>
    <w:p>
      <w:pPr>
        <w:ind w:right="200" w:firstLine="948"/>
        <w:spacing w:after="0" w:line="266" w:lineRule="auto"/>
        <w:tabs>
          <w:tab w:leader="none" w:pos="120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67" w:lineRule="exact"/>
        <w:rPr>
          <w:rFonts w:ascii="Times New Roman" w:cs="Times New Roman" w:eastAsia="Times New Roman" w:hAnsi="Times New Roman"/>
          <w:sz w:val="18"/>
          <w:szCs w:val="18"/>
          <w:color w:val="auto"/>
        </w:rPr>
      </w:pPr>
    </w:p>
    <w:p>
      <w:pPr>
        <w:ind w:right="40" w:firstLine="948"/>
        <w:spacing w:after="0" w:line="258" w:lineRule="auto"/>
        <w:tabs>
          <w:tab w:leader="none" w:pos="120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 cash proceeds that are utilized for any such Restricted Payment will not be considered to be net proceeds of Equity Interests for purposes of clause (C)(ii) of Section 4.07(a) above and will not be considered to be net cash proceeds from an Equity Offering for purposes of Section 3.08;</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75" w:name="page76"/>
    <w:bookmarkEnd w:id="75"/>
    <w:p>
      <w:pPr>
        <w:ind w:left="4" w:right="140" w:firstLine="948"/>
        <w:spacing w:after="0" w:line="266" w:lineRule="auto"/>
        <w:tabs>
          <w:tab w:leader="none" w:pos="12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declaration and payment of any dividend or distribution (or, in the case of any partnership or limited liability company, any similar distribution) by a Restricted Subsidiary of the Issuer to the holders of its Equity Interests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basis more favorable to the Issuer);</w:t>
      </w:r>
    </w:p>
    <w:p>
      <w:pPr>
        <w:spacing w:after="0" w:line="67" w:lineRule="exact"/>
        <w:rPr>
          <w:rFonts w:ascii="Times New Roman" w:cs="Times New Roman" w:eastAsia="Times New Roman" w:hAnsi="Times New Roman"/>
          <w:sz w:val="18"/>
          <w:szCs w:val="18"/>
          <w:color w:val="auto"/>
        </w:rPr>
      </w:pPr>
    </w:p>
    <w:p>
      <w:pPr>
        <w:ind w:left="4" w:firstLine="948"/>
        <w:spacing w:after="0" w:line="266" w:lineRule="auto"/>
        <w:tabs>
          <w:tab w:leader="none" w:pos="12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67" w:lineRule="exact"/>
        <w:rPr>
          <w:rFonts w:ascii="Times New Roman" w:cs="Times New Roman" w:eastAsia="Times New Roman" w:hAnsi="Times New Roman"/>
          <w:sz w:val="18"/>
          <w:szCs w:val="18"/>
          <w:color w:val="auto"/>
        </w:rPr>
      </w:pPr>
    </w:p>
    <w:p>
      <w:pPr>
        <w:ind w:left="4" w:right="100" w:firstLine="948"/>
        <w:spacing w:after="0" w:line="269" w:lineRule="auto"/>
        <w:tabs>
          <w:tab w:leader="none" w:pos="121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price paid for all such repurchased, redeemed, acquired or retired Equity Interests may not exceed $10.0 million in any calendar year (with any portion of such $10.0 million amount that is unused in any calendar year to be carried forward to successive calendar years and added to such amount), </w:t>
      </w:r>
      <w:r>
        <w:rPr>
          <w:rFonts w:ascii="Times New Roman" w:cs="Times New Roman" w:eastAsia="Times New Roman" w:hAnsi="Times New Roman"/>
          <w:sz w:val="17"/>
          <w:szCs w:val="17"/>
          <w:i w:val="1"/>
          <w:iCs w:val="1"/>
          <w:color w:val="auto"/>
        </w:rPr>
        <w:t>plus</w:t>
      </w:r>
    </w:p>
    <w:p>
      <w:pPr>
        <w:spacing w:after="0" w:line="2" w:lineRule="exact"/>
        <w:rPr>
          <w:rFonts w:ascii="Times New Roman" w:cs="Times New Roman" w:eastAsia="Times New Roman" w:hAnsi="Times New Roman"/>
          <w:sz w:val="17"/>
          <w:szCs w:val="17"/>
          <w:color w:val="auto"/>
        </w:rPr>
      </w:pPr>
    </w:p>
    <w:p>
      <w:pPr>
        <w:ind w:left="4" w:right="360" w:hanging="4"/>
        <w:spacing w:after="0" w:line="253" w:lineRule="auto"/>
        <w:tabs>
          <w:tab w:leader="none" w:pos="2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cash proceeds of key man life insurance policies received by the Issuer or any of its Restricted Subsidiaries after the Issue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amount of payments previously effected by using amounts specified in the foregoing clauses (a) and (b);</w:t>
      </w:r>
    </w:p>
    <w:p>
      <w:pPr>
        <w:spacing w:after="0" w:line="78" w:lineRule="exact"/>
        <w:rPr>
          <w:rFonts w:ascii="Times New Roman" w:cs="Times New Roman" w:eastAsia="Times New Roman" w:hAnsi="Times New Roman"/>
          <w:sz w:val="18"/>
          <w:szCs w:val="18"/>
          <w:color w:val="auto"/>
        </w:rPr>
      </w:pPr>
    </w:p>
    <w:p>
      <w:pPr>
        <w:ind w:left="4" w:right="140" w:firstLine="948"/>
        <w:spacing w:after="0" w:line="289" w:lineRule="auto"/>
        <w:tabs>
          <w:tab w:leader="none" w:pos="121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or advances to employees of the Issuer or employees or directors of any Subsidiary of the Issuer, in each case as permitted by Section 402 of the Sarbanes-Oxley Act of 2002, as amended, the proceeds of which are used to purchase Capital Stock of the Issuer, or to refinance loans or advances made pursuant to this clause (6), in an aggregate amount not in excess of $2.0 million at any one time outstanding;</w:t>
      </w:r>
    </w:p>
    <w:p>
      <w:pPr>
        <w:spacing w:after="0" w:line="49" w:lineRule="exact"/>
        <w:rPr>
          <w:rFonts w:ascii="Times New Roman" w:cs="Times New Roman" w:eastAsia="Times New Roman" w:hAnsi="Times New Roman"/>
          <w:sz w:val="17"/>
          <w:szCs w:val="17"/>
          <w:color w:val="auto"/>
        </w:rPr>
      </w:pPr>
    </w:p>
    <w:p>
      <w:pPr>
        <w:ind w:left="4" w:right="160" w:firstLine="948"/>
        <w:spacing w:after="0" w:line="258" w:lineRule="auto"/>
        <w:tabs>
          <w:tab w:leader="none" w:pos="121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75" w:lineRule="exact"/>
        <w:rPr>
          <w:rFonts w:ascii="Times New Roman" w:cs="Times New Roman" w:eastAsia="Times New Roman" w:hAnsi="Times New Roman"/>
          <w:sz w:val="18"/>
          <w:szCs w:val="18"/>
          <w:color w:val="auto"/>
        </w:rPr>
      </w:pPr>
    </w:p>
    <w:p>
      <w:pPr>
        <w:ind w:left="4" w:right="100" w:firstLine="948"/>
        <w:spacing w:after="0" w:line="266" w:lineRule="auto"/>
        <w:tabs>
          <w:tab w:leader="none" w:pos="121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or other acquisition or retirement for value of Equity Interests of the Issuer or any Restricted Subsidiary of the Issuer representing fractional units of such Equity Interests in connection with a merger or consolidation involving the Issuer or such Restricted Subsidiary or any other transaction permitted by this Indenture;</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4"/>
          </w:cols>
          <w:pgMar w:left="876" w:top="270" w:right="459" w:bottom="1440" w:gutter="0" w:footer="0" w:header="0"/>
        </w:sectPr>
      </w:pPr>
    </w:p>
    <w:bookmarkStart w:id="76" w:name="page77"/>
    <w:bookmarkEnd w:id="76"/>
    <w:p>
      <w:pPr>
        <w:ind w:left="440" w:right="20" w:firstLine="948"/>
        <w:spacing w:after="0" w:line="281" w:lineRule="auto"/>
        <w:tabs>
          <w:tab w:leader="none" w:pos="1647"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declaration and payment of dividends to holders of any class or series of Disqualified Stock of the Issuer or any Preferred Stock of any Restricted Subsidiary of the Issuer issued in accordance with Section 4.09 or (b) any cash payments due upon conversion of convertible debt securities of the Issuer and any purchase of, or payment under, any bond hedge, capped call or call option and warrant transaction acquired with respect to such convertible debt securities using an amount not greater than the proceeds of such convertible debt securities;</w:t>
      </w:r>
    </w:p>
    <w:p>
      <w:pPr>
        <w:spacing w:after="0" w:line="56" w:lineRule="exact"/>
        <w:rPr>
          <w:rFonts w:ascii="Times New Roman" w:cs="Times New Roman" w:eastAsia="Times New Roman" w:hAnsi="Times New Roman"/>
          <w:sz w:val="17"/>
          <w:szCs w:val="17"/>
          <w:color w:val="auto"/>
        </w:rPr>
      </w:pPr>
    </w:p>
    <w:p>
      <w:pPr>
        <w:ind w:left="440" w:right="60" w:firstLine="948"/>
        <w:spacing w:after="0" w:line="266" w:lineRule="auto"/>
        <w:tabs>
          <w:tab w:leader="none" w:pos="17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67" w:lineRule="exact"/>
        <w:rPr>
          <w:rFonts w:ascii="Times New Roman" w:cs="Times New Roman" w:eastAsia="Times New Roman" w:hAnsi="Times New Roman"/>
          <w:sz w:val="18"/>
          <w:szCs w:val="18"/>
          <w:color w:val="auto"/>
        </w:rPr>
      </w:pPr>
    </w:p>
    <w:p>
      <w:pPr>
        <w:ind w:left="440" w:right="80" w:firstLine="948"/>
        <w:spacing w:after="0" w:line="255" w:lineRule="auto"/>
        <w:tabs>
          <w:tab w:leader="none" w:pos="173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in connection with any change of control offer or prepayment offer required 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w:t>
      </w:r>
    </w:p>
    <w:p>
      <w:pPr>
        <w:spacing w:after="0" w:line="80"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of or other disposition or distribution of Equity Interests or Indebtedness of any Unrestricted Subsidiary (or a Restricted Subsidiary that owns no assets other than the Equity Interests of an Unrestricted Subsidiary) other than an Unrestricted Subsidiary the primary assets of which are cash and/or Cash Equivalents;</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7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the Issuer’s common stock in an amount not to exceed $0.31 per share per quarter (subject to proportionate adjustment for stock splits, stock dividends or reclassifications of the Issuer’s common stock);</w:t>
      </w:r>
    </w:p>
    <w:p>
      <w:pPr>
        <w:spacing w:after="0" w:line="53" w:lineRule="exact"/>
        <w:rPr>
          <w:rFonts w:ascii="Times New Roman" w:cs="Times New Roman" w:eastAsia="Times New Roman" w:hAnsi="Times New Roman"/>
          <w:sz w:val="18"/>
          <w:szCs w:val="18"/>
          <w:color w:val="auto"/>
        </w:rPr>
      </w:pPr>
    </w:p>
    <w:p>
      <w:pPr>
        <w:jc w:val="both"/>
        <w:ind w:left="440" w:right="480" w:firstLine="948"/>
        <w:spacing w:after="0" w:line="266" w:lineRule="auto"/>
        <w:tabs>
          <w:tab w:leader="none" w:pos="17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since the Issue Date which, when combined with the outstanding amount of all other Restricted Payments effected pursuant to this clause (14), does not exceed the greater of (i) $300.0 million and (ii) 5.0% of Adjusted Consolidated Net Tangible Assets (determined at the time of making the Restricted Payment); and</w:t>
      </w:r>
    </w:p>
    <w:p>
      <w:pPr>
        <w:spacing w:after="0" w:line="65" w:lineRule="exact"/>
        <w:rPr>
          <w:rFonts w:ascii="Times New Roman" w:cs="Times New Roman" w:eastAsia="Times New Roman" w:hAnsi="Times New Roman"/>
          <w:sz w:val="18"/>
          <w:szCs w:val="18"/>
          <w:color w:val="auto"/>
        </w:rPr>
      </w:pPr>
    </w:p>
    <w:p>
      <w:pPr>
        <w:ind w:left="440" w:right="60" w:firstLine="948"/>
        <w:spacing w:after="0" w:line="267" w:lineRule="auto"/>
        <w:tabs>
          <w:tab w:leader="none" w:pos="17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(15), at the time of any such Restricted Payment (a) the Total Leverage Ratio is not greater than 1.00 to 1.00 and (b) the PDP Coverage Ratio is not less than 2.00 to 1.00, in each case on a pro forma basis after giving effect to such Restricted Payment.</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 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criteria of more than one of the categories of Restricted Payments described in the preceding clauses (1) through (15)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 means any transaction expressly excluded from clauses (1), (2) and (3) of Section 4.07(a).</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Dividend and Other Payment Restrictions Affecting Restricted Subsidiaries.</w:t>
      </w:r>
    </w:p>
    <w:p>
      <w:pPr>
        <w:spacing w:after="0" w:line="227" w:lineRule="exact"/>
        <w:rPr>
          <w:sz w:val="20"/>
          <w:szCs w:val="20"/>
          <w:color w:val="auto"/>
        </w:rPr>
      </w:pPr>
    </w:p>
    <w:p>
      <w:pPr>
        <w:ind w:right="180" w:firstLine="987"/>
        <w:spacing w:after="0" w:line="282"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53" w:lineRule="exact"/>
        <w:rPr>
          <w:rFonts w:ascii="Times New Roman" w:cs="Times New Roman" w:eastAsia="Times New Roman" w:hAnsi="Times New Roman"/>
          <w:sz w:val="18"/>
          <w:szCs w:val="18"/>
          <w:color w:val="auto"/>
        </w:rPr>
      </w:pPr>
    </w:p>
    <w:p>
      <w:pPr>
        <w:ind w:left="440" w:firstLine="948"/>
        <w:spacing w:after="0" w:line="256" w:lineRule="auto"/>
        <w:tabs>
          <w:tab w:leader="none" w:pos="164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dividends or make any other distributions on its Capital Stock to the Issuer or any of its Restricted Subsidiaries, or pay any indebtedness owed to the Issuer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 any Restricted Subsidiary to other Indebtedness incurred by any Restricted Subsidiary shall not be deemed a restriction on the ability to pay Indebtedness;</w:t>
      </w:r>
    </w:p>
    <w:p>
      <w:pPr>
        <w:spacing w:after="0" w:line="79"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4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Issuer or any of its Restricted Subsidiaries.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4.08(a) will not apply to encumbrances or restrictions existing under or by reason of:</w:t>
      </w:r>
    </w:p>
    <w:p>
      <w:pPr>
        <w:spacing w:after="0" w:line="117" w:lineRule="exact"/>
        <w:rPr>
          <w:rFonts w:ascii="Times New Roman" w:cs="Times New Roman" w:eastAsia="Times New Roman" w:hAnsi="Times New Roman"/>
          <w:sz w:val="18"/>
          <w:szCs w:val="18"/>
          <w:color w:val="auto"/>
        </w:rPr>
      </w:pPr>
    </w:p>
    <w:p>
      <w:pPr>
        <w:ind w:left="440" w:right="340" w:firstLine="948"/>
        <w:spacing w:after="0" w:line="258" w:lineRule="auto"/>
        <w:tabs>
          <w:tab w:leader="none" w:pos="164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in such amendments, restatements, modifications, renewals, supplements, 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the Notes and the Guarantees;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8" w:name="page79"/>
    <w:bookmarkEnd w:id="78"/>
    <w:p>
      <w:pPr>
        <w:ind w:right="300" w:firstLine="948"/>
        <w:spacing w:after="0" w:line="261"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governing other Indebtedness permitted to be incurred under the provisions of Section 4.09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therein are not materially more restrictive, taken as a whole, than those contained in this Indenture, the Notes and the Guarantees or the Credit Agreement as in effect on the Issue Date, as determined in good faith by the Issuer;</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order, approval, license, permit or similar restriction;</w:t>
      </w:r>
    </w:p>
    <w:p>
      <w:pPr>
        <w:spacing w:after="0" w:line="117" w:lineRule="exact"/>
        <w:rPr>
          <w:rFonts w:ascii="Times New Roman" w:cs="Times New Roman" w:eastAsia="Times New Roman" w:hAnsi="Times New Roman"/>
          <w:sz w:val="18"/>
          <w:szCs w:val="18"/>
          <w:color w:val="auto"/>
        </w:rPr>
      </w:pPr>
    </w:p>
    <w:p>
      <w:pPr>
        <w:ind w:right="120" w:firstLine="948"/>
        <w:spacing w:after="0" w:line="256"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Indebtedness, such Indebtedness was permitted by the terms of this Indenture to be incurred;</w:t>
      </w:r>
    </w:p>
    <w:p>
      <w:pPr>
        <w:spacing w:after="0" w:line="79" w:lineRule="exact"/>
        <w:rPr>
          <w:rFonts w:ascii="Times New Roman" w:cs="Times New Roman" w:eastAsia="Times New Roman" w:hAnsi="Times New Roman"/>
          <w:sz w:val="18"/>
          <w:szCs w:val="18"/>
          <w:color w:val="auto"/>
        </w:rPr>
      </w:pPr>
    </w:p>
    <w:p>
      <w:pPr>
        <w:ind w:right="740" w:firstLine="948"/>
        <w:spacing w:after="0" w:line="282"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right="120" w:firstLine="948"/>
        <w:spacing w:after="0" w:line="282"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53"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 Restricted Subsidiary that restricts distributions by that Restricted Subsidiary pending its sale or other disposition;</w:t>
      </w:r>
    </w:p>
    <w:p>
      <w:pPr>
        <w:spacing w:after="0" w:line="51" w:lineRule="exact"/>
        <w:rPr>
          <w:rFonts w:ascii="Times New Roman" w:cs="Times New Roman" w:eastAsia="Times New Roman" w:hAnsi="Times New Roman"/>
          <w:sz w:val="18"/>
          <w:szCs w:val="18"/>
          <w:color w:val="auto"/>
        </w:rPr>
      </w:pPr>
    </w:p>
    <w:p>
      <w:pPr>
        <w:ind w:firstLine="948"/>
        <w:spacing w:after="0" w:line="267"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67" w:lineRule="exact"/>
        <w:rPr>
          <w:rFonts w:ascii="Times New Roman" w:cs="Times New Roman" w:eastAsia="Times New Roman" w:hAnsi="Times New Roman"/>
          <w:sz w:val="18"/>
          <w:szCs w:val="18"/>
          <w:color w:val="auto"/>
        </w:rPr>
      </w:pPr>
    </w:p>
    <w:p>
      <w:pPr>
        <w:ind w:right="400" w:firstLine="948"/>
        <w:spacing w:after="0" w:line="282" w:lineRule="auto"/>
        <w:tabs>
          <w:tab w:leader="none" w:pos="12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Section 4.12 that limit the right of the debtor to dispose of the assets subject to such Liens;</w:t>
      </w:r>
    </w:p>
    <w:p>
      <w:pPr>
        <w:spacing w:after="0" w:line="53" w:lineRule="exact"/>
        <w:rPr>
          <w:rFonts w:ascii="Times New Roman" w:cs="Times New Roman" w:eastAsia="Times New Roman" w:hAnsi="Times New Roman"/>
          <w:sz w:val="18"/>
          <w:szCs w:val="18"/>
          <w:color w:val="auto"/>
        </w:rPr>
      </w:pPr>
    </w:p>
    <w:p>
      <w:pPr>
        <w:ind w:firstLine="948"/>
        <w:spacing w:after="0" w:line="261" w:lineRule="auto"/>
        <w:tabs>
          <w:tab w:leader="none" w:pos="12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71" w:lineRule="exact"/>
        <w:rPr>
          <w:rFonts w:ascii="Times New Roman" w:cs="Times New Roman" w:eastAsia="Times New Roman" w:hAnsi="Times New Roman"/>
          <w:sz w:val="18"/>
          <w:szCs w:val="18"/>
          <w:color w:val="auto"/>
        </w:rPr>
      </w:pPr>
    </w:p>
    <w:p>
      <w:pPr>
        <w:ind w:right="300" w:firstLine="948"/>
        <w:spacing w:after="0" w:line="282" w:lineRule="auto"/>
        <w:tabs>
          <w:tab w:leader="none" w:pos="12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0"/>
          </w:cols>
          <w:pgMar w:left="880" w:top="270" w:right="479" w:bottom="1440" w:gutter="0" w:footer="0" w:header="0"/>
        </w:sectPr>
      </w:pPr>
    </w:p>
    <w:bookmarkStart w:id="79" w:name="page80"/>
    <w:bookmarkEnd w:id="79"/>
    <w:p>
      <w:pPr>
        <w:ind w:left="440" w:right="260" w:firstLine="948"/>
        <w:spacing w:after="0" w:line="282"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encumbrances or restrictions on cash, Cash Equivalents or other deposits or net worth requirements imposed by customers or lessors under contracts or leases entered into in the ordinary course of business;</w:t>
      </w:r>
    </w:p>
    <w:p>
      <w:pPr>
        <w:spacing w:after="0" w:line="51"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Preferred Stock issued by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73" w:lineRule="exact"/>
        <w:rPr>
          <w:rFonts w:ascii="Times New Roman" w:cs="Times New Roman" w:eastAsia="Times New Roman" w:hAnsi="Times New Roman"/>
          <w:sz w:val="18"/>
          <w:szCs w:val="18"/>
          <w:color w:val="auto"/>
        </w:rPr>
      </w:pPr>
    </w:p>
    <w:p>
      <w:pPr>
        <w:ind w:left="440" w:firstLine="948"/>
        <w:spacing w:after="0" w:line="277" w:lineRule="auto"/>
        <w:tabs>
          <w:tab w:leader="none" w:pos="173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 (y) the encumbrance or restriction is not materially more disadvantageous to the Holders than is customary in comparable financings or agreements, as determined in good faith by the Issuer;</w:t>
      </w:r>
    </w:p>
    <w:p>
      <w:pPr>
        <w:spacing w:after="0" w:line="59" w:lineRule="exact"/>
        <w:rPr>
          <w:rFonts w:ascii="Times New Roman" w:cs="Times New Roman" w:eastAsia="Times New Roman" w:hAnsi="Times New Roman"/>
          <w:sz w:val="17"/>
          <w:szCs w:val="17"/>
          <w:color w:val="auto"/>
        </w:rPr>
      </w:pPr>
    </w:p>
    <w:p>
      <w:pPr>
        <w:ind w:left="1740" w:hanging="352"/>
        <w:spacing w:after="0"/>
        <w:tabs>
          <w:tab w:leader="none" w:pos="17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permitted from time to time under this Indenture;</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or restrictions will not materially affect the Issuer’s ability to make principal or interest payments on the Notes,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660" w:firstLine="948"/>
        <w:spacing w:after="0" w:line="282"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encumbrances and restrictions contained in agreements of the types described in the definition of “Permitted Business Investments”; or</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Investment.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Incurrence of Indebtedness and Issuance of Preferred Stock.</w:t>
      </w:r>
    </w:p>
    <w:p>
      <w:pPr>
        <w:spacing w:after="0" w:line="227" w:lineRule="exact"/>
        <w:rPr>
          <w:sz w:val="20"/>
          <w:szCs w:val="20"/>
          <w:color w:val="auto"/>
        </w:rPr>
      </w:pPr>
    </w:p>
    <w:p>
      <w:pPr>
        <w:ind w:right="20" w:firstLine="987"/>
        <w:spacing w:after="0" w:line="256"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xml:space="preserve">”) any Indebtedness (including Acquired Debt), and the Issuer will not issue any Disqualified Stock and will not permit any of its Restricted Subsidiaries to issue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Issuer may incur Indebtedness (including Acquired Debt) or issue Disqualified Stock, and any Restricted Subsidiary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Indebtedness (including Acquired Debt) or issue Preferred Stock, if the Fixed Charge Coverage Ratio for the Issuer’s most recently ended four full fiscal quarters for which internal financial statements are available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0" w:name="page81"/>
    <w:bookmarkEnd w:id="8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Indebtedness (including Acquired Debt) that may be incurred and Preferred Stock that may be issued by Restricted Subsidiaries that are not Guarantors, in each case, in reliance on the Fixed Charge Coverage Ratio test set forth in this Section 4.09(a) shall not exceed the greater of (i) $300.0 million and (ii) 5% of Adjusted Consolidated Net Tangible Assets determined on the date of such incurrence or issuance.</w:t>
      </w:r>
    </w:p>
    <w:p>
      <w:pPr>
        <w:spacing w:after="0" w:line="189" w:lineRule="exact"/>
        <w:rPr>
          <w:sz w:val="20"/>
          <w:szCs w:val="20"/>
          <w:color w:val="auto"/>
        </w:rPr>
      </w:pPr>
    </w:p>
    <w:p>
      <w:pPr>
        <w:ind w:right="360" w:firstLine="987"/>
        <w:spacing w:after="0" w:line="282" w:lineRule="auto"/>
        <w:tabs>
          <w:tab w:leader="none" w:pos="12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will not prohibit the incurrence of any of the following items of Indebtedness or issuances of Disqualified Stock or Preferred Stock, as applicable (collectively, “</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647"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$1.1 billion, (ii) the Borrowing Base and (iii) 30.0% of Adjusted Consolidated Net Tangible Assets determined on the date of such incurrence;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its Restricted Subsidiaries of the Existing Indebtedness;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the Guarantors of Indebtedness represented by (a) the Initial Notes issued on the Issue Date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Initial Notes issued on the Issue Date.</w:t>
      </w:r>
    </w:p>
    <w:p>
      <w:pPr>
        <w:spacing w:after="0" w:line="98" w:lineRule="exact"/>
        <w:rPr>
          <w:rFonts w:ascii="Times New Roman" w:cs="Times New Roman" w:eastAsia="Times New Roman" w:hAnsi="Times New Roman"/>
          <w:sz w:val="18"/>
          <w:szCs w:val="18"/>
          <w:color w:val="auto"/>
        </w:rPr>
      </w:pPr>
    </w:p>
    <w:p>
      <w:pPr>
        <w:ind w:left="440" w:right="40" w:firstLine="948"/>
        <w:spacing w:after="0" w:line="254" w:lineRule="auto"/>
        <w:tabs>
          <w:tab w:leader="none" w:pos="1647"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(x) in connection with Sale and Leaseback Transactions, or (y) represented by Finance Lease Obligations, mortgage financings or purchase money obligations or other Indebtedness that in the case of this clause (y)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$300.0 million and (b) 5.0% of Adjusted Consolidated Net Tangible Assets determined at the date of such incurrence;</w:t>
      </w:r>
    </w:p>
    <w:p>
      <w:pPr>
        <w:spacing w:after="0" w:line="80"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1" w:name="page82"/>
    <w:bookmarkEnd w:id="81"/>
    <w:p>
      <w:pPr>
        <w:ind w:right="120" w:firstLine="948"/>
        <w:spacing w:after="0" w:line="282" w:lineRule="auto"/>
        <w:tabs>
          <w:tab w:leader="none" w:pos="120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incurrence by the Issuer or any of its Restricted Subsidiaries of intercompany Indebtedness between or among the Issuer and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73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67" w:lineRule="exact"/>
        <w:rPr>
          <w:rFonts w:ascii="Times New Roman" w:cs="Times New Roman" w:eastAsia="Times New Roman" w:hAnsi="Times New Roman"/>
          <w:sz w:val="18"/>
          <w:szCs w:val="18"/>
          <w:color w:val="auto"/>
        </w:rPr>
      </w:pPr>
    </w:p>
    <w:p>
      <w:pPr>
        <w:ind w:left="540" w:right="120" w:firstLine="910"/>
        <w:spacing w:after="0" w:line="266" w:lineRule="auto"/>
        <w:tabs>
          <w:tab w:leader="none" w:pos="1727"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incurrence of such Indebtedness by the Issuer or such Restricted Subsidiary, as the case may be, that was not permitted by this clause (6);</w:t>
      </w:r>
    </w:p>
    <w:p>
      <w:pPr>
        <w:spacing w:after="0" w:line="54" w:lineRule="exact"/>
        <w:rPr>
          <w:sz w:val="20"/>
          <w:szCs w:val="20"/>
          <w:color w:val="auto"/>
        </w:rPr>
      </w:pPr>
    </w:p>
    <w:p>
      <w:pPr>
        <w:ind w:right="260" w:firstLine="948"/>
        <w:spacing w:after="0" w:line="282" w:lineRule="auto"/>
        <w:tabs>
          <w:tab w:leader="none" w:pos="120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any of the Issuer’s Restricted Subsidiaries to the Issuer or to any of its Restricted Subsidiaries of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540" w:right="340" w:firstLine="910"/>
        <w:spacing w:after="0" w:line="282" w:lineRule="auto"/>
        <w:tabs>
          <w:tab w:leader="none" w:pos="173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that results in any such Preferred Stock being held by a Person other than the Issuer or a Restricted Subsidiary of the Issuer; and</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Preferred Stock to a Person that is not either the Issuer or a Restricted Subsidiary of</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issuance of such Preferred Stock by such Restricted Subsidiary that was not permitted by this clause (7);</w:t>
      </w:r>
    </w:p>
    <w:p>
      <w:pPr>
        <w:spacing w:after="0" w:line="54" w:lineRule="exact"/>
        <w:rPr>
          <w:sz w:val="20"/>
          <w:szCs w:val="20"/>
          <w:color w:val="auto"/>
        </w:rPr>
      </w:pPr>
    </w:p>
    <w:p>
      <w:pPr>
        <w:ind w:left="1200" w:hanging="252"/>
        <w:spacing w:after="0"/>
        <w:tabs>
          <w:tab w:leader="none" w:pos="1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Hedging Obligations;</w:t>
      </w:r>
    </w:p>
    <w:p>
      <w:pPr>
        <w:spacing w:after="0" w:line="117" w:lineRule="exact"/>
        <w:rPr>
          <w:rFonts w:ascii="Times New Roman" w:cs="Times New Roman" w:eastAsia="Times New Roman" w:hAnsi="Times New Roman"/>
          <w:sz w:val="18"/>
          <w:szCs w:val="18"/>
          <w:color w:val="auto"/>
        </w:rPr>
      </w:pPr>
    </w:p>
    <w:p>
      <w:pPr>
        <w:jc w:val="both"/>
        <w:ind w:firstLine="948"/>
        <w:spacing w:after="0" w:line="258" w:lineRule="auto"/>
        <w:tabs>
          <w:tab w:leader="none" w:pos="120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Indebtedness being guaranteed is subordinated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then the guarantee must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as applicable, to the same extent as the Indebtedness guaranteed, and if the guarantee is by a Restricted Subsidiary that is not a Guarantor, the Indebtedness guaranteed could have otherwise been incurred by such Restricted Subsidiary under this Section 4.09;</w:t>
      </w:r>
    </w:p>
    <w:p>
      <w:pPr>
        <w:spacing w:after="0" w:line="75" w:lineRule="exact"/>
        <w:rPr>
          <w:rFonts w:ascii="Times New Roman" w:cs="Times New Roman" w:eastAsia="Times New Roman" w:hAnsi="Times New Roman"/>
          <w:sz w:val="18"/>
          <w:szCs w:val="18"/>
          <w:color w:val="auto"/>
        </w:rPr>
      </w:pPr>
    </w:p>
    <w:p>
      <w:pPr>
        <w:ind w:right="80" w:firstLine="948"/>
        <w:spacing w:after="0" w:line="258" w:lineRule="auto"/>
        <w:tabs>
          <w:tab w:leader="none" w:pos="129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60"/>
          </w:cols>
          <w:pgMar w:left="880" w:top="270" w:right="459" w:bottom="1440" w:gutter="0" w:footer="0" w:header="0"/>
        </w:sectPr>
      </w:pPr>
    </w:p>
    <w:bookmarkStart w:id="82" w:name="page83"/>
    <w:bookmarkEnd w:id="82"/>
    <w:p>
      <w:pPr>
        <w:ind w:left="440" w:right="100" w:firstLine="948"/>
        <w:spacing w:after="0" w:line="266" w:lineRule="auto"/>
        <w:tabs>
          <w:tab w:leader="none" w:pos="173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67"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7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in-kind obligations relating to net oil, natural gas liquid or natural gas balancing positions arising in the ordinary course of business;</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7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obligation is not reflected on the face of the balance sheet of the Issuer or any Restricted Subsidiary;</w:t>
      </w:r>
    </w:p>
    <w:p>
      <w:pPr>
        <w:spacing w:after="0" w:line="75" w:lineRule="exact"/>
        <w:rPr>
          <w:rFonts w:ascii="Times New Roman" w:cs="Times New Roman" w:eastAsia="Times New Roman" w:hAnsi="Times New Roman"/>
          <w:sz w:val="18"/>
          <w:szCs w:val="18"/>
          <w:color w:val="auto"/>
        </w:rPr>
      </w:pPr>
    </w:p>
    <w:p>
      <w:pPr>
        <w:ind w:left="440" w:firstLine="948"/>
        <w:spacing w:after="0" w:line="266" w:lineRule="auto"/>
        <w:tabs>
          <w:tab w:leader="none" w:pos="17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6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Permitted Acquisition Indebtedness;</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7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72" w:lineRule="auto"/>
        <w:tabs>
          <w:tab w:leader="none" w:pos="1737"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 to this clause (17), not to exceed the greater of</w:t>
      </w:r>
    </w:p>
    <w:p>
      <w:pPr>
        <w:spacing w:after="0" w:line="1"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and (ii) 5.0% of Adjusted Consolidated Net Tangible Assets determined on the date of such incurrence or issuance.</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outstanding under the Credit Agreement on the Issue Date shall be considered incurred under clause (1) of Section 4.09(b) and may not be reclassified.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Agreements (including those resulting from the application of FASB ASC Topic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will, in the case of clause (i) or (ii), not be deemed to be an incurrence of Indebtedness or Disqualified Stock or Preferred Stock. Further, the accounting reclassification of any obligation or Disqualified Stock or Preferred Stock of the Issuer or any of its Restricted Subsidiaries as Indebtedness or Disqualified Stock or Preferred Stock will not be deemed an incurrence of Indebtedness or issuance of Disqualified Stock or Preferred Stock for purposes of this Section 4.09.</w:t>
      </w:r>
    </w:p>
    <w:p>
      <w:pPr>
        <w:spacing w:after="0" w:line="19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67" w:lineRule="exact"/>
        <w:rPr>
          <w:sz w:val="20"/>
          <w:szCs w:val="20"/>
          <w:color w:val="auto"/>
        </w:rPr>
      </w:pPr>
    </w:p>
    <w:p>
      <w:pPr>
        <w:ind w:left="1420" w:hanging="43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17" w:lineRule="exact"/>
        <w:rPr>
          <w:rFonts w:ascii="Times New Roman" w:cs="Times New Roman" w:eastAsia="Times New Roman" w:hAnsi="Times New Roman"/>
          <w:sz w:val="18"/>
          <w:szCs w:val="18"/>
          <w:color w:val="auto"/>
        </w:rPr>
      </w:pPr>
    </w:p>
    <w:p>
      <w:pPr>
        <w:ind w:left="2500" w:hanging="209"/>
        <w:spacing w:after="0"/>
        <w:tabs>
          <w:tab w:leader="none" w:pos="2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117" w:lineRule="exact"/>
        <w:rPr>
          <w:rFonts w:ascii="Times New Roman" w:cs="Times New Roman" w:eastAsia="Times New Roman" w:hAnsi="Times New Roman"/>
          <w:sz w:val="18"/>
          <w:szCs w:val="18"/>
          <w:color w:val="auto"/>
        </w:rPr>
      </w:pPr>
    </w:p>
    <w:p>
      <w:pPr>
        <w:ind w:left="2560" w:hanging="269"/>
        <w:spacing w:after="0"/>
        <w:tabs>
          <w:tab w:leader="none" w:pos="25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4" w:name="page85"/>
    <w:bookmarkEnd w:id="84"/>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Finance Lease Obligation, the amount determined in accordance with the definition thereof;</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66"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Interest Rate Agreements included in Section 4.09(b), zero;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unconditional obligations, the amount of the liability thereof determined in accordance with GAAP;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contingent obligations, the maximum liability at such date of such Person.</w:t>
      </w:r>
    </w:p>
    <w:p>
      <w:pPr>
        <w:spacing w:after="0" w:line="22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Asset Sales.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will not, and will not permit any of its Restricted Subsidiaries to, consummate an Asset Sale unless:</w:t>
      </w:r>
    </w:p>
    <w:p>
      <w:pPr>
        <w:spacing w:after="0" w:line="117" w:lineRule="exact"/>
        <w:rPr>
          <w:sz w:val="20"/>
          <w:szCs w:val="20"/>
          <w:color w:val="auto"/>
        </w:rPr>
      </w:pPr>
    </w:p>
    <w:p>
      <w:pPr>
        <w:ind w:right="80" w:firstLine="987"/>
        <w:spacing w:after="0" w:line="266"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Restricted Subsidiary, as the case may be) receives consideration at the time of the Asset Sale at least equal to the Fair Market Value (measured within 15 days of the definitive agreement with respect to such Asset Sale) of the assets or Equity Interests issued or sold or otherwise disposed of; and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aggregate consideration received in the Asset Sale by the Issuer or a Restricted Subsidiary and all other Asset Sales since the Issue Date is in the form of cash or Cash Equivalents.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provision, each of the following will be deemed to be cash:</w:t>
      </w:r>
    </w:p>
    <w:p>
      <w:pPr>
        <w:spacing w:after="0" w:line="117" w:lineRule="exact"/>
        <w:rPr>
          <w:sz w:val="20"/>
          <w:szCs w:val="20"/>
          <w:color w:val="auto"/>
        </w:rPr>
      </w:pPr>
    </w:p>
    <w:p>
      <w:pPr>
        <w:ind w:left="440" w:right="60" w:firstLine="948"/>
        <w:spacing w:after="0" w:line="258" w:lineRule="auto"/>
        <w:tabs>
          <w:tab w:leader="none" w:pos="164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40" w:top="270" w:right="519" w:bottom="1440" w:gutter="0" w:footer="0" w:header="0"/>
        </w:sectPr>
      </w:pPr>
    </w:p>
    <w:bookmarkStart w:id="85" w:name="page86"/>
    <w:bookmarkEnd w:id="85"/>
    <w:p>
      <w:pPr>
        <w:ind w:left="440" w:right="40" w:firstLine="948"/>
        <w:spacing w:after="0" w:line="261" w:lineRule="auto"/>
        <w:tabs>
          <w:tab w:leader="none" w:pos="164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71" w:lineRule="exact"/>
        <w:rPr>
          <w:rFonts w:ascii="Times New Roman" w:cs="Times New Roman" w:eastAsia="Times New Roman" w:hAnsi="Times New Roman"/>
          <w:sz w:val="18"/>
          <w:szCs w:val="18"/>
          <w:color w:val="auto"/>
        </w:rPr>
      </w:pPr>
    </w:p>
    <w:p>
      <w:pPr>
        <w:ind w:left="440" w:right="40" w:firstLine="948"/>
        <w:spacing w:after="0" w:line="312" w:lineRule="auto"/>
        <w:tabs>
          <w:tab w:leader="none" w:pos="1647"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31"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Assets; and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4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365 days after the receipt of any Net Proceeds from an Asset Sale, the Issuer (or any Restricted Subsidiary) may apply such Net Proceeds at its option to any combination of the following:</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redeem or repurchase any Senior Debt;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 or acquire Additional Assets;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capital expenditures in respect of the Issuer’s or any Restricted Subsidiaries’ Oil and Gas Business.</w:t>
      </w:r>
    </w:p>
    <w:p>
      <w:pPr>
        <w:spacing w:after="0" w:line="225" w:lineRule="exact"/>
        <w:rPr>
          <w:rFonts w:ascii="Times New Roman" w:cs="Times New Roman" w:eastAsia="Times New Roman" w:hAnsi="Times New Roman"/>
          <w:sz w:val="18"/>
          <w:szCs w:val="18"/>
          <w:color w:val="auto"/>
        </w:rPr>
      </w:pPr>
    </w:p>
    <w:p>
      <w:pPr>
        <w:ind w:right="20" w:firstLine="987"/>
        <w:spacing w:after="0" w:line="281" w:lineRule="auto"/>
        <w:tabs>
          <w:tab w:leader="none" w:pos="124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 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64"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159" w:lineRule="exact"/>
        <w:rPr>
          <w:rFonts w:ascii="Times New Roman" w:cs="Times New Roman" w:eastAsia="Times New Roman" w:hAnsi="Times New Roman"/>
          <w:sz w:val="18"/>
          <w:szCs w:val="18"/>
          <w:color w:val="auto"/>
        </w:rPr>
      </w:pPr>
    </w:p>
    <w:p>
      <w:pPr>
        <w:ind w:right="80" w:firstLine="987"/>
        <w:spacing w:after="0" w:line="255" w:lineRule="auto"/>
        <w:tabs>
          <w:tab w:leader="none" w:pos="121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Proceeds from Asset Sales that are not applied or invested as provided in Section 4.10(c) will constitute “</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When the aggregate amount of Excess Proceeds exceeds $50.0 million, within five days thereof, the Issuer will make an offer (an “</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xml:space="preserve">”)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this Indenture with respect to offers to purchase, prepay or redeem with the proceeds of sales of assets to purchase, prepay or redeem,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principal amounts of Notes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(or, in the case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issued with significant original issue discount, based on the accreted value thereof) tendered),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 that may be purchased, prepaid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redeemed out of the Excess Proceeds. The offer price in any Asset Sale Offer will be equal to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Note in global form will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192" w:lineRule="exact"/>
        <w:rPr>
          <w:sz w:val="20"/>
          <w:szCs w:val="20"/>
          <w:color w:val="auto"/>
        </w:rPr>
      </w:pPr>
    </w:p>
    <w:p>
      <w:pPr>
        <w:ind w:right="100" w:firstLine="987"/>
        <w:spacing w:after="0" w:line="258"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3.10 or this Section 4.10, the Issuer will comply with the applicable securities laws and regulations and will not be deemed to have breached its obligations under Section 3.10 or this Section 4.10 by virtue of such compliance.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Transactions with Affiliates.</w:t>
      </w:r>
    </w:p>
    <w:p>
      <w:pPr>
        <w:spacing w:after="0" w:line="227" w:lineRule="exact"/>
        <w:rPr>
          <w:sz w:val="20"/>
          <w:szCs w:val="20"/>
          <w:color w:val="auto"/>
        </w:rPr>
      </w:pPr>
    </w:p>
    <w:p>
      <w:pPr>
        <w:ind w:firstLine="987"/>
        <w:spacing w:after="0" w:line="261"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 involving aggregate consideration to or from the Issuer or a Restricted Subsidiary in excess of $25.0 million, unless:</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1" w:lineRule="auto"/>
        <w:tabs>
          <w:tab w:leader="none" w:pos="164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71"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4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68" w:right="459" w:bottom="1440" w:gutter="0" w:footer="0" w:header="0"/>
        </w:sectPr>
      </w:pPr>
    </w:p>
    <w:bookmarkStart w:id="87" w:name="page88"/>
    <w:bookmarkEnd w:id="87"/>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items will not be deemed to be Affiliate Transactions and, therefore, will not be subject to the provisions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4.11(a):</w:t>
      </w:r>
    </w:p>
    <w:p>
      <w:pPr>
        <w:spacing w:after="0" w:line="98"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Issuer and/or its Restricted Subsidiaries;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Person (other than an Unrestricted Subsidiary of the Issuer) that is an Affiliate of the Issuer solely because the Issuer owns, directly or through a Restricted Subsidiary, an Equity Interest in, and controls, such Person;</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Stock) of the Issuer to Affiliates of the Issuer;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or Permitted Investments or Permitted Payments that are permitted by Section 4.07;</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the Issuer or any of its Restricted Subsidiaries and any Person that would not otherwise constitute an Affiliate Transaction except for the fact that any director or officer of such other Person is also a director or officer of the Issuer or such Restricted Subsidiary,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director or officer abstains from voting as a director of the Issuer or such Restricted Subsidiary, as applicable, on any matter involving such other Person;</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 such Restricted Subsidiary from a financial point of view or that such transaction meets the requirements of Section 4.11(a)(1);</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guarantees by the Issuer or any of its Restricted Subsidiaries of performance of obligations of the Issuer’s Unrestricted Subsidiaries in the ordinary course of business, except for guarantees of Indebtedness in respect of borrowed money, and (b) 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58" w:lineRule="auto"/>
        <w:tabs>
          <w:tab w:leader="none" w:pos="173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Unrestricted Subsidiaries, joint ventures, customers, clients, suppliers or purchasers or sellers of goods or services, or lessors or lessees of property,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8" w:name="page89"/>
    <w:bookmarkEnd w:id="88"/>
    <w:p>
      <w:pPr>
        <w:ind w:left="440" w:right="100" w:firstLine="948"/>
        <w:spacing w:after="0" w:line="256" w:lineRule="auto"/>
        <w:tabs>
          <w:tab w:leader="none" w:pos="173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 (b) 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w:t>
      </w:r>
    </w:p>
    <w:p>
      <w:pPr>
        <w:spacing w:after="0" w:line="79"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73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purchases and sales of electric power, steam, water, natural gas or other hydrocarbons and other commercial relationships and transactions, or the provision of payroll, cash management, purchasing, insurance, indemnity and liability sharing, hedging, management, technology and licensing arrangements, marketing, or the granting or of acquiring of rights of way, easements, servitudes or other real property interests, or other sharing of assets or equipment, in each case between the Issuer or any Restricted Subsidiary and any Unrestricted Subsidiary or joint venture, and (b) any transactions entered into in connection with the CMB Transactions; and</w:t>
      </w:r>
    </w:p>
    <w:p>
      <w:pPr>
        <w:spacing w:after="0" w:line="75" w:lineRule="exact"/>
        <w:rPr>
          <w:rFonts w:ascii="Times New Roman" w:cs="Times New Roman" w:eastAsia="Times New Roman" w:hAnsi="Times New Roman"/>
          <w:sz w:val="18"/>
          <w:szCs w:val="18"/>
          <w:color w:val="auto"/>
        </w:rPr>
      </w:pPr>
    </w:p>
    <w:p>
      <w:pPr>
        <w:ind w:left="440" w:right="80" w:firstLine="948"/>
        <w:spacing w:after="0" w:line="281" w:lineRule="auto"/>
        <w:tabs>
          <w:tab w:leader="none" w:pos="1737"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of its Restricted Subsidiaries to, directly or indirectly, create, incur, assume or otherwise cause or suffer to exist or become effective any Lien of any kind (other 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Organizational Existence.</w:t>
      </w:r>
    </w:p>
    <w:p>
      <w:pPr>
        <w:spacing w:after="0" w:line="22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required to preserve any such right, license or franchise if the Issuer shall determine that the preservation thereof is no longer desirable in the conduct of the business of the Issuer.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4.15 </w:t>
      </w:r>
      <w:r>
        <w:rPr>
          <w:rFonts w:ascii="Times New Roman" w:cs="Times New Roman" w:eastAsia="Times New Roman" w:hAnsi="Times New Roman"/>
          <w:sz w:val="18"/>
          <w:szCs w:val="18"/>
          <w:i w:val="1"/>
          <w:iCs w:val="1"/>
          <w:color w:val="auto"/>
        </w:rPr>
        <w:t>Offer to Repurchase Upon Change of Control Triggering Event.</w:t>
      </w:r>
    </w:p>
    <w:p>
      <w:pPr>
        <w:spacing w:after="0" w:line="227" w:lineRule="exact"/>
        <w:rPr>
          <w:sz w:val="20"/>
          <w:szCs w:val="20"/>
          <w:color w:val="auto"/>
        </w:rPr>
      </w:pPr>
    </w:p>
    <w:p>
      <w:pPr>
        <w:ind w:right="60" w:firstLine="987"/>
        <w:spacing w:after="0" w:line="256" w:lineRule="auto"/>
        <w:tabs>
          <w:tab w:leader="none" w:pos="12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on the terms set forth in this Section 4.15. In the Change of Control Offer, the Issuer will offer a payment in cash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equal to 101% of the aggregate principal amount of Notes repurchased,</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accrued and unpaid interest, if any, on the Notes repurchased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excluding, the date of purchase (the “</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192" w:lineRule="exact"/>
        <w:rPr>
          <w:sz w:val="20"/>
          <w:szCs w:val="20"/>
          <w:color w:val="auto"/>
        </w:rPr>
      </w:pPr>
    </w:p>
    <w:p>
      <w:pPr>
        <w:jc w:val="both"/>
        <w:ind w:right="80" w:firstLine="987"/>
        <w:spacing w:after="0" w:line="266"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6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6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 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89" w:lineRule="exact"/>
        <w:rPr>
          <w:sz w:val="20"/>
          <w:szCs w:val="20"/>
          <w:color w:val="auto"/>
        </w:rPr>
      </w:pPr>
    </w:p>
    <w:p>
      <w:pPr>
        <w:ind w:right="260" w:firstLine="987"/>
        <w:spacing w:after="0" w:line="282" w:lineRule="auto"/>
        <w:tabs>
          <w:tab w:leader="none" w:pos="12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8" w:right="459" w:bottom="1440" w:gutter="0" w:footer="0" w:header="0"/>
        </w:sectPr>
      </w:pPr>
    </w:p>
    <w:bookmarkStart w:id="90" w:name="page91"/>
    <w:bookmarkEnd w:id="90"/>
    <w:p>
      <w:pPr>
        <w:ind w:firstLine="987"/>
        <w:spacing w:after="0" w:line="255"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any and all Notes validly tendered at a cash price equal to or higher than the Change of Control Payment and has purchased all Notes properly tendered in accordance with the terms of such Alternate Offer.</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75" w:lineRule="exact"/>
        <w:rPr>
          <w:rFonts w:ascii="Times New Roman" w:cs="Times New Roman" w:eastAsia="Times New Roman" w:hAnsi="Times New Roman"/>
          <w:sz w:val="18"/>
          <w:szCs w:val="18"/>
          <w:color w:val="auto"/>
        </w:rPr>
      </w:pPr>
    </w:p>
    <w:p>
      <w:pPr>
        <w:ind w:right="60" w:firstLine="987"/>
        <w:spacing w:after="0" w:line="255" w:lineRule="auto"/>
        <w:tabs>
          <w:tab w:leader="none" w:pos="12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upon consummation of a Change of Control Offer, Alternate Offer or other tender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given not more than 30 days following the purchase pursuant to such offer to redeem all of the Notes that remain outstanding following such purchase at a redemption price equal to the price offered in such Change of Control Offer, Alternate Offer or other tender offer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not included in such amount, accrued and unpaid interest, if any, on the Notes that remain outstanding, to the date of redemption, subject to the rights of Holders of Notes on the relevant record date to receive interest on the relevant Interest Payment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Additional Guarantees.</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delivering it to the Trustee within 20 Business Days of the date on which it guaranteed or became an obligor with respect to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Designation of Restricted and Unrestricted Subsidiaries.</w:t>
      </w:r>
    </w:p>
    <w:p>
      <w:pPr>
        <w:spacing w:after="0" w:line="22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 may after the Issue Date designate any Restricted Subsidiary to be an Unrestricted Subsidiary if that designation would not cause a Default. If a Restricted Subsidiary is designated as an Unrestricted Subsidiary after the Issue Date,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1" w:name="page92"/>
    <w:bookmarkEnd w:id="9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6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Issuer may at any time designate any Unrestricted Subsidiary to be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pro forma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Covenant Termination.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Indenture or of the Notes to the contrary, if at any time following the Issue Date (a) the Notes are rated Baa3 or better by Moody’s or BBB- or better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3.10, 4.07, 4.08, 4.09, 4.10, 4.11 and 4.17 and Section 5.01(a)(4) of this Indenture will thereafter terminate and no Default or Event of Default shall result from any failure to comply with any of the provisions of such Sections.</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Merger, Consolidation or Sale of Assets.</w:t>
      </w:r>
    </w:p>
    <w:p>
      <w:pPr>
        <w:spacing w:after="0" w:line="227" w:lineRule="exact"/>
        <w:rPr>
          <w:sz w:val="20"/>
          <w:szCs w:val="20"/>
          <w:color w:val="auto"/>
        </w:rPr>
      </w:pPr>
    </w:p>
    <w:p>
      <w:pPr>
        <w:ind w:right="480" w:firstLine="987"/>
        <w:spacing w:after="0" w:line="266"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time such surviving Person is a limited liability company or limited partnership, there shall be a co-issuer of the Notes that is a corporation organized or existing under the laws of the United States, any state of the United States or the District of Columbia;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2" w:name="page93"/>
    <w:bookmarkEnd w:id="92"/>
    <w:p>
      <w:pPr>
        <w:ind w:left="440" w:right="260" w:firstLine="948"/>
        <w:spacing w:after="0" w:line="266" w:lineRule="auto"/>
        <w:tabs>
          <w:tab w:leader="none" w:pos="164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4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any related financing transaction on a pro forma basis as if the same had occurred at the beginning of the applicable four-quarter period, either</w:t>
      </w:r>
    </w:p>
    <w:p>
      <w:pPr>
        <w:spacing w:after="0" w:line="53" w:lineRule="exact"/>
        <w:rPr>
          <w:rFonts w:ascii="Times New Roman" w:cs="Times New Roman" w:eastAsia="Times New Roman" w:hAnsi="Times New Roman"/>
          <w:sz w:val="18"/>
          <w:szCs w:val="18"/>
          <w:color w:val="auto"/>
        </w:rPr>
      </w:pPr>
    </w:p>
    <w:p>
      <w:pPr>
        <w:ind w:left="980" w:right="280" w:firstLine="910"/>
        <w:spacing w:after="0" w:line="266" w:lineRule="auto"/>
        <w:tabs>
          <w:tab w:leader="none" w:pos="2177"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67" w:lineRule="exact"/>
        <w:rPr>
          <w:rFonts w:ascii="Times New Roman" w:cs="Times New Roman" w:eastAsia="Times New Roman" w:hAnsi="Times New Roman"/>
          <w:sz w:val="18"/>
          <w:szCs w:val="18"/>
          <w:color w:val="auto"/>
        </w:rPr>
      </w:pPr>
    </w:p>
    <w:p>
      <w:pPr>
        <w:ind w:left="980" w:right="120" w:firstLine="910"/>
        <w:spacing w:after="0" w:line="266" w:lineRule="auto"/>
        <w:tabs>
          <w:tab w:leader="none" w:pos="2167"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67"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4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and an Opinion of Counsel, each stating that such consolidation, merger or disposition and such supplemental indenture, if any, comply with this Indenture.</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 any Guarantor; and the Issuer, in the case of clause (i) or (ii), will not be required to comply with Sections 5.01(a)(3), 5.01(a)(4) or 5.01(a)(5) in connection with any such consolidation, merger or disposition.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5.01(a), the Issuer may reorganize as any other form of entity in accordance with the following procedures: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4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involves the conversion (by merger, sale, contribution or exchange of assets or otherwise) of the Issuer into a form of entity other than a corporation formed under Delaware law;</w:t>
      </w:r>
    </w:p>
    <w:p>
      <w:pPr>
        <w:spacing w:after="0" w:line="53" w:lineRule="exact"/>
        <w:rPr>
          <w:rFonts w:ascii="Times New Roman" w:cs="Times New Roman" w:eastAsia="Times New Roman" w:hAnsi="Times New Roman"/>
          <w:sz w:val="18"/>
          <w:szCs w:val="18"/>
          <w:color w:val="auto"/>
        </w:rPr>
      </w:pPr>
    </w:p>
    <w:p>
      <w:pPr>
        <w:ind w:left="440" w:right="480" w:firstLine="948"/>
        <w:spacing w:after="0" w:line="282" w:lineRule="auto"/>
        <w:tabs>
          <w:tab w:leader="none" w:pos="164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so formed by or resulting from such reorganization is an entity organized or existing under the laws of the United States, any state thereof or the District of Columbia;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3" w:name="page94"/>
    <w:bookmarkEnd w:id="93"/>
    <w:p>
      <w:pPr>
        <w:ind w:left="440" w:right="240" w:firstLine="948"/>
        <w:spacing w:after="0" w:line="282" w:lineRule="auto"/>
        <w:tabs>
          <w:tab w:leader="none" w:pos="16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reorganization no Default or Event of Default exists; and</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related transactions, no Default or Event of Default exists;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jc w:val="both"/>
        <w:ind w:left="980" w:right="420" w:firstLine="910"/>
        <w:spacing w:after="0" w:line="266" w:lineRule="auto"/>
        <w:tabs>
          <w:tab w:leader="none" w:pos="2177"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or series of transactions does not violate Section 4.10.</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80" w:lineRule="exact"/>
        <w:rPr>
          <w:sz w:val="20"/>
          <w:szCs w:val="20"/>
          <w:color w:val="auto"/>
        </w:rPr>
      </w:pPr>
    </w:p>
    <w:p>
      <w:pPr>
        <w:ind w:right="100" w:firstLine="987"/>
        <w:spacing w:after="0" w:line="261"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79" w:lineRule="exact"/>
        <w:rPr>
          <w:rFonts w:ascii="Times New Roman" w:cs="Times New Roman" w:eastAsia="Times New Roman" w:hAnsi="Times New Roman"/>
          <w:sz w:val="18"/>
          <w:szCs w:val="18"/>
          <w:color w:val="auto"/>
        </w:rPr>
      </w:pPr>
    </w:p>
    <w:p>
      <w:pPr>
        <w:ind w:right="140" w:firstLine="987"/>
        <w:spacing w:after="0" w:line="274" w:lineRule="auto"/>
        <w:tabs>
          <w:tab w:leader="none" w:pos="121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i w:val="1"/>
          <w:iCs w:val="1"/>
          <w:color w:val="auto"/>
        </w:rPr>
        <w:t>Successor Issuer Substituted.</w:t>
      </w:r>
    </w:p>
    <w:p>
      <w:pPr>
        <w:spacing w:after="0" w:line="22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predecessor Issuer shall not be relieved from the obligation to pay the principal of, or premium or interest, if any,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the case of a lease of all or substantially all of the Issuer’s properties or assets in a transaction that is subject to, and that complies with the provisions of, Section 5.01.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Stated Maturity, upon redemption or otherwise) of the principal of, or premium, if any,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firstLine="987"/>
        <w:spacing w:after="0" w:line="266"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30 days after written notice has been given, by certified mail, (1) to the Issuer by the Trustee or (2) to the Issuer and the Trustee by the Holders of at least 25% in aggregate principal amount of the Notes then outstanding to comply with its obligations to offer to repurchase or repurchase the Notes described under Section 3.10, 4.10 or 4.15;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to comply with Section 5.01;</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180 days after written notice has been given, by certified mail, (1) to the Issuer by the Trustee or (2) to the Issuer and the Trustee by the Holders of at least 25% in aggregate principal amount of the Notes then outstanding to comply with Section 4.03;</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1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60 days after written notice has been given, by certified mail, (1) to the Issuer by the Trustee or (2) to the Issuer and the Trustee by the Holders of at least 25% in aggregate principal amount of the Notes then outstanding to comply with any of the other agreements in this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68" w:right="459" w:bottom="1440" w:gutter="0" w:footer="0" w:header="0"/>
        </w:sectPr>
      </w:pPr>
    </w:p>
    <w:bookmarkStart w:id="95" w:name="page96"/>
    <w:bookmarkEnd w:id="95"/>
    <w:p>
      <w:pPr>
        <w:ind w:right="160" w:firstLine="987"/>
        <w:spacing w:after="0" w:line="266"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$50.0 million and, within 20 Business Days of such Payment Default or acceleration, such Indebtedness has not been discharged or such Payment Default has not been cured or such acceleration has not been rescinded or annulled;</w:t>
      </w:r>
    </w:p>
    <w:p>
      <w:pPr>
        <w:spacing w:after="0" w:line="180" w:lineRule="exact"/>
        <w:rPr>
          <w:sz w:val="20"/>
          <w:szCs w:val="20"/>
          <w:color w:val="auto"/>
        </w:rPr>
      </w:pPr>
    </w:p>
    <w:p>
      <w:pPr>
        <w:ind w:right="100" w:firstLine="987"/>
        <w:spacing w:after="0" w:line="266"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any of its Restricted Subsidiaries to pay final judgments entered by a court or courts of competent jurisdiction aggregating in excess of $50.0 million (to the extent not covered by insurance by a reputable and creditworthy insurer as to which the insurer has not disclaimed coverage), which judgments are not paid, discharged or stayed, for a period of 60 days;</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20"/>
          </w:cols>
          <w:pgMar w:left="440" w:top="270" w:right="539" w:bottom="1440" w:gutter="0" w:footer="0" w:header="0"/>
        </w:sectPr>
      </w:pPr>
    </w:p>
    <w:bookmarkStart w:id="96" w:name="page97"/>
    <w:bookmarkEnd w:id="96"/>
    <w:p>
      <w:pPr>
        <w:ind w:left="440" w:right="180" w:firstLine="948"/>
        <w:spacing w:after="0" w:line="282" w:lineRule="auto"/>
        <w:tabs>
          <w:tab w:leader="none" w:pos="1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orders the liquidation of the Issuer or any of the Issuer’s Restricted Subsidiaries that is a Significant Subsidiary or any group of Restricted Subsidiaries of the Issuer that, taken together, would constitute a Significant Subsidiary;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 and</w:t>
      </w:r>
    </w:p>
    <w:p>
      <w:pPr>
        <w:spacing w:after="0" w:line="225" w:lineRule="exact"/>
        <w:rPr>
          <w:sz w:val="20"/>
          <w:szCs w:val="20"/>
          <w:color w:val="auto"/>
        </w:rPr>
      </w:pPr>
    </w:p>
    <w:p>
      <w:pPr>
        <w:ind w:right="20" w:firstLine="987"/>
        <w:spacing w:after="0" w:line="26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p>
    <w:p>
      <w:pPr>
        <w:spacing w:after="0" w:line="22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such declaration, the Notes shall become due and payable immediately.</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p>
      <w:pPr>
        <w:spacing w:after="0" w:line="22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Control by Majority.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affirmative duty to determine whether any direction is prejudicial to any other Holder).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if any, when due, no Holder of a Note may pursue any remedy with respect to this Indenture or the Notes unless:</w:t>
      </w:r>
    </w:p>
    <w:p>
      <w:pPr>
        <w:spacing w:after="0" w:line="54" w:lineRule="exact"/>
        <w:rPr>
          <w:sz w:val="20"/>
          <w:szCs w:val="20"/>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at least 25% in aggregate principal amount of the then outstanding Notes make a written request to the Trustee to pursue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right="6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or indemnity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60 days after receipt of the request and the offer of security or indemnity; and</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Holders of a majority in aggregate principal amount of the then outstanding Notes do not give the Trustee a direction inconsistent with such request.</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of Notes to Receive Payment.</w:t>
      </w:r>
    </w:p>
    <w:p>
      <w:pPr>
        <w:spacing w:after="0" w:line="22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68" w:right="47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Times New Roman" w:cs="Times New Roman" w:eastAsia="Times New Roman" w:hAnsi="Times New Roman"/>
          <w:sz w:val="18"/>
          <w:szCs w:val="18"/>
          <w:i w:val="1"/>
          <w:iCs w:val="1"/>
          <w:color w:val="auto"/>
        </w:rPr>
        <w:t>Trustee May File Proofs of Claim.</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115" w:lineRule="exact"/>
        <w:rPr>
          <w:sz w:val="20"/>
          <w:szCs w:val="20"/>
          <w:color w:val="auto"/>
        </w:rPr>
      </w:pPr>
    </w:p>
    <w:p>
      <w:pPr>
        <w:ind w:left="440" w:right="2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this Indenture, including payment of all compensation,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incurred, and all advances made, by the Trustee and the costs and expenses of collection;</w:t>
      </w:r>
    </w:p>
    <w:p>
      <w:pPr>
        <w:spacing w:after="0" w:line="50"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the Notes for amounts due and unpaid on the Notes for principal, interest and premium, if any,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interest and premium, if any, respectively; and</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the Notes pursuant to this Section 6.10.</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68" w:right="479" w:bottom="1440" w:gutter="0" w:footer="0" w:header="0"/>
        </w:sectPr>
      </w:pPr>
    </w:p>
    <w:bookmarkStart w:id="99" w:name="page100"/>
    <w:bookmarkEnd w:id="99"/>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p>
      <w:pPr>
        <w:spacing w:after="0" w:line="227" w:lineRule="exact"/>
        <w:rPr>
          <w:sz w:val="20"/>
          <w:szCs w:val="20"/>
          <w:color w:val="auto"/>
        </w:rPr>
      </w:pPr>
    </w:p>
    <w:p>
      <w:pPr>
        <w:jc w:val="both"/>
        <w:ind w:left="-100" w:right="200" w:firstLine="987"/>
        <w:spacing w:after="0" w:line="266" w:lineRule="auto"/>
        <w:tabs>
          <w:tab w:leader="none" w:pos="11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75" w:lineRule="exact"/>
        <w:rPr>
          <w:rFonts w:ascii="Times New Roman" w:cs="Times New Roman" w:eastAsia="Times New Roman" w:hAnsi="Times New Roman"/>
          <w:sz w:val="18"/>
          <w:szCs w:val="18"/>
          <w:color w:val="auto"/>
        </w:rPr>
      </w:pPr>
    </w:p>
    <w:p>
      <w:pPr>
        <w:ind w:left="1140" w:hanging="253"/>
        <w:spacing w:after="0"/>
        <w:tabs>
          <w:tab w:leader="none" w:pos="11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jc w:val="both"/>
        <w:ind w:left="340" w:firstLine="948"/>
        <w:spacing w:after="0" w:line="266" w:lineRule="auto"/>
        <w:tabs>
          <w:tab w:leader="none" w:pos="15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340" w:right="120" w:firstLine="948"/>
        <w:spacing w:after="0" w:line="289" w:lineRule="auto"/>
        <w:tabs>
          <w:tab w:leader="none" w:pos="1547"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57" w:lineRule="exact"/>
        <w:rPr>
          <w:rFonts w:ascii="Times New Roman" w:cs="Times New Roman" w:eastAsia="Times New Roman" w:hAnsi="Times New Roman"/>
          <w:sz w:val="17"/>
          <w:szCs w:val="17"/>
          <w:color w:val="auto"/>
        </w:rPr>
      </w:pPr>
    </w:p>
    <w:p>
      <w:pPr>
        <w:ind w:left="-100" w:firstLine="987"/>
        <w:spacing w:after="0" w:line="282" w:lineRule="auto"/>
        <w:tabs>
          <w:tab w:leader="none" w:pos="11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117" w:lineRule="exact"/>
        <w:rPr>
          <w:rFonts w:ascii="Times New Roman" w:cs="Times New Roman" w:eastAsia="Times New Roman" w:hAnsi="Times New Roman"/>
          <w:sz w:val="18"/>
          <w:szCs w:val="18"/>
          <w:color w:val="auto"/>
        </w:rPr>
      </w:pPr>
    </w:p>
    <w:p>
      <w:pPr>
        <w:ind w:left="340" w:right="140" w:firstLine="948"/>
        <w:spacing w:after="0" w:line="282" w:lineRule="auto"/>
        <w:tabs>
          <w:tab w:leader="none" w:pos="15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53" w:lineRule="exact"/>
        <w:rPr>
          <w:rFonts w:ascii="Times New Roman" w:cs="Times New Roman" w:eastAsia="Times New Roman" w:hAnsi="Times New Roman"/>
          <w:sz w:val="18"/>
          <w:szCs w:val="18"/>
          <w:color w:val="auto"/>
        </w:rPr>
      </w:pPr>
    </w:p>
    <w:p>
      <w:pPr>
        <w:ind w:left="340" w:right="420" w:firstLine="948"/>
        <w:spacing w:after="0" w:line="282" w:lineRule="auto"/>
        <w:tabs>
          <w:tab w:leader="none" w:pos="154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pursuant to Section 6.05.</w:t>
      </w:r>
    </w:p>
    <w:p>
      <w:pPr>
        <w:spacing w:after="0" w:line="161" w:lineRule="exact"/>
        <w:rPr>
          <w:rFonts w:ascii="Times New Roman" w:cs="Times New Roman" w:eastAsia="Times New Roman" w:hAnsi="Times New Roman"/>
          <w:sz w:val="18"/>
          <w:szCs w:val="18"/>
          <w:color w:val="auto"/>
        </w:rPr>
      </w:pPr>
    </w:p>
    <w:p>
      <w:pPr>
        <w:ind w:left="-100" w:right="80" w:firstLine="987"/>
        <w:spacing w:after="0" w:line="282" w:lineRule="auto"/>
        <w:tabs>
          <w:tab w:leader="none" w:pos="11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this Section 7.01 and Section 7.02.</w:t>
      </w:r>
    </w:p>
    <w:p>
      <w:pPr>
        <w:spacing w:after="0" w:line="161" w:lineRule="exact"/>
        <w:rPr>
          <w:rFonts w:ascii="Times New Roman" w:cs="Times New Roman" w:eastAsia="Times New Roman" w:hAnsi="Times New Roman"/>
          <w:sz w:val="18"/>
          <w:szCs w:val="18"/>
          <w:color w:val="auto"/>
        </w:rPr>
      </w:pPr>
    </w:p>
    <w:p>
      <w:pPr>
        <w:ind w:left="-100" w:right="60" w:firstLine="987"/>
        <w:spacing w:after="0" w:line="266" w:lineRule="auto"/>
        <w:tabs>
          <w:tab w:leader="none" w:pos="11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75" w:lineRule="exact"/>
        <w:rPr>
          <w:rFonts w:ascii="Times New Roman" w:cs="Times New Roman" w:eastAsia="Times New Roman" w:hAnsi="Times New Roman"/>
          <w:sz w:val="18"/>
          <w:szCs w:val="18"/>
          <w:color w:val="auto"/>
        </w:rPr>
      </w:pPr>
    </w:p>
    <w:p>
      <w:pPr>
        <w:ind w:left="-100" w:right="440" w:firstLine="987"/>
        <w:spacing w:after="0" w:line="282" w:lineRule="auto"/>
        <w:tabs>
          <w:tab w:leader="none" w:pos="11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20"/>
          </w:cols>
          <w:pgMar w:left="540" w:top="270" w:right="53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Times New Roman" w:cs="Times New Roman" w:eastAsia="Times New Roman" w:hAnsi="Times New Roman"/>
          <w:sz w:val="18"/>
          <w:szCs w:val="18"/>
          <w:i w:val="1"/>
          <w:iCs w:val="1"/>
          <w:color w:val="auto"/>
        </w:rPr>
        <w:t>Rights of Trustee.</w:t>
      </w:r>
    </w:p>
    <w:p>
      <w:pPr>
        <w:spacing w:after="0" w:line="227" w:lineRule="exact"/>
        <w:rPr>
          <w:sz w:val="20"/>
          <w:szCs w:val="20"/>
          <w:color w:val="auto"/>
        </w:rPr>
      </w:pPr>
    </w:p>
    <w:p>
      <w:pPr>
        <w:ind w:right="20" w:firstLine="987"/>
        <w:spacing w:after="0" w:line="266"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will be sufficient if signed by an Officer of the Issuer.</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 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 Default or an Event of Default unless a Responsible Officer of the Trustee has actual knowledge of such Default or Event of Default.</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101" w:name="page102"/>
    <w:bookmarkEnd w:id="101"/>
    <w:p>
      <w:pPr>
        <w:ind w:right="160" w:firstLine="987"/>
        <w:spacing w:after="0" w:line="282" w:lineRule="auto"/>
        <w:tabs>
          <w:tab w:leader="none" w:pos="120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61" w:lineRule="exact"/>
        <w:rPr>
          <w:rFonts w:ascii="Times New Roman" w:cs="Times New Roman" w:eastAsia="Times New Roman" w:hAnsi="Times New Roman"/>
          <w:sz w:val="18"/>
          <w:szCs w:val="18"/>
          <w:color w:val="auto"/>
        </w:rPr>
      </w:pPr>
    </w:p>
    <w:p>
      <w:pPr>
        <w:ind w:right="40" w:firstLine="987"/>
        <w:spacing w:after="0" w:line="277" w:lineRule="auto"/>
        <w:tabs>
          <w:tab w:leader="none" w:pos="129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or liable for any failure or delay in the performance of its obligations under this Indenture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p>
      <w:pPr>
        <w:spacing w:after="0" w:line="22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[Reserved].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02" w:name="page103"/>
    <w:bookmarkEnd w:id="102"/>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7.07 </w:t>
      </w:r>
      <w:r>
        <w:rPr>
          <w:rFonts w:ascii="Times New Roman" w:cs="Times New Roman" w:eastAsia="Times New Roman" w:hAnsi="Times New Roman"/>
          <w:sz w:val="18"/>
          <w:szCs w:val="18"/>
          <w:i w:val="1"/>
          <w:iCs w:val="1"/>
          <w:color w:val="auto"/>
        </w:rPr>
        <w:t>Compensation and Indemnity.</w:t>
      </w:r>
    </w:p>
    <w:p>
      <w:pPr>
        <w:spacing w:after="0" w:line="227" w:lineRule="exact"/>
        <w:rPr>
          <w:sz w:val="20"/>
          <w:szCs w:val="20"/>
          <w:color w:val="auto"/>
        </w:rPr>
      </w:pPr>
    </w:p>
    <w:p>
      <w:pPr>
        <w:ind w:left="-60" w:right="60" w:firstLine="987"/>
        <w:spacing w:after="0" w:line="256" w:lineRule="auto"/>
        <w:tabs>
          <w:tab w:leader="none" w:pos="11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7" w:lineRule="exact"/>
        <w:rPr>
          <w:rFonts w:ascii="Times New Roman" w:cs="Times New Roman" w:eastAsia="Times New Roman" w:hAnsi="Times New Roman"/>
          <w:sz w:val="18"/>
          <w:szCs w:val="18"/>
          <w:color w:val="auto"/>
        </w:rPr>
      </w:pPr>
    </w:p>
    <w:p>
      <w:pPr>
        <w:ind w:left="-60" w:firstLine="987"/>
        <w:spacing w:after="0" w:line="271" w:lineRule="auto"/>
        <w:tabs>
          <w:tab w:leader="none" w:pos="118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73" w:lineRule="exact"/>
        <w:rPr>
          <w:rFonts w:ascii="Times New Roman" w:cs="Times New Roman" w:eastAsia="Times New Roman" w:hAnsi="Times New Roman"/>
          <w:sz w:val="17"/>
          <w:szCs w:val="17"/>
          <w:color w:val="auto"/>
        </w:rPr>
      </w:pPr>
    </w:p>
    <w:p>
      <w:pPr>
        <w:ind w:left="-60" w:right="240" w:firstLine="987"/>
        <w:spacing w:after="0" w:line="282" w:lineRule="auto"/>
        <w:tabs>
          <w:tab w:leader="none" w:pos="11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Issuer and the Guarantors under this Section 7.07 will survive the satisfaction and discharge of this Indenture and the resignation or removal of the Trustee.</w:t>
      </w:r>
    </w:p>
    <w:p>
      <w:pPr>
        <w:spacing w:after="0" w:line="161"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8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75"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6.01(i) or (j) occurs, the expenses and the compensation for the services (including the fees and expenses of its agents and counsel) are intended to constitute administrative expenses for purposes of priority under any Bankruptcy Law.</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p>
      <w:pPr>
        <w:spacing w:after="0" w:line="227" w:lineRule="exact"/>
        <w:rPr>
          <w:sz w:val="20"/>
          <w:szCs w:val="20"/>
          <w:color w:val="auto"/>
        </w:rPr>
      </w:pPr>
    </w:p>
    <w:p>
      <w:pPr>
        <w:ind w:left="-60" w:right="620" w:firstLine="987"/>
        <w:spacing w:after="0" w:line="282" w:lineRule="auto"/>
        <w:tabs>
          <w:tab w:leader="none" w:pos="117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8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67"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380" w:right="740" w:firstLine="948"/>
        <w:spacing w:after="0" w:line="282" w:lineRule="auto"/>
        <w:tabs>
          <w:tab w:leader="none" w:pos="158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53"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880"/>
          </w:cols>
          <w:pgMar w:left="500" w:top="268" w:right="519" w:bottom="1440" w:gutter="0" w:footer="0" w:header="0"/>
        </w:sectPr>
      </w:pPr>
    </w:p>
    <w:bookmarkStart w:id="103" w:name="page104"/>
    <w:bookmarkEnd w:id="103"/>
    <w:p>
      <w:pPr>
        <w:ind w:left="1640" w:hanging="252"/>
        <w:spacing w:after="0"/>
        <w:tabs>
          <w:tab w:leader="none" w:pos="16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becomes incapable of acting.</w:t>
      </w:r>
    </w:p>
    <w:p>
      <w:pPr>
        <w:spacing w:after="0" w:line="225" w:lineRule="exact"/>
        <w:rPr>
          <w:rFonts w:ascii="Times New Roman" w:cs="Times New Roman" w:eastAsia="Times New Roman" w:hAnsi="Times New Roman"/>
          <w:sz w:val="18"/>
          <w:szCs w:val="18"/>
          <w:color w:val="auto"/>
        </w:rPr>
      </w:pPr>
    </w:p>
    <w:p>
      <w:pPr>
        <w:ind w:right="360" w:firstLine="987"/>
        <w:spacing w:after="0" w:line="266"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Notwithstanding replacement of the Trustee pursuant to this Section 7.08, the Issuer’s obligations under Section 7.07 will continue for the benefit of the retiring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p>
    <w:p>
      <w:pPr>
        <w:spacing w:after="0" w:line="22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i w:val="1"/>
          <w:iCs w:val="1"/>
          <w:color w:val="auto"/>
        </w:rPr>
        <w:t>Legal Defeasance and Discharge.</w:t>
      </w:r>
    </w:p>
    <w:p>
      <w:pPr>
        <w:spacing w:after="0" w:line="22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84" w:lineRule="exact"/>
        <w:rPr>
          <w:sz w:val="20"/>
          <w:szCs w:val="20"/>
          <w:color w:val="auto"/>
        </w:rPr>
      </w:pPr>
    </w:p>
    <w:p>
      <w:pPr>
        <w:ind w:right="260" w:firstLine="987"/>
        <w:spacing w:after="0" w:line="282"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on, if any, or interest on, such Notes when such payments are due from the trust referred to in Section 8.04;</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under Article 2 and Section 4.02;</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duties and immunities of the Trustee hereunder and the Issuer’s and the Guarantors’ obligations in connection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therewith; and</w:t>
      </w:r>
    </w:p>
    <w:p>
      <w:pPr>
        <w:spacing w:after="0" w:line="20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3.10, 4.03, 4.04 4.05, 4.07, 4.08, 4.09, 4.10, 4.11, 4.12, 4.13, 4.14, 4.15, 4.16 and 4.17 and clause (4) of Section 5.01(a) with respect to all the outstanding Notes on and after the date the conditions set forth in Section 8.04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8" w:right="45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i w:val="1"/>
          <w:iCs w:val="1"/>
          <w:color w:val="auto"/>
        </w:rPr>
        <w:t>Conditions to Legal or Covenant Defeasance.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w:t>
      </w:r>
    </w:p>
    <w:p>
      <w:pPr>
        <w:spacing w:after="0" w:line="117" w:lineRule="exact"/>
        <w:rPr>
          <w:sz w:val="20"/>
          <w:szCs w:val="20"/>
          <w:color w:val="auto"/>
        </w:rPr>
      </w:pPr>
    </w:p>
    <w:p>
      <w:pPr>
        <w:ind w:firstLine="987"/>
        <w:spacing w:after="0" w:line="252"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 shall have no liability whatsoever in the event that such Applicable Premium Deficit is not in fact paid after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or Covenant Defeasance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94"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the Issuer must deliver to the Trustee an Opinion of Counsel reasonably acceptable to the Trustee confirming that: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a ruling; or</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6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68" w:right="459" w:bottom="1440" w:gutter="0" w:footer="0" w:header="0"/>
        </w:sectPr>
      </w:pPr>
    </w:p>
    <w:bookmarkStart w:id="106" w:name="page107"/>
    <w:bookmarkEnd w:id="106"/>
    <w:p>
      <w:pPr>
        <w:ind w:firstLine="987"/>
        <w:spacing w:after="0" w:line="261"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7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p>
    <w:p>
      <w:pPr>
        <w:spacing w:after="0" w:line="22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Section 8.06,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interest and premium, if any, but such money need not be segregated from other funds except to the extent required by law.</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Repayment to Issuer.</w:t>
      </w:r>
    </w:p>
    <w:p>
      <w:pPr>
        <w:spacing w:after="0" w:line="22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interest and premium, if any,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i w:val="1"/>
          <w:iCs w:val="1"/>
          <w:color w:val="auto"/>
        </w:rPr>
        <w:t>Reinstatement.</w:t>
      </w:r>
    </w:p>
    <w:p>
      <w:pPr>
        <w:spacing w:after="0" w:line="22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makes any payment of principal of, premium on, if any, or interest on, any Note following the reinstatement of its obligations, the Issuer will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p>
    <w:p>
      <w:pPr>
        <w:spacing w:after="0" w:line="22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Notes, the Issuer, the Guarantors and the Trustee may amend or supplement this Indenture, the Notes or the Guarantees:</w:t>
      </w:r>
    </w:p>
    <w:p>
      <w:pPr>
        <w:spacing w:after="0" w:line="54" w:lineRule="exact"/>
        <w:rPr>
          <w:sz w:val="20"/>
          <w:szCs w:val="20"/>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25" w:lineRule="exact"/>
        <w:rPr>
          <w:rFonts w:ascii="Times New Roman" w:cs="Times New Roman" w:eastAsia="Times New Roman" w:hAnsi="Times New Roman"/>
          <w:sz w:val="18"/>
          <w:szCs w:val="18"/>
          <w:color w:val="auto"/>
        </w:rPr>
      </w:pPr>
    </w:p>
    <w:p>
      <w:pPr>
        <w:ind w:right="540" w:firstLine="987"/>
        <w:spacing w:after="0" w:line="282"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Notes or that does not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or the Guarantees to any provision of the “Description of Notes” section of the Offering Memorandum as specified by an Officers’ Certificate;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Guarantees pursuant to the requirements of Section 4.12 or otherwise;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release of any Guarantor from its Guarantee, as provided in this Indenture, add any additional Guarantor or guarantee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this Indenture of a successor Trustee;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68" w:right="43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to provide for the reorganization of the Issuer as any other form of entity in accordance with Section 5.01(c).</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 of Notes.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below in this Section 9.02, the Issuer, the Guarantors and the Trustee may amend or supplement this Indenture (including, without limitation, Sections 3.10,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affected, an amendment, supplement or waiver may not (with respect to any Notes held by a non-consenting Holder):</w:t>
      </w:r>
    </w:p>
    <w:p>
      <w:pPr>
        <w:spacing w:after="0" w:line="99" w:lineRule="exact"/>
        <w:rPr>
          <w:sz w:val="20"/>
          <w:szCs w:val="20"/>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redemption of the Notes (other than provisions relating to minimum notice periods required with respect to redemptions of Notes and provisions under Section 3.03, 3.10, 4.10 or 4.15);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Note;</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(except (i) a payment required by Section 3.10, 4.10 or 4.15 or (ii) a rescission of acceleration of the Notes by the Holders of a majority in aggregate principal amount of the then outstanding Notes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the Notes to receive payments of principal of, premium on, if any, or interest on, the Notes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or repurchase payment with respect to any Note (for the avoidance of doubt,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Guarantee or this Indenture, except in accordance with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9" w:name="page110"/>
    <w:bookmarkEnd w:id="10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make any change in the preceding amendment, supplement and waiver provisions.</w:t>
      </w:r>
    </w:p>
    <w:p>
      <w:pPr>
        <w:spacing w:after="0" w:line="225"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Consents.</w:t>
      </w:r>
    </w:p>
    <w:p>
      <w:pPr>
        <w:spacing w:after="0" w:line="227" w:lineRule="exact"/>
        <w:rPr>
          <w:sz w:val="20"/>
          <w:szCs w:val="20"/>
          <w:color w:val="auto"/>
        </w:rPr>
      </w:pPr>
    </w:p>
    <w:p>
      <w:pPr>
        <w:ind w:left="4" w:right="200" w:firstLine="440"/>
        <w:spacing w:after="0" w:line="269" w:lineRule="auto"/>
        <w:rPr>
          <w:sz w:val="20"/>
          <w:szCs w:val="20"/>
          <w:color w:val="auto"/>
        </w:rPr>
      </w:pPr>
      <w:r>
        <w:rPr>
          <w:rFonts w:ascii="Times New Roman" w:cs="Times New Roman" w:eastAsia="Times New Roman" w:hAnsi="Times New Roman"/>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w:t>
      </w:r>
    </w:p>
    <w:p>
      <w:pPr>
        <w:spacing w:after="0" w:line="3" w:lineRule="exact"/>
        <w:rPr>
          <w:sz w:val="20"/>
          <w:szCs w:val="20"/>
          <w:color w:val="auto"/>
        </w:rPr>
      </w:pPr>
    </w:p>
    <w:p>
      <w:pPr>
        <w:ind w:left="4" w:right="280" w:hanging="4"/>
        <w:spacing w:after="0" w:line="255" w:lineRule="auto"/>
        <w:tabs>
          <w:tab w:leader="none" w:pos="2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Notes.</w:t>
      </w:r>
    </w:p>
    <w:p>
      <w:pPr>
        <w:spacing w:after="0" w:line="22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p>
      <w:pPr>
        <w:spacing w:after="0" w:line="22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Trustee will sign any amended or supplemental indenture authorized pursuant to this Article 9 if the amendment or supplement does not adversely affect the rights, duties, protections, indemnities,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Effect of Supplemental Indentures.</w:t>
      </w:r>
    </w:p>
    <w:p>
      <w:pPr>
        <w:spacing w:after="0" w:line="22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280" w:firstLine="987"/>
        <w:spacing w:after="0" w:line="266"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67"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4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4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40" w:lineRule="exact"/>
        <w:rPr>
          <w:sz w:val="20"/>
          <w:szCs w:val="20"/>
          <w:color w:val="auto"/>
        </w:rPr>
      </w:pPr>
    </w:p>
    <w:p>
      <w:pPr>
        <w:ind w:firstLine="987"/>
        <w:spacing w:after="0" w:line="255"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1" w:name="page112"/>
    <w:bookmarkEnd w:id="1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10.02 </w:t>
      </w:r>
      <w:r>
        <w:rPr>
          <w:rFonts w:ascii="Times New Roman" w:cs="Times New Roman" w:eastAsia="Times New Roman" w:hAnsi="Times New Roman"/>
          <w:sz w:val="18"/>
          <w:szCs w:val="18"/>
          <w:i w:val="1"/>
          <w:iCs w:val="1"/>
          <w:color w:val="auto"/>
        </w:rPr>
        <w:t>Limitation on Guarantor Liability.</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Guarantee Evidenced by Indenture.</w:t>
      </w:r>
    </w:p>
    <w:p>
      <w:pPr>
        <w:spacing w:after="0" w:line="22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Guarantee of any Guarantor shall be evidenced solely by its execution and delivery of this Indenture (or, in the case of any Guarantor that is not party to this Indenture on the Issue Date, a supplemental indenture hereto) and not by an endorsement on, or attachment to, any Note or any Guarantee or notation thereof.</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will remain in full force and effect notwithstanding any failure to endorse on each Note a notation of such Guarantee.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Releases.</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68" w:lineRule="exact"/>
        <w:rPr>
          <w:sz w:val="20"/>
          <w:szCs w:val="20"/>
          <w:color w:val="auto"/>
        </w:rPr>
      </w:pPr>
    </w:p>
    <w:p>
      <w:pPr>
        <w:ind w:firstLine="987"/>
        <w:spacing w:after="0" w:line="26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68" w:right="459" w:bottom="1440" w:gutter="0" w:footer="0" w:header="0"/>
        </w:sectPr>
      </w:pPr>
    </w:p>
    <w:bookmarkStart w:id="112" w:name="page113"/>
    <w:bookmarkEnd w:id="112"/>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Issuer designates such Guarantor to be an Unrestricted Subsidiary in accordance with the terms of this Indenture;</w:t>
      </w:r>
    </w:p>
    <w:p>
      <w:pPr>
        <w:spacing w:after="0" w:line="225"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or Covenant Defeasance in accordance with Article 8 or satisfaction and discharge of this Indenture in accordance with Article 11;</w:t>
      </w:r>
    </w:p>
    <w:p>
      <w:pPr>
        <w:spacing w:after="0" w:line="15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liquidation or dissolution of such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Default or Event of Default has occurred that is continuing;</w:t>
      </w:r>
    </w:p>
    <w:p>
      <w:pPr>
        <w:spacing w:after="0" w:line="227"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such Guarantor ceases to guarantee or otherwise be an obligor with respect to any other Indebtedness of the Issuer or any other Guarantor in excess of the De Minimis Guaranteed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that is continuing.</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68" w:lineRule="exact"/>
        <w:rPr>
          <w:sz w:val="20"/>
          <w:szCs w:val="20"/>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4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53" w:lineRule="auto"/>
        <w:tabs>
          <w:tab w:leader="none" w:pos="164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or will become due and payable within one year by reason of the mailing of a notice of redemption or otherwise and either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interest and premium, if any, to the date of Stated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3" w:name="page114"/>
    <w:bookmarkEnd w:id="113"/>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89" w:lineRule="exact"/>
        <w:rPr>
          <w:sz w:val="20"/>
          <w:szCs w:val="20"/>
          <w:color w:val="auto"/>
        </w:rPr>
      </w:pPr>
    </w:p>
    <w:p>
      <w:pPr>
        <w:ind w:left="1240" w:hanging="253"/>
        <w:spacing w:after="0"/>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other sums payable by the Issuer under this Indenture; and</w:t>
      </w:r>
    </w:p>
    <w:p>
      <w:pPr>
        <w:spacing w:after="0" w:line="225"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Issuer has delivered irrevocable instructions to the Trustee to apply the deposited money toward the payment of the Notes at Stated Maturity or on the redemption date, as the case may be.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or Government Securities have been deposited with the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subclause (2) of clause (a) of this Section 11.01, the provisions of Sections 11.02 and 8.06 will survive. In addition, nothing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will be deemed to discharge those provisions of Section 7.07, that, by their terms, survive the satisfaction and discharge of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Application of Trust Money.</w:t>
      </w:r>
    </w:p>
    <w:p>
      <w:pPr>
        <w:spacing w:after="0" w:line="22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interest and premium, if any, for whose payment such money or Government Securities have been deposited with the Trustee; but such money or Government Securities need not be segregated from other funds except to the extent required by law.</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40"/>
          </w:cols>
          <w:pgMar w:left="440" w:top="270" w:right="519" w:bottom="1440" w:gutter="0" w:footer="0" w:header="0"/>
        </w:sectPr>
      </w:pPr>
    </w:p>
    <w:bookmarkStart w:id="114" w:name="page115"/>
    <w:bookmarkEnd w:id="11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Issuer, any Guarantor or the Trustee to the others is duly given if in writing in the English language and delivered in Person or by first class mail (registered or certified, return receipt requested), electronic image scan, facsimile transmission or overnight air courier guaranteeing next day delivery, to the others’ address: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of the Issuer and the Guarantors: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5" w:name="page116"/>
    <w:bookmarkEnd w:id="115"/>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Issuer mails a notice or communication to Holders, the Issuer will mail a copy to the Trustee and each Agent at the same time.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Note, such notice shall be sufficiently given if given to the Depositary for such Note (or its designee), pursuant to its Applicable Procedures, not later than the latest date (if any), and not earlier than the earliest date (if any), prescribed for the giving of such notice.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Benefit of Indenture.</w:t>
      </w:r>
    </w:p>
    <w:p>
      <w:pPr>
        <w:spacing w:after="0" w:line="22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Issuer to the Trustee to take any action under this Indenture, the Issuer shall furnish to the Trustee:</w:t>
      </w:r>
    </w:p>
    <w:p>
      <w:pPr>
        <w:spacing w:after="0" w:line="117" w:lineRule="exact"/>
        <w:rPr>
          <w:sz w:val="20"/>
          <w:szCs w:val="20"/>
          <w:color w:val="auto"/>
        </w:rPr>
      </w:pPr>
    </w:p>
    <w:p>
      <w:pPr>
        <w:jc w:val="both"/>
        <w:ind w:right="280" w:firstLine="987"/>
        <w:spacing w:after="0" w:line="266"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Statements Required in Certificate or Opinion.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5360" w:right="2600" w:hanging="4373"/>
        <w:spacing w:after="0" w:line="454" w:lineRule="auto"/>
        <w:tabs>
          <w:tab w:leader="none" w:pos="122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105</w:t>
      </w:r>
    </w:p>
    <w:p>
      <w:pPr>
        <w:sectPr>
          <w:pgSz w:w="11900" w:h="16838" w:orient="portrait"/>
          <w:cols w:equalWidth="0" w:num="1">
            <w:col w:w="10940"/>
          </w:cols>
          <w:pgMar w:left="440" w:top="270" w:right="519" w:bottom="1440" w:gutter="0" w:footer="0" w:header="0"/>
        </w:sectPr>
      </w:pPr>
    </w:p>
    <w:bookmarkStart w:id="116" w:name="page117"/>
    <w:bookmarkEnd w:id="116"/>
    <w:p>
      <w:pPr>
        <w:ind w:right="320" w:firstLine="987"/>
        <w:spacing w:after="0" w:line="282"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Rules by Trustee and Agents.</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No Personal Liability of Directors, Officers, Employees and Members.</w:t>
      </w:r>
    </w:p>
    <w:p>
      <w:pPr>
        <w:spacing w:after="0" w:line="22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Governing Law; Jurisdiction.</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440" w:top="270" w:right="479" w:bottom="1440" w:gutter="0" w:footer="0" w:header="0"/>
        </w:sectPr>
      </w:pPr>
    </w:p>
    <w:bookmarkStart w:id="117" w:name="page118"/>
    <w:bookmarkEnd w:id="117"/>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No Adverse Interpretation of Other Agreements.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Severability; Entire Agreement.</w:t>
      </w:r>
    </w:p>
    <w:p>
      <w:pPr>
        <w:spacing w:after="0" w:line="22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parties may sign any number of copies of this Indenture, and each party hereto may sign any number of separate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8" w:name="page119"/>
    <w:bookmarkEnd w:id="1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12.14 </w:t>
      </w:r>
      <w:r>
        <w:rPr>
          <w:rFonts w:ascii="Times New Roman" w:cs="Times New Roman" w:eastAsia="Times New Roman" w:hAnsi="Times New Roman"/>
          <w:sz w:val="18"/>
          <w:szCs w:val="18"/>
          <w:i w:val="1"/>
          <w:iCs w:val="1"/>
          <w:color w:val="auto"/>
        </w:rPr>
        <w:t>Payment Date Other Than a Business Day.</w:t>
      </w:r>
    </w:p>
    <w:p>
      <w:pPr>
        <w:spacing w:after="0" w:line="22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Action by Holders.</w:t>
      </w:r>
    </w:p>
    <w:p>
      <w:pPr>
        <w:spacing w:after="0" w:line="227" w:lineRule="exact"/>
        <w:rPr>
          <w:sz w:val="20"/>
          <w:szCs w:val="20"/>
          <w:color w:val="auto"/>
        </w:rPr>
      </w:pPr>
    </w:p>
    <w:p>
      <w:pPr>
        <w:ind w:right="120" w:firstLine="987"/>
        <w:spacing w:after="0" w:line="254"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12.15.</w:t>
      </w:r>
    </w:p>
    <w:p>
      <w:pPr>
        <w:spacing w:after="0" w:line="192"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 (ii) with respect to any Global Note the Depositary for which is DTC, any consent or other action given, made or taken by an “agent member” of DTC by electronic means in accordance with the Automated Tender Offer Procedures system or other customary procedures of, and pursuant to authorization by, DTC shall be deemed to constitute the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73" w:lineRule="exact"/>
        <w:rPr>
          <w:sz w:val="20"/>
          <w:szCs w:val="20"/>
          <w:color w:val="auto"/>
        </w:rPr>
      </w:pPr>
    </w:p>
    <w:p>
      <w:pPr>
        <w:ind w:right="40" w:firstLine="987"/>
        <w:spacing w:after="0" w:line="256"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68" w:right="479" w:bottom="1440" w:gutter="0" w:footer="0" w:header="0"/>
        </w:sectPr>
      </w:pPr>
    </w:p>
    <w:bookmarkStart w:id="119" w:name="page120"/>
    <w:bookmarkEnd w:id="119"/>
    <w:p>
      <w:pPr>
        <w:ind w:firstLine="987"/>
        <w:spacing w:after="0" w:line="253"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75"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Indenture, any action by the Holders which may be taken in writing may be taken by electronic means or as otherwise reasonably acceptable to the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i w:val="1"/>
          <w:iCs w:val="1"/>
          <w:color w:val="auto"/>
        </w:rPr>
        <w:t>Electronic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and/or any Guarantor shall provide to the an incumbency certificate listing officers with the authority to provide such Instructions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0" w:name="page121"/>
    <w:bookmarkEnd w:id="12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Language of Notices, Etc.</w:t>
      </w:r>
    </w:p>
    <w:p>
      <w:pPr>
        <w:spacing w:after="0" w:line="22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60"/>
          </w:cols>
          <w:pgMar w:left="440" w:top="270" w:right="499" w:bottom="1440" w:gutter="0" w:footer="0" w:header="0"/>
        </w:sectPr>
      </w:pPr>
    </w:p>
    <w:bookmarkStart w:id="121" w:name="page122"/>
    <w:bookmarkEnd w:id="121"/>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5,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Issuer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GUARANTORS: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STATE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ENTURES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OYALTY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 as sole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ILMINGTON</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IDELANDS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EAVY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IL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700"/>
          </w:cols>
          <w:pgMar w:left="440" w:top="270" w:right="75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ETROLEUM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w:t>
      </w:r>
      <w:r>
        <w:rPr>
          <w:rFonts w:ascii="Times New Roman" w:cs="Times New Roman" w:eastAsia="Times New Roman" w:hAnsi="Times New Roman"/>
          <w:sz w:val="14"/>
          <w:szCs w:val="14"/>
          <w:b w:val="1"/>
          <w:bCs w:val="1"/>
          <w:color w:val="auto"/>
        </w:rPr>
        <w:t>ARKETING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OUTHERN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OAQUIN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T</w:t>
      </w:r>
      <w:r>
        <w:rPr>
          <w:rFonts w:ascii="Times New Roman" w:cs="Times New Roman" w:eastAsia="Times New Roman" w:hAnsi="Times New Roman"/>
          <w:sz w:val="14"/>
          <w:szCs w:val="14"/>
          <w:b w:val="1"/>
          <w:bCs w:val="1"/>
          <w:color w:val="auto"/>
        </w:rPr>
        <w:t>OPCO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LLC, as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IDELANDS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60"/>
          </w:cols>
          <w:pgMar w:left="1440" w:top="266" w:right="59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L.P.</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OLES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EVEE</w:t>
      </w:r>
      <w:r>
        <w:rPr>
          <w:rFonts w:ascii="Times New Roman" w:cs="Times New Roman" w:eastAsia="Times New Roman" w:hAnsi="Times New Roman"/>
          <w:sz w:val="18"/>
          <w:szCs w:val="18"/>
          <w:color w:val="auto"/>
        </w:rPr>
        <w:t>, LLC, as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OWER</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EHP M</w:t>
      </w:r>
      <w:r>
        <w:rPr>
          <w:rFonts w:ascii="Times New Roman" w:cs="Times New Roman" w:eastAsia="Times New Roman" w:hAnsi="Times New Roman"/>
          <w:sz w:val="14"/>
          <w:szCs w:val="14"/>
          <w:color w:val="auto"/>
        </w:rPr>
        <w:t>IDCO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 as sole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M</w:t>
      </w:r>
      <w:r>
        <w:rPr>
          <w:rFonts w:ascii="Times New Roman" w:cs="Times New Roman" w:eastAsia="Times New Roman" w:hAnsi="Times New Roman"/>
          <w:sz w:val="14"/>
          <w:szCs w:val="14"/>
          <w:b w:val="1"/>
          <w:bCs w:val="1"/>
          <w:color w:val="auto"/>
        </w:rPr>
        <w:t>IDCO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EHP T</w:t>
      </w:r>
      <w:r>
        <w:rPr>
          <w:rFonts w:ascii="Times New Roman" w:cs="Times New Roman" w:eastAsia="Times New Roman" w:hAnsi="Times New Roman"/>
          <w:sz w:val="14"/>
          <w:szCs w:val="14"/>
          <w:color w:val="auto"/>
        </w:rPr>
        <w:t>OPCO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 as sole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580"/>
          </w:cols>
          <w:pgMar w:left="1440" w:top="266" w:right="87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Barry D. Somrock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Barry D. Somrock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020"/>
          </w:cols>
          <w:pgMar w:left="1440" w:top="266" w:right="4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ind w:left="5360" w:right="4560" w:hanging="5367"/>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[Insert the Regulation S Legend, if applicable pursuant to the provisions of the Indenture] </w:t>
      </w: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126" w:name="page127"/>
    <w:bookmarkEnd w:id="12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40" w:type="dxa"/>
            <w:vAlign w:val="bottom"/>
          </w:tcPr>
          <w:p>
            <w:pPr>
              <w:jc w:val="center"/>
              <w:ind w:left="7908"/>
              <w:spacing w:after="0"/>
              <w:rPr>
                <w:sz w:val="20"/>
                <w:szCs w:val="20"/>
                <w:color w:val="auto"/>
              </w:rPr>
            </w:pPr>
            <w:r>
              <w:rPr>
                <w:rFonts w:ascii="Times New Roman" w:cs="Times New Roman" w:eastAsia="Times New Roman" w:hAnsi="Times New Roman"/>
                <w:sz w:val="18"/>
                <w:szCs w:val="18"/>
                <w:color w:val="auto"/>
                <w:w w:val="82"/>
              </w:rPr>
              <w:t>CUSIP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left="7908"/>
              <w:spacing w:after="0"/>
              <w:rPr>
                <w:sz w:val="20"/>
                <w:szCs w:val="20"/>
                <w:color w:val="auto"/>
              </w:rPr>
            </w:pPr>
            <w:r>
              <w:rPr>
                <w:rFonts w:ascii="Times New Roman" w:cs="Times New Roman" w:eastAsia="Times New Roman" w:hAnsi="Times New Roman"/>
                <w:sz w:val="18"/>
                <w:szCs w:val="18"/>
                <w:color w:val="auto"/>
                <w:w w:val="78"/>
              </w:rPr>
              <w:t>ISIN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26"/>
                <w:szCs w:val="26"/>
                <w:color w:val="auto"/>
                <w:w w:val="95"/>
                <w:vertAlign w:val="superscript"/>
              </w:rPr>
              <w:t>1</w:t>
            </w:r>
          </w:p>
        </w:tc>
      </w:tr>
      <w:tr>
        <w:trPr>
          <w:trHeight w:val="306"/>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right="1888"/>
              <w:spacing w:after="0"/>
              <w:rPr>
                <w:sz w:val="20"/>
                <w:szCs w:val="20"/>
                <w:color w:val="auto"/>
              </w:rPr>
            </w:pPr>
            <w:r>
              <w:rPr>
                <w:rFonts w:ascii="Times New Roman" w:cs="Times New Roman" w:eastAsia="Times New Roman" w:hAnsi="Times New Roman"/>
                <w:sz w:val="18"/>
                <w:szCs w:val="18"/>
                <w:color w:val="auto"/>
                <w:w w:val="99"/>
              </w:rPr>
              <w:t>8.250% Senior Notes due 2029</w:t>
            </w:r>
          </w:p>
        </w:tc>
        <w:tc>
          <w:tcPr>
            <w:tcW w:w="160" w:type="dxa"/>
            <w:vAlign w:val="bottom"/>
          </w:tcPr>
          <w:p>
            <w:pPr>
              <w:spacing w:after="0"/>
              <w:rPr>
                <w:sz w:val="24"/>
                <w:szCs w:val="24"/>
                <w:color w:val="auto"/>
              </w:rPr>
            </w:pPr>
          </w:p>
        </w:tc>
      </w:tr>
      <w:tr>
        <w:trPr>
          <w:trHeight w:val="45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___</w:t>
            </w:r>
          </w:p>
        </w:tc>
        <w:tc>
          <w:tcPr>
            <w:tcW w:w="9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451"/>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right="1868"/>
              <w:spacing w:after="0"/>
              <w:rPr>
                <w:sz w:val="20"/>
                <w:szCs w:val="20"/>
                <w:color w:val="auto"/>
              </w:rPr>
            </w:pPr>
            <w:r>
              <w:rPr>
                <w:rFonts w:ascii="Times New Roman" w:cs="Times New Roman" w:eastAsia="Times New Roman" w:hAnsi="Times New Roman"/>
                <w:sz w:val="20"/>
                <w:szCs w:val="20"/>
                <w:color w:val="auto"/>
                <w:w w:val="98"/>
              </w:rPr>
              <w:t>CALIFORNIA RESOURCES CORPORATION</w:t>
            </w:r>
          </w:p>
        </w:tc>
        <w:tc>
          <w:tcPr>
            <w:tcW w:w="160" w:type="dxa"/>
            <w:vAlign w:val="bottom"/>
          </w:tcPr>
          <w:p>
            <w:pPr>
              <w:spacing w:after="0"/>
              <w:rPr>
                <w:sz w:val="24"/>
                <w:szCs w:val="24"/>
                <w:color w:val="auto"/>
              </w:rPr>
            </w:pPr>
          </w:p>
        </w:tc>
      </w:tr>
      <w:tr>
        <w:trPr>
          <w:trHeight w:val="38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promises to pay, to     </w:t>
            </w:r>
          </w:p>
        </w:tc>
        <w:tc>
          <w:tcPr>
            <w:tcW w:w="9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or registered assigns, the principal sum of _______________________ DOLLARS [(or such greater or lesser amount as</w:t>
            </w:r>
          </w:p>
        </w:tc>
        <w:tc>
          <w:tcPr>
            <w:tcW w:w="1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be indicated on the attached Schedule of Increases or Decreases of Interests in the Global Note)] on June 15, 2029.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June 15 and December 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364" w:right="1660" w:hanging="5364"/>
        <w:spacing w:after="0" w:line="334" w:lineRule="auto"/>
        <w:tabs>
          <w:tab w:leader="none" w:pos="428" w:val="left"/>
        </w:tabs>
        <w:numPr>
          <w:ilvl w:val="0"/>
          <w:numId w:val="1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144A CUSIP: 13057Q AK3 / 144A ISIN: US13057QAK31; REG S CUSIP: U1303A AF3 / REG S ISIN: USU1303AAF31 A-2</w:t>
      </w:r>
    </w:p>
    <w:p>
      <w:pPr>
        <w:sectPr>
          <w:pgSz w:w="11900" w:h="16838" w:orient="portrait"/>
          <w:cols w:equalWidth="0" w:num="1">
            <w:col w:w="11024"/>
          </w:cols>
          <w:pgMar w:left="436" w:top="270"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CALIFORNIA RESOURCES CORPORATION</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00"/>
          </w:cols>
          <w:pgMar w:left="440" w:top="270" w:right="1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17145</wp:posOffset>
            </wp:positionV>
            <wp:extent cx="2554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-7620</wp:posOffset>
            </wp:positionV>
            <wp:extent cx="25139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3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129" w:name="page130"/>
    <w:bookmarkEnd w:id="129"/>
    <w:p>
      <w:pPr>
        <w:jc w:val="center"/>
        <w:ind w:righ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8.250% Senior Notes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115" w:lineRule="exact"/>
        <w:rPr>
          <w:sz w:val="20"/>
          <w:szCs w:val="20"/>
          <w:color w:val="auto"/>
        </w:rPr>
      </w:pPr>
    </w:p>
    <w:p>
      <w:pPr>
        <w:ind w:firstLine="419"/>
        <w:spacing w:after="0" w:line="254"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NTEREST</w:t>
      </w:r>
      <w:r>
        <w:rPr>
          <w:rFonts w:ascii="Times New Roman" w:cs="Times New Roman" w:eastAsia="Times New Roman" w:hAnsi="Times New Roman"/>
          <w:sz w:val="18"/>
          <w:szCs w:val="18"/>
          <w:color w:val="auto"/>
        </w:rPr>
        <w:t>.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promises to pay or cause to be paid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this Note at a rate of 8.250% per annum. The Issuer will pay interest semi-annually in arrears on June 15 and December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Interest Payment Date shall be December 15, 2024.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will be computed on the basis of a 360-day year comprised of twelve 30-day months.</w:t>
      </w:r>
    </w:p>
    <w:p>
      <w:pPr>
        <w:spacing w:after="0" w:line="115" w:lineRule="exact"/>
        <w:rPr>
          <w:sz w:val="20"/>
          <w:szCs w:val="20"/>
          <w:color w:val="auto"/>
        </w:rPr>
      </w:pPr>
    </w:p>
    <w:p>
      <w:pPr>
        <w:jc w:val="both"/>
        <w:ind w:right="80" w:firstLine="419"/>
        <w:spacing w:after="0" w:line="273" w:lineRule="auto"/>
        <w:tabs>
          <w:tab w:leader="none" w:pos="67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w:t>
      </w:r>
      <w:r>
        <w:rPr>
          <w:rFonts w:ascii="Times New Roman" w:cs="Times New Roman" w:eastAsia="Times New Roman" w:hAnsi="Times New Roman"/>
          <w:sz w:val="13"/>
          <w:szCs w:val="13"/>
          <w:i w:val="1"/>
          <w:iCs w:val="1"/>
          <w:color w:val="auto"/>
        </w:rPr>
        <w:t>ETHOD OF</w:t>
      </w:r>
      <w:r>
        <w:rPr>
          <w:rFonts w:ascii="Times New Roman" w:cs="Times New Roman" w:eastAsia="Times New Roman" w:hAnsi="Times New Roman"/>
          <w:sz w:val="17"/>
          <w:szCs w:val="17"/>
          <w:i w:val="1"/>
          <w:iCs w:val="1"/>
          <w:color w:val="auto"/>
        </w:rPr>
        <w:t xml:space="preserve"> P</w:t>
      </w:r>
      <w:r>
        <w:rPr>
          <w:rFonts w:ascii="Times New Roman" w:cs="Times New Roman" w:eastAsia="Times New Roman" w:hAnsi="Times New Roman"/>
          <w:sz w:val="13"/>
          <w:szCs w:val="13"/>
          <w:i w:val="1"/>
          <w:iCs w:val="1"/>
          <w:color w:val="auto"/>
        </w:rPr>
        <w:t>AYMENT</w:t>
      </w:r>
      <w:r>
        <w:rPr>
          <w:rFonts w:ascii="Times New Roman" w:cs="Times New Roman" w:eastAsia="Times New Roman" w:hAnsi="Times New Roman"/>
          <w:sz w:val="17"/>
          <w:szCs w:val="17"/>
          <w:color w:val="auto"/>
        </w:rPr>
        <w:t>. The Issuer will pay interest on the Notes (except defaulted interest) to the Persons who are registered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at the close of business on the June 1 and December 1 next preceding the Interest Payment Date, even if such Notes are canceled after such record date and on or before such Interest Payment Date, except as provided in Section 2.12 of the Indenture with respect to defaulted interest.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The Notes will be payable as to principal, interest and premium, if any,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79" w:lineRule="exact"/>
        <w:rPr>
          <w:rFonts w:ascii="Times New Roman" w:cs="Times New Roman" w:eastAsia="Times New Roman" w:hAnsi="Times New Roman"/>
          <w:sz w:val="17"/>
          <w:szCs w:val="17"/>
          <w:color w:val="auto"/>
        </w:rPr>
      </w:pPr>
    </w:p>
    <w:p>
      <w:pPr>
        <w:ind w:right="40" w:firstLine="419"/>
        <w:spacing w:after="0" w:line="267"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AYING</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GENT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EGISTRAR</w:t>
      </w:r>
      <w:r>
        <w:rPr>
          <w:rFonts w:ascii="Times New Roman" w:cs="Times New Roman" w:eastAsia="Times New Roman" w:hAnsi="Times New Roman"/>
          <w:sz w:val="18"/>
          <w:szCs w:val="18"/>
          <w:color w:val="auto"/>
        </w:rPr>
        <w:t>. Initially, Wilmington Trust, National Association, the Trustee under the Indenture, will act as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Registrar. The Issuer may change the Paying Agent or Registrar without notice to any Holder. The Issuer or any of its Subsidiaries may act as Paying Agent or Registrar.</w:t>
      </w:r>
    </w:p>
    <w:p>
      <w:pPr>
        <w:spacing w:after="0" w:line="65"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NDENTURE</w:t>
      </w:r>
      <w:r>
        <w:rPr>
          <w:rFonts w:ascii="Times New Roman" w:cs="Times New Roman" w:eastAsia="Times New Roman" w:hAnsi="Times New Roman"/>
          <w:sz w:val="18"/>
          <w:szCs w:val="18"/>
          <w:color w:val="auto"/>
        </w:rPr>
        <w:t>. The Issuer issued the Notes under an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Issuer, the Guarantors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560"/>
          </w:cols>
          <w:pgMar w:left="880" w:top="270" w:right="459" w:bottom="1440" w:gutter="0" w:footer="0" w:header="0"/>
        </w:sectPr>
      </w:pPr>
    </w:p>
    <w:bookmarkStart w:id="130" w:name="page131"/>
    <w:bookmarkEnd w:id="130"/>
    <w:p>
      <w:pPr>
        <w:ind w:left="680" w:hanging="261"/>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firstLine="948"/>
        <w:spacing w:after="0" w:line="254" w:lineRule="auto"/>
        <w:tabs>
          <w:tab w:leader="none" w:pos="119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up to 35%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108.250%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redemption (subject to the rights of Holders of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83" w:lineRule="exact"/>
        <w:rPr>
          <w:rFonts w:ascii="Times New Roman" w:cs="Times New Roman" w:eastAsia="Times New Roman" w:hAnsi="Times New Roman"/>
          <w:sz w:val="18"/>
          <w:szCs w:val="18"/>
          <w:color w:val="auto"/>
        </w:rPr>
      </w:pPr>
    </w:p>
    <w:p>
      <w:pPr>
        <w:jc w:val="both"/>
        <w:ind w:firstLine="948"/>
        <w:spacing w:after="0" w:line="261" w:lineRule="auto"/>
        <w:tabs>
          <w:tab w:leader="none" w:pos="12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all or a part of the Notes, upon notice as provided in the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Indenture.</w:t>
      </w:r>
    </w:p>
    <w:p>
      <w:pPr>
        <w:spacing w:after="0" w:line="98"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Issuer’s option prior to June 15, 2026.</w:t>
      </w:r>
    </w:p>
    <w:p>
      <w:pPr>
        <w:spacing w:after="0" w:line="117" w:lineRule="exact"/>
        <w:rPr>
          <w:rFonts w:ascii="Times New Roman" w:cs="Times New Roman" w:eastAsia="Times New Roman" w:hAnsi="Times New Roman"/>
          <w:sz w:val="18"/>
          <w:szCs w:val="18"/>
          <w:color w:val="auto"/>
        </w:rPr>
      </w:pPr>
    </w:p>
    <w:p>
      <w:pPr>
        <w:ind w:right="120" w:firstLine="948"/>
        <w:spacing w:after="0" w:line="258" w:lineRule="auto"/>
        <w:tabs>
          <w:tab w:leader="none" w:pos="119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June 15, 2026, the Issuer may on any one or more occasions redeem all or a part of the Notes, upon notice as provided in the Indenture, at the redemption prices (expressed as percentages of principal amount) set forth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Notes redeemed, to, but excluding, the applicable redemption date, subject to the rights of Holders of Notes on the relevant record date to receive interest on the relevant Interest Payment Date, if redeemed during the twelve-month period beginning on June 15 of the years indicated below:</w:t>
      </w: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104.125%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419"/>
        <w:spacing w:after="0" w:line="267" w:lineRule="auto"/>
        <w:tabs>
          <w:tab w:leader="none" w:pos="67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PECIAL</w:t>
      </w:r>
      <w:r>
        <w:rPr>
          <w:rFonts w:ascii="Times New Roman" w:cs="Times New Roman" w:eastAsia="Times New Roman" w:hAnsi="Times New Roman"/>
          <w:sz w:val="18"/>
          <w:szCs w:val="18"/>
          <w:i w:val="1"/>
          <w:iCs w:val="1"/>
          <w:color w:val="auto"/>
        </w:rPr>
        <w:t xml:space="preserve"> M</w:t>
      </w:r>
      <w:r>
        <w:rPr>
          <w:rFonts w:ascii="Times New Roman" w:cs="Times New Roman" w:eastAsia="Times New Roman" w:hAnsi="Times New Roman"/>
          <w:sz w:val="14"/>
          <w:szCs w:val="14"/>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Special Mandatory Redemption Trigger Date occurs, the Issuer will be required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as provided in Section 3.07 of the Indenture. Otherwise, the Issuer is not required to make mandatory redemption or sinking fund payments with respect to the Notes.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540"/>
          </w:cols>
          <w:pgMar w:left="880" w:top="268" w:right="479" w:bottom="1440" w:gutter="0" w:footer="0" w:header="0"/>
        </w:sectPr>
      </w:pPr>
    </w:p>
    <w:bookmarkStart w:id="131" w:name="page132"/>
    <w:bookmarkEnd w:id="131"/>
    <w:p>
      <w:pPr>
        <w:ind w:left="680" w:hanging="261"/>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4"/>
          <w:szCs w:val="14"/>
          <w:i w:val="1"/>
          <w:iCs w:val="1"/>
          <w:color w:val="auto"/>
        </w:rPr>
        <w:t>OLDER</w:t>
      </w:r>
      <w:r>
        <w:rPr>
          <w:rFonts w:ascii="Times New Roman" w:cs="Times New Roman" w:eastAsia="Times New Roman" w:hAnsi="Times New Roman"/>
          <w:sz w:val="18"/>
          <w:szCs w:val="18"/>
          <w:i w:val="1"/>
          <w:iCs w:val="1"/>
          <w:color w:val="auto"/>
        </w:rPr>
        <w:t>.</w:t>
      </w:r>
    </w:p>
    <w:p>
      <w:pPr>
        <w:spacing w:after="0" w:line="117" w:lineRule="exact"/>
        <w:rPr>
          <w:rFonts w:ascii="Times New Roman" w:cs="Times New Roman" w:eastAsia="Times New Roman" w:hAnsi="Times New Roman"/>
          <w:sz w:val="18"/>
          <w:szCs w:val="18"/>
          <w:color w:val="auto"/>
        </w:rPr>
      </w:pPr>
    </w:p>
    <w:p>
      <w:pPr>
        <w:ind w:right="80" w:firstLine="948"/>
        <w:spacing w:after="0" w:line="257" w:lineRule="auto"/>
        <w:tabs>
          <w:tab w:leader="none" w:pos="119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of Control Triggering Event, the Issuer will be required to make a cash tender offer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to repurchase all or any part (equal to $2,000 or an integral multiple of $1,000 in excess thereof) of each Holder’s Notes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purchase price in cash equal to 101% of the aggregate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date of purchase, subject to the rights of Holders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Triggering Event, the Issuer will mail a notice to each Holder (with a copy to the Trustee) setting forth the procedures governing the Change of Control Offer as required by the Indenture.</w:t>
      </w:r>
    </w:p>
    <w:p>
      <w:pPr>
        <w:spacing w:after="0" w:line="76" w:lineRule="exact"/>
        <w:rPr>
          <w:rFonts w:ascii="Times New Roman" w:cs="Times New Roman" w:eastAsia="Times New Roman" w:hAnsi="Times New Roman"/>
          <w:sz w:val="18"/>
          <w:szCs w:val="18"/>
          <w:color w:val="auto"/>
        </w:rPr>
      </w:pPr>
    </w:p>
    <w:p>
      <w:pPr>
        <w:ind w:right="60" w:firstLine="948"/>
        <w:spacing w:after="0" w:line="255" w:lineRule="auto"/>
        <w:tabs>
          <w:tab w:leader="none" w:pos="120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the Indenture with respect to offers to purchase with the proceeds of sales of assets to purchase,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that may be purchased, prepaid or redeemed out of the Excess Proceeds, as defined in the Indenture. Holders of Definitive Notes that are the subject of an offer to purchase will receive an Asset Sale Offer from the Issuer prior to any related purchase date and may elect to have such Notes purchased by completing the form entitled “Option of Holder to Elect Purchase” attached to the Notes.</w:t>
      </w:r>
    </w:p>
    <w:p>
      <w:pPr>
        <w:spacing w:after="0" w:line="7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Issuer will send or cause to be sent,</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77" w:lineRule="exact"/>
        <w:rPr>
          <w:sz w:val="20"/>
          <w:szCs w:val="20"/>
          <w:color w:val="auto"/>
        </w:rPr>
      </w:pPr>
    </w:p>
    <w:p>
      <w:pPr>
        <w:ind w:firstLine="419"/>
        <w:spacing w:after="0" w:line="256"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4"/>
          <w:szCs w:val="14"/>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color w:val="auto"/>
        </w:rPr>
        <w:t>. The Notes are in registered form in minimum denominations of $2,000 and integral multiples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74" w:lineRule="exact"/>
        <w:rPr>
          <w:rFonts w:ascii="Times New Roman" w:cs="Times New Roman" w:eastAsia="Times New Roman" w:hAnsi="Times New Roman"/>
          <w:sz w:val="18"/>
          <w:szCs w:val="18"/>
          <w:color w:val="auto"/>
        </w:rPr>
      </w:pPr>
    </w:p>
    <w:p>
      <w:pPr>
        <w:ind w:right="40" w:firstLine="419"/>
        <w:spacing w:after="0" w:line="284" w:lineRule="auto"/>
        <w:tabs>
          <w:tab w:leader="none" w:pos="7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rights under the Indenture.</w:t>
      </w:r>
    </w:p>
    <w:p>
      <w:pPr>
        <w:spacing w:after="0" w:line="50" w:lineRule="exact"/>
        <w:rPr>
          <w:rFonts w:ascii="Times New Roman" w:cs="Times New Roman" w:eastAsia="Times New Roman" w:hAnsi="Times New Roman"/>
          <w:sz w:val="18"/>
          <w:szCs w:val="18"/>
          <w:color w:val="auto"/>
        </w:rPr>
      </w:pPr>
    </w:p>
    <w:p>
      <w:pPr>
        <w:ind w:right="120" w:firstLine="419"/>
        <w:spacing w:after="0" w:line="267" w:lineRule="auto"/>
        <w:tabs>
          <w:tab w:leader="none" w:pos="7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4"/>
          <w:szCs w:val="14"/>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4"/>
          <w:szCs w:val="14"/>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the consent of the Holders of a majority in aggregate principal amount of the then outstanding Notes including Additional Notes, if any, voting as a single class, and any existing Default or Event of Default 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60"/>
          </w:cols>
          <w:pgMar w:left="880" w:top="268" w:right="459" w:bottom="1440" w:gutter="0" w:footer="0" w:header="0"/>
        </w:sectPr>
      </w:pPr>
    </w:p>
    <w:bookmarkStart w:id="132" w:name="page133"/>
    <w:bookmarkEnd w:id="13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66" w:lineRule="exact"/>
        <w:rPr>
          <w:sz w:val="20"/>
          <w:szCs w:val="20"/>
          <w:color w:val="auto"/>
        </w:rPr>
      </w:pPr>
    </w:p>
    <w:p>
      <w:pPr>
        <w:ind w:firstLine="419"/>
        <w:spacing w:after="0" w:line="253"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EMEDIES</w:t>
      </w:r>
      <w:r>
        <w:rPr>
          <w:rFonts w:ascii="Times New Roman" w:cs="Times New Roman" w:eastAsia="Times New Roman" w:hAnsi="Times New Roman"/>
          <w:sz w:val="18"/>
          <w:szCs w:val="18"/>
          <w:color w:val="auto"/>
        </w:rPr>
        <w:t>. In the case of an Event of Default arising from certain events of bankruptcy or insolvency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81" w:lineRule="exact"/>
        <w:rPr>
          <w:rFonts w:ascii="Times New Roman" w:cs="Times New Roman" w:eastAsia="Times New Roman" w:hAnsi="Times New Roman"/>
          <w:sz w:val="18"/>
          <w:szCs w:val="18"/>
          <w:color w:val="auto"/>
        </w:rPr>
      </w:pPr>
    </w:p>
    <w:p>
      <w:pPr>
        <w:ind w:right="340" w:firstLine="419"/>
        <w:spacing w:after="0" w:line="284"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4"/>
          <w:szCs w:val="14"/>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EALINGS WITH</w:t>
      </w:r>
      <w:r>
        <w:rPr>
          <w:rFonts w:ascii="Times New Roman" w:cs="Times New Roman" w:eastAsia="Times New Roman" w:hAnsi="Times New Roman"/>
          <w:sz w:val="18"/>
          <w:szCs w:val="18"/>
          <w:i w:val="1"/>
          <w:iCs w:val="1"/>
          <w:color w:val="auto"/>
        </w:rPr>
        <w:t xml:space="preserve"> I</w:t>
      </w:r>
      <w:r>
        <w:rPr>
          <w:rFonts w:ascii="Times New Roman" w:cs="Times New Roman" w:eastAsia="Times New Roman" w:hAnsi="Times New Roman"/>
          <w:sz w:val="14"/>
          <w:szCs w:val="14"/>
          <w:i w:val="1"/>
          <w:iCs w:val="1"/>
          <w:color w:val="auto"/>
        </w:rPr>
        <w:t>SSUER</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Issuer or its Affiliates, and may otherwise deal with the Issuer or its Affiliates, as if it were not the Trustee.</w:t>
      </w:r>
    </w:p>
    <w:p>
      <w:pPr>
        <w:spacing w:after="0" w:line="50" w:lineRule="exact"/>
        <w:rPr>
          <w:rFonts w:ascii="Times New Roman" w:cs="Times New Roman" w:eastAsia="Times New Roman" w:hAnsi="Times New Roman"/>
          <w:sz w:val="18"/>
          <w:szCs w:val="18"/>
          <w:color w:val="auto"/>
        </w:rPr>
      </w:pPr>
    </w:p>
    <w:p>
      <w:pPr>
        <w:ind w:right="120" w:firstLine="419"/>
        <w:spacing w:after="0" w:line="258"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THERS</w:t>
      </w:r>
      <w:r>
        <w:rPr>
          <w:rFonts w:ascii="Times New Roman" w:cs="Times New Roman" w:eastAsia="Times New Roman" w:hAnsi="Times New Roman"/>
          <w:sz w:val="18"/>
          <w:szCs w:val="18"/>
          <w:color w:val="auto"/>
        </w:rPr>
        <w:t>. No past, present or future director, officer, partner, employee, incorporator, manager, stockholder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117" w:lineRule="exact"/>
        <w:rPr>
          <w:rFonts w:ascii="Times New Roman" w:cs="Times New Roman" w:eastAsia="Times New Roman" w:hAnsi="Times New Roman"/>
          <w:sz w:val="18"/>
          <w:szCs w:val="18"/>
          <w:color w:val="auto"/>
        </w:rPr>
      </w:pPr>
    </w:p>
    <w:p>
      <w:pPr>
        <w:ind w:right="320" w:firstLine="419"/>
        <w:spacing w:after="0" w:line="267"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Gifts to Minors Act).</w:t>
      </w:r>
    </w:p>
    <w:p>
      <w:pPr>
        <w:spacing w:after="0" w:line="65" w:lineRule="exact"/>
        <w:rPr>
          <w:rFonts w:ascii="Times New Roman" w:cs="Times New Roman" w:eastAsia="Times New Roman" w:hAnsi="Times New Roman"/>
          <w:sz w:val="18"/>
          <w:szCs w:val="18"/>
          <w:color w:val="auto"/>
        </w:rPr>
      </w:pPr>
    </w:p>
    <w:p>
      <w:pPr>
        <w:ind w:right="80" w:firstLine="419"/>
        <w:spacing w:after="0" w:line="261" w:lineRule="auto"/>
        <w:tabs>
          <w:tab w:leader="none" w:pos="7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4"/>
          <w:szCs w:val="14"/>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60"/>
          </w:cols>
          <w:pgMar w:left="880" w:top="270" w:right="459" w:bottom="1440" w:gutter="0" w:footer="0" w:header="0"/>
        </w:sectPr>
      </w:pPr>
    </w:p>
    <w:bookmarkStart w:id="133" w:name="page134"/>
    <w:bookmarkEnd w:id="133"/>
    <w:p>
      <w:pPr>
        <w:ind w:firstLine="419"/>
        <w:spacing w:after="0" w:line="267" w:lineRule="auto"/>
        <w:tabs>
          <w:tab w:leader="none" w:pos="7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GOVERNING LAW. </w:t>
      </w:r>
      <w:r>
        <w:rPr>
          <w:rFonts w:ascii="Times New Roman" w:cs="Times New Roman" w:eastAsia="Times New Roman" w:hAnsi="Times New Roman"/>
          <w:sz w:val="18"/>
          <w:szCs w:val="18"/>
          <w:color w:val="auto"/>
        </w:rPr>
        <w:t>THE INDENTURE, THE NOTES AND THE GUARANTEES, AND ANY CLAIM, CONTROVERSY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DISPUTE ARISING UNDER OR RELATED TO THE INDENTURE, THE NOTES AND THE GUARANTEES, WILL BE GOVERNED BY, AND CONSTRUED IN ACCORDANCE WITH, THE LAWS OF THE STATE OF NEW YORK.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380"/>
          </w:cols>
          <w:pgMar w:left="880" w:top="268" w:right="639" w:bottom="1440" w:gutter="0" w:footer="0" w:header="0"/>
        </w:sectPr>
      </w:pPr>
    </w:p>
    <w:bookmarkStart w:id="134" w:name="page135"/>
    <w:bookmarkEnd w:id="1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or (we) assign and transfer this Note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-7620</wp:posOffset>
            </wp:positionV>
            <wp:extent cx="49707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70780" cy="8890"/>
                    </a:xfrm>
                    <a:prstGeom prst="rect">
                      <a:avLst/>
                    </a:prstGeom>
                    <a:noFill/>
                  </pic:spPr>
                </pic:pic>
              </a:graphicData>
            </a:graphic>
          </wp:anchor>
        </w:drawing>
      </w:r>
    </w:p>
    <w:p>
      <w:pPr>
        <w:spacing w:after="0" w:line="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771525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760" w:type="dxa"/>
            <w:vAlign w:val="bottom"/>
            <w:gridSpan w:val="5"/>
          </w:tcPr>
          <w:p>
            <w:pPr>
              <w:ind w:left="186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74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37"/>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740" w:type="dxa"/>
            <w:vAlign w:val="bottom"/>
          </w:tcPr>
          <w:p>
            <w:pPr>
              <w:spacing w:after="0"/>
              <w:rPr>
                <w:sz w:val="24"/>
                <w:szCs w:val="24"/>
                <w:color w:val="auto"/>
              </w:rPr>
            </w:pPr>
          </w:p>
        </w:tc>
        <w:tc>
          <w:tcPr>
            <w:tcW w:w="466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w w:val="95"/>
              </w:rPr>
              <w:t>Your Signature:  </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580" w:type="dxa"/>
            <w:vAlign w:val="bottom"/>
            <w:gridSpan w:val="11"/>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740" w:type="dxa"/>
            <w:vAlign w:val="bottom"/>
          </w:tcPr>
          <w:p>
            <w:pPr>
              <w:spacing w:after="0"/>
              <w:rPr>
                <w:sz w:val="20"/>
                <w:szCs w:val="20"/>
                <w:color w:val="auto"/>
              </w:rPr>
            </w:pPr>
          </w:p>
        </w:tc>
        <w:tc>
          <w:tcPr>
            <w:tcW w:w="8080" w:type="dxa"/>
            <w:vAlign w:val="bottom"/>
            <w:gridSpan w:val="12"/>
          </w:tcPr>
          <w:p>
            <w:pPr>
              <w:jc w:val="center"/>
              <w:ind w:left="3530"/>
              <w:spacing w:after="0"/>
              <w:rPr>
                <w:sz w:val="20"/>
                <w:szCs w:val="20"/>
                <w:color w:val="auto"/>
              </w:rPr>
            </w:pPr>
            <w:r>
              <w:rPr>
                <w:rFonts w:ascii="Times New Roman" w:cs="Times New Roman" w:eastAsia="Times New Roman" w:hAnsi="Times New Roman"/>
                <w:sz w:val="18"/>
                <w:szCs w:val="18"/>
                <w:color w:val="auto"/>
                <w:w w:val="99"/>
              </w:rPr>
              <w:t>(Sign exactly as your name appears on the face of this Note)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24" w:right="1640" w:hanging="5324"/>
        <w:spacing w:after="0" w:line="454" w:lineRule="auto"/>
        <w:tabs>
          <w:tab w:leader="none" w:pos="43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ectPr>
          <w:pgSz w:w="11900" w:h="16838" w:orient="portrait"/>
          <w:cols w:equalWidth="0" w:num="1">
            <w:col w:w="11004"/>
          </w:cols>
          <w:pgMar w:left="436" w:top="270" w:right="459" w:bottom="1440" w:gutter="0" w:footer="0" w:header="0"/>
        </w:sectPr>
      </w:pPr>
    </w:p>
    <w:bookmarkStart w:id="135" w:name="page136"/>
    <w:bookmarkEnd w:id="135"/>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LECT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p>
    <w:p>
      <w:pPr>
        <w:spacing w:after="0" w:line="225"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4.10 or 4.15 of the Indenture, check the appropriate box below:</w:t>
      </w:r>
    </w:p>
    <w:p>
      <w:pPr>
        <w:spacing w:after="0" w:line="184" w:lineRule="exact"/>
        <w:rPr>
          <w:sz w:val="20"/>
          <w:szCs w:val="20"/>
          <w:color w:val="auto"/>
        </w:rPr>
      </w:pPr>
    </w:p>
    <w:p>
      <w:pPr>
        <w:jc w:val="center"/>
        <w:ind w:right="-23"/>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4.15</w:t>
      </w:r>
    </w:p>
    <w:p>
      <w:pPr>
        <w:spacing w:after="0" w:line="266"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4.10 or Section 4.15 of the Indenture, state the amount you elect to have purchased:</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100" w:type="dxa"/>
            <w:vAlign w:val="bottom"/>
            <w:gridSpan w:val="2"/>
          </w:tcPr>
          <w:p>
            <w:pPr>
              <w:ind w:left="5000"/>
              <w:spacing w:after="0"/>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720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4"/>
                <w:szCs w:val="24"/>
                <w:color w:val="auto"/>
              </w:rPr>
            </w:pPr>
          </w:p>
        </w:tc>
      </w:tr>
      <w:tr>
        <w:trPr>
          <w:trHeight w:val="20"/>
        </w:trPr>
        <w:tc>
          <w:tcPr>
            <w:tcW w:w="6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20" w:type="dxa"/>
            <w:vAlign w:val="bottom"/>
            <w:gridSpan w:val="11"/>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20" w:type="dxa"/>
            <w:vAlign w:val="bottom"/>
            <w:gridSpan w:val="13"/>
          </w:tcPr>
          <w:p>
            <w:pPr>
              <w:ind w:left="54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7200" w:type="dxa"/>
            <w:vAlign w:val="bottom"/>
            <w:gridSpan w:val="3"/>
          </w:tcPr>
          <w:p>
            <w:pPr>
              <w:ind w:left="5420"/>
              <w:spacing w:after="0"/>
              <w:rPr>
                <w:sz w:val="20"/>
                <w:szCs w:val="20"/>
                <w:color w:val="auto"/>
              </w:rPr>
            </w:pPr>
            <w:r>
              <w:rPr>
                <w:rFonts w:ascii="Times New Roman" w:cs="Times New Roman" w:eastAsia="Times New Roman" w:hAnsi="Times New Roman"/>
                <w:sz w:val="18"/>
                <w:szCs w:val="18"/>
                <w:color w:val="auto"/>
                <w:w w:val="93"/>
              </w:rPr>
              <w:t>Tax Identification No.: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24"/>
                <w:szCs w:val="24"/>
                <w:color w:val="auto"/>
              </w:rPr>
            </w:pPr>
          </w:p>
        </w:tc>
      </w:tr>
      <w:tr>
        <w:trPr>
          <w:trHeight w:val="45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pacing w:after="0" w:line="225" w:lineRule="exact"/>
        <w:rPr>
          <w:sz w:val="20"/>
          <w:szCs w:val="20"/>
          <w:color w:val="auto"/>
        </w:rPr>
      </w:pPr>
    </w:p>
    <w:p>
      <w:pPr>
        <w:ind w:left="5324" w:right="1620" w:hanging="5324"/>
        <w:spacing w:after="0" w:line="454" w:lineRule="auto"/>
        <w:tabs>
          <w:tab w:leader="none" w:pos="43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0984"/>
          </w:cols>
          <w:pgMar w:left="436" w:top="270" w:right="479" w:bottom="1440" w:gutter="0" w:footer="0" w:header="0"/>
        </w:sectPr>
      </w:pPr>
    </w:p>
    <w:bookmarkStart w:id="136" w:name="page137"/>
    <w:bookmarkEnd w:id="136"/>
    <w:p>
      <w:pPr>
        <w:ind w:left="25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NCREASES OR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ECREASES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or decreases in principal amount of this Global Note have been made:</w:t>
      </w:r>
    </w:p>
    <w:p>
      <w:pPr>
        <w:spacing w:after="0" w:line="235" w:lineRule="exact"/>
        <w:rPr>
          <w:sz w:val="20"/>
          <w:szCs w:val="20"/>
          <w:color w:val="auto"/>
        </w:rPr>
      </w:pPr>
    </w:p>
    <w:tbl>
      <w:tblPr>
        <w:tblLayout w:type="fixed"/>
        <w:tblInd w:w="524"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Date of Increase</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8"/>
        </w:trPr>
        <w:tc>
          <w:tcPr>
            <w:tcW w:w="1580" w:type="dxa"/>
            <w:vAlign w:val="bottom"/>
            <w:gridSpan w:val="3"/>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Decrease</w:t>
            </w:r>
          </w:p>
        </w:tc>
        <w:tc>
          <w:tcPr>
            <w:tcW w:w="7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right"/>
        <w:ind w:left="5324" w:right="5280" w:hanging="5324"/>
        <w:spacing w:after="0" w:line="497" w:lineRule="auto"/>
        <w:tabs>
          <w:tab w:leader="none" w:pos="433"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This schedule should be included only if the Note is issued in global form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A-12</w:t>
      </w:r>
    </w:p>
    <w:p>
      <w:pPr>
        <w:sectPr>
          <w:pgSz w:w="11900" w:h="16838" w:orient="portrait"/>
          <w:cols w:equalWidth="0" w:num="1">
            <w:col w:w="11024"/>
          </w:cols>
          <w:pgMar w:left="436" w:top="270" w:right="439" w:bottom="1440" w:gutter="0" w:footer="0" w:header="0"/>
        </w:sectPr>
      </w:pPr>
    </w:p>
    <w:bookmarkStart w:id="137" w:name="page138"/>
    <w:bookmarkEnd w:id="137"/>
    <w:p>
      <w:pPr>
        <w:ind w:left="10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California Resources Corporation 8.250% Senior Notes due 2029</w:t>
      </w:r>
    </w:p>
    <w:p>
      <w:pPr>
        <w:spacing w:after="0" w:line="22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Annex A hereto. In connection with the Transfer, the Transferor hereby certifies that: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firstLine="436"/>
        <w:spacing w:after="0" w:line="223" w:lineRule="exact"/>
        <w:tabs>
          <w:tab w:leader="none" w:pos="620" w:val="left"/>
        </w:tabs>
        <w:numPr>
          <w:ilvl w:val="0"/>
          <w:numId w:val="1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right="380" w:firstLine="436"/>
        <w:spacing w:after="0" w:line="231" w:lineRule="exact"/>
        <w:tabs>
          <w:tab w:leader="none" w:pos="620" w:val="left"/>
        </w:tabs>
        <w:numPr>
          <w:ilvl w:val="0"/>
          <w:numId w:val="1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138" w:name="page139"/>
    <w:bookmarkEnd w:id="13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8" w:lineRule="exact"/>
        <w:rPr>
          <w:sz w:val="20"/>
          <w:szCs w:val="20"/>
          <w:color w:val="auto"/>
        </w:rPr>
      </w:pPr>
    </w:p>
    <w:p>
      <w:pPr>
        <w:ind w:right="100" w:firstLine="436"/>
        <w:spacing w:after="0" w:line="228" w:lineRule="exact"/>
        <w:tabs>
          <w:tab w:leader="none" w:pos="620" w:val="left"/>
        </w:tabs>
        <w:numPr>
          <w:ilvl w:val="0"/>
          <w:numId w:val="1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and complete if, among other things, Transferee will take delivery of a beneficial interest in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9" w:lineRule="exact"/>
        <w:rPr>
          <w:rFonts w:ascii="Times New Roman" w:cs="Times New Roman" w:eastAsia="Times New Roman" w:hAnsi="Times New Roman"/>
          <w:sz w:val="18"/>
          <w:szCs w:val="18"/>
          <w:color w:val="auto"/>
        </w:rPr>
      </w:pPr>
    </w:p>
    <w:p>
      <w:pPr>
        <w:ind w:left="440" w:right="80" w:firstLine="419"/>
        <w:spacing w:after="0" w:line="245" w:lineRule="exact"/>
        <w:tabs>
          <w:tab w:leader="none" w:pos="1108" w:val="left"/>
        </w:tabs>
        <w:numPr>
          <w:ilvl w:val="1"/>
          <w:numId w:val="1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an exemption from the registration requirements of the Securities Act other than as provided by Rule 144 under the Securities Act;</w:t>
      </w:r>
    </w:p>
    <w:p>
      <w:pPr>
        <w:spacing w:after="0" w:line="1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0" w:right="320" w:firstLine="419"/>
        <w:spacing w:after="0" w:line="245" w:lineRule="exact"/>
        <w:tabs>
          <w:tab w:leader="none" w:pos="1108" w:val="left"/>
        </w:tabs>
        <w:numPr>
          <w:ilvl w:val="0"/>
          <w:numId w:val="18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0" w:right="160" w:firstLine="419"/>
        <w:spacing w:after="0" w:line="224" w:lineRule="exact"/>
        <w:tabs>
          <w:tab w:leader="none" w:pos="1118" w:val="left"/>
        </w:tabs>
        <w:numPr>
          <w:ilvl w:val="0"/>
          <w:numId w:val="18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Restricted Definitive Notes and in the Indenture and the Securities Act.</w:t>
      </w:r>
    </w:p>
    <w:p>
      <w:pPr>
        <w:spacing w:after="0" w:line="90" w:lineRule="exact"/>
        <w:rPr>
          <w:sz w:val="20"/>
          <w:szCs w:val="20"/>
          <w:color w:val="auto"/>
        </w:rPr>
      </w:pPr>
    </w:p>
    <w:p>
      <w:pPr>
        <w:ind w:left="440" w:right="48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transfers pursuant to Rule 144 under the Securities Act will not be permitted, even if legally available.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70" w:right="459" w:bottom="1440" w:gutter="0" w:footer="0" w:header="0"/>
        </w:sectPr>
      </w:pPr>
    </w:p>
    <w:bookmarkStart w:id="139" w:name="page140"/>
    <w:bookmarkEnd w:id="139"/>
    <w:p>
      <w:pPr>
        <w:ind w:left="624" w:hanging="184"/>
        <w:spacing w:after="0" w:line="207" w:lineRule="exact"/>
        <w:tabs>
          <w:tab w:leader="none" w:pos="624" w:val="left"/>
        </w:tabs>
        <w:numPr>
          <w:ilvl w:val="0"/>
          <w:numId w:val="1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26" w:lineRule="exact"/>
        <w:tabs>
          <w:tab w:leader="none" w:pos="689" w:val="left"/>
        </w:tabs>
        <w:numPr>
          <w:ilvl w:val="0"/>
          <w:numId w:val="18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sz w:val="20"/>
          <w:szCs w:val="20"/>
          <w:color w:val="auto"/>
        </w:rPr>
      </w:pPr>
    </w:p>
    <w:p>
      <w:pPr>
        <w:ind w:left="4" w:right="140" w:firstLine="436"/>
        <w:spacing w:after="0" w:line="225" w:lineRule="exact"/>
        <w:tabs>
          <w:tab w:leader="none" w:pos="689" w:val="left"/>
        </w:tabs>
        <w:numPr>
          <w:ilvl w:val="0"/>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64" w:right="1860" w:hanging="5364"/>
        <w:spacing w:after="0" w:line="454" w:lineRule="auto"/>
        <w:tabs>
          <w:tab w:leader="none" w:pos="2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B-3</w:t>
      </w:r>
    </w:p>
    <w:p>
      <w:pPr>
        <w:sectPr>
          <w:pgSz w:w="11900" w:h="16838" w:orient="portrait"/>
          <w:cols w:equalWidth="0" w:num="1">
            <w:col w:w="11004"/>
          </w:cols>
          <w:pgMar w:left="436" w:top="229" w:right="459" w:bottom="1440" w:gutter="0" w:footer="0" w:header="0"/>
        </w:sectPr>
      </w:pPr>
    </w:p>
    <w:bookmarkStart w:id="140" w:name="page141"/>
    <w:bookmarkEnd w:id="140"/>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540" w:hanging="532"/>
        <w:spacing w:after="0"/>
        <w:tabs>
          <w:tab w:leader="none" w:pos="5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90" w:lineRule="exact"/>
        <w:rPr>
          <w:sz w:val="20"/>
          <w:szCs w:val="20"/>
          <w:color w:val="auto"/>
        </w:rPr>
      </w:pPr>
    </w:p>
    <w:p>
      <w:pPr>
        <w:ind w:left="1000" w:hanging="439"/>
        <w:spacing w:after="0" w:line="207" w:lineRule="exact"/>
        <w:tabs>
          <w:tab w:leader="none" w:pos="1000" w:val="left"/>
        </w:tabs>
        <w:numPr>
          <w:ilvl w:val="1"/>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2"/>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2"/>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__________);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1"/>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17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[CHECK ONE]</w:t>
      </w:r>
    </w:p>
    <w:p>
      <w:pPr>
        <w:spacing w:after="0" w:line="76" w:lineRule="exact"/>
        <w:rPr>
          <w:sz w:val="20"/>
          <w:szCs w:val="20"/>
          <w:color w:val="auto"/>
        </w:rPr>
      </w:pPr>
    </w:p>
    <w:p>
      <w:pPr>
        <w:ind w:left="820" w:hanging="253"/>
        <w:spacing w:after="0" w:line="207" w:lineRule="exact"/>
        <w:tabs>
          <w:tab w:leader="none" w:pos="820" w:val="left"/>
        </w:tabs>
        <w:numPr>
          <w:ilvl w:val="0"/>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0"/>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0"/>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15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9599"/>
          </w:cols>
          <w:pgMar w:left="860" w:top="27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California Resources Corporation 8.250% Senior Notes due 2029</w:t>
      </w:r>
    </w:p>
    <w:p>
      <w:pPr>
        <w:spacing w:after="0" w:line="22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right="720" w:firstLine="436"/>
        <w:spacing w:after="0" w:line="286"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18" w:lineRule="exact"/>
        <w:rPr>
          <w:sz w:val="20"/>
          <w:szCs w:val="20"/>
          <w:color w:val="auto"/>
        </w:rPr>
      </w:pPr>
    </w:p>
    <w:p>
      <w:pPr>
        <w:ind w:right="20" w:firstLine="436"/>
        <w:spacing w:after="0" w:line="225" w:lineRule="exact"/>
        <w:tabs>
          <w:tab w:leader="none" w:pos="685"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8" w:lineRule="exact"/>
        <w:rPr>
          <w:rFonts w:ascii="Times New Roman" w:cs="Times New Roman" w:eastAsia="Times New Roman" w:hAnsi="Times New Roman"/>
          <w:sz w:val="18"/>
          <w:szCs w:val="18"/>
          <w:color w:val="auto"/>
        </w:rPr>
      </w:pPr>
    </w:p>
    <w:p>
      <w:pPr>
        <w:ind w:right="20" w:firstLine="436"/>
        <w:spacing w:after="0" w:line="226" w:lineRule="exact"/>
        <w:tabs>
          <w:tab w:leader="none" w:pos="695"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42" w:name="page143"/>
    <w:bookmarkEnd w:id="142"/>
    <w:p>
      <w:pPr>
        <w:ind w:left="4" w:firstLine="436"/>
        <w:spacing w:after="0" w:line="226" w:lineRule="exact"/>
        <w:tabs>
          <w:tab w:leader="none" w:pos="689" w:val="left"/>
        </w:tabs>
        <w:numPr>
          <w:ilvl w:val="0"/>
          <w:numId w:val="19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436"/>
        <w:spacing w:after="0" w:line="226" w:lineRule="exact"/>
        <w:tabs>
          <w:tab w:leader="none" w:pos="699" w:val="left"/>
        </w:tabs>
        <w:numPr>
          <w:ilvl w:val="0"/>
          <w:numId w:val="19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left="4" w:right="120" w:firstLine="436"/>
        <w:spacing w:after="0" w:line="286" w:lineRule="auto"/>
        <w:tabs>
          <w:tab w:leader="none" w:pos="62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8" w:lineRule="exact"/>
        <w:rPr>
          <w:sz w:val="20"/>
          <w:szCs w:val="20"/>
          <w:color w:val="auto"/>
        </w:rPr>
      </w:pPr>
    </w:p>
    <w:p>
      <w:pPr>
        <w:ind w:left="4" w:firstLine="436"/>
        <w:spacing w:after="0" w:line="228" w:lineRule="exact"/>
        <w:tabs>
          <w:tab w:leader="none" w:pos="689"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left="4" w:right="20" w:firstLine="436"/>
        <w:spacing w:after="0" w:line="236" w:lineRule="exact"/>
        <w:tabs>
          <w:tab w:leader="none" w:pos="699" w:val="left"/>
        </w:tabs>
        <w:numPr>
          <w:ilvl w:val="1"/>
          <w:numId w:val="198"/>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Exchange 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with an equal principal amount, the Owner hereby certifies (i) the beneficial interest is being acquired for the Owner’s own account without transfer and</w:t>
      </w:r>
    </w:p>
    <w:p>
      <w:pPr>
        <w:ind w:left="4" w:right="20" w:hanging="4"/>
        <w:spacing w:after="0" w:line="253" w:lineRule="auto"/>
        <w:tabs>
          <w:tab w:leader="none" w:pos="26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______________________</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984"/>
          </w:cols>
          <w:pgMar w:left="436" w:top="229" w:right="47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other Guarantors (as defined in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herein) and Wilmington Trust, National Association,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5, 2024 providing for the issuance of 8.250% Senior Notes due 2029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176" w:lineRule="exact"/>
        <w:rPr>
          <w:sz w:val="20"/>
          <w:szCs w:val="20"/>
          <w:color w:val="auto"/>
        </w:rPr>
      </w:pPr>
    </w:p>
    <w:p>
      <w:pPr>
        <w:ind w:left="620" w:hanging="184"/>
        <w:spacing w:after="0"/>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w:t>
      </w:r>
      <w:r>
        <w:rPr>
          <w:rFonts w:ascii="Times New Roman" w:cs="Times New Roman" w:eastAsia="Times New Roman" w:hAnsi="Times New Roman"/>
          <w:sz w:val="18"/>
          <w:szCs w:val="18"/>
          <w:color w:val="auto"/>
        </w:rPr>
        <w:t>.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61" w:lineRule="exact"/>
        <w:rPr>
          <w:rFonts w:ascii="Times New Roman" w:cs="Times New Roman" w:eastAsia="Times New Roman" w:hAnsi="Times New Roman"/>
          <w:sz w:val="18"/>
          <w:szCs w:val="18"/>
          <w:color w:val="auto"/>
        </w:rPr>
      </w:pPr>
    </w:p>
    <w:p>
      <w:pPr>
        <w:ind w:right="220" w:firstLine="436"/>
        <w:spacing w:after="0" w:line="261"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THERS</w:t>
      </w:r>
      <w:r>
        <w:rPr>
          <w:rFonts w:ascii="Times New Roman" w:cs="Times New Roman" w:eastAsia="Times New Roman" w:hAnsi="Times New Roman"/>
          <w:sz w:val="18"/>
          <w:szCs w:val="18"/>
          <w:color w:val="auto"/>
        </w:rPr>
        <w:t>.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9"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44" w:name="page145"/>
    <w:bookmarkEnd w:id="1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8" w:lineRule="exact"/>
        <w:rPr>
          <w:sz w:val="20"/>
          <w:szCs w:val="20"/>
          <w:color w:val="auto"/>
        </w:rPr>
      </w:pPr>
    </w:p>
    <w:p>
      <w:pPr>
        <w:ind w:left="620" w:hanging="184"/>
        <w:spacing w:after="0"/>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Subsidiary, the other Guarantors and the Issuer.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0"/>
          </w:cols>
          <w:pgMar w:left="440" w:top="270" w:right="459" w:bottom="1440" w:gutter="0" w:footer="0" w:header="0"/>
        </w:sectPr>
      </w:pPr>
    </w:p>
    <w:bookmarkStart w:id="145" w:name="page146"/>
    <w:bookmarkEnd w:id="145"/>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_______________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D-3</w:t>
      </w:r>
    </w:p>
    <w:sectPr>
      <w:pgSz w:w="11900" w:h="16838" w:orient="portrait"/>
      <w:cols w:equalWidth="0" w:num="1">
        <w:col w:w="10660"/>
      </w:cols>
      <w:pgMar w:left="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1"/>
      <w:numFmt w:val="decimal"/>
      <w:start w:val="104"/>
    </w:lvl>
  </w:abstractNum>
  <w:abstractNum w:abstractNumId="7">
    <w:nsid w:val="71C91298"/>
    <w:multiLevelType w:val="hybridMultilevel"/>
    <w:lvl w:ilvl="0">
      <w:lvlJc w:val="left"/>
      <w:lvlText w:val="(%1)"/>
      <w:numFmt w:val="decimal"/>
      <w:start w:val="1"/>
    </w:lvl>
  </w:abstractNum>
  <w:abstractNum w:abstractNumId="8">
    <w:nsid w:val="9DAF632"/>
    <w:multiLevelType w:val="hybridMultilevel"/>
    <w:lvl w:ilvl="0">
      <w:lvlJc w:val="left"/>
      <w:lvlText w:val="(%1)"/>
      <w:numFmt w:val="decimal"/>
      <w:start w:val="1"/>
    </w:lvl>
  </w:abstractNum>
  <w:abstractNum w:abstractNumId="9">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
    <w:nsid w:val="1FBFE8E0"/>
    <w:multiLevelType w:val="hybridMultilevel"/>
    <w:lvl w:ilvl="0">
      <w:lvlJc w:val="left"/>
      <w:lvlText w:val="(%1)"/>
      <w:numFmt w:val="upperLetter"/>
      <w:start w:val="3"/>
    </w:lvl>
  </w:abstractNum>
  <w:abstractNum w:abstractNumId="11">
    <w:nsid w:val="5092CA79"/>
    <w:multiLevelType w:val="hybridMultilevel"/>
    <w:lvl w:ilvl="0">
      <w:lvlJc w:val="left"/>
      <w:lvlText w:val="(%1)"/>
      <w:numFmt w:val="lowerRoman"/>
      <w:start w:val="2"/>
    </w:lvl>
  </w:abstractNum>
  <w:abstractNum w:abstractNumId="12">
    <w:nsid w:val="1D545C4D"/>
    <w:multiLevelType w:val="hybridMultilevel"/>
    <w:lvl w:ilvl="0">
      <w:lvlJc w:val="left"/>
      <w:lvlText w:val="(%1)"/>
      <w:numFmt w:val="lowerRoman"/>
      <w:start w:val="3"/>
    </w:lvl>
    <w:lvl w:ilvl="1">
      <w:lvlJc w:val="left"/>
      <w:lvlText w:val="(%2)"/>
      <w:numFmt w:val="upperLetter"/>
      <w:start w:val="1"/>
    </w:lvl>
  </w:abstractNum>
  <w:abstractNum w:abstractNumId="13">
    <w:nsid w:val="59ADEA3D"/>
    <w:multiLevelType w:val="hybridMultilevel"/>
    <w:lvl w:ilvl="0">
      <w:lvlJc w:val="left"/>
      <w:lvlText w:val="(%1)"/>
      <w:numFmt w:val="lowerLetter"/>
      <w:start w:val="2"/>
    </w:lvl>
    <w:lvl w:ilvl="1">
      <w:lvlJc w:val="left"/>
      <w:lvlText w:val="(%2)"/>
      <w:numFmt w:val="lowerRoman"/>
      <w:start w:val="1"/>
    </w:lvl>
  </w:abstractNum>
  <w:abstractNum w:abstractNumId="14">
    <w:nsid w:val="288F1A34"/>
    <w:multiLevelType w:val="hybridMultilevel"/>
    <w:lvl w:ilvl="0">
      <w:lvlJc w:val="left"/>
      <w:lvlText w:val="(%1)"/>
      <w:numFmt w:val="decimal"/>
      <w:start w:val="1"/>
    </w:lvl>
    <w:lvl w:ilvl="1">
      <w:lvlJc w:val="left"/>
      <w:lvlText w:val="(%2)"/>
      <w:numFmt w:val="lowerLetter"/>
      <w:start w:val="1"/>
    </w:lvl>
  </w:abstractNum>
  <w:abstractNum w:abstractNumId="15">
    <w:nsid w:val="2A155DBC"/>
    <w:multiLevelType w:val="hybridMultilevel"/>
    <w:lvl w:ilvl="0">
      <w:lvlJc w:val="left"/>
      <w:lvlText w:val="(%1)"/>
      <w:numFmt w:val="decimal"/>
      <w:start w:val="1"/>
    </w:lvl>
  </w:abstractNum>
  <w:abstractNum w:abstractNumId="16">
    <w:nsid w:val="1D9F6E5F"/>
    <w:multiLevelType w:val="hybridMultilevel"/>
    <w:lvl w:ilvl="0">
      <w:lvlJc w:val="left"/>
      <w:lvlText w:val="(%1)"/>
      <w:numFmt w:val="decimal"/>
      <w:start w:val="1"/>
    </w:lvl>
  </w:abstractNum>
  <w:abstractNum w:abstractNumId="17">
    <w:nsid w:val="97E1B4E"/>
    <w:multiLevelType w:val="hybridMultilevel"/>
    <w:lvl w:ilvl="0">
      <w:lvlJc w:val="left"/>
      <w:lvlText w:val="(%1)"/>
      <w:numFmt w:val="decimal"/>
      <w:start w:val="15"/>
    </w:lvl>
  </w:abstractNum>
  <w:abstractNum w:abstractNumId="18">
    <w:nsid w:val="51088277"/>
    <w:multiLevelType w:val="hybridMultilevel"/>
    <w:lvl w:ilvl="0">
      <w:lvlJc w:val="left"/>
      <w:lvlText w:val="(%1)"/>
      <w:numFmt w:val="decimal"/>
      <w:start w:val="1"/>
    </w:lvl>
  </w:abstractNum>
  <w:abstractNum w:abstractNumId="19">
    <w:nsid w:val="1CA0C5FA"/>
    <w:multiLevelType w:val="hybridMultilevel"/>
    <w:lvl w:ilvl="0">
      <w:lvlJc w:val="left"/>
      <w:lvlText w:val="(%1)"/>
      <w:numFmt w:val="decimal"/>
      <w:start w:val="1"/>
    </w:lvl>
  </w:abstractNum>
  <w:abstractNum w:abstractNumId="20">
    <w:nsid w:val="53584BCB"/>
    <w:multiLevelType w:val="hybridMultilevel"/>
    <w:lvl w:ilvl="0">
      <w:lvlJc w:val="left"/>
      <w:lvlText w:val="(%1)"/>
      <w:numFmt w:val="decimal"/>
      <w:start w:val="1"/>
    </w:lvl>
  </w:abstractNum>
  <w:abstractNum w:abstractNumId="21">
    <w:nsid w:val="415E286C"/>
    <w:multiLevelType w:val="hybridMultilevel"/>
    <w:lvl w:ilvl="0">
      <w:lvlJc w:val="left"/>
      <w:lvlText w:val="%1"/>
      <w:numFmt w:val="decimal"/>
      <w:start w:val="1"/>
    </w:lvl>
    <w:lvl w:ilvl="1">
      <w:lvlJc w:val="left"/>
      <w:lvlText w:val="(%2)"/>
      <w:numFmt w:val="decimal"/>
      <w:start w:val="5"/>
    </w:lvl>
  </w:abstractNum>
  <w:abstractNum w:abstractNumId="22">
    <w:nsid w:val="7C58FD05"/>
    <w:multiLevelType w:val="hybridMultilevel"/>
    <w:lvl w:ilvl="0">
      <w:lvlJc w:val="left"/>
      <w:lvlText w:val="(%1)"/>
      <w:numFmt w:val="decimal"/>
      <w:start w:val="4"/>
    </w:lvl>
    <w:lvl w:ilvl="1">
      <w:lvlJc w:val="left"/>
      <w:lvlText w:val="(%2)"/>
      <w:numFmt w:val="decimal"/>
      <w:start w:val="6"/>
    </w:lvl>
  </w:abstractNum>
  <w:abstractNum w:abstractNumId="23">
    <w:nsid w:val="23D86AAC"/>
    <w:multiLevelType w:val="hybridMultilevel"/>
    <w:lvl w:ilvl="0">
      <w:lvlJc w:val="left"/>
      <w:lvlText w:val="(%1)"/>
      <w:numFmt w:val="decimal"/>
      <w:start w:val="1"/>
    </w:lvl>
  </w:abstractNum>
  <w:abstractNum w:abstractNumId="24">
    <w:nsid w:val="45E6D486"/>
    <w:multiLevelType w:val="hybridMultilevel"/>
    <w:lvl w:ilvl="0">
      <w:lvlJc w:val="left"/>
      <w:lvlText w:val="(%1)"/>
      <w:numFmt w:val="decimal"/>
      <w:start w:val="1"/>
    </w:lvl>
  </w:abstractNum>
  <w:abstractNum w:abstractNumId="25">
    <w:nsid w:val="5C10FE21"/>
    <w:multiLevelType w:val="hybridMultilevel"/>
    <w:lvl w:ilvl="0">
      <w:lvlJc w:val="left"/>
      <w:lvlText w:val="(%1)"/>
      <w:numFmt w:val="decimal"/>
      <w:start w:val="1"/>
    </w:lvl>
  </w:abstractNum>
  <w:abstractNum w:abstractNumId="26">
    <w:nsid w:val="E7FFA2B"/>
    <w:multiLevelType w:val="hybridMultilevel"/>
    <w:lvl w:ilvl="0">
      <w:lvlJc w:val="left"/>
      <w:lvlText w:val="(%1)"/>
      <w:numFmt w:val="lowerRoman"/>
      <w:start w:val="2"/>
    </w:lvl>
  </w:abstractNum>
  <w:abstractNum w:abstractNumId="27">
    <w:nsid w:val="3C5991AA"/>
    <w:multiLevelType w:val="hybridMultilevel"/>
    <w:lvl w:ilvl="0">
      <w:lvlJc w:val="left"/>
      <w:lvlText w:val="(%1)"/>
      <w:numFmt w:val="decimal"/>
      <w:start w:val="1"/>
    </w:lvl>
  </w:abstractNum>
  <w:abstractNum w:abstractNumId="28">
    <w:nsid w:val="4BD8591A"/>
    <w:multiLevelType w:val="hybridMultilevel"/>
    <w:lvl w:ilvl="0">
      <w:lvlJc w:val="left"/>
      <w:lvlText w:val="(%1)"/>
      <w:numFmt w:val="decimal"/>
      <w:start w:val="7"/>
    </w:lvl>
  </w:abstractNum>
  <w:abstractNum w:abstractNumId="29">
    <w:nsid w:val="78DF6A55"/>
    <w:multiLevelType w:val="hybridMultilevel"/>
    <w:lvl w:ilvl="0">
      <w:lvlJc w:val="left"/>
      <w:lvlText w:val="%1"/>
      <w:numFmt w:val="lowerRoman"/>
      <w:start w:val="1"/>
    </w:lvl>
    <w:lvl w:ilvl="1">
      <w:lvlJc w:val="left"/>
      <w:lvlText w:val="(%2)"/>
      <w:numFmt w:val="decimal"/>
      <w:start w:val="1"/>
    </w:lvl>
  </w:abstractNum>
  <w:abstractNum w:abstractNumId="30">
    <w:nsid w:val="39B7AAA2"/>
    <w:multiLevelType w:val="hybridMultilevel"/>
    <w:lvl w:ilvl="0">
      <w:lvlJc w:val="left"/>
      <w:lvlText w:val="(%1)"/>
      <w:numFmt w:val="lowerRoman"/>
      <w:start w:val="3"/>
    </w:lvl>
    <w:lvl w:ilvl="1">
      <w:lvlJc w:val="left"/>
      <w:lvlText w:val="(%2)"/>
      <w:numFmt w:val="decimal"/>
      <w:start w:val="2"/>
    </w:lvl>
  </w:abstractNum>
  <w:abstractNum w:abstractNumId="31">
    <w:nsid w:val="2B0D8DBE"/>
    <w:multiLevelType w:val="hybridMultilevel"/>
    <w:lvl w:ilvl="0">
      <w:lvlJc w:val="left"/>
      <w:lvlText w:val="(%1)"/>
      <w:numFmt w:val="decimal"/>
      <w:start w:val="2"/>
    </w:lvl>
  </w:abstractNum>
  <w:abstractNum w:abstractNumId="32">
    <w:nsid w:val="6C80EC70"/>
    <w:multiLevelType w:val="hybridMultilevel"/>
    <w:lvl w:ilvl="0">
      <w:lvlJc w:val="left"/>
      <w:lvlText w:val="(%1)"/>
      <w:numFmt w:val="decimal"/>
      <w:start w:val="1"/>
    </w:lvl>
    <w:lvl w:ilvl="1">
      <w:lvlJc w:val="left"/>
      <w:lvlText w:val="(%2)"/>
      <w:numFmt w:val="lowerLetter"/>
      <w:start w:val="1"/>
    </w:lvl>
  </w:abstractNum>
  <w:abstractNum w:abstractNumId="33">
    <w:nsid w:val="379E21B5"/>
    <w:multiLevelType w:val="hybridMultilevel"/>
    <w:lvl w:ilvl="0">
      <w:lvlJc w:val="left"/>
      <w:lvlText w:val="(%1)"/>
      <w:numFmt w:val="decimal"/>
      <w:start w:val="1"/>
    </w:lvl>
  </w:abstractNum>
  <w:abstractNum w:abstractNumId="34">
    <w:nsid w:val="69E373"/>
    <w:multiLevelType w:val="hybridMultilevel"/>
    <w:lvl w:ilvl="0">
      <w:lvlJc w:val="left"/>
      <w:lvlText w:val="(%1)"/>
      <w:numFmt w:val="decimal"/>
      <w:start w:val="1"/>
    </w:lvl>
  </w:abstractNum>
  <w:abstractNum w:abstractNumId="35">
    <w:nsid w:val="2C27173B"/>
    <w:multiLevelType w:val="hybridMultilevel"/>
    <w:lvl w:ilvl="0">
      <w:lvlJc w:val="left"/>
      <w:lvlText w:val="(%1)"/>
      <w:numFmt w:val="decimal"/>
      <w:start w:val="1"/>
    </w:lvl>
  </w:abstractNum>
  <w:abstractNum w:abstractNumId="36">
    <w:nsid w:val="4C9B0904"/>
    <w:multiLevelType w:val="hybridMultilevel"/>
    <w:lvl w:ilvl="0">
      <w:lvlJc w:val="left"/>
      <w:lvlText w:val="(%1)"/>
      <w:numFmt w:val="decimal"/>
      <w:start w:val="1"/>
    </w:lvl>
    <w:lvl w:ilvl="1">
      <w:lvlJc w:val="left"/>
      <w:lvlText w:val="(%2)"/>
      <w:numFmt w:val="lowerLetter"/>
      <w:start w:val="1"/>
    </w:lvl>
  </w:abstractNum>
  <w:abstractNum w:abstractNumId="37">
    <w:nsid w:val="6AA7B75C"/>
    <w:multiLevelType w:val="hybridMultilevel"/>
    <w:lvl w:ilvl="0">
      <w:lvlJc w:val="left"/>
      <w:lvlText w:val="%1"/>
      <w:numFmt w:val="lowerLetter"/>
      <w:start w:val="1"/>
    </w:lvl>
    <w:lvl w:ilvl="1">
      <w:lvlJc w:val="left"/>
      <w:lvlText w:val="(%2)"/>
      <w:numFmt w:val="decimal"/>
      <w:start w:val="12"/>
    </w:lvl>
  </w:abstractNum>
  <w:abstractNum w:abstractNumId="38">
    <w:nsid w:val="1DF029D3"/>
    <w:multiLevelType w:val="hybridMultilevel"/>
    <w:lvl w:ilvl="0">
      <w:lvlJc w:val="left"/>
      <w:lvlText w:val="(%1)"/>
      <w:numFmt w:val="lowerLetter"/>
      <w:start w:val="2"/>
    </w:lvl>
    <w:lvl w:ilvl="1">
      <w:lvlJc w:val="left"/>
      <w:lvlText w:val="(%2)"/>
      <w:numFmt w:val="decimal"/>
      <w:start w:val="13"/>
    </w:lvl>
  </w:abstractNum>
  <w:abstractNum w:abstractNumId="39">
    <w:nsid w:val="5675FF36"/>
    <w:multiLevelType w:val="hybridMultilevel"/>
    <w:lvl w:ilvl="0">
      <w:lvlJc w:val="left"/>
      <w:lvlText w:val="%1"/>
      <w:numFmt w:val="lowerLetter"/>
      <w:start w:val="1"/>
    </w:lvl>
    <w:lvl w:ilvl="1">
      <w:lvlJc w:val="left"/>
      <w:lvlText w:val="(%2)"/>
      <w:numFmt w:val="decimal"/>
      <w:start w:val="1"/>
    </w:lvl>
  </w:abstractNum>
  <w:abstractNum w:abstractNumId="40">
    <w:nsid w:val="3DD15094"/>
    <w:multiLevelType w:val="hybridMultilevel"/>
    <w:lvl w:ilvl="0">
      <w:lvlJc w:val="left"/>
      <w:lvlText w:val="(%1)"/>
      <w:numFmt w:val="lowerLetter"/>
      <w:start w:val="25"/>
    </w:lvl>
    <w:lvl w:ilvl="1">
      <w:lvlJc w:val="left"/>
      <w:lvlText w:val="%2"/>
      <w:numFmt w:val="decimal"/>
      <w:start w:val="1"/>
    </w:lvl>
  </w:abstractNum>
  <w:abstractNum w:abstractNumId="41">
    <w:nsid w:val="3DB012B3"/>
    <w:multiLevelType w:val="hybridMultilevel"/>
    <w:lvl w:ilvl="0">
      <w:lvlJc w:val="left"/>
      <w:lvlText w:val="(%1)"/>
      <w:numFmt w:val="lowerLetter"/>
      <w:start w:val="3"/>
    </w:lvl>
    <w:lvl w:ilvl="1">
      <w:lvlJc w:val="left"/>
      <w:lvlText w:val="%2"/>
      <w:numFmt w:val="decimal"/>
      <w:start w:val="1"/>
    </w:lvl>
  </w:abstractNum>
  <w:abstractNum w:abstractNumId="42">
    <w:nsid w:val="2708C9AF"/>
    <w:multiLevelType w:val="hybridMultilevel"/>
    <w:lvl w:ilvl="0">
      <w:lvlJc w:val="left"/>
      <w:lvlText w:val="(%1)"/>
      <w:numFmt w:val="decimal"/>
      <w:start w:val="7"/>
    </w:lvl>
    <w:lvl w:ilvl="1">
      <w:lvlJc w:val="left"/>
      <w:lvlText w:val="(%2)"/>
      <w:numFmt w:val="lowerLetter"/>
      <w:start w:val="1"/>
    </w:lvl>
  </w:abstractNum>
  <w:abstractNum w:abstractNumId="43">
    <w:nsid w:val="5B25ACE2"/>
    <w:multiLevelType w:val="hybridMultilevel"/>
    <w:lvl w:ilvl="0">
      <w:lvlJc w:val="left"/>
      <w:lvlText w:val="(%1)"/>
      <w:numFmt w:val="decimal"/>
      <w:start w:val="18"/>
    </w:lvl>
    <w:lvl w:ilvl="1">
      <w:lvlJc w:val="left"/>
      <w:lvlText w:val="(%2)"/>
      <w:numFmt w:val="lowerLetter"/>
      <w:start w:val="1"/>
    </w:lvl>
  </w:abstractNum>
  <w:abstractNum w:abstractNumId="44">
    <w:nsid w:val="175DFCF0"/>
    <w:multiLevelType w:val="hybridMultilevel"/>
    <w:lvl w:ilvl="0">
      <w:lvlJc w:val="left"/>
      <w:lvlText w:val="%1"/>
      <w:numFmt w:val="decimal"/>
      <w:start w:val="1"/>
    </w:lvl>
    <w:lvl w:ilvl="1">
      <w:lvlJc w:val="left"/>
      <w:lvlText w:val="(%2)"/>
      <w:numFmt w:val="lowerLetter"/>
      <w:start w:val="3"/>
    </w:lvl>
  </w:abstractNum>
  <w:abstractNum w:abstractNumId="45">
    <w:nsid w:val="4F97E3E4"/>
    <w:multiLevelType w:val="hybridMultilevel"/>
    <w:lvl w:ilvl="0">
      <w:lvlJc w:val="left"/>
      <w:lvlText w:val="(%1)"/>
      <w:numFmt w:val="decimal"/>
      <w:start w:val="25"/>
    </w:lvl>
    <w:lvl w:ilvl="1">
      <w:lvlJc w:val="left"/>
      <w:lvlText w:val="%2"/>
      <w:numFmt w:val="lowerLetter"/>
      <w:start w:val="1"/>
    </w:lvl>
  </w:abstractNum>
  <w:abstractNum w:abstractNumId="46">
    <w:nsid w:val="53B0A9E"/>
    <w:multiLevelType w:val="hybridMultilevel"/>
    <w:lvl w:ilvl="0">
      <w:lvlJc w:val="left"/>
      <w:lvlText w:val="%1"/>
      <w:numFmt w:val="lowerLetter"/>
      <w:start w:val="1"/>
    </w:lvl>
    <w:lvl w:ilvl="1">
      <w:lvlJc w:val="left"/>
      <w:lvlText w:val="(%2)"/>
      <w:numFmt w:val="decimal"/>
      <w:start w:val="1"/>
    </w:lvl>
  </w:abstractNum>
  <w:abstractNum w:abstractNumId="47">
    <w:nsid w:val="34FD6B4F"/>
    <w:multiLevelType w:val="hybridMultilevel"/>
    <w:lvl w:ilvl="0">
      <w:lvlJc w:val="left"/>
      <w:lvlText w:val="(%1)"/>
      <w:numFmt w:val="lowerLetter"/>
      <w:start w:val="2"/>
    </w:lvl>
    <w:lvl w:ilvl="1">
      <w:lvlJc w:val="left"/>
      <w:lvlText w:val="%2"/>
      <w:numFmt w:val="decimal"/>
      <w:start w:val="1"/>
    </w:lvl>
  </w:abstractNum>
  <w:abstractNum w:abstractNumId="48">
    <w:nsid w:val="5915FF32"/>
    <w:multiLevelType w:val="hybridMultilevel"/>
    <w:lvl w:ilvl="0">
      <w:lvlJc w:val="left"/>
      <w:lvlText w:val="(%1)"/>
      <w:numFmt w:val="decimal"/>
      <w:start w:val="1"/>
    </w:lvl>
  </w:abstractNum>
  <w:abstractNum w:abstractNumId="49">
    <w:nsid w:val="56438D15"/>
    <w:multiLevelType w:val="hybridMultilevel"/>
    <w:lvl w:ilvl="0">
      <w:lvlJc w:val="left"/>
      <w:lvlText w:val="(%1)"/>
      <w:numFmt w:val="decimal"/>
      <w:start w:val="1"/>
    </w:lvl>
  </w:abstractNum>
  <w:abstractNum w:abstractNumId="50">
    <w:nsid w:val="519E3149"/>
    <w:multiLevelType w:val="hybridMultilevel"/>
    <w:lvl w:ilvl="0">
      <w:lvlJc w:val="left"/>
      <w:lvlText w:val="(%1)"/>
      <w:numFmt w:val="decimal"/>
      <w:start w:val="1"/>
    </w:lvl>
  </w:abstractNum>
  <w:abstractNum w:abstractNumId="51">
    <w:nsid w:val="2C6E4AFD"/>
    <w:multiLevelType w:val="hybridMultilevel"/>
    <w:lvl w:ilvl="0">
      <w:lvlJc w:val="left"/>
      <w:lvlText w:val="(%1)"/>
      <w:numFmt w:val="decimal"/>
      <w:start w:val="1"/>
    </w:lvl>
  </w:abstractNum>
  <w:abstractNum w:abstractNumId="52">
    <w:nsid w:val="17A1B582"/>
    <w:multiLevelType w:val="hybridMultilevel"/>
    <w:lvl w:ilvl="0">
      <w:lvlJc w:val="left"/>
      <w:lvlText w:val="(%1)"/>
      <w:numFmt w:val="decimal"/>
      <w:start w:val="1"/>
    </w:lvl>
  </w:abstractNum>
  <w:abstractNum w:abstractNumId="53">
    <w:nsid w:val="4DF72E4E"/>
    <w:multiLevelType w:val="hybridMultilevel"/>
    <w:lvl w:ilvl="0">
      <w:lvlJc w:val="left"/>
      <w:lvlText w:val="(%1)"/>
      <w:numFmt w:val="decimal"/>
      <w:start w:val="1"/>
    </w:lvl>
  </w:abstractNum>
  <w:abstractNum w:abstractNumId="54">
    <w:nsid w:val="5046B5A9"/>
    <w:multiLevelType w:val="hybridMultilevel"/>
    <w:lvl w:ilvl="0">
      <w:lvlJc w:val="left"/>
      <w:lvlText w:val="%1"/>
      <w:numFmt w:val="lowerLetter"/>
      <w:start w:val="1"/>
    </w:lvl>
    <w:lvl w:ilvl="1">
      <w:lvlJc w:val="left"/>
      <w:lvlText w:val="(%2)"/>
      <w:numFmt w:val="decimal"/>
      <w:start w:val="3"/>
    </w:lvl>
  </w:abstractNum>
  <w:abstractNum w:abstractNumId="55">
    <w:nsid w:val="5D888A08"/>
    <w:multiLevelType w:val="hybridMultilevel"/>
    <w:lvl w:ilvl="0">
      <w:lvlJc w:val="left"/>
      <w:lvlText w:val="(%1)"/>
      <w:numFmt w:val="lowerLetter"/>
      <w:start w:val="25"/>
    </w:lvl>
    <w:lvl w:ilvl="1">
      <w:lvlJc w:val="left"/>
      <w:lvlText w:val="%2"/>
      <w:numFmt w:val="decimal"/>
      <w:start w:val="1"/>
    </w:lvl>
  </w:abstractNum>
  <w:abstractNum w:abstractNumId="56">
    <w:nsid w:val="2A082C70"/>
    <w:multiLevelType w:val="hybridMultilevel"/>
    <w:lvl w:ilvl="0">
      <w:lvlJc w:val="left"/>
      <w:lvlText w:val="(%1)"/>
      <w:numFmt w:val="decimal"/>
      <w:start w:val="1"/>
    </w:lvl>
  </w:abstractNum>
  <w:abstractNum w:abstractNumId="57">
    <w:nsid w:val="5EC6AFD4"/>
    <w:multiLevelType w:val="hybridMultilevel"/>
    <w:lvl w:ilvl="0">
      <w:lvlJc w:val="left"/>
      <w:lvlText w:val="(%1)"/>
      <w:numFmt w:val="decimal"/>
      <w:start w:val="2"/>
    </w:lvl>
  </w:abstractNum>
  <w:abstractNum w:abstractNumId="58">
    <w:nsid w:val="19E21BB2"/>
    <w:multiLevelType w:val="hybridMultilevel"/>
    <w:lvl w:ilvl="0">
      <w:lvlJc w:val="left"/>
      <w:lvlText w:val="(%1)"/>
      <w:numFmt w:val="lowerLetter"/>
      <w:start w:val="1"/>
    </w:lvl>
  </w:abstractNum>
  <w:abstractNum w:abstractNumId="59">
    <w:nsid w:val="75E0858A"/>
    <w:multiLevelType w:val="hybridMultilevel"/>
    <w:lvl w:ilvl="0">
      <w:lvlJc w:val="left"/>
      <w:lvlText w:val="(%1)"/>
      <w:numFmt w:val="lowerLetter"/>
      <w:start w:val="1"/>
    </w:lvl>
  </w:abstractNum>
  <w:abstractNum w:abstractNumId="60">
    <w:nsid w:val="57A61A29"/>
    <w:multiLevelType w:val="hybridMultilevel"/>
    <w:lvl w:ilvl="0">
      <w:lvlJc w:val="left"/>
      <w:lvlText w:val="%1"/>
      <w:numFmt w:val="lowerLetter"/>
      <w:start w:val="1"/>
    </w:lvl>
    <w:lvl w:ilvl="1">
      <w:lvlJc w:val="left"/>
      <w:lvlText w:val="(%2)"/>
      <w:numFmt w:val="lowerLetter"/>
      <w:start w:val="2"/>
    </w:lvl>
  </w:abstractNum>
  <w:abstractNum w:abstractNumId="61">
    <w:nsid w:val="5399C654"/>
    <w:multiLevelType w:val="hybridMultilevel"/>
    <w:lvl w:ilvl="0">
      <w:lvlJc w:val="left"/>
      <w:lvlText w:val="(%1)"/>
      <w:numFmt w:val="lowerLetter"/>
      <w:start w:val="9"/>
    </w:lvl>
    <w:lvl w:ilvl="1">
      <w:lvlJc w:val="left"/>
      <w:lvlText w:val="(%2)"/>
      <w:numFmt w:val="lowerLetter"/>
      <w:start w:val="3"/>
    </w:lvl>
  </w:abstractNum>
  <w:abstractNum w:abstractNumId="62">
    <w:nsid w:val="20EE1348"/>
    <w:multiLevelType w:val="hybridMultilevel"/>
    <w:lvl w:ilvl="0">
      <w:lvlJc w:val="left"/>
      <w:lvlText w:val="(%1)"/>
      <w:numFmt w:val="lowerLetter"/>
      <w:start w:val="1"/>
    </w:lvl>
    <w:lvl w:ilvl="1">
      <w:lvlJc w:val="left"/>
      <w:lvlText w:val="(%2)"/>
      <w:numFmt w:val="decimal"/>
      <w:start w:val="1"/>
    </w:lvl>
  </w:abstractNum>
  <w:abstractNum w:abstractNumId="63">
    <w:nsid w:val="4427069A"/>
    <w:multiLevelType w:val="hybridMultilevel"/>
    <w:lvl w:ilvl="0">
      <w:lvlJc w:val="left"/>
      <w:lvlText w:val="(%1)"/>
      <w:numFmt w:val="decimal"/>
      <w:start w:val="2"/>
    </w:lvl>
  </w:abstractNum>
  <w:abstractNum w:abstractNumId="64">
    <w:nsid w:val="B37E80A"/>
    <w:multiLevelType w:val="hybridMultilevel"/>
    <w:lvl w:ilvl="0">
      <w:lvlJc w:val="left"/>
      <w:lvlText w:val="(%1)"/>
      <w:numFmt w:val="lowerLetter"/>
      <w:start w:val="2"/>
    </w:lvl>
    <w:lvl w:ilvl="1">
      <w:lvlJc w:val="left"/>
      <w:lvlText w:val="(%2)"/>
      <w:numFmt w:val="decimal"/>
      <w:start w:val="1"/>
    </w:lvl>
  </w:abstractNum>
  <w:abstractNum w:abstractNumId="65">
    <w:nsid w:val="2157F6B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66">
    <w:nsid w:val="704E1DD5"/>
    <w:multiLevelType w:val="hybridMultilevel"/>
    <w:lvl w:ilvl="0">
      <w:lvlJc w:val="left"/>
      <w:lvlText w:val="(%1)"/>
      <w:numFmt w:val="decimal"/>
      <w:start w:val="3"/>
    </w:lvl>
    <w:lvl w:ilvl="1">
      <w:lvlJc w:val="left"/>
      <w:lvlText w:val="(%2)"/>
      <w:numFmt w:val="upperLetter"/>
      <w:start w:val="1"/>
    </w:lvl>
  </w:abstractNum>
  <w:abstractNum w:abstractNumId="67">
    <w:nsid w:val="57D2F10E"/>
    <w:multiLevelType w:val="hybridMultilevel"/>
    <w:lvl w:ilvl="0">
      <w:lvlJc w:val="left"/>
      <w:lvlText w:val="(%1)"/>
      <w:numFmt w:val="upperLetter"/>
      <w:start w:val="2"/>
    </w:lvl>
    <w:lvl w:ilvl="1">
      <w:lvlJc w:val="left"/>
      <w:lvlText w:val="(%2)"/>
      <w:numFmt w:val="lowerRoman"/>
      <w:start w:val="1"/>
    </w:lvl>
  </w:abstractNum>
  <w:abstractNum w:abstractNumId="68">
    <w:nsid w:val="BFFAE1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9">
    <w:nsid w:val="E3E47A8"/>
    <w:multiLevelType w:val="hybridMultilevel"/>
    <w:lvl w:ilvl="0">
      <w:lvlJc w:val="left"/>
      <w:lvlText w:val="(%1)"/>
      <w:numFmt w:val="upperLetter"/>
      <w:start w:val="3"/>
    </w:lvl>
  </w:abstractNum>
  <w:abstractNum w:abstractNumId="70">
    <w:nsid w:val="2E48F044"/>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lvl w:ilvl="3">
      <w:lvlJc w:val="left"/>
      <w:lvlText w:val="(%4)"/>
      <w:numFmt w:val="lowerLetter"/>
      <w:start w:val="9"/>
    </w:lvl>
  </w:abstractNum>
  <w:abstractNum w:abstractNumId="71">
    <w:nsid w:val="49D0FEAC"/>
    <w:multiLevelType w:val="hybridMultilevel"/>
    <w:lvl w:ilvl="0">
      <w:lvlJc w:val="left"/>
      <w:lvlText w:val="(%1)"/>
      <w:numFmt w:val="lowerRoman"/>
      <w:start w:val="2"/>
    </w:lvl>
  </w:abstractNum>
  <w:abstractNum w:abstractNumId="72">
    <w:nsid w:val="4BEE5A5B"/>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3">
    <w:nsid w:val="5551B9F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4">
    <w:nsid w:val="24F6AB8E"/>
    <w:multiLevelType w:val="hybridMultilevel"/>
    <w:lvl w:ilvl="0">
      <w:lvlJc w:val="left"/>
      <w:lvlText w:val="(%1)"/>
      <w:numFmt w:val="upperLetter"/>
      <w:start w:val="4"/>
    </w:lvl>
  </w:abstractNum>
  <w:abstractNum w:abstractNumId="75">
    <w:nsid w:val="634C574C"/>
    <w:multiLevelType w:val="hybridMultilevel"/>
    <w:lvl w:ilvl="0">
      <w:lvlJc w:val="left"/>
      <w:lvlText w:val="(%1)"/>
      <w:numFmt w:val="upperLetter"/>
      <w:start w:val="3"/>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76">
    <w:nsid w:val="24E99DD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77">
    <w:nsid w:val="2A31B62D"/>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78">
    <w:nsid w:val="1849C29B"/>
    <w:multiLevelType w:val="hybridMultilevel"/>
    <w:lvl w:ilvl="0">
      <w:lvlJc w:val="left"/>
      <w:lvlText w:val="(%1)"/>
      <w:numFmt w:val="upperLetter"/>
      <w:start w:val="2"/>
    </w:lvl>
    <w:lvl w:ilvl="1">
      <w:lvlJc w:val="left"/>
      <w:lvlText w:val="(%2)"/>
      <w:numFmt w:val="lowerRoman"/>
      <w:start w:val="1"/>
    </w:lvl>
  </w:abstractNum>
  <w:abstractNum w:abstractNumId="79">
    <w:nsid w:val="7DFF9D0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80">
    <w:nsid w:val="75434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81">
    <w:nsid w:val="69E7F3E5"/>
    <w:multiLevelType w:val="hybridMultilevel"/>
    <w:lvl w:ilvl="0">
      <w:lvlJc w:val="left"/>
      <w:lvlText w:val="(%1)"/>
      <w:numFmt w:val="upperLetter"/>
      <w:start w:val="2"/>
    </w:lvl>
  </w:abstractNum>
  <w:abstractNum w:abstractNumId="82">
    <w:nsid w:val="2A6DE806"/>
    <w:multiLevelType w:val="hybridMultilevel"/>
    <w:lvl w:ilvl="0">
      <w:lvlJc w:val="left"/>
      <w:lvlText w:val="(%1)"/>
      <w:numFmt w:val="lowerRoman"/>
      <w:start w:val="2"/>
    </w:lvl>
  </w:abstractNum>
  <w:abstractNum w:abstractNumId="83">
    <w:nsid w:val="1816F8C4"/>
    <w:multiLevelType w:val="hybridMultilevel"/>
    <w:lvl w:ilvl="0">
      <w:lvlJc w:val="left"/>
      <w:lvlText w:val="(%1)"/>
      <w:numFmt w:val="lowerLetter"/>
      <w:start w:val="8"/>
    </w:lvl>
  </w:abstractNum>
  <w:abstractNum w:abstractNumId="84">
    <w:nsid w:val="37DF2233"/>
    <w:multiLevelType w:val="hybridMultilevel"/>
    <w:lvl w:ilvl="0">
      <w:lvlJc w:val="left"/>
      <w:lvlText w:val="(%1)"/>
      <w:numFmt w:val="decimal"/>
      <w:start w:val="1"/>
    </w:lvl>
    <w:lvl w:ilvl="1">
      <w:lvlJc w:val="left"/>
      <w:lvlText w:val="(%2)"/>
      <w:numFmt w:val="upperLetter"/>
      <w:start w:val="1"/>
    </w:lvl>
  </w:abstractNum>
  <w:abstractNum w:abstractNumId="85">
    <w:nsid w:val="7AB49DAF"/>
    <w:multiLevelType w:val="hybridMultilevel"/>
    <w:lvl w:ilvl="0">
      <w:lvlJc w:val="left"/>
      <w:lvlText w:val="(%1)"/>
      <w:numFmt w:val="lowerLetter"/>
      <w:start w:val="1"/>
    </w:lvl>
  </w:abstractNum>
  <w:abstractNum w:abstractNumId="86">
    <w:nsid w:val="759F82CD"/>
    <w:multiLevelType w:val="hybridMultilevel"/>
    <w:lvl w:ilvl="0">
      <w:lvlJc w:val="left"/>
      <w:lvlText w:val="(%1)"/>
      <w:numFmt w:val="lowerLetter"/>
      <w:start w:val="2"/>
    </w:lvl>
    <w:lvl w:ilvl="1">
      <w:lvlJc w:val="left"/>
      <w:lvlText w:val="(%2)"/>
      <w:numFmt w:val="decimal"/>
      <w:start w:val="1"/>
    </w:lvl>
  </w:abstractNum>
  <w:abstractNum w:abstractNumId="87">
    <w:nsid w:val="61E74EA3"/>
    <w:multiLevelType w:val="hybridMultilevel"/>
    <w:lvl w:ilvl="0">
      <w:lvlJc w:val="left"/>
      <w:lvlText w:val="(%1)"/>
      <w:numFmt w:val="lowerLetter"/>
      <w:start w:val="1"/>
    </w:lvl>
  </w:abstractNum>
  <w:abstractNum w:abstractNumId="88">
    <w:nsid w:val="597B4D84"/>
    <w:multiLevelType w:val="hybridMultilevel"/>
    <w:lvl w:ilvl="0">
      <w:lvlJc w:val="left"/>
      <w:lvlText w:val="(%1)"/>
      <w:numFmt w:val="lowerLetter"/>
      <w:start w:val="1"/>
    </w:lvl>
  </w:abstractNum>
  <w:abstractNum w:abstractNumId="89">
    <w:nsid w:val="F819E7F"/>
    <w:multiLevelType w:val="hybridMultilevel"/>
    <w:lvl w:ilvl="0">
      <w:lvlJc w:val="left"/>
      <w:lvlText w:val="(%1)"/>
      <w:numFmt w:val="lowerLetter"/>
      <w:start w:val="1"/>
    </w:lvl>
  </w:abstractNum>
  <w:abstractNum w:abstractNumId="90">
    <w:nsid w:val="57C7D42D"/>
    <w:multiLevelType w:val="hybridMultilevel"/>
    <w:lvl w:ilvl="0">
      <w:lvlJc w:val="left"/>
      <w:lvlText w:val="(%1)"/>
      <w:numFmt w:val="lowerLetter"/>
      <w:start w:val="1"/>
    </w:lvl>
  </w:abstractNum>
  <w:abstractNum w:abstractNumId="91">
    <w:nsid w:val="312167AD"/>
    <w:multiLevelType w:val="hybridMultilevel"/>
    <w:lvl w:ilvl="0">
      <w:lvlJc w:val="left"/>
      <w:lvlText w:val="(%1)"/>
      <w:numFmt w:val="lowerLetter"/>
      <w:start w:val="4"/>
    </w:lvl>
  </w:abstractNum>
  <w:abstractNum w:abstractNumId="92">
    <w:nsid w:val="631B64D4"/>
    <w:multiLevelType w:val="hybridMultilevel"/>
    <w:lvl w:ilvl="0">
      <w:lvlJc w:val="left"/>
      <w:lvlText w:val="(%1)"/>
      <w:numFmt w:val="lowerLetter"/>
      <w:start w:val="5"/>
    </w:lvl>
  </w:abstractNum>
  <w:abstractNum w:abstractNumId="93">
    <w:nsid w:val="78B5E776"/>
    <w:multiLevelType w:val="hybridMultilevel"/>
    <w:lvl w:ilvl="0">
      <w:lvlJc w:val="left"/>
      <w:lvlText w:val="(%1)"/>
      <w:numFmt w:val="lowerLetter"/>
      <w:start w:val="2"/>
    </w:lvl>
  </w:abstractNum>
  <w:abstractNum w:abstractNumId="94">
    <w:nsid w:val="75486E47"/>
    <w:multiLevelType w:val="hybridMultilevel"/>
    <w:lvl w:ilvl="0">
      <w:lvlJc w:val="left"/>
      <w:lvlText w:val="(%1)"/>
      <w:numFmt w:val="lowerLetter"/>
      <w:start w:val="1"/>
    </w:lvl>
    <w:lvl w:ilvl="1">
      <w:lvlJc w:val="left"/>
      <w:lvlText w:val="(%2)"/>
      <w:numFmt w:val="decimal"/>
      <w:start w:val="1"/>
    </w:lvl>
  </w:abstractNum>
  <w:abstractNum w:abstractNumId="95">
    <w:nsid w:val="6E534CDE"/>
    <w:multiLevelType w:val="hybridMultilevel"/>
    <w:lvl w:ilvl="0">
      <w:lvlJc w:val="left"/>
      <w:lvlText w:val="(%1)"/>
      <w:numFmt w:val="lowerLetter"/>
      <w:start w:val="2"/>
    </w:lvl>
  </w:abstractNum>
  <w:abstractNum w:abstractNumId="96">
    <w:nsid w:val="1A0DDE32"/>
    <w:multiLevelType w:val="hybridMultilevel"/>
    <w:lvl w:ilvl="0">
      <w:lvlJc w:val="left"/>
      <w:lvlText w:val="(%1)"/>
      <w:numFmt w:val="lowerLetter"/>
      <w:start w:val="5"/>
    </w:lvl>
  </w:abstractNum>
  <w:abstractNum w:abstractNumId="97">
    <w:nsid w:val="65968C1C"/>
    <w:multiLevelType w:val="hybridMultilevel"/>
    <w:lvl w:ilvl="0">
      <w:lvlJc w:val="left"/>
      <w:lvlText w:val="(%1)"/>
      <w:numFmt w:val="lowerLetter"/>
      <w:start w:val="1"/>
    </w:lvl>
  </w:abstractNum>
  <w:abstractNum w:abstractNumId="98">
    <w:nsid w:val="46263DEC"/>
    <w:multiLevelType w:val="hybridMultilevel"/>
    <w:lvl w:ilvl="0">
      <w:lvlJc w:val="left"/>
      <w:lvlText w:val="(%1)"/>
      <w:numFmt w:val="lowerLetter"/>
      <w:start w:val="1"/>
    </w:lvl>
    <w:lvl w:ilvl="1">
      <w:lvlJc w:val="left"/>
      <w:lvlText w:val="(%2)"/>
      <w:numFmt w:val="decimal"/>
      <w:start w:val="1"/>
    </w:lvl>
  </w:abstractNum>
  <w:abstractNum w:abstractNumId="99">
    <w:nsid w:val="260D8C4A"/>
    <w:multiLevelType w:val="hybridMultilevel"/>
    <w:lvl w:ilvl="0">
      <w:lvlJc w:val="left"/>
      <w:lvlText w:val="(%1)"/>
      <w:numFmt w:val="upperLetter"/>
      <w:start w:val="2"/>
    </w:lvl>
    <w:lvl w:ilvl="1">
      <w:lvlJc w:val="left"/>
      <w:lvlText w:val="(%2)"/>
      <w:numFmt w:val="lowerRoman"/>
      <w:start w:val="1"/>
    </w:lvl>
  </w:abstractNum>
  <w:abstractNum w:abstractNumId="100">
    <w:nsid w:val="73D4D3C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101">
    <w:nsid w:val="746F2E3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2">
    <w:nsid w:val="6FDE8AF6"/>
    <w:multiLevelType w:val="hybridMultilevel"/>
    <w:lvl w:ilvl="0">
      <w:lvlJc w:val="left"/>
      <w:lvlText w:val="%1"/>
      <w:numFmt w:val="lowerLetter"/>
      <w:start w:val="1"/>
    </w:lvl>
    <w:lvl w:ilvl="1">
      <w:lvlJc w:val="left"/>
      <w:lvlText w:val="(%2)"/>
      <w:numFmt w:val="decimal"/>
      <w:start w:val="3"/>
    </w:lvl>
  </w:abstractNum>
  <w:abstractNum w:abstractNumId="103">
    <w:nsid w:val="3FC32E20"/>
    <w:multiLevelType w:val="hybridMultilevel"/>
    <w:lvl w:ilvl="0">
      <w:lvlJc w:val="left"/>
      <w:lvlText w:val="(%1)"/>
      <w:numFmt w:val="lowerLetter"/>
      <w:start w:val="1"/>
    </w:lvl>
    <w:lvl w:ilvl="1">
      <w:lvlJc w:val="left"/>
      <w:lvlText w:val="(%2)"/>
      <w:numFmt w:val="decimal"/>
      <w:start w:val="6"/>
    </w:lvl>
  </w:abstractNum>
  <w:abstractNum w:abstractNumId="104">
    <w:nsid w:val="49C0E823"/>
    <w:multiLevelType w:val="hybridMultilevel"/>
    <w:lvl w:ilvl="0">
      <w:lvlJc w:val="left"/>
      <w:lvlText w:val="(%1)"/>
      <w:numFmt w:val="decimal"/>
      <w:start w:val="9"/>
    </w:lvl>
  </w:abstractNum>
  <w:abstractNum w:abstractNumId="105">
    <w:nsid w:val="14D53685"/>
    <w:multiLevelType w:val="hybridMultilevel"/>
    <w:lvl w:ilvl="0">
      <w:lvlJc w:val="left"/>
      <w:lvlText w:val="(%1)"/>
      <w:numFmt w:val="lowerLetter"/>
      <w:start w:val="1"/>
    </w:lvl>
    <w:lvl w:ilvl="1">
      <w:lvlJc w:val="left"/>
      <w:lvlText w:val="(%2)"/>
      <w:numFmt w:val="decimal"/>
      <w:start w:val="1"/>
    </w:lvl>
  </w:abstractNum>
  <w:abstractNum w:abstractNumId="106">
    <w:nsid w:val="230F856C"/>
    <w:multiLevelType w:val="hybridMultilevel"/>
    <w:lvl w:ilvl="0">
      <w:lvlJc w:val="left"/>
      <w:lvlText w:val="(%1)"/>
      <w:numFmt w:val="decimal"/>
      <w:start w:val="3"/>
    </w:lvl>
  </w:abstractNum>
  <w:abstractNum w:abstractNumId="107">
    <w:nsid w:val="6EAA85FB"/>
    <w:multiLevelType w:val="hybridMultilevel"/>
    <w:lvl w:ilvl="0">
      <w:lvlJc w:val="left"/>
      <w:lvlText w:val="(%1)"/>
      <w:numFmt w:val="decimal"/>
      <w:start w:val="13"/>
    </w:lvl>
  </w:abstractNum>
  <w:abstractNum w:abstractNumId="108">
    <w:nsid w:val="3F06ECB2"/>
    <w:multiLevelType w:val="hybridMultilevel"/>
    <w:lvl w:ilvl="0">
      <w:lvlJc w:val="left"/>
      <w:lvlText w:val="(%1)"/>
      <w:numFmt w:val="lowerLetter"/>
      <w:start w:val="1"/>
    </w:lvl>
  </w:abstractNum>
  <w:abstractNum w:abstractNumId="109">
    <w:nsid w:val="3B594807"/>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10">
    <w:nsid w:val="6CAA2304"/>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4"/>
    </w:lvl>
  </w:abstractNum>
  <w:abstractNum w:abstractNumId="111">
    <w:nsid w:val="3F7C2FF4"/>
    <w:multiLevelType w:val="hybridMultilevel"/>
    <w:lvl w:ilvl="0">
      <w:lvlJc w:val="left"/>
      <w:lvlText w:val="(%1)"/>
      <w:numFmt w:val="decimal"/>
      <w:start w:val="6"/>
    </w:lvl>
    <w:lvl w:ilvl="1">
      <w:lvlJc w:val="left"/>
      <w:lvlText w:val="(%2)"/>
      <w:numFmt w:val="upperLetter"/>
      <w:start w:val="1"/>
    </w:lvl>
  </w:abstractNum>
  <w:abstractNum w:abstractNumId="112">
    <w:nsid w:val="25413BEC"/>
    <w:multiLevelType w:val="hybridMultilevel"/>
    <w:lvl w:ilvl="0">
      <w:lvlJc w:val="left"/>
      <w:lvlText w:val="(%1)"/>
      <w:numFmt w:val="decimal"/>
      <w:start w:val="7"/>
    </w:lvl>
    <w:lvl w:ilvl="1">
      <w:lvlJc w:val="left"/>
      <w:lvlText w:val="(%2)"/>
      <w:numFmt w:val="upperLetter"/>
      <w:start w:val="1"/>
    </w:lvl>
  </w:abstractNum>
  <w:abstractNum w:abstractNumId="113">
    <w:nsid w:val="17180B0B"/>
    <w:multiLevelType w:val="hybridMultilevel"/>
    <w:lvl w:ilvl="0">
      <w:lvlJc w:val="left"/>
      <w:lvlText w:val="(%1)"/>
      <w:numFmt w:val="decimal"/>
      <w:start w:val="8"/>
    </w:lvl>
  </w:abstractNum>
  <w:abstractNum w:abstractNumId="114">
    <w:nsid w:val="579328B9"/>
    <w:multiLevelType w:val="hybridMultilevel"/>
    <w:lvl w:ilvl="0">
      <w:lvlJc w:val="left"/>
      <w:lvlText w:val="%1"/>
      <w:numFmt w:val="lowerRoman"/>
      <w:start w:val="1"/>
    </w:lvl>
    <w:lvl w:ilvl="1">
      <w:lvlJc w:val="left"/>
      <w:lvlText w:val="(%2)"/>
      <w:numFmt w:val="decimal"/>
      <w:start w:val="11"/>
    </w:lvl>
  </w:abstractNum>
  <w:abstractNum w:abstractNumId="115">
    <w:nsid w:val="5D205E20"/>
    <w:multiLevelType w:val="hybridMultilevel"/>
    <w:lvl w:ilvl="0">
      <w:lvlJc w:val="left"/>
      <w:lvlText w:val="(%1)"/>
      <w:numFmt w:val="lowerRoman"/>
      <w:start w:val="1"/>
    </w:lvl>
    <w:lvl w:ilvl="1">
      <w:lvlJc w:val="left"/>
      <w:lvlText w:val="%2"/>
      <w:numFmt w:val="decimal"/>
      <w:start w:val="1"/>
    </w:lvl>
  </w:abstractNum>
  <w:abstractNum w:abstractNumId="116">
    <w:nsid w:val="11CCA8BA"/>
    <w:multiLevelType w:val="hybridMultilevel"/>
    <w:lvl w:ilvl="0">
      <w:lvlJc w:val="left"/>
      <w:lvlText w:val="(%1)"/>
      <w:numFmt w:val="upperLetter"/>
      <w:start w:val="1"/>
    </w:lvl>
    <w:lvl w:ilvl="1">
      <w:lvlJc w:val="left"/>
      <w:lvlText w:val="(%2)"/>
      <w:numFmt w:val="lowerRoman"/>
      <w:start w:val="1"/>
    </w:lvl>
  </w:abstractNum>
  <w:abstractNum w:abstractNumId="117">
    <w:nsid w:val="4D32AB86"/>
    <w:multiLevelType w:val="hybridMultilevel"/>
    <w:lvl w:ilvl="0">
      <w:lvlJc w:val="left"/>
      <w:lvlText w:val="(%1)"/>
      <w:numFmt w:val="upperLetter"/>
      <w:start w:val="4"/>
    </w:lvl>
  </w:abstractNum>
  <w:abstractNum w:abstractNumId="118">
    <w:nsid w:val="3F07ACC3"/>
    <w:multiLevelType w:val="hybridMultilevel"/>
    <w:lvl w:ilvl="0">
      <w:lvlJc w:val="left"/>
      <w:lvlText w:val="(%1)"/>
      <w:numFmt w:val="lowerLetter"/>
      <w:start w:val="1"/>
    </w:lvl>
  </w:abstractNum>
  <w:abstractNum w:abstractNumId="119">
    <w:nsid w:val="6B47F63E"/>
    <w:multiLevelType w:val="hybridMultilevel"/>
    <w:lvl w:ilvl="0">
      <w:lvlJc w:val="left"/>
      <w:lvlText w:val="(%1)"/>
      <w:numFmt w:val="decimal"/>
      <w:start w:val="1"/>
    </w:lvl>
  </w:abstractNum>
  <w:abstractNum w:abstractNumId="120">
    <w:nsid w:val="5CB44A05"/>
    <w:multiLevelType w:val="hybridMultilevel"/>
    <w:lvl w:ilvl="0">
      <w:lvlJc w:val="left"/>
      <w:lvlText w:val="%1"/>
      <w:numFmt w:val="lowerLetter"/>
      <w:start w:val="1"/>
    </w:lvl>
    <w:lvl w:ilvl="1">
      <w:lvlJc w:val="left"/>
      <w:lvlText w:val="(%2)"/>
      <w:numFmt w:val="decimal"/>
      <w:start w:val="2"/>
    </w:lvl>
  </w:abstractNum>
  <w:abstractNum w:abstractNumId="121">
    <w:nsid w:val="16CF80F1"/>
    <w:multiLevelType w:val="hybridMultilevel"/>
    <w:lvl w:ilvl="0">
      <w:lvlJc w:val="left"/>
      <w:lvlText w:val="(%1)"/>
      <w:numFmt w:val="lowerLetter"/>
      <w:start w:val="3"/>
    </w:lvl>
    <w:lvl w:ilvl="1">
      <w:lvlJc w:val="left"/>
      <w:lvlText w:val="(%2)"/>
      <w:numFmt w:val="decimal"/>
      <w:start w:val="1"/>
    </w:lvl>
  </w:abstractNum>
  <w:abstractNum w:abstractNumId="122">
    <w:nsid w:val="1C695DEC"/>
    <w:multiLevelType w:val="hybridMultilevel"/>
    <w:lvl w:ilvl="0">
      <w:lvlJc w:val="left"/>
      <w:lvlText w:val="(%1)"/>
      <w:numFmt w:val="lowerLetter"/>
      <w:start w:val="7"/>
    </w:lvl>
  </w:abstractNum>
  <w:abstractNum w:abstractNumId="123">
    <w:nsid w:val="3FCFAED9"/>
    <w:multiLevelType w:val="hybridMultilevel"/>
    <w:lvl w:ilvl="0">
      <w:lvlJc w:val="left"/>
      <w:lvlText w:val="(%1)"/>
      <w:numFmt w:val="lowerLetter"/>
      <w:start w:val="1"/>
    </w:lvl>
    <w:lvl w:ilvl="1">
      <w:lvlJc w:val="left"/>
      <w:lvlText w:val="(%2)"/>
      <w:numFmt w:val="decimal"/>
      <w:start w:val="1"/>
    </w:lvl>
  </w:abstractNum>
  <w:abstractNum w:abstractNumId="124">
    <w:nsid w:val="F856867"/>
    <w:multiLevelType w:val="hybridMultilevel"/>
    <w:lvl w:ilvl="0">
      <w:lvlJc w:val="left"/>
      <w:lvlText w:val="(%1)"/>
      <w:numFmt w:val="lowerLetter"/>
      <w:start w:val="2"/>
    </w:lvl>
    <w:lvl w:ilvl="1">
      <w:lvlJc w:val="left"/>
      <w:lvlText w:val="(%2)"/>
      <w:numFmt w:val="decimal"/>
      <w:start w:val="1"/>
    </w:lvl>
  </w:abstractNum>
  <w:abstractNum w:abstractNumId="125">
    <w:nsid w:val="11B1CC33"/>
    <w:multiLevelType w:val="hybridMultilevel"/>
    <w:lvl w:ilvl="0">
      <w:lvlJc w:val="left"/>
      <w:lvlText w:val="(%1)"/>
      <w:numFmt w:val="decimal"/>
      <w:start w:val="11"/>
    </w:lvl>
  </w:abstractNum>
  <w:abstractNum w:abstractNumId="126">
    <w:nsid w:val="2E22FBB7"/>
    <w:multiLevelType w:val="hybridMultilevel"/>
    <w:lvl w:ilvl="0">
      <w:lvlJc w:val="left"/>
      <w:lvlText w:val="(%1)"/>
      <w:numFmt w:val="lowerLetter"/>
      <w:start w:val="1"/>
    </w:lvl>
  </w:abstractNum>
  <w:abstractNum w:abstractNumId="127">
    <w:nsid w:val="29934699"/>
    <w:multiLevelType w:val="hybridMultilevel"/>
    <w:lvl w:ilvl="0">
      <w:lvlJc w:val="left"/>
      <w:lvlText w:val="(%1)"/>
      <w:numFmt w:val="lowerLetter"/>
      <w:start w:val="2"/>
    </w:lvl>
    <w:lvl w:ilvl="1">
      <w:lvlJc w:val="left"/>
      <w:lvlText w:val="(%2)"/>
      <w:numFmt w:val="decimal"/>
      <w:start w:val="1"/>
    </w:lvl>
  </w:abstractNum>
  <w:abstractNum w:abstractNumId="128">
    <w:nsid w:val="77485850"/>
    <w:multiLevelType w:val="hybridMultilevel"/>
    <w:lvl w:ilvl="0">
      <w:lvlJc w:val="left"/>
      <w:lvlText w:val="(%1)"/>
      <w:numFmt w:val="lowerLetter"/>
      <w:start w:val="3"/>
    </w:lvl>
  </w:abstractNum>
  <w:abstractNum w:abstractNumId="129">
    <w:nsid w:val="744939A3"/>
    <w:multiLevelType w:val="hybridMultilevel"/>
    <w:lvl w:ilvl="0">
      <w:lvlJc w:val="left"/>
      <w:lvlText w:val="(%1)"/>
      <w:numFmt w:val="lowerLetter"/>
      <w:start w:val="4"/>
    </w:lvl>
  </w:abstractNum>
  <w:abstractNum w:abstractNumId="130">
    <w:nsid w:val="4FA0D2E3"/>
    <w:multiLevelType w:val="hybridMultilevel"/>
    <w:lvl w:ilvl="0">
      <w:lvlJc w:val="left"/>
      <w:lvlText w:val="(%1)"/>
      <w:numFmt w:val="lowerLetter"/>
      <w:start w:val="1"/>
    </w:lvl>
    <w:lvl w:ilvl="1">
      <w:lvlJc w:val="left"/>
      <w:lvlText w:val="(%2)"/>
      <w:numFmt w:val="decimal"/>
      <w:start w:val="1"/>
    </w:lvl>
  </w:abstractNum>
  <w:abstractNum w:abstractNumId="131">
    <w:nsid w:val="6B1D2C1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32">
    <w:nsid w:val="68B867D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33">
    <w:nsid w:val="3F7F5DD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34">
    <w:nsid w:val="2AE05A34"/>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35">
    <w:nsid w:val="32794FF7"/>
    <w:multiLevelType w:val="hybridMultilevel"/>
    <w:lvl w:ilvl="0">
      <w:lvlJc w:val="left"/>
      <w:lvlText w:val="(%1)"/>
      <w:numFmt w:val="lowerLetter"/>
      <w:start w:val="5"/>
    </w:lvl>
  </w:abstractNum>
  <w:abstractNum w:abstractNumId="136">
    <w:nsid w:val="5454945E"/>
    <w:multiLevelType w:val="hybridMultilevel"/>
    <w:lvl w:ilvl="0">
      <w:lvlJc w:val="left"/>
      <w:lvlText w:val="(%1)"/>
      <w:numFmt w:val="lowerLetter"/>
      <w:start w:val="1"/>
    </w:lvl>
  </w:abstractNum>
  <w:abstractNum w:abstractNumId="137">
    <w:nsid w:val="4DEFDFA0"/>
    <w:multiLevelType w:val="hybridMultilevel"/>
    <w:lvl w:ilvl="0">
      <w:lvlJc w:val="left"/>
      <w:lvlText w:val="(%1)"/>
      <w:numFmt w:val="lowerLetter"/>
      <w:start w:val="3"/>
    </w:lvl>
  </w:abstractNum>
  <w:abstractNum w:abstractNumId="138">
    <w:nsid w:val="2123D5F2"/>
    <w:multiLevelType w:val="hybridMultilevel"/>
    <w:lvl w:ilvl="0">
      <w:lvlJc w:val="left"/>
      <w:lvlText w:val="(%1)"/>
      <w:numFmt w:val="lowerLetter"/>
      <w:start w:val="7"/>
    </w:lvl>
    <w:lvl w:ilvl="1">
      <w:lvlJc w:val="left"/>
      <w:lvlText w:val="(%2)"/>
      <w:numFmt w:val="decimal"/>
      <w:start w:val="1"/>
    </w:lvl>
  </w:abstractNum>
  <w:abstractNum w:abstractNumId="139">
    <w:nsid w:val="135B8110"/>
    <w:multiLevelType w:val="hybridMultilevel"/>
    <w:lvl w:ilvl="0">
      <w:lvlJc w:val="left"/>
      <w:lvlText w:val="(%1)"/>
      <w:numFmt w:val="lowerLetter"/>
      <w:start w:val="8"/>
    </w:lvl>
    <w:lvl w:ilvl="1">
      <w:lvlJc w:val="left"/>
      <w:lvlText w:val="(%2)"/>
      <w:numFmt w:val="decimal"/>
      <w:start w:val="1"/>
    </w:lvl>
  </w:abstractNum>
  <w:abstractNum w:abstractNumId="140">
    <w:nsid w:val="94927A8"/>
    <w:multiLevelType w:val="hybridMultilevel"/>
    <w:lvl w:ilvl="0">
      <w:lvlJc w:val="left"/>
      <w:lvlText w:val="(%1)"/>
      <w:numFmt w:val="decimal"/>
      <w:start w:val="3"/>
    </w:lvl>
  </w:abstractNum>
  <w:abstractNum w:abstractNumId="141">
    <w:nsid w:val="DCDF8F6"/>
    <w:multiLevelType w:val="hybridMultilevel"/>
    <w:lvl w:ilvl="0">
      <w:lvlJc w:val="left"/>
      <w:lvlText w:val="(%1)"/>
      <w:numFmt w:val="lowerLetter"/>
      <w:start w:val="11"/>
    </w:lvl>
  </w:abstractNum>
  <w:abstractNum w:abstractNumId="142">
    <w:nsid w:val="52D7B105"/>
    <w:multiLevelType w:val="hybridMultilevel"/>
    <w:lvl w:ilvl="0">
      <w:lvlJc w:val="left"/>
      <w:lvlText w:val="(%1)"/>
      <w:numFmt w:val="lowerLetter"/>
      <w:start w:val="1"/>
    </w:lvl>
  </w:abstractNum>
  <w:abstractNum w:abstractNumId="143">
    <w:nsid w:val="2E8A6394"/>
    <w:multiLevelType w:val="hybridMultilevel"/>
    <w:lvl w:ilvl="0">
      <w:lvlJc w:val="left"/>
      <w:lvlText w:val="(%1)"/>
      <w:numFmt w:val="lowerLetter"/>
      <w:start w:val="3"/>
    </w:lvl>
  </w:abstractNum>
  <w:abstractNum w:abstractNumId="144">
    <w:nsid w:val="24E60401"/>
    <w:multiLevelType w:val="hybridMultilevel"/>
    <w:lvl w:ilvl="0">
      <w:lvlJc w:val="left"/>
      <w:lvlText w:val="(%1)"/>
      <w:numFmt w:val="lowerLetter"/>
      <w:start w:val="1"/>
    </w:lvl>
    <w:lvl w:ilvl="1">
      <w:lvlJc w:val="left"/>
      <w:lvlText w:val="(%2)"/>
      <w:numFmt w:val="decimal"/>
      <w:start w:val="1"/>
    </w:lvl>
  </w:abstractNum>
  <w:abstractNum w:abstractNumId="145">
    <w:nsid w:val="2A6AD9BE"/>
    <w:multiLevelType w:val="hybridMultilevel"/>
    <w:lvl w:ilvl="0">
      <w:lvlJc w:val="left"/>
      <w:lvlText w:val="(%1)"/>
      <w:numFmt w:val="lowerLetter"/>
      <w:start w:val="1"/>
    </w:lvl>
  </w:abstractNum>
  <w:abstractNum w:abstractNumId="146">
    <w:nsid w:val="BAAC1B4"/>
    <w:multiLevelType w:val="hybridMultilevel"/>
    <w:lvl w:ilvl="0">
      <w:lvlJc w:val="left"/>
      <w:lvlText w:val="(%1)"/>
      <w:numFmt w:val="lowerLetter"/>
      <w:start w:val="12"/>
    </w:lvl>
  </w:abstractNum>
  <w:abstractNum w:abstractNumId="147">
    <w:nsid w:val="36B2ACBC"/>
    <w:multiLevelType w:val="hybridMultilevel"/>
    <w:lvl w:ilvl="0">
      <w:lvlJc w:val="left"/>
      <w:lvlText w:val="(%1)"/>
      <w:numFmt w:val="lowerLetter"/>
      <w:start w:val="1"/>
    </w:lvl>
  </w:abstractNum>
  <w:abstractNum w:abstractNumId="148">
    <w:nsid w:val="779D8544"/>
    <w:multiLevelType w:val="hybridMultilevel"/>
    <w:lvl w:ilvl="0">
      <w:lvlJc w:val="left"/>
      <w:lvlText w:val="(%1)"/>
      <w:numFmt w:val="lowerLetter"/>
      <w:start w:val="1"/>
    </w:lvl>
    <w:lvl w:ilvl="1">
      <w:lvlJc w:val="left"/>
      <w:lvlText w:val="(%2)"/>
      <w:numFmt w:val="decimal"/>
      <w:start w:val="1"/>
    </w:lvl>
  </w:abstractNum>
  <w:abstractNum w:abstractNumId="149">
    <w:nsid w:val="4AB26E78"/>
    <w:multiLevelType w:val="hybridMultilevel"/>
    <w:lvl w:ilvl="0">
      <w:lvlJc w:val="left"/>
      <w:lvlText w:val="%1"/>
      <w:numFmt w:val="lowerLetter"/>
      <w:start w:val="1"/>
    </w:lvl>
    <w:lvl w:ilvl="1">
      <w:lvlJc w:val="left"/>
      <w:lvlText w:val="(%2)"/>
      <w:numFmt w:val="decimal"/>
      <w:start w:val="4"/>
    </w:lvl>
  </w:abstractNum>
  <w:abstractNum w:abstractNumId="150">
    <w:nsid w:val="21FAA2FA"/>
    <w:multiLevelType w:val="hybridMultilevel"/>
    <w:lvl w:ilvl="0">
      <w:lvlJc w:val="left"/>
      <w:lvlText w:val="(%1)"/>
      <w:numFmt w:val="lowerLetter"/>
      <w:start w:val="3"/>
    </w:lvl>
    <w:lvl w:ilvl="1">
      <w:lvlJc w:val="left"/>
      <w:lvlText w:val="%2"/>
      <w:numFmt w:val="decimal"/>
      <w:start w:val="1"/>
    </w:lvl>
  </w:abstractNum>
  <w:abstractNum w:abstractNumId="151">
    <w:nsid w:val="5451CF49"/>
    <w:multiLevelType w:val="hybridMultilevel"/>
    <w:lvl w:ilvl="0">
      <w:lvlJc w:val="left"/>
      <w:lvlText w:val="(%1)"/>
      <w:numFmt w:val="lowerLetter"/>
      <w:start w:val="1"/>
    </w:lvl>
  </w:abstractNum>
  <w:abstractNum w:abstractNumId="152">
    <w:nsid w:val="6181EF69"/>
    <w:multiLevelType w:val="hybridMultilevel"/>
    <w:lvl w:ilvl="0">
      <w:lvlJc w:val="left"/>
      <w:lvlText w:val="(%1)"/>
      <w:numFmt w:val="lowerLetter"/>
      <w:start w:val="1"/>
    </w:lvl>
    <w:lvl w:ilvl="1">
      <w:lvlJc w:val="left"/>
      <w:lvlText w:val="(%2)"/>
      <w:numFmt w:val="decimal"/>
      <w:start w:val="1"/>
    </w:lvl>
  </w:abstractNum>
  <w:abstractNum w:abstractNumId="153">
    <w:nsid w:val="3E6400E6"/>
    <w:multiLevelType w:val="hybridMultilevel"/>
    <w:lvl w:ilvl="0">
      <w:lvlJc w:val="left"/>
      <w:lvlText w:val="(%1)"/>
      <w:numFmt w:val="lowerLetter"/>
      <w:start w:val="5"/>
    </w:lvl>
  </w:abstractNum>
  <w:abstractNum w:abstractNumId="154">
    <w:nsid w:val="14217E23"/>
    <w:multiLevelType w:val="hybridMultilevel"/>
    <w:lvl w:ilvl="0">
      <w:lvlJc w:val="left"/>
      <w:lvlText w:val="(%1)"/>
      <w:numFmt w:val="lowerLetter"/>
      <w:start w:val="1"/>
    </w:lvl>
  </w:abstractNum>
  <w:abstractNum w:abstractNumId="155">
    <w:nsid w:val="710757D0"/>
    <w:multiLevelType w:val="hybridMultilevel"/>
    <w:lvl w:ilvl="0">
      <w:lvlJc w:val="left"/>
      <w:lvlText w:val="(%1)"/>
      <w:numFmt w:val="lowerLetter"/>
      <w:start w:val="1"/>
    </w:lvl>
  </w:abstractNum>
  <w:abstractNum w:abstractNumId="156">
    <w:nsid w:val="5015CD1A"/>
    <w:multiLevelType w:val="hybridMultilevel"/>
    <w:lvl w:ilvl="0">
      <w:lvlJc w:val="left"/>
      <w:lvlText w:val="(%1)"/>
      <w:numFmt w:val="lowerLetter"/>
      <w:start w:val="1"/>
    </w:lvl>
  </w:abstractNum>
  <w:abstractNum w:abstractNumId="157">
    <w:nsid w:val="424479DA"/>
    <w:multiLevelType w:val="hybridMultilevel"/>
    <w:lvl w:ilvl="0">
      <w:lvlJc w:val="left"/>
      <w:lvlText w:val="(%1)"/>
      <w:numFmt w:val="lowerLetter"/>
      <w:start w:val="1"/>
    </w:lvl>
    <w:lvl w:ilvl="1">
      <w:lvlJc w:val="left"/>
      <w:lvlText w:val="(%2)"/>
      <w:numFmt w:val="decimal"/>
      <w:start w:val="1"/>
    </w:lvl>
  </w:abstractNum>
  <w:abstractNum w:abstractNumId="158">
    <w:nsid w:val="1A9A9E69"/>
    <w:multiLevelType w:val="hybridMultilevel"/>
    <w:lvl w:ilvl="0">
      <w:lvlJc w:val="left"/>
      <w:lvlText w:val="(%1)"/>
      <w:numFmt w:val="lowerLetter"/>
      <w:start w:val="2"/>
    </w:lvl>
  </w:abstractNum>
  <w:abstractNum w:abstractNumId="159">
    <w:nsid w:val="475E256A"/>
    <w:multiLevelType w:val="hybridMultilevel"/>
    <w:lvl w:ilvl="0">
      <w:lvlJc w:val="left"/>
      <w:lvlText w:val="(%1)"/>
      <w:numFmt w:val="lowerLetter"/>
      <w:start w:val="1"/>
    </w:lvl>
  </w:abstractNum>
  <w:abstractNum w:abstractNumId="160">
    <w:nsid w:val="368DB37E"/>
    <w:multiLevelType w:val="hybridMultilevel"/>
    <w:lvl w:ilvl="0">
      <w:lvlJc w:val="left"/>
      <w:lvlText w:val="(%1)"/>
      <w:numFmt w:val="lowerLetter"/>
      <w:start w:val="3"/>
    </w:lvl>
  </w:abstractNum>
  <w:abstractNum w:abstractNumId="161">
    <w:nsid w:val="6A3B714C"/>
    <w:multiLevelType w:val="hybridMultilevel"/>
    <w:lvl w:ilvl="0">
      <w:lvlJc w:val="left"/>
      <w:lvlText w:val="(%1)"/>
      <w:numFmt w:val="lowerLetter"/>
      <w:start w:val="1"/>
    </w:lvl>
    <w:lvl w:ilvl="1">
      <w:lvlJc w:val="left"/>
      <w:lvlText w:val="(%2)"/>
      <w:numFmt w:val="decimal"/>
      <w:start w:val="1"/>
    </w:lvl>
  </w:abstractNum>
  <w:abstractNum w:abstractNumId="162">
    <w:nsid w:val="327B517E"/>
    <w:multiLevelType w:val="hybridMultilevel"/>
    <w:lvl w:ilvl="0">
      <w:lvlJc w:val="left"/>
      <w:lvlText w:val="(%1)"/>
      <w:numFmt w:val="lowerLetter"/>
      <w:start w:val="2"/>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lowerLetter"/>
      <w:start w:val="1"/>
    </w:lvl>
  </w:abstractNum>
  <w:abstractNum w:abstractNumId="165">
    <w:nsid w:val="5D5BABB3"/>
    <w:multiLevelType w:val="hybridMultilevel"/>
    <w:lvl w:ilvl="0">
      <w:lvlJc w:val="left"/>
      <w:lvlText w:val="(%1)"/>
      <w:numFmt w:val="lowerLetter"/>
      <w:start w:val="2"/>
    </w:lvl>
  </w:abstractNum>
  <w:abstractNum w:abstractNumId="166">
    <w:nsid w:val="51BF6B48"/>
    <w:multiLevelType w:val="hybridMultilevel"/>
    <w:lvl w:ilvl="0">
      <w:lvlJc w:val="left"/>
      <w:lvlText w:val="(%1)"/>
      <w:numFmt w:val="lowerLetter"/>
      <w:start w:val="1"/>
    </w:lvl>
  </w:abstractNum>
  <w:abstractNum w:abstractNumId="167">
    <w:nsid w:val="7E0F6384"/>
    <w:multiLevelType w:val="hybridMultilevel"/>
    <w:lvl w:ilvl="0">
      <w:lvlJc w:val="left"/>
      <w:lvlText w:val="(%1)"/>
      <w:numFmt w:val="lowerLetter"/>
      <w:start w:val="2"/>
    </w:lvl>
  </w:abstractNum>
  <w:abstractNum w:abstractNumId="168">
    <w:nsid w:val="2B4B8B53"/>
    <w:multiLevelType w:val="hybridMultilevel"/>
    <w:lvl w:ilvl="0">
      <w:lvlJc w:val="left"/>
      <w:lvlText w:val="(%1)"/>
      <w:numFmt w:val="lowerLetter"/>
      <w:start w:val="4"/>
    </w:lvl>
  </w:abstractNum>
  <w:abstractNum w:abstractNumId="169">
    <w:nsid w:val="72E3413A"/>
    <w:multiLevelType w:val="hybridMultilevel"/>
    <w:lvl w:ilvl="0">
      <w:lvlJc w:val="left"/>
      <w:lvlText w:val="1"/>
      <w:numFmt w:val="bullet"/>
      <w:start w:val="1"/>
    </w:lvl>
  </w:abstractNum>
  <w:abstractNum w:abstractNumId="170">
    <w:nsid w:val="116AE494"/>
    <w:multiLevelType w:val="hybridMultilevel"/>
    <w:lvl w:ilvl="0">
      <w:lvlJc w:val="left"/>
      <w:lvlText w:val="(%1)"/>
      <w:numFmt w:val="decimal"/>
      <w:start w:val="1"/>
    </w:lvl>
  </w:abstractNum>
  <w:abstractNum w:abstractNumId="171">
    <w:nsid w:val="3494B2FB"/>
    <w:multiLevelType w:val="hybridMultilevel"/>
    <w:lvl w:ilvl="0">
      <w:lvlJc w:val="left"/>
      <w:lvlText w:val="(%1)"/>
      <w:numFmt w:val="decimal"/>
      <w:start w:val="2"/>
    </w:lvl>
  </w:abstractNum>
  <w:abstractNum w:abstractNumId="172">
    <w:nsid w:val="B13A31"/>
    <w:multiLevelType w:val="hybridMultilevel"/>
    <w:lvl w:ilvl="0">
      <w:lvlJc w:val="left"/>
      <w:lvlText w:val="(%1)"/>
      <w:numFmt w:val="decimal"/>
      <w:start w:val="5"/>
    </w:lvl>
    <w:lvl w:ilvl="1">
      <w:lvlJc w:val="left"/>
      <w:lvlText w:val="(%2)"/>
      <w:numFmt w:val="lowerLetter"/>
      <w:start w:val="1"/>
    </w:lvl>
  </w:abstractNum>
  <w:abstractNum w:abstractNumId="173">
    <w:nsid w:val="64429599"/>
    <w:multiLevelType w:val="hybridMultilevel"/>
    <w:lvl w:ilvl="0">
      <w:lvlJc w:val="left"/>
      <w:lvlText w:val="(%1)"/>
      <w:numFmt w:val="decimal"/>
      <w:start w:val="6"/>
    </w:lvl>
  </w:abstractNum>
  <w:abstractNum w:abstractNumId="174">
    <w:nsid w:val="631F1690"/>
    <w:multiLevelType w:val="hybridMultilevel"/>
    <w:lvl w:ilvl="0">
      <w:lvlJc w:val="left"/>
      <w:lvlText w:val="(%1)"/>
      <w:numFmt w:val="decimal"/>
      <w:start w:val="7"/>
    </w:lvl>
    <w:lvl w:ilvl="1">
      <w:lvlJc w:val="left"/>
      <w:lvlText w:val="(%2)"/>
      <w:numFmt w:val="lowerLetter"/>
      <w:start w:val="1"/>
    </w:lvl>
  </w:abstractNum>
  <w:abstractNum w:abstractNumId="175">
    <w:nsid w:val="25973E32"/>
    <w:multiLevelType w:val="hybridMultilevel"/>
    <w:lvl w:ilvl="0">
      <w:lvlJc w:val="left"/>
      <w:lvlText w:val="(%1)"/>
      <w:numFmt w:val="decimal"/>
      <w:start w:val="9"/>
    </w:lvl>
  </w:abstractNum>
  <w:abstractNum w:abstractNumId="176">
    <w:nsid w:val="EAD6F57"/>
    <w:multiLevelType w:val="hybridMultilevel"/>
    <w:lvl w:ilvl="0">
      <w:lvlJc w:val="left"/>
      <w:lvlText w:val="(%1)"/>
      <w:numFmt w:val="decimal"/>
      <w:start w:val="12"/>
    </w:lvl>
  </w:abstractNum>
  <w:abstractNum w:abstractNumId="177">
    <w:nsid w:val="6EC9D844"/>
    <w:multiLevelType w:val="hybridMultilevel"/>
    <w:lvl w:ilvl="0">
      <w:lvlJc w:val="left"/>
      <w:lvlText w:val="(%1)"/>
      <w:numFmt w:val="decimal"/>
      <w:start w:val="18"/>
    </w:lvl>
  </w:abstractNum>
  <w:abstractNum w:abstractNumId="178">
    <w:nsid w:val="5C49EAEE"/>
    <w:multiLevelType w:val="hybridMultilevel"/>
    <w:lvl w:ilvl="0">
      <w:lvlJc w:val="left"/>
      <w:lvlText w:val="*"/>
      <w:numFmt w:val="bullet"/>
      <w:start w:val="1"/>
    </w:lvl>
  </w:abstractNum>
  <w:abstractNum w:abstractNumId="179">
    <w:nsid w:val="64AF49B"/>
    <w:multiLevelType w:val="hybridMultilevel"/>
    <w:lvl w:ilvl="0">
      <w:lvlJc w:val="left"/>
      <w:lvlText w:val="*"/>
      <w:numFmt w:val="bullet"/>
      <w:start w:val="1"/>
    </w:lvl>
  </w:abstractNum>
  <w:abstractNum w:abstractNumId="180">
    <w:nsid w:val="397C46BC"/>
    <w:multiLevelType w:val="hybridMultilevel"/>
    <w:lvl w:ilvl="0">
      <w:lvlJc w:val="left"/>
      <w:lvlText w:val="*"/>
      <w:numFmt w:val="bullet"/>
      <w:start w:val="1"/>
    </w:lvl>
  </w:abstractNum>
  <w:abstractNum w:abstractNumId="181">
    <w:nsid w:val="7E448DE9"/>
    <w:multiLevelType w:val="hybridMultilevel"/>
    <w:lvl w:ilvl="0">
      <w:lvlJc w:val="left"/>
      <w:lvlText w:val="%1."/>
      <w:numFmt w:val="decimal"/>
      <w:start w:val="1"/>
    </w:lvl>
  </w:abstractNum>
  <w:abstractNum w:abstractNumId="182">
    <w:nsid w:val="5A9CC3E5"/>
    <w:multiLevelType w:val="hybridMultilevel"/>
    <w:lvl w:ilvl="0">
      <w:lvlJc w:val="left"/>
      <w:lvlText w:val="%1."/>
      <w:numFmt w:val="decimal"/>
      <w:start w:val="3"/>
    </w:lvl>
    <w:lvl w:ilvl="1">
      <w:lvlJc w:val="left"/>
      <w:lvlText w:val="(%2)"/>
      <w:numFmt w:val="lowerLetter"/>
      <w:start w:val="1"/>
    </w:lvl>
  </w:abstractNum>
  <w:abstractNum w:abstractNumId="183">
    <w:nsid w:val="1AFE3625"/>
    <w:multiLevelType w:val="hybridMultilevel"/>
    <w:lvl w:ilvl="0">
      <w:lvlJc w:val="left"/>
      <w:lvlText w:val="(%1)"/>
      <w:numFmt w:val="lowerLetter"/>
      <w:start w:val="3"/>
    </w:lvl>
  </w:abstractNum>
  <w:abstractNum w:abstractNumId="184">
    <w:nsid w:val="3CA88ECF"/>
    <w:multiLevelType w:val="hybridMultilevel"/>
    <w:lvl w:ilvl="0">
      <w:lvlJc w:val="left"/>
      <w:lvlText w:val="(%1)"/>
      <w:numFmt w:val="lowerLetter"/>
      <w:start w:val="4"/>
    </w:lvl>
  </w:abstractNum>
  <w:abstractNum w:abstractNumId="185">
    <w:nsid w:val="6EBE4208"/>
    <w:multiLevelType w:val="hybridMultilevel"/>
    <w:lvl w:ilvl="0">
      <w:lvlJc w:val="left"/>
      <w:lvlText w:val="%1."/>
      <w:numFmt w:val="decimal"/>
      <w:start w:val="4"/>
    </w:lvl>
  </w:abstractNum>
  <w:abstractNum w:abstractNumId="186">
    <w:nsid w:val="C058DF5"/>
    <w:multiLevelType w:val="hybridMultilevel"/>
    <w:lvl w:ilvl="0">
      <w:lvlJc w:val="left"/>
      <w:lvlText w:val="(%1)"/>
      <w:numFmt w:val="lowerLetter"/>
      <w:start w:val="1"/>
    </w:lvl>
  </w:abstractNum>
  <w:abstractNum w:abstractNumId="187">
    <w:nsid w:val="CBE5BE9"/>
    <w:multiLevelType w:val="hybridMultilevel"/>
    <w:lvl w:ilvl="0">
      <w:lvlJc w:val="left"/>
      <w:lvlText w:val="(%1)"/>
      <w:numFmt w:val="lowerLetter"/>
      <w:start w:val="3"/>
    </w:lvl>
  </w:abstractNum>
  <w:abstractNum w:abstractNumId="188">
    <w:nsid w:val="3102BBE2"/>
    <w:multiLevelType w:val="hybridMultilevel"/>
    <w:lvl w:ilvl="0">
      <w:lvlJc w:val="left"/>
      <w:lvlText w:val="*"/>
      <w:numFmt w:val="bullet"/>
      <w:start w:val="1"/>
    </w:lvl>
  </w:abstractNum>
  <w:abstractNum w:abstractNumId="189">
    <w:nsid w:val="26A02C5E"/>
    <w:multiLevelType w:val="hybridMultilevel"/>
    <w:lvl w:ilvl="0">
      <w:lvlJc w:val="left"/>
      <w:lvlText w:val="%1."/>
      <w:numFmt w:val="decimal"/>
      <w:start w:val="1"/>
    </w:lvl>
  </w:abstractNum>
  <w:abstractNum w:abstractNumId="190">
    <w:nsid w:val="541C81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1">
    <w:nsid w:val="67906F6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2">
    <w:nsid w:val="10DB9DAA"/>
    <w:multiLevelType w:val="hybridMultilevel"/>
    <w:lvl w:ilvl="0">
      <w:lvlJc w:val="left"/>
      <w:lvlText w:val="(%1)"/>
      <w:numFmt w:val="lowerLetter"/>
      <w:start w:val="1"/>
    </w:lvl>
    <w:lvl w:ilvl="1">
      <w:lvlJc w:val="left"/>
      <w:lvlText w:val="(%2)"/>
      <w:numFmt w:val="lowerRoman"/>
      <w:start w:val="1"/>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lowerLetter"/>
      <w:start w:val="3"/>
    </w:lvl>
  </w:abstractNum>
  <w:abstractNum w:abstractNumId="196">
    <w:nsid w:val="63F37E85"/>
    <w:multiLevelType w:val="hybridMultilevel"/>
    <w:lvl w:ilvl="0">
      <w:lvlJc w:val="left"/>
      <w:lvlText w:val="%1."/>
      <w:numFmt w:val="decimal"/>
      <w:start w:val="2"/>
    </w:lvl>
  </w:abstractNum>
  <w:abstractNum w:abstractNumId="197">
    <w:nsid w:val="5895F5FA"/>
    <w:multiLevelType w:val="hybridMultilevel"/>
    <w:lvl w:ilvl="0">
      <w:lvlJc w:val="left"/>
      <w:lvlText w:val="%1"/>
      <w:numFmt w:val="lowerLetter"/>
      <w:start w:val="1"/>
    </w:lvl>
    <w:lvl w:ilvl="1">
      <w:lvlJc w:val="left"/>
      <w:lvlText w:val="(%2)"/>
      <w:numFmt w:val="lowerLetter"/>
      <w:start w:val="1"/>
    </w:lvl>
  </w:abstractNum>
  <w:abstractNum w:abstractNumId="198">
    <w:nsid w:val="38A5D054"/>
    <w:multiLevelType w:val="hybridMultilevel"/>
    <w:lvl w:ilvl="0">
      <w:lvlJc w:val="left"/>
      <w:lvlText w:val="(%1)"/>
      <w:numFmt w:val="lowerLetter"/>
      <w:start w:val="35"/>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2024-06-05T15:39:24Z</dcterms:created>
  <dcterms:modified xsi:type="dcterms:W3CDTF">2024-06-05T15:39:24Z</dcterms:modified>
</cp:coreProperties>
</file>