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579755</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605155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5"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66"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4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May 2, 2025</w:t>
      </w:r>
    </w:p>
    <w:p>
      <w:pPr>
        <w:spacing w:after="0" w:line="18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8"/>
          <w:szCs w:val="28"/>
          <w:b w:val="1"/>
          <w:bCs w:val="1"/>
          <w:color w:val="auto"/>
        </w:rPr>
        <w:t>California Resources Corporation</w:t>
      </w:r>
    </w:p>
    <w:p>
      <w:pPr>
        <w:spacing w:after="0" w:line="5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60"/>
          </w:cols>
          <w:pgMar w:left="320" w:top="1399" w:right="419" w:bottom="1440" w:gutter="0" w:footer="0" w:header="0"/>
        </w:sectPr>
      </w:pPr>
    </w:p>
    <w:p>
      <w:pPr>
        <w:spacing w:after="0" w:line="113"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7"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5"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b w:val="1"/>
          <w:bCs w:val="1"/>
          <w:color w:val="auto"/>
        </w:rPr>
        <w:t>001-36478</w:t>
      </w:r>
    </w:p>
    <w:p>
      <w:pPr>
        <w:spacing w:after="0" w:line="21"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color w:val="auto"/>
        </w:rPr>
        <w:t>(Commission</w:t>
      </w:r>
    </w:p>
    <w:p>
      <w:pPr>
        <w:jc w:val="center"/>
        <w:ind w:right="190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46-5670947</w:t>
      </w:r>
    </w:p>
    <w:p>
      <w:pPr>
        <w:spacing w:after="0" w:line="2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02" w:lineRule="exact"/>
        <w:rPr>
          <w:sz w:val="24"/>
          <w:szCs w:val="24"/>
          <w:color w:val="auto"/>
        </w:rPr>
      </w:pPr>
    </w:p>
    <w:p>
      <w:pPr>
        <w:sectPr>
          <w:pgSz w:w="11900" w:h="16838" w:orient="portrait"/>
          <w:cols w:equalWidth="0" w:num="3">
            <w:col w:w="4380" w:space="720"/>
            <w:col w:w="2880" w:space="720"/>
            <w:col w:w="2460"/>
          </w:cols>
          <w:pgMar w:left="320" w:top="1399" w:right="419" w:bottom="1440" w:gutter="0" w:footer="0" w:header="0"/>
          <w:type w:val="continuous"/>
        </w:sect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1 World Trade Center</w:t>
      </w:r>
    </w:p>
    <w:p>
      <w:pPr>
        <w:spacing w:after="0" w:line="27"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Suite 1500</w:t>
      </w:r>
    </w:p>
    <w:p>
      <w:pPr>
        <w:spacing w:after="0" w:line="2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Long Beach</w:t>
      </w:r>
    </w:p>
    <w:p>
      <w:pPr>
        <w:spacing w:after="0" w:line="2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California</w:t>
      </w:r>
    </w:p>
    <w:p>
      <w:pPr>
        <w:spacing w:after="0" w:line="2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90831</w:t>
      </w:r>
    </w:p>
    <w:p>
      <w:pPr>
        <w:spacing w:after="0" w:line="27"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170" w:lineRule="exact"/>
        <w:rPr>
          <w:sz w:val="24"/>
          <w:szCs w:val="24"/>
          <w:color w:val="auto"/>
        </w:rPr>
      </w:pPr>
    </w:p>
    <w:p>
      <w:pPr>
        <w:sectPr>
          <w:pgSz w:w="11900" w:h="16838" w:orient="portrait"/>
          <w:cols w:equalWidth="0" w:num="2">
            <w:col w:w="7300" w:space="720"/>
            <w:col w:w="3140"/>
          </w:cols>
          <w:pgMar w:left="320" w:top="1399" w:right="41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848-4754</w:t>
      </w:r>
    </w:p>
    <w:p>
      <w:pPr>
        <w:spacing w:after="0" w:line="168"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66" w:lineRule="exact"/>
        <w:rPr>
          <w:sz w:val="24"/>
          <w:szCs w:val="24"/>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70" w:lineRule="exact"/>
        <w:rPr>
          <w:sz w:val="24"/>
          <w:szCs w:val="24"/>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5"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22"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5"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60"/>
          </w:cols>
          <w:pgMar w:left="320" w:top="1399" w:right="419" w:bottom="1440" w:gutter="0" w:footer="0" w:header="0"/>
          <w:type w:val="continuous"/>
        </w:sectPr>
      </w:pPr>
    </w:p>
    <w:p>
      <w:pPr>
        <w:spacing w:after="0" w:line="12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3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3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CRC</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39"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160" w:lineRule="exact"/>
        <w:rPr>
          <w:sz w:val="24"/>
          <w:szCs w:val="24"/>
          <w:color w:val="auto"/>
        </w:rPr>
      </w:pPr>
    </w:p>
    <w:p>
      <w:pPr>
        <w:sectPr>
          <w:pgSz w:w="11900" w:h="16838" w:orient="portrait"/>
          <w:cols w:equalWidth="0" w:num="3">
            <w:col w:w="3480" w:space="720"/>
            <w:col w:w="2280" w:space="720"/>
            <w:col w:w="3960"/>
          </w:cols>
          <w:pgMar w:left="320" w:top="1399" w:right="419" w:bottom="1440" w:gutter="0" w:footer="0" w:header="0"/>
          <w:type w:val="continuous"/>
        </w:sectPr>
      </w:pPr>
    </w:p>
    <w:p>
      <w:pPr>
        <w:ind w:right="220"/>
        <w:spacing w:after="0" w:line="27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63"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229" w:lineRule="exact"/>
        <w:rPr>
          <w:sz w:val="24"/>
          <w:szCs w:val="24"/>
          <w:color w:val="auto"/>
        </w:rPr>
      </w:pPr>
    </w:p>
    <w:p>
      <w:pPr>
        <w:ind w:right="40"/>
        <w:spacing w:after="0" w:line="24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759460</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205105</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230505</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60"/>
          </w:cols>
          <w:pgMar w:left="320" w:top="1399" w:right="419" w:bottom="1440" w:gutter="0" w:footer="0" w:header="0"/>
          <w:type w:val="continuous"/>
        </w:sectPr>
      </w:pPr>
    </w:p>
    <w:bookmarkStart w:id="1" w:name="page2"/>
    <w:bookmarkEnd w:id="1"/>
    <w:p>
      <w:pPr>
        <w:spacing w:after="0" w:line="30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1"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On May 6, 2025, California Resources Corporation (the “Company”) issued a press release announcing its financial condition and results of operations for the three months ended March 31, 2025. A copy of the press release is furnished as Exhibit 99.1 to this report on Form 8-K, and is incorporated herein by reference.</w:t>
      </w:r>
    </w:p>
    <w:p>
      <w:pPr>
        <w:spacing w:after="0" w:line="17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2.02 and the exhibit hereto shall not be deemed to be “filed” for purposes of Section 18 of the Securities Exchange Act of 1934, as amended (the “Exchange Act”), and shall not be incorporated by reference into any filings made by the Company under the Securities Act of 1933, as amended, or the Exchange Act, except as may be expressly set forth by specific reference in such filing.</w:t>
      </w:r>
    </w:p>
    <w:p>
      <w:pPr>
        <w:spacing w:after="0" w:line="38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08" w:lineRule="exact"/>
        <w:rPr>
          <w:sz w:val="20"/>
          <w:szCs w:val="20"/>
          <w:color w:val="auto"/>
        </w:rPr>
      </w:pPr>
    </w:p>
    <w:p>
      <w:pPr>
        <w:ind w:left="660" w:hanging="636"/>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held its 2025 Annual Meeting of Stockholders (the “Annual Meeting”) on May 2, 2025.</w:t>
      </w:r>
    </w:p>
    <w:p>
      <w:pPr>
        <w:spacing w:after="0" w:line="286" w:lineRule="exact"/>
        <w:rPr>
          <w:rFonts w:ascii="Times New Roman" w:cs="Times New Roman" w:eastAsia="Times New Roman" w:hAnsi="Times New Roman"/>
          <w:sz w:val="18"/>
          <w:szCs w:val="18"/>
          <w:color w:val="auto"/>
        </w:rPr>
      </w:pPr>
    </w:p>
    <w:p>
      <w:pPr>
        <w:ind w:left="660" w:right="1260" w:hanging="636"/>
        <w:spacing w:after="0" w:line="228"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actions were taken at the Annual Meeting, for which proxies were solicited pursuant to Regulation 14A under the Exchange Act, and the final number of votes cast for, against or withheld, abstentions and broker non-votes for each matter are set forth below:</w:t>
      </w:r>
    </w:p>
    <w:p>
      <w:pPr>
        <w:spacing w:after="0" w:line="26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7"/>
          <w:szCs w:val="17"/>
          <w:color w:val="auto"/>
        </w:rPr>
        <w:t>The nine director nominees named in the Company’s proxy statement were elected with the following votes:</w:t>
      </w:r>
    </w:p>
    <w:p>
      <w:pPr>
        <w:spacing w:after="0" w:line="271" w:lineRule="exact"/>
        <w:rPr>
          <w:sz w:val="20"/>
          <w:szCs w:val="20"/>
          <w:color w:val="auto"/>
        </w:rPr>
      </w:pPr>
    </w:p>
    <w:tbl>
      <w:tblPr>
        <w:tblLayout w:type="fixed"/>
        <w:tblInd w:w="1280" w:type="dxa"/>
        <w:tblCellMar>
          <w:top w:w="0" w:type="dxa"/>
          <w:left w:w="0" w:type="dxa"/>
          <w:bottom w:w="0" w:type="dxa"/>
          <w:right w:w="0" w:type="dxa"/>
        </w:tblCellMar>
      </w:tblPr>
      <w:tr>
        <w:trPr>
          <w:trHeight w:val="207"/>
        </w:trPr>
        <w:tc>
          <w:tcPr>
            <w:tcW w:w="2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1980" w:type="dxa"/>
            <w:vAlign w:val="bottom"/>
            <w:gridSpan w:val="3"/>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For</w:t>
            </w:r>
          </w:p>
        </w:tc>
        <w:tc>
          <w:tcPr>
            <w:tcW w:w="1460" w:type="dxa"/>
            <w:vAlign w:val="bottom"/>
            <w:gridSpan w:val="2"/>
            <w:vMerge w:val="restart"/>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w w:val="94"/>
              </w:rPr>
              <w:t>Withheld</w:t>
            </w:r>
          </w:p>
        </w:tc>
        <w:tc>
          <w:tcPr>
            <w:tcW w:w="120" w:type="dxa"/>
            <w:vAlign w:val="bottom"/>
          </w:tcPr>
          <w:p>
            <w:pPr>
              <w:spacing w:after="0"/>
              <w:rPr>
                <w:sz w:val="17"/>
                <w:szCs w:val="17"/>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w:t>
            </w:r>
          </w:p>
        </w:tc>
        <w:tc>
          <w:tcPr>
            <w:tcW w:w="4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620" w:type="dxa"/>
            <w:vAlign w:val="bottom"/>
            <w:gridSpan w:val="2"/>
            <w:vMerge w:val="continue"/>
          </w:tcPr>
          <w:p>
            <w:pPr>
              <w:spacing w:after="0"/>
              <w:rPr>
                <w:sz w:val="14"/>
                <w:szCs w:val="14"/>
                <w:color w:val="auto"/>
              </w:rPr>
            </w:pPr>
          </w:p>
        </w:tc>
        <w:tc>
          <w:tcPr>
            <w:tcW w:w="1980" w:type="dxa"/>
            <w:vAlign w:val="bottom"/>
            <w:gridSpan w:val="3"/>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060" w:type="dxa"/>
            <w:vAlign w:val="bottom"/>
            <w:gridSpan w:val="4"/>
          </w:tcPr>
          <w:p>
            <w:pPr>
              <w:jc w:val="center"/>
              <w:ind w:right="280"/>
              <w:spacing w:after="0" w:line="167" w:lineRule="exact"/>
              <w:rPr>
                <w:sz w:val="20"/>
                <w:szCs w:val="20"/>
                <w:color w:val="auto"/>
              </w:rPr>
            </w:pPr>
            <w:r>
              <w:rPr>
                <w:rFonts w:ascii="Times New Roman" w:cs="Times New Roman" w:eastAsia="Times New Roman" w:hAnsi="Times New Roman"/>
                <w:sz w:val="18"/>
                <w:szCs w:val="18"/>
                <w:b w:val="1"/>
                <w:bCs w:val="1"/>
                <w:color w:val="auto"/>
                <w:w w:val="96"/>
              </w:rPr>
              <w:t>Non-Votes</w:t>
            </w: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Bremner</w:t>
            </w:r>
          </w:p>
        </w:tc>
        <w:tc>
          <w:tcPr>
            <w:tcW w:w="19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84,068,905</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209,401</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2,591,451</w:t>
            </w:r>
          </w:p>
        </w:tc>
        <w:tc>
          <w:tcPr>
            <w:tcW w:w="0" w:type="dxa"/>
            <w:vAlign w:val="bottom"/>
          </w:tcPr>
          <w:p>
            <w:pPr>
              <w:spacing w:after="0"/>
              <w:rPr>
                <w:sz w:val="1"/>
                <w:szCs w:val="1"/>
                <w:color w:val="auto"/>
              </w:rPr>
            </w:pPr>
          </w:p>
        </w:tc>
      </w:tr>
      <w:tr>
        <w:trPr>
          <w:trHeight w:val="227"/>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Tiffany (TJ) Thom Cepak</w:t>
            </w:r>
          </w:p>
        </w:tc>
        <w:tc>
          <w:tcPr>
            <w:tcW w:w="19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84,077,462</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200,844</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2,591,451</w:t>
            </w:r>
          </w:p>
        </w:tc>
        <w:tc>
          <w:tcPr>
            <w:tcW w:w="0" w:type="dxa"/>
            <w:vAlign w:val="bottom"/>
          </w:tcPr>
          <w:p>
            <w:pPr>
              <w:spacing w:after="0"/>
              <w:rPr>
                <w:sz w:val="1"/>
                <w:szCs w:val="1"/>
                <w:color w:val="auto"/>
              </w:rPr>
            </w:pPr>
          </w:p>
        </w:tc>
      </w:tr>
      <w:tr>
        <w:trPr>
          <w:trHeight w:val="227"/>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N. Chapman</w:t>
            </w:r>
          </w:p>
        </w:tc>
        <w:tc>
          <w:tcPr>
            <w:tcW w:w="19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84,068,013</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210,293</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2,591,451</w:t>
            </w:r>
          </w:p>
        </w:tc>
        <w:tc>
          <w:tcPr>
            <w:tcW w:w="0" w:type="dxa"/>
            <w:vAlign w:val="bottom"/>
          </w:tcPr>
          <w:p>
            <w:pPr>
              <w:spacing w:after="0"/>
              <w:rPr>
                <w:sz w:val="1"/>
                <w:szCs w:val="1"/>
                <w:color w:val="auto"/>
              </w:rPr>
            </w:pPr>
          </w:p>
        </w:tc>
      </w:tr>
      <w:tr>
        <w:trPr>
          <w:trHeight w:val="227"/>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R. Jackson</w:t>
            </w:r>
          </w:p>
        </w:tc>
        <w:tc>
          <w:tcPr>
            <w:tcW w:w="19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84,067,047</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211,259</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2,591,451</w:t>
            </w:r>
          </w:p>
        </w:tc>
        <w:tc>
          <w:tcPr>
            <w:tcW w:w="0" w:type="dxa"/>
            <w:vAlign w:val="bottom"/>
          </w:tcPr>
          <w:p>
            <w:pPr>
              <w:spacing w:after="0"/>
              <w:rPr>
                <w:sz w:val="1"/>
                <w:szCs w:val="1"/>
                <w:color w:val="auto"/>
              </w:rPr>
            </w:pPr>
          </w:p>
        </w:tc>
      </w:tr>
      <w:tr>
        <w:trPr>
          <w:trHeight w:val="227"/>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Christian S. Kendall</w:t>
            </w:r>
          </w:p>
        </w:tc>
        <w:tc>
          <w:tcPr>
            <w:tcW w:w="19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82,829,750</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1,448,556</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2,591,451</w:t>
            </w:r>
          </w:p>
        </w:tc>
        <w:tc>
          <w:tcPr>
            <w:tcW w:w="0" w:type="dxa"/>
            <w:vAlign w:val="bottom"/>
          </w:tcPr>
          <w:p>
            <w:pPr>
              <w:spacing w:after="0"/>
              <w:rPr>
                <w:sz w:val="1"/>
                <w:szCs w:val="1"/>
                <w:color w:val="auto"/>
              </w:rPr>
            </w:pPr>
          </w:p>
        </w:tc>
      </w:tr>
      <w:tr>
        <w:trPr>
          <w:trHeight w:val="227"/>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Francisco J. Leon</w:t>
            </w:r>
          </w:p>
        </w:tc>
        <w:tc>
          <w:tcPr>
            <w:tcW w:w="19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84,105,518</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172,788</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2,591,451</w:t>
            </w:r>
          </w:p>
        </w:tc>
        <w:tc>
          <w:tcPr>
            <w:tcW w:w="0" w:type="dxa"/>
            <w:vAlign w:val="bottom"/>
          </w:tcPr>
          <w:p>
            <w:pPr>
              <w:spacing w:after="0"/>
              <w:rPr>
                <w:sz w:val="1"/>
                <w:szCs w:val="1"/>
                <w:color w:val="auto"/>
              </w:rPr>
            </w:pPr>
          </w:p>
        </w:tc>
      </w:tr>
      <w:tr>
        <w:trPr>
          <w:trHeight w:val="227"/>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A. (Mac) McFarland</w:t>
            </w:r>
          </w:p>
        </w:tc>
        <w:tc>
          <w:tcPr>
            <w:tcW w:w="19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84,115,863</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162,443</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2,591,451</w:t>
            </w:r>
          </w:p>
        </w:tc>
        <w:tc>
          <w:tcPr>
            <w:tcW w:w="0" w:type="dxa"/>
            <w:vAlign w:val="bottom"/>
          </w:tcPr>
          <w:p>
            <w:pPr>
              <w:spacing w:after="0"/>
              <w:rPr>
                <w:sz w:val="1"/>
                <w:szCs w:val="1"/>
                <w:color w:val="auto"/>
              </w:rPr>
            </w:pPr>
          </w:p>
        </w:tc>
      </w:tr>
      <w:tr>
        <w:trPr>
          <w:trHeight w:val="227"/>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B. Roby</w:t>
            </w:r>
          </w:p>
        </w:tc>
        <w:tc>
          <w:tcPr>
            <w:tcW w:w="19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83,359,898</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918,408</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2,591,451</w:t>
            </w:r>
          </w:p>
        </w:tc>
        <w:tc>
          <w:tcPr>
            <w:tcW w:w="0" w:type="dxa"/>
            <w:vAlign w:val="bottom"/>
          </w:tcPr>
          <w:p>
            <w:pPr>
              <w:spacing w:after="0"/>
              <w:rPr>
                <w:sz w:val="1"/>
                <w:szCs w:val="1"/>
                <w:color w:val="auto"/>
              </w:rPr>
            </w:pPr>
          </w:p>
        </w:tc>
      </w:tr>
      <w:tr>
        <w:trPr>
          <w:trHeight w:val="227"/>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Bobby Saadati</w:t>
            </w:r>
          </w:p>
        </w:tc>
        <w:tc>
          <w:tcPr>
            <w:tcW w:w="19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84,047,722</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230,584</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2,591,451</w:t>
            </w:r>
          </w:p>
        </w:tc>
        <w:tc>
          <w:tcPr>
            <w:tcW w:w="0" w:type="dxa"/>
            <w:vAlign w:val="bottom"/>
          </w:tcPr>
          <w:p>
            <w:pPr>
              <w:spacing w:after="0"/>
              <w:rPr>
                <w:sz w:val="1"/>
                <w:szCs w:val="1"/>
                <w:color w:val="auto"/>
              </w:rPr>
            </w:pPr>
          </w:p>
        </w:tc>
      </w:tr>
      <w:tr>
        <w:trPr>
          <w:trHeight w:val="232"/>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Alejandra (Ale) Veltmann</w:t>
            </w:r>
          </w:p>
        </w:tc>
        <w:tc>
          <w:tcPr>
            <w:tcW w:w="19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83,575,787</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702,519</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2,591,451</w:t>
            </w: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1280" w:right="1280" w:hanging="629"/>
        <w:spacing w:after="0" w:line="246" w:lineRule="auto"/>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selection of KPMG LLP as the Company’s independent registered public accounting firm for the fiscal year ending December 31, 2025 was approved. The proposal received 86,649,932 votes for; 139,327 votes against; and 80,498 abstentions.</w:t>
      </w:r>
    </w:p>
    <w:p>
      <w:pPr>
        <w:spacing w:after="0" w:line="283" w:lineRule="exact"/>
        <w:rPr>
          <w:rFonts w:ascii="Times New Roman" w:cs="Times New Roman" w:eastAsia="Times New Roman" w:hAnsi="Times New Roman"/>
          <w:sz w:val="18"/>
          <w:szCs w:val="18"/>
          <w:color w:val="auto"/>
        </w:rPr>
      </w:pPr>
    </w:p>
    <w:p>
      <w:pPr>
        <w:ind w:left="1280" w:right="1480" w:hanging="629"/>
        <w:spacing w:after="0" w:line="261" w:lineRule="auto"/>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advisory vote to approve named executive officer compensation was approved. The proposal received 83,816,614 votes for; 309,387 votes against; 152,305 abstentions; and 2,591,451 broker non-votes.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 w:name="page3"/>
    <w:bookmarkEnd w:id="2"/>
    <w:p>
      <w:pPr>
        <w:spacing w:after="0" w:line="38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240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493"/>
        </w:trPr>
        <w:tc>
          <w:tcPr>
            <w:tcW w:w="244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400" w:type="dxa"/>
            <w:vAlign w:val="bottom"/>
          </w:tcPr>
          <w:p>
            <w:pPr>
              <w:spacing w:after="0"/>
              <w:rPr>
                <w:sz w:val="24"/>
                <w:szCs w:val="24"/>
                <w:color w:val="auto"/>
              </w:rPr>
            </w:pPr>
          </w:p>
        </w:tc>
        <w:tc>
          <w:tcPr>
            <w:tcW w:w="3340" w:type="dxa"/>
            <w:vAlign w:val="bottom"/>
          </w:tcPr>
          <w:p>
            <w:pPr>
              <w:ind w:left="16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6"/>
        </w:trPr>
        <w:tc>
          <w:tcPr>
            <w:tcW w:w="2440" w:type="dxa"/>
            <w:vAlign w:val="bottom"/>
          </w:tcPr>
          <w:p>
            <w:pPr>
              <w:jc w:val="right"/>
              <w:ind w:right="971"/>
              <w:spacing w:after="0"/>
              <w:rPr>
                <w:sz w:val="20"/>
                <w:szCs w:val="20"/>
                <w:color w:val="auto"/>
              </w:rPr>
            </w:pPr>
            <w:r>
              <w:rPr>
                <w:rFonts w:ascii="Times New Roman" w:cs="Times New Roman" w:eastAsia="Times New Roman" w:hAnsi="Times New Roman"/>
                <w:sz w:val="18"/>
                <w:szCs w:val="18"/>
                <w:color w:val="auto"/>
              </w:rPr>
              <w:t>99.1</w:t>
            </w:r>
          </w:p>
        </w:tc>
        <w:tc>
          <w:tcPr>
            <w:tcW w:w="24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Press Release dated May 6, 2025.</w:t>
            </w:r>
          </w:p>
        </w:tc>
        <w:tc>
          <w:tcPr>
            <w:tcW w:w="3340" w:type="dxa"/>
            <w:vAlign w:val="bottom"/>
          </w:tcPr>
          <w:p>
            <w:pPr>
              <w:spacing w:after="0"/>
              <w:rPr>
                <w:sz w:val="19"/>
                <w:szCs w:val="19"/>
                <w:color w:val="auto"/>
              </w:rPr>
            </w:pPr>
          </w:p>
        </w:tc>
      </w:tr>
      <w:tr>
        <w:trPr>
          <w:trHeight w:val="287"/>
        </w:trPr>
        <w:tc>
          <w:tcPr>
            <w:tcW w:w="2440" w:type="dxa"/>
            <w:vAlign w:val="bottom"/>
          </w:tcPr>
          <w:p>
            <w:pPr>
              <w:jc w:val="right"/>
              <w:ind w:right="991"/>
              <w:spacing w:after="0"/>
              <w:rPr>
                <w:sz w:val="20"/>
                <w:szCs w:val="20"/>
                <w:color w:val="auto"/>
              </w:rPr>
            </w:pPr>
            <w:r>
              <w:rPr>
                <w:rFonts w:ascii="Times New Roman" w:cs="Times New Roman" w:eastAsia="Times New Roman" w:hAnsi="Times New Roman"/>
                <w:sz w:val="18"/>
                <w:szCs w:val="18"/>
                <w:color w:val="auto"/>
              </w:rPr>
              <w:t>104</w:t>
            </w:r>
          </w:p>
        </w:tc>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1" w:lineRule="exact"/>
        <w:rPr>
          <w:sz w:val="20"/>
          <w:szCs w:val="20"/>
          <w:color w:val="auto"/>
        </w:rPr>
      </w:pPr>
    </w:p>
    <w:p>
      <w:pPr>
        <w:ind w:right="460" w:firstLine="640"/>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 Michael L. Preston</w:t>
      </w:r>
    </w:p>
    <w:p>
      <w:pPr>
        <w:spacing w:after="0" w:line="25" w:lineRule="exact"/>
        <w:rPr>
          <w:sz w:val="20"/>
          <w:szCs w:val="20"/>
          <w:color w:val="auto"/>
        </w:rPr>
      </w:pPr>
    </w:p>
    <w:tbl>
      <w:tblPr>
        <w:tblLayout w:type="fixed"/>
        <w:tblInd w:w="4800" w:type="dxa"/>
        <w:tblCellMar>
          <w:top w:w="0" w:type="dxa"/>
          <w:left w:w="0" w:type="dxa"/>
          <w:bottom w:w="0" w:type="dxa"/>
          <w:right w:w="0" w:type="dxa"/>
        </w:tblCellMar>
      </w:tblPr>
      <w:tr>
        <w:trPr>
          <w:trHeight w:val="215"/>
        </w:trPr>
        <w:tc>
          <w:tcPr>
            <w:tcW w:w="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7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Michael L. Preston</w:t>
            </w:r>
          </w:p>
        </w:tc>
      </w:tr>
      <w:tr>
        <w:trPr>
          <w:trHeight w:val="246"/>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Vice President, Chief Strategy Officer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6, 2025</w:t>
      </w:r>
    </w:p>
    <w:p>
      <w:pPr>
        <w:sectPr>
          <w:pgSz w:w="11900" w:h="16838" w:orient="portrait"/>
          <w:cols w:equalWidth="0" w:num="1">
            <w:col w:w="11240"/>
          </w:cols>
          <w:pgMar w:left="320" w:top="1399"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4514850</wp:posOffset>
            </wp:positionH>
            <wp:positionV relativeFrom="page">
              <wp:posOffset>723900</wp:posOffset>
            </wp:positionV>
            <wp:extent cx="1624965" cy="4737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624965" cy="473710"/>
                    </a:xfrm>
                    <a:prstGeom prst="rect">
                      <a:avLst/>
                    </a:prstGeom>
                    <a:noFill/>
                  </pic:spPr>
                </pic:pic>
              </a:graphicData>
            </a:graphic>
          </wp:anchor>
        </w:drawing>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California Resources Reports First Quarter 2025 Financial and Operating Results</w:t>
      </w:r>
    </w:p>
    <w:p>
      <w:pPr>
        <w:spacing w:after="0" w:line="245" w:lineRule="exact"/>
        <w:rPr>
          <w:sz w:val="20"/>
          <w:szCs w:val="20"/>
          <w:color w:val="auto"/>
        </w:rPr>
      </w:pPr>
    </w:p>
    <w:p>
      <w:pPr>
        <w:jc w:val="center"/>
        <w:spacing w:after="0" w:line="238" w:lineRule="auto"/>
        <w:rPr>
          <w:sz w:val="20"/>
          <w:szCs w:val="20"/>
          <w:color w:val="auto"/>
        </w:rPr>
      </w:pPr>
      <w:r>
        <w:rPr>
          <w:rFonts w:ascii="Arial" w:cs="Arial" w:eastAsia="Arial" w:hAnsi="Arial"/>
          <w:sz w:val="20"/>
          <w:szCs w:val="20"/>
          <w:i w:val="1"/>
          <w:iCs w:val="1"/>
          <w:color w:val="auto"/>
        </w:rPr>
        <w:t>Returned $258 Million to Stakeholders, Maintained Balance Sheet Strength, Delivered Flat Quarter-Over-Quarter Total Net Production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Company Reaffirms its 2025 Production, Capital Investment and Adjusted EBITDAX Guidance</w:t>
      </w:r>
    </w:p>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21"/>
          <w:szCs w:val="21"/>
          <w:b w:val="1"/>
          <w:bCs w:val="1"/>
          <w:color w:val="auto"/>
        </w:rPr>
        <w:t xml:space="preserve">LONG BEACH, California, May 6, 2025 </w:t>
      </w:r>
      <w:r>
        <w:rPr>
          <w:rFonts w:ascii="Arial" w:cs="Arial" w:eastAsia="Arial" w:hAnsi="Arial"/>
          <w:sz w:val="21"/>
          <w:szCs w:val="21"/>
          <w:color w:val="auto"/>
        </w:rPr>
        <w:t>- California Resources Corporation (NYSE: CRC) today reported financial and</w:t>
      </w:r>
      <w:r>
        <w:rPr>
          <w:rFonts w:ascii="Arial" w:cs="Arial" w:eastAsia="Arial" w:hAnsi="Arial"/>
          <w:sz w:val="21"/>
          <w:szCs w:val="21"/>
          <w:b w:val="1"/>
          <w:bCs w:val="1"/>
          <w:color w:val="auto"/>
        </w:rPr>
        <w:t xml:space="preserve"> </w:t>
      </w:r>
      <w:r>
        <w:rPr>
          <w:rFonts w:ascii="Arial" w:cs="Arial" w:eastAsia="Arial" w:hAnsi="Arial"/>
          <w:sz w:val="21"/>
          <w:szCs w:val="21"/>
          <w:color w:val="auto"/>
        </w:rPr>
        <w:t>operating results for the first quarter of 2025. The Company plans to host a conference call and webcast at 1 p.m. ET (10 a.m. PT) on Wednesday, May 7, 2025. Participation details can be found within this release. Supplemental slides are available on CRC’s website at www.crc.com.</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Highlights</w:t>
      </w:r>
    </w:p>
    <w:p>
      <w:pPr>
        <w:spacing w:after="0" w:line="270" w:lineRule="exact"/>
        <w:rPr>
          <w:sz w:val="20"/>
          <w:szCs w:val="20"/>
          <w:color w:val="auto"/>
        </w:rPr>
      </w:pPr>
    </w:p>
    <w:p>
      <w:pPr>
        <w:ind w:left="640" w:hanging="314"/>
        <w:spacing w:after="0"/>
        <w:tabs>
          <w:tab w:leader="none" w:pos="640" w:val="left"/>
        </w:tabs>
        <w:numPr>
          <w:ilvl w:val="0"/>
          <w:numId w:val="4"/>
        </w:numPr>
        <w:rPr>
          <w:rFonts w:ascii="Arial" w:cs="Arial" w:eastAsia="Arial" w:hAnsi="Arial"/>
          <w:sz w:val="21"/>
          <w:szCs w:val="21"/>
          <w:color w:val="auto"/>
        </w:rPr>
      </w:pPr>
      <w:r>
        <w:rPr>
          <w:rFonts w:ascii="Arial" w:cs="Arial" w:eastAsia="Arial" w:hAnsi="Arial"/>
          <w:sz w:val="21"/>
          <w:szCs w:val="21"/>
          <w:color w:val="auto"/>
        </w:rPr>
        <w:t>Reported net income of $115 million, adjusted net income</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of $98 million and adjusted EBITDAX</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of $328 million</w:t>
      </w:r>
    </w:p>
    <w:p>
      <w:pPr>
        <w:ind w:left="640" w:hanging="314"/>
        <w:spacing w:after="0" w:line="237" w:lineRule="auto"/>
        <w:tabs>
          <w:tab w:leader="none" w:pos="635" w:val="left"/>
        </w:tabs>
        <w:numPr>
          <w:ilvl w:val="0"/>
          <w:numId w:val="4"/>
        </w:numPr>
        <w:rPr>
          <w:rFonts w:ascii="Arial" w:cs="Arial" w:eastAsia="Arial" w:hAnsi="Arial"/>
          <w:sz w:val="21"/>
          <w:szCs w:val="21"/>
          <w:color w:val="auto"/>
        </w:rPr>
      </w:pPr>
      <w:r>
        <w:rPr>
          <w:rFonts w:ascii="Arial" w:cs="Arial" w:eastAsia="Arial" w:hAnsi="Arial"/>
          <w:sz w:val="21"/>
          <w:szCs w:val="21"/>
          <w:color w:val="auto"/>
        </w:rPr>
        <w:t>Generated $186 million of net cash provided by operating activities and $252 million of operating cash flow before net changes in operating assets and liabilities</w:t>
      </w:r>
      <w:r>
        <w:rPr>
          <w:rFonts w:ascii="Arial" w:cs="Arial" w:eastAsia="Arial" w:hAnsi="Arial"/>
          <w:sz w:val="27"/>
          <w:szCs w:val="27"/>
          <w:color w:val="auto"/>
          <w:vertAlign w:val="superscript"/>
        </w:rPr>
        <w:t>1</w:t>
      </w:r>
    </w:p>
    <w:p>
      <w:pPr>
        <w:spacing w:after="0" w:line="1" w:lineRule="exact"/>
        <w:rPr>
          <w:rFonts w:ascii="Arial" w:cs="Arial" w:eastAsia="Arial" w:hAnsi="Arial"/>
          <w:sz w:val="21"/>
          <w:szCs w:val="21"/>
          <w:color w:val="auto"/>
        </w:rPr>
      </w:pPr>
    </w:p>
    <w:p>
      <w:pPr>
        <w:ind w:left="640" w:hanging="314"/>
        <w:spacing w:after="0" w:line="216" w:lineRule="auto"/>
        <w:tabs>
          <w:tab w:leader="none" w:pos="640" w:val="left"/>
        </w:tabs>
        <w:numPr>
          <w:ilvl w:val="0"/>
          <w:numId w:val="4"/>
        </w:numPr>
        <w:rPr>
          <w:rFonts w:ascii="Arial" w:cs="Arial" w:eastAsia="Arial" w:hAnsi="Arial"/>
          <w:sz w:val="21"/>
          <w:szCs w:val="21"/>
          <w:color w:val="auto"/>
        </w:rPr>
      </w:pPr>
      <w:r>
        <w:rPr>
          <w:rFonts w:ascii="Arial" w:cs="Arial" w:eastAsia="Arial" w:hAnsi="Arial"/>
          <w:sz w:val="21"/>
          <w:szCs w:val="21"/>
          <w:color w:val="auto"/>
        </w:rPr>
        <w:t>Generated $131 million in free cash flow</w:t>
      </w:r>
      <w:r>
        <w:rPr>
          <w:rFonts w:ascii="Arial" w:cs="Arial" w:eastAsia="Arial" w:hAnsi="Arial"/>
          <w:sz w:val="27"/>
          <w:szCs w:val="27"/>
          <w:color w:val="auto"/>
          <w:vertAlign w:val="superscript"/>
        </w:rPr>
        <w:t>1</w:t>
      </w:r>
    </w:p>
    <w:p>
      <w:pPr>
        <w:ind w:left="640" w:hanging="314"/>
        <w:spacing w:after="0" w:line="268" w:lineRule="auto"/>
        <w:tabs>
          <w:tab w:leader="none" w:pos="635" w:val="left"/>
        </w:tabs>
        <w:numPr>
          <w:ilvl w:val="0"/>
          <w:numId w:val="4"/>
        </w:numPr>
        <w:rPr>
          <w:rFonts w:ascii="Arial" w:cs="Arial" w:eastAsia="Arial" w:hAnsi="Arial"/>
          <w:sz w:val="21"/>
          <w:szCs w:val="21"/>
          <w:color w:val="auto"/>
        </w:rPr>
      </w:pPr>
      <w:r>
        <w:rPr>
          <w:rFonts w:ascii="Arial" w:cs="Arial" w:eastAsia="Arial" w:hAnsi="Arial"/>
          <w:sz w:val="21"/>
          <w:szCs w:val="21"/>
          <w:color w:val="auto"/>
        </w:rPr>
        <w:t>Delivered average net production of 141 thousand barrels of oil equivalent per day (MBoe/d) (79% oil), flat quarter-over-quarter production, with drilling, completions and workover capital of $34 million</w:t>
      </w:r>
    </w:p>
    <w:p>
      <w:pPr>
        <w:spacing w:after="0" w:line="1" w:lineRule="exact"/>
        <w:rPr>
          <w:rFonts w:ascii="Arial" w:cs="Arial" w:eastAsia="Arial" w:hAnsi="Arial"/>
          <w:sz w:val="21"/>
          <w:szCs w:val="21"/>
          <w:color w:val="auto"/>
        </w:rPr>
      </w:pPr>
    </w:p>
    <w:p>
      <w:pPr>
        <w:ind w:left="640" w:hanging="314"/>
        <w:spacing w:after="0" w:line="237" w:lineRule="auto"/>
        <w:tabs>
          <w:tab w:leader="none" w:pos="635" w:val="left"/>
        </w:tabs>
        <w:numPr>
          <w:ilvl w:val="0"/>
          <w:numId w:val="4"/>
        </w:numPr>
        <w:rPr>
          <w:rFonts w:ascii="Arial" w:cs="Arial" w:eastAsia="Arial" w:hAnsi="Arial"/>
          <w:sz w:val="21"/>
          <w:szCs w:val="21"/>
          <w:color w:val="auto"/>
        </w:rPr>
      </w:pPr>
      <w:r>
        <w:rPr>
          <w:rFonts w:ascii="Arial" w:cs="Arial" w:eastAsia="Arial" w:hAnsi="Arial"/>
          <w:sz w:val="21"/>
          <w:szCs w:val="21"/>
          <w:color w:val="auto"/>
        </w:rPr>
        <w:t>Returned $258 million to stakeholders</w:t>
      </w:r>
      <w:r>
        <w:rPr>
          <w:rFonts w:ascii="Arial" w:cs="Arial" w:eastAsia="Arial" w:hAnsi="Arial"/>
          <w:sz w:val="27"/>
          <w:szCs w:val="27"/>
          <w:color w:val="auto"/>
          <w:vertAlign w:val="superscript"/>
        </w:rPr>
        <w:t>2</w:t>
      </w:r>
      <w:r>
        <w:rPr>
          <w:rFonts w:ascii="Arial" w:cs="Arial" w:eastAsia="Arial" w:hAnsi="Arial"/>
          <w:sz w:val="21"/>
          <w:szCs w:val="21"/>
          <w:color w:val="auto"/>
        </w:rPr>
        <w:t>, including $100 million in share repurchases, $35 million in dividends and $123 million in debt repurchases</w:t>
      </w:r>
    </w:p>
    <w:p>
      <w:pPr>
        <w:spacing w:after="0" w:line="1" w:lineRule="exact"/>
        <w:rPr>
          <w:rFonts w:ascii="Arial" w:cs="Arial" w:eastAsia="Arial" w:hAnsi="Arial"/>
          <w:sz w:val="21"/>
          <w:szCs w:val="21"/>
          <w:color w:val="auto"/>
        </w:rPr>
      </w:pPr>
    </w:p>
    <w:p>
      <w:pPr>
        <w:ind w:left="640" w:hanging="314"/>
        <w:spacing w:after="0" w:line="277" w:lineRule="auto"/>
        <w:tabs>
          <w:tab w:leader="none" w:pos="635" w:val="left"/>
        </w:tabs>
        <w:numPr>
          <w:ilvl w:val="0"/>
          <w:numId w:val="4"/>
        </w:numPr>
        <w:rPr>
          <w:rFonts w:ascii="Times New Roman" w:cs="Times New Roman" w:eastAsia="Times New Roman" w:hAnsi="Times New Roman"/>
          <w:sz w:val="21"/>
          <w:szCs w:val="21"/>
          <w:color w:val="auto"/>
        </w:rPr>
      </w:pPr>
      <w:r>
        <w:rPr>
          <w:rFonts w:ascii="Arial" w:cs="Arial" w:eastAsia="Arial" w:hAnsi="Arial"/>
          <w:sz w:val="21"/>
          <w:szCs w:val="21"/>
          <w:color w:val="auto"/>
        </w:rPr>
        <w:t>Realized $173 million of the Aera-related merger synergies; on track to realize $185 million by the end of 2025 and the remainder in early 2026</w:t>
      </w:r>
    </w:p>
    <w:p>
      <w:pPr>
        <w:spacing w:after="0" w:line="1" w:lineRule="exact"/>
        <w:rPr>
          <w:rFonts w:ascii="Times New Roman" w:cs="Times New Roman" w:eastAsia="Times New Roman" w:hAnsi="Times New Roman"/>
          <w:sz w:val="21"/>
          <w:szCs w:val="21"/>
          <w:color w:val="auto"/>
        </w:rPr>
      </w:pPr>
    </w:p>
    <w:p>
      <w:pPr>
        <w:ind w:left="640" w:hanging="314"/>
        <w:spacing w:after="0" w:line="218" w:lineRule="auto"/>
        <w:tabs>
          <w:tab w:leader="none" w:pos="635" w:val="left"/>
        </w:tabs>
        <w:numPr>
          <w:ilvl w:val="0"/>
          <w:numId w:val="4"/>
        </w:numPr>
        <w:rPr>
          <w:rFonts w:ascii="Arial" w:cs="Arial" w:eastAsia="Arial" w:hAnsi="Arial"/>
          <w:sz w:val="21"/>
          <w:szCs w:val="21"/>
          <w:color w:val="auto"/>
        </w:rPr>
      </w:pPr>
      <w:r>
        <w:rPr>
          <w:rFonts w:ascii="Arial" w:cs="Arial" w:eastAsia="Arial" w:hAnsi="Arial"/>
          <w:sz w:val="21"/>
          <w:szCs w:val="21"/>
          <w:color w:val="auto"/>
        </w:rPr>
        <w:t>Exited the first quarter of 2025 with $199 million in available cash</w:t>
      </w:r>
      <w:r>
        <w:rPr>
          <w:rFonts w:ascii="Arial" w:cs="Arial" w:eastAsia="Arial" w:hAnsi="Arial"/>
          <w:sz w:val="27"/>
          <w:szCs w:val="27"/>
          <w:color w:val="auto"/>
          <w:vertAlign w:val="superscript"/>
        </w:rPr>
        <w:t>3</w:t>
      </w:r>
      <w:r>
        <w:rPr>
          <w:rFonts w:ascii="Arial" w:cs="Arial" w:eastAsia="Arial" w:hAnsi="Arial"/>
          <w:sz w:val="21"/>
          <w:szCs w:val="21"/>
          <w:color w:val="auto"/>
        </w:rPr>
        <w:t>, $983 million in available borrowing capacity and $1,182 million of liquidity</w:t>
      </w:r>
      <w:r>
        <w:rPr>
          <w:rFonts w:ascii="Arial" w:cs="Arial" w:eastAsia="Arial" w:hAnsi="Arial"/>
          <w:sz w:val="27"/>
          <w:szCs w:val="27"/>
          <w:color w:val="auto"/>
          <w:vertAlign w:val="superscript"/>
        </w:rPr>
        <w:t>1, 3</w:t>
      </w:r>
    </w:p>
    <w:p>
      <w:pPr>
        <w:spacing w:after="0" w:line="1" w:lineRule="exact"/>
        <w:rPr>
          <w:rFonts w:ascii="Arial" w:cs="Arial" w:eastAsia="Arial" w:hAnsi="Arial"/>
          <w:sz w:val="21"/>
          <w:szCs w:val="21"/>
          <w:color w:val="auto"/>
        </w:rPr>
      </w:pPr>
    </w:p>
    <w:p>
      <w:pPr>
        <w:jc w:val="both"/>
        <w:ind w:left="640" w:hanging="314"/>
        <w:spacing w:after="0" w:line="273" w:lineRule="exact"/>
        <w:tabs>
          <w:tab w:leader="none" w:pos="635" w:val="left"/>
        </w:tabs>
        <w:numPr>
          <w:ilvl w:val="0"/>
          <w:numId w:val="4"/>
        </w:numPr>
        <w:rPr>
          <w:rFonts w:ascii="Arial" w:cs="Arial" w:eastAsia="Arial" w:hAnsi="Arial"/>
          <w:sz w:val="21"/>
          <w:szCs w:val="21"/>
          <w:color w:val="auto"/>
        </w:rPr>
      </w:pPr>
      <w:r>
        <w:rPr>
          <w:rFonts w:ascii="Arial" w:cs="Arial" w:eastAsia="Arial" w:hAnsi="Arial"/>
          <w:sz w:val="21"/>
          <w:szCs w:val="21"/>
          <w:color w:val="auto"/>
        </w:rPr>
        <w:t>Targeting first carbon dioxide (CO</w:t>
      </w:r>
      <w:r>
        <w:rPr>
          <w:rFonts w:ascii="MS PGothic" w:cs="MS PGothic" w:eastAsia="MS PGothic" w:hAnsi="MS PGothic"/>
          <w:sz w:val="21"/>
          <w:szCs w:val="21"/>
          <w:color w:val="auto"/>
        </w:rPr>
        <w:t>₂</w:t>
      </w:r>
      <w:r>
        <w:rPr>
          <w:rFonts w:ascii="Arial" w:cs="Arial" w:eastAsia="Arial" w:hAnsi="Arial"/>
          <w:sz w:val="21"/>
          <w:szCs w:val="21"/>
          <w:color w:val="auto"/>
        </w:rPr>
        <w:t xml:space="preserve">) injection at the CTV I - 26R storage reservoir from CRC's carbon capture and storage (CCS) project at its Elk Hills Cryogenic Gas Plant by year-end 2025. </w:t>
      </w:r>
      <w:r>
        <w:rPr>
          <w:rFonts w:ascii="Arial" w:cs="Arial" w:eastAsia="Arial" w:hAnsi="Arial"/>
          <w:sz w:val="21"/>
          <w:szCs w:val="21"/>
          <w:i w:val="1"/>
          <w:iCs w:val="1"/>
          <w:color w:val="auto"/>
        </w:rPr>
        <w:t>See Carbon TerraVault's First</w:t>
      </w:r>
      <w:r>
        <w:rPr>
          <w:rFonts w:ascii="Arial" w:cs="Arial" w:eastAsia="Arial" w:hAnsi="Arial"/>
          <w:sz w:val="21"/>
          <w:szCs w:val="21"/>
          <w:color w:val="auto"/>
        </w:rPr>
        <w:t xml:space="preserve"> </w:t>
      </w:r>
      <w:r>
        <w:rPr>
          <w:rFonts w:ascii="Arial" w:cs="Arial" w:eastAsia="Arial" w:hAnsi="Arial"/>
          <w:sz w:val="21"/>
          <w:szCs w:val="21"/>
          <w:i w:val="1"/>
          <w:iCs w:val="1"/>
          <w:color w:val="auto"/>
        </w:rPr>
        <w:t>Quarter 2025 Update for additional information</w:t>
      </w:r>
    </w:p>
    <w:p>
      <w:pPr>
        <w:spacing w:after="0" w:line="228" w:lineRule="exact"/>
        <w:rPr>
          <w:sz w:val="20"/>
          <w:szCs w:val="20"/>
          <w:color w:val="auto"/>
        </w:rPr>
      </w:pPr>
    </w:p>
    <w:p>
      <w:pPr>
        <w:jc w:val="both"/>
        <w:ind w:firstLine="240"/>
        <w:spacing w:after="0" w:line="242" w:lineRule="auto"/>
        <w:rPr>
          <w:sz w:val="20"/>
          <w:szCs w:val="20"/>
          <w:color w:val="auto"/>
        </w:rPr>
      </w:pPr>
      <w:r>
        <w:rPr>
          <w:rFonts w:ascii="Arial" w:cs="Arial" w:eastAsia="Arial" w:hAnsi="Arial"/>
          <w:sz w:val="21"/>
          <w:szCs w:val="21"/>
          <w:color w:val="auto"/>
        </w:rPr>
        <w:t>“We delivered a strong start to 2025, executing our business plan that allows us to create value in a volatile macro environment while returning a record quarterly amount of capital to shareholders,” said CRC President and CEO Francisco Leon. “Our integrated strategy—anchored by low-decline conventional assets, a scalable carbon management platform, and power solutions—positions us to generate sustainable free cash flow across cycles. We are pleased with the Aera integration as the team works to realize the $185 million of synergies through the balance of this year. With 70% of our oil production hedged for 2025, a right-sized cost structure following the Aera merger, and expected progress in our CCS and power initiatives, we remain confident in our performance in 2025. We are building a different kind of energy company—one that’s resilient, returns-focused, and critical to California’s decarbonization.”</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Arial" w:cs="Arial" w:eastAsia="Arial" w:hAnsi="Arial"/>
          <w:sz w:val="21"/>
          <w:szCs w:val="21"/>
          <w:b w:val="1"/>
          <w:bCs w:val="1"/>
          <w:u w:val="single" w:color="auto"/>
          <w:color w:val="auto"/>
        </w:rPr>
        <w:t>First Quarter 2025 Financial Results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Borders>
              <w:top w:val="single" w:sz="8" w:color="auto"/>
            </w:tcBorders>
            <w:shd w:val="clear" w:color="auto" w:fill="DBDBDB"/>
          </w:tcPr>
          <w:p>
            <w:pPr>
              <w:spacing w:after="0"/>
              <w:rPr>
                <w:sz w:val="16"/>
                <w:szCs w:val="16"/>
                <w:color w:val="auto"/>
              </w:rPr>
            </w:pPr>
          </w:p>
        </w:tc>
        <w:tc>
          <w:tcPr>
            <w:tcW w:w="8280" w:type="dxa"/>
            <w:vAlign w:val="bottom"/>
            <w:tcBorders>
              <w:top w:val="single" w:sz="8" w:color="auto"/>
            </w:tcBorders>
            <w:gridSpan w:val="4"/>
            <w:shd w:val="clear" w:color="auto" w:fill="DBDBDB"/>
          </w:tcPr>
          <w:p>
            <w:pPr>
              <w:spacing w:after="0"/>
              <w:rPr>
                <w:sz w:val="20"/>
                <w:szCs w:val="20"/>
                <w:color w:val="auto"/>
              </w:rPr>
            </w:pPr>
            <w:r>
              <w:rPr>
                <w:rFonts w:ascii="Arial" w:cs="Arial" w:eastAsia="Arial" w:hAnsi="Arial"/>
                <w:sz w:val="14"/>
                <w:szCs w:val="14"/>
                <w:b w:val="1"/>
                <w:bCs w:val="1"/>
                <w:color w:val="auto"/>
              </w:rPr>
              <w:t>Selected Production, Price Information and Results of Operations</w:t>
            </w:r>
          </w:p>
        </w:tc>
        <w:tc>
          <w:tcPr>
            <w:tcW w:w="400" w:type="dxa"/>
            <w:vAlign w:val="bottom"/>
            <w:tcBorders>
              <w:top w:val="single" w:sz="8" w:color="auto"/>
            </w:tcBorders>
            <w:shd w:val="clear" w:color="auto" w:fill="DBDBDB"/>
          </w:tcPr>
          <w:p>
            <w:pPr>
              <w:spacing w:after="0"/>
              <w:rPr>
                <w:sz w:val="16"/>
                <w:szCs w:val="16"/>
                <w:color w:val="auto"/>
              </w:rPr>
            </w:pPr>
          </w:p>
        </w:tc>
        <w:tc>
          <w:tcPr>
            <w:tcW w:w="160" w:type="dxa"/>
            <w:vAlign w:val="bottom"/>
            <w:tcBorders>
              <w:top w:val="single" w:sz="8" w:color="auto"/>
            </w:tcBorders>
            <w:shd w:val="clear" w:color="auto" w:fill="DBDBDB"/>
          </w:tcPr>
          <w:p>
            <w:pPr>
              <w:spacing w:after="0"/>
              <w:rPr>
                <w:sz w:val="16"/>
                <w:szCs w:val="16"/>
                <w:color w:val="auto"/>
              </w:rPr>
            </w:pPr>
          </w:p>
        </w:tc>
        <w:tc>
          <w:tcPr>
            <w:tcW w:w="1000" w:type="dxa"/>
            <w:vAlign w:val="bottom"/>
            <w:tcBorders>
              <w:top w:val="single" w:sz="8" w:color="auto"/>
            </w:tcBorders>
            <w:shd w:val="clear" w:color="auto" w:fill="DBDBDB"/>
          </w:tcPr>
          <w:p>
            <w:pPr>
              <w:jc w:val="center"/>
              <w:ind w:right="69"/>
              <w:spacing w:after="0"/>
              <w:rPr>
                <w:sz w:val="20"/>
                <w:szCs w:val="20"/>
                <w:color w:val="auto"/>
              </w:rPr>
            </w:pPr>
            <w:r>
              <w:rPr>
                <w:rFonts w:ascii="Arial" w:cs="Arial" w:eastAsia="Arial" w:hAnsi="Arial"/>
                <w:sz w:val="14"/>
                <w:szCs w:val="14"/>
                <w:b w:val="1"/>
                <w:bCs w:val="1"/>
                <w:color w:val="auto"/>
                <w:w w:val="99"/>
              </w:rPr>
              <w:t>1st Quarter</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shd w:val="clear" w:color="auto" w:fill="DBDBDB"/>
          </w:tcPr>
          <w:p>
            <w:pPr>
              <w:spacing w:after="0"/>
              <w:rPr>
                <w:sz w:val="16"/>
                <w:szCs w:val="16"/>
                <w:color w:val="auto"/>
              </w:rPr>
            </w:pPr>
          </w:p>
        </w:tc>
        <w:tc>
          <w:tcPr>
            <w:tcW w:w="1020" w:type="dxa"/>
            <w:vAlign w:val="bottom"/>
            <w:tcBorders>
              <w:top w:val="single" w:sz="8" w:color="auto"/>
            </w:tcBorders>
            <w:shd w:val="clear" w:color="auto" w:fill="DBDBDB"/>
          </w:tcPr>
          <w:p>
            <w:pPr>
              <w:jc w:val="center"/>
              <w:ind w:right="109"/>
              <w:spacing w:after="0"/>
              <w:rPr>
                <w:sz w:val="20"/>
                <w:szCs w:val="20"/>
                <w:color w:val="auto"/>
              </w:rPr>
            </w:pPr>
            <w:r>
              <w:rPr>
                <w:rFonts w:ascii="Arial" w:cs="Arial" w:eastAsia="Arial" w:hAnsi="Arial"/>
                <w:sz w:val="14"/>
                <w:szCs w:val="14"/>
                <w:color w:val="auto"/>
              </w:rPr>
              <w:t>4th Quarter</w:t>
            </w:r>
          </w:p>
        </w:tc>
      </w:tr>
      <w:tr>
        <w:trPr>
          <w:trHeight w:val="200"/>
        </w:trPr>
        <w:tc>
          <w:tcPr>
            <w:tcW w:w="20" w:type="dxa"/>
            <w:vAlign w:val="bottom"/>
            <w:tcBorders>
              <w:bottom w:val="single" w:sz="8" w:color="auto"/>
            </w:tcBorders>
            <w:shd w:val="clear" w:color="auto" w:fill="DBDBDB"/>
          </w:tcPr>
          <w:p>
            <w:pPr>
              <w:spacing w:after="0"/>
              <w:rPr>
                <w:sz w:val="17"/>
                <w:szCs w:val="17"/>
                <w:color w:val="auto"/>
              </w:rPr>
            </w:pPr>
          </w:p>
        </w:tc>
        <w:tc>
          <w:tcPr>
            <w:tcW w:w="8280" w:type="dxa"/>
            <w:vAlign w:val="bottom"/>
            <w:tcBorders>
              <w:bottom w:val="single" w:sz="8" w:color="auto"/>
            </w:tcBorders>
            <w:gridSpan w:val="4"/>
            <w:shd w:val="clear" w:color="auto" w:fill="DBDBDB"/>
          </w:tcPr>
          <w:p>
            <w:pPr>
              <w:spacing w:after="0"/>
              <w:rPr>
                <w:sz w:val="20"/>
                <w:szCs w:val="20"/>
                <w:color w:val="auto"/>
              </w:rPr>
            </w:pPr>
            <w:r>
              <w:rPr>
                <w:rFonts w:ascii="Arial" w:cs="Arial" w:eastAsia="Arial" w:hAnsi="Arial"/>
                <w:sz w:val="14"/>
                <w:szCs w:val="14"/>
                <w:color w:val="auto"/>
              </w:rPr>
              <w:t>($ in millions)</w:t>
            </w:r>
          </w:p>
        </w:tc>
        <w:tc>
          <w:tcPr>
            <w:tcW w:w="400" w:type="dxa"/>
            <w:vAlign w:val="bottom"/>
            <w:tcBorders>
              <w:bottom w:val="single" w:sz="8" w:color="auto"/>
            </w:tcBorders>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center"/>
              <w:ind w:right="69"/>
              <w:spacing w:after="0"/>
              <w:rPr>
                <w:sz w:val="20"/>
                <w:szCs w:val="20"/>
                <w:color w:val="auto"/>
              </w:rPr>
            </w:pPr>
            <w:r>
              <w:rPr>
                <w:rFonts w:ascii="Arial" w:cs="Arial" w:eastAsia="Arial" w:hAnsi="Arial"/>
                <w:sz w:val="14"/>
                <w:szCs w:val="14"/>
                <w:b w:val="1"/>
                <w:bCs w:val="1"/>
                <w:color w:val="auto"/>
                <w:w w:val="96"/>
              </w:rPr>
              <w:t>2025</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jc w:val="center"/>
              <w:ind w:right="89"/>
              <w:spacing w:after="0"/>
              <w:rPr>
                <w:sz w:val="20"/>
                <w:szCs w:val="20"/>
                <w:color w:val="auto"/>
              </w:rPr>
            </w:pPr>
            <w:r>
              <w:rPr>
                <w:rFonts w:ascii="Arial" w:cs="Arial" w:eastAsia="Arial" w:hAnsi="Arial"/>
                <w:sz w:val="14"/>
                <w:szCs w:val="14"/>
                <w:color w:val="auto"/>
                <w:w w:val="96"/>
              </w:rPr>
              <w:t>2024</w:t>
            </w:r>
          </w:p>
        </w:tc>
      </w:tr>
      <w:tr>
        <w:trPr>
          <w:trHeight w:val="193"/>
        </w:trPr>
        <w:tc>
          <w:tcPr>
            <w:tcW w:w="20" w:type="dxa"/>
            <w:vAlign w:val="bottom"/>
          </w:tcPr>
          <w:p>
            <w:pPr>
              <w:spacing w:after="0"/>
              <w:rPr>
                <w:sz w:val="16"/>
                <w:szCs w:val="16"/>
                <w:color w:val="auto"/>
              </w:rPr>
            </w:pPr>
          </w:p>
        </w:tc>
        <w:tc>
          <w:tcPr>
            <w:tcW w:w="8280" w:type="dxa"/>
            <w:vAlign w:val="bottom"/>
            <w:gridSpan w:val="4"/>
          </w:tcPr>
          <w:p>
            <w:pPr>
              <w:spacing w:after="0"/>
              <w:rPr>
                <w:sz w:val="20"/>
                <w:szCs w:val="20"/>
                <w:color w:val="auto"/>
              </w:rPr>
            </w:pPr>
            <w:r>
              <w:rPr>
                <w:rFonts w:ascii="Arial" w:cs="Arial" w:eastAsia="Arial" w:hAnsi="Arial"/>
                <w:sz w:val="14"/>
                <w:szCs w:val="14"/>
                <w:color w:val="auto"/>
              </w:rPr>
              <w:t>Net oil production per day (MBbl/d)</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111</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112</w:t>
            </w:r>
          </w:p>
        </w:tc>
      </w:tr>
      <w:tr>
        <w:trPr>
          <w:trHeight w:val="200"/>
        </w:trPr>
        <w:tc>
          <w:tcPr>
            <w:tcW w:w="20" w:type="dxa"/>
            <w:vAlign w:val="bottom"/>
          </w:tcPr>
          <w:p>
            <w:pPr>
              <w:spacing w:after="0"/>
              <w:rPr>
                <w:sz w:val="17"/>
                <w:szCs w:val="17"/>
                <w:color w:val="auto"/>
              </w:rPr>
            </w:pPr>
          </w:p>
        </w:tc>
        <w:tc>
          <w:tcPr>
            <w:tcW w:w="8280" w:type="dxa"/>
            <w:vAlign w:val="bottom"/>
            <w:gridSpan w:val="4"/>
          </w:tcPr>
          <w:p>
            <w:pPr>
              <w:ind w:left="220"/>
              <w:spacing w:after="0"/>
              <w:rPr>
                <w:sz w:val="20"/>
                <w:szCs w:val="20"/>
                <w:color w:val="auto"/>
              </w:rPr>
            </w:pPr>
            <w:r>
              <w:rPr>
                <w:rFonts w:ascii="Arial" w:cs="Arial" w:eastAsia="Arial" w:hAnsi="Arial"/>
                <w:sz w:val="14"/>
                <w:szCs w:val="14"/>
                <w:color w:val="auto"/>
              </w:rPr>
              <w:t>Realized oil price with derivative settlements ($ per Bbl)</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72.01</w:t>
            </w:r>
          </w:p>
        </w:tc>
        <w:tc>
          <w:tcPr>
            <w:tcW w:w="120" w:type="dxa"/>
            <w:vAlign w:val="bottom"/>
            <w:tcBorders>
              <w:right w:val="single" w:sz="8" w:color="auto"/>
            </w:tcBorders>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73.00</w:t>
            </w:r>
          </w:p>
        </w:tc>
      </w:tr>
      <w:tr>
        <w:trPr>
          <w:trHeight w:val="200"/>
        </w:trPr>
        <w:tc>
          <w:tcPr>
            <w:tcW w:w="20" w:type="dxa"/>
            <w:vAlign w:val="bottom"/>
          </w:tcPr>
          <w:p>
            <w:pPr>
              <w:spacing w:after="0"/>
              <w:rPr>
                <w:sz w:val="17"/>
                <w:szCs w:val="17"/>
                <w:color w:val="auto"/>
              </w:rPr>
            </w:pPr>
          </w:p>
        </w:tc>
        <w:tc>
          <w:tcPr>
            <w:tcW w:w="8280" w:type="dxa"/>
            <w:vAlign w:val="bottom"/>
            <w:gridSpan w:val="4"/>
          </w:tcPr>
          <w:p>
            <w:pPr>
              <w:spacing w:after="0"/>
              <w:rPr>
                <w:sz w:val="20"/>
                <w:szCs w:val="20"/>
                <w:color w:val="auto"/>
              </w:rPr>
            </w:pPr>
            <w:r>
              <w:rPr>
                <w:rFonts w:ascii="Arial" w:cs="Arial" w:eastAsia="Arial" w:hAnsi="Arial"/>
                <w:sz w:val="14"/>
                <w:szCs w:val="14"/>
                <w:color w:val="auto"/>
              </w:rPr>
              <w:t>Net NGL production per day (MBbl/d)</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00"/>
        </w:trPr>
        <w:tc>
          <w:tcPr>
            <w:tcW w:w="20" w:type="dxa"/>
            <w:vAlign w:val="bottom"/>
          </w:tcPr>
          <w:p>
            <w:pPr>
              <w:spacing w:after="0"/>
              <w:rPr>
                <w:sz w:val="17"/>
                <w:szCs w:val="17"/>
                <w:color w:val="auto"/>
              </w:rPr>
            </w:pPr>
          </w:p>
        </w:tc>
        <w:tc>
          <w:tcPr>
            <w:tcW w:w="8280" w:type="dxa"/>
            <w:vAlign w:val="bottom"/>
            <w:gridSpan w:val="4"/>
          </w:tcPr>
          <w:p>
            <w:pPr>
              <w:ind w:left="220"/>
              <w:spacing w:after="0"/>
              <w:rPr>
                <w:sz w:val="20"/>
                <w:szCs w:val="20"/>
                <w:color w:val="auto"/>
              </w:rPr>
            </w:pPr>
            <w:r>
              <w:rPr>
                <w:rFonts w:ascii="Arial" w:cs="Arial" w:eastAsia="Arial" w:hAnsi="Arial"/>
                <w:sz w:val="14"/>
                <w:szCs w:val="14"/>
                <w:color w:val="auto"/>
              </w:rPr>
              <w:t>Realized NGL price ($ per Bbl)</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54.64</w:t>
            </w:r>
          </w:p>
        </w:tc>
        <w:tc>
          <w:tcPr>
            <w:tcW w:w="120" w:type="dxa"/>
            <w:vAlign w:val="bottom"/>
            <w:tcBorders>
              <w:right w:val="single" w:sz="8" w:color="auto"/>
            </w:tcBorders>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52.62</w:t>
            </w:r>
          </w:p>
        </w:tc>
      </w:tr>
      <w:tr>
        <w:trPr>
          <w:trHeight w:val="200"/>
        </w:trPr>
        <w:tc>
          <w:tcPr>
            <w:tcW w:w="20" w:type="dxa"/>
            <w:vAlign w:val="bottom"/>
          </w:tcPr>
          <w:p>
            <w:pPr>
              <w:spacing w:after="0"/>
              <w:rPr>
                <w:sz w:val="17"/>
                <w:szCs w:val="17"/>
                <w:color w:val="auto"/>
              </w:rPr>
            </w:pPr>
          </w:p>
        </w:tc>
        <w:tc>
          <w:tcPr>
            <w:tcW w:w="8280" w:type="dxa"/>
            <w:vAlign w:val="bottom"/>
            <w:gridSpan w:val="4"/>
          </w:tcPr>
          <w:p>
            <w:pPr>
              <w:spacing w:after="0"/>
              <w:rPr>
                <w:sz w:val="20"/>
                <w:szCs w:val="20"/>
                <w:color w:val="auto"/>
              </w:rPr>
            </w:pPr>
            <w:r>
              <w:rPr>
                <w:rFonts w:ascii="Arial" w:cs="Arial" w:eastAsia="Arial" w:hAnsi="Arial"/>
                <w:sz w:val="14"/>
                <w:szCs w:val="14"/>
                <w:color w:val="auto"/>
              </w:rPr>
              <w:t>Net natural gas production per day (Mmcf/d)</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117</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115</w:t>
            </w:r>
          </w:p>
        </w:tc>
      </w:tr>
      <w:tr>
        <w:trPr>
          <w:trHeight w:val="200"/>
        </w:trPr>
        <w:tc>
          <w:tcPr>
            <w:tcW w:w="20" w:type="dxa"/>
            <w:vAlign w:val="bottom"/>
          </w:tcPr>
          <w:p>
            <w:pPr>
              <w:spacing w:after="0"/>
              <w:rPr>
                <w:sz w:val="17"/>
                <w:szCs w:val="17"/>
                <w:color w:val="auto"/>
              </w:rPr>
            </w:pPr>
          </w:p>
        </w:tc>
        <w:tc>
          <w:tcPr>
            <w:tcW w:w="8280" w:type="dxa"/>
            <w:vAlign w:val="bottom"/>
            <w:gridSpan w:val="4"/>
          </w:tcPr>
          <w:p>
            <w:pPr>
              <w:ind w:left="220"/>
              <w:spacing w:after="0"/>
              <w:rPr>
                <w:sz w:val="20"/>
                <w:szCs w:val="20"/>
                <w:color w:val="auto"/>
              </w:rPr>
            </w:pPr>
            <w:r>
              <w:rPr>
                <w:rFonts w:ascii="Arial" w:cs="Arial" w:eastAsia="Arial" w:hAnsi="Arial"/>
                <w:sz w:val="14"/>
                <w:szCs w:val="14"/>
                <w:color w:val="auto"/>
              </w:rPr>
              <w:t>Realized natural gas price with derivative settlements ($ per Mcf)</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4.12</w:t>
            </w:r>
          </w:p>
        </w:tc>
        <w:tc>
          <w:tcPr>
            <w:tcW w:w="120" w:type="dxa"/>
            <w:vAlign w:val="bottom"/>
            <w:tcBorders>
              <w:right w:val="single" w:sz="8" w:color="auto"/>
            </w:tcBorders>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3.65</w:t>
            </w:r>
          </w:p>
        </w:tc>
      </w:tr>
      <w:tr>
        <w:trPr>
          <w:trHeight w:val="200"/>
        </w:trPr>
        <w:tc>
          <w:tcPr>
            <w:tcW w:w="20" w:type="dxa"/>
            <w:vAlign w:val="bottom"/>
          </w:tcPr>
          <w:p>
            <w:pPr>
              <w:spacing w:after="0"/>
              <w:rPr>
                <w:sz w:val="17"/>
                <w:szCs w:val="17"/>
                <w:color w:val="auto"/>
              </w:rPr>
            </w:pPr>
          </w:p>
        </w:tc>
        <w:tc>
          <w:tcPr>
            <w:tcW w:w="8280" w:type="dxa"/>
            <w:vAlign w:val="bottom"/>
            <w:gridSpan w:val="4"/>
          </w:tcPr>
          <w:p>
            <w:pPr>
              <w:spacing w:after="0"/>
              <w:rPr>
                <w:sz w:val="20"/>
                <w:szCs w:val="20"/>
                <w:color w:val="auto"/>
              </w:rPr>
            </w:pPr>
            <w:r>
              <w:rPr>
                <w:rFonts w:ascii="Arial" w:cs="Arial" w:eastAsia="Arial" w:hAnsi="Arial"/>
                <w:sz w:val="14"/>
                <w:szCs w:val="14"/>
                <w:color w:val="auto"/>
              </w:rPr>
              <w:t>Net total production per day (MBoe/d)</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141</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141</w:t>
            </w:r>
          </w:p>
        </w:tc>
      </w:tr>
      <w:tr>
        <w:trPr>
          <w:trHeight w:val="296"/>
        </w:trPr>
        <w:tc>
          <w:tcPr>
            <w:tcW w:w="20" w:type="dxa"/>
            <w:vAlign w:val="bottom"/>
          </w:tcPr>
          <w:p>
            <w:pPr>
              <w:spacing w:after="0"/>
              <w:rPr>
                <w:sz w:val="24"/>
                <w:szCs w:val="24"/>
                <w:color w:val="auto"/>
              </w:rPr>
            </w:pPr>
          </w:p>
        </w:tc>
        <w:tc>
          <w:tcPr>
            <w:tcW w:w="8280" w:type="dxa"/>
            <w:vAlign w:val="bottom"/>
            <w:gridSpan w:val="4"/>
          </w:tcPr>
          <w:p>
            <w:pPr>
              <w:spacing w:after="0"/>
              <w:rPr>
                <w:sz w:val="20"/>
                <w:szCs w:val="20"/>
                <w:color w:val="auto"/>
              </w:rPr>
            </w:pPr>
            <w:r>
              <w:rPr>
                <w:rFonts w:ascii="Arial" w:cs="Arial" w:eastAsia="Arial" w:hAnsi="Arial"/>
                <w:sz w:val="14"/>
                <w:szCs w:val="14"/>
                <w:color w:val="auto"/>
              </w:rPr>
              <w:t>Margin from purchased commodities</w:t>
            </w:r>
            <w:r>
              <w:rPr>
                <w:rFonts w:ascii="Arial" w:cs="Arial" w:eastAsia="Arial" w:hAnsi="Arial"/>
                <w:sz w:val="18"/>
                <w:szCs w:val="18"/>
                <w:color w:val="auto"/>
                <w:vertAlign w:val="superscript"/>
              </w:rPr>
              <w:t>4</w:t>
            </w:r>
            <w:r>
              <w:rPr>
                <w:rFonts w:ascii="Arial" w:cs="Arial" w:eastAsia="Arial" w:hAnsi="Arial"/>
                <w:sz w:val="14"/>
                <w:szCs w:val="14"/>
                <w:color w:val="auto"/>
              </w:rPr>
              <w:t xml:space="preserve"> ($ millions)</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120" w:type="dxa"/>
            <w:vAlign w:val="bottom"/>
            <w:tcBorders>
              <w:right w:val="single" w:sz="8" w:color="auto"/>
            </w:tcBorders>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02"/>
        </w:trPr>
        <w:tc>
          <w:tcPr>
            <w:tcW w:w="20" w:type="dxa"/>
            <w:vAlign w:val="bottom"/>
          </w:tcPr>
          <w:p>
            <w:pPr>
              <w:spacing w:after="0"/>
              <w:rPr>
                <w:sz w:val="17"/>
                <w:szCs w:val="17"/>
                <w:color w:val="auto"/>
              </w:rPr>
            </w:pPr>
          </w:p>
        </w:tc>
        <w:tc>
          <w:tcPr>
            <w:tcW w:w="8280" w:type="dxa"/>
            <w:vAlign w:val="bottom"/>
            <w:gridSpan w:val="4"/>
          </w:tcPr>
          <w:p>
            <w:pPr>
              <w:spacing w:after="0" w:line="202" w:lineRule="exact"/>
              <w:rPr>
                <w:sz w:val="20"/>
                <w:szCs w:val="20"/>
                <w:color w:val="auto"/>
              </w:rPr>
            </w:pPr>
            <w:r>
              <w:rPr>
                <w:rFonts w:ascii="Arial" w:cs="Arial" w:eastAsia="Arial" w:hAnsi="Arial"/>
                <w:sz w:val="14"/>
                <w:szCs w:val="14"/>
                <w:color w:val="auto"/>
              </w:rPr>
              <w:t>Electricity margin</w:t>
            </w:r>
            <w:r>
              <w:rPr>
                <w:rFonts w:ascii="Arial" w:cs="Arial" w:eastAsia="Arial" w:hAnsi="Arial"/>
                <w:sz w:val="18"/>
                <w:szCs w:val="18"/>
                <w:color w:val="auto"/>
                <w:vertAlign w:val="superscript"/>
              </w:rPr>
              <w:t>5</w:t>
            </w:r>
            <w:r>
              <w:rPr>
                <w:rFonts w:ascii="Arial" w:cs="Arial" w:eastAsia="Arial" w:hAnsi="Arial"/>
                <w:sz w:val="14"/>
                <w:szCs w:val="14"/>
                <w:color w:val="auto"/>
              </w:rPr>
              <w:t xml:space="preserve"> ($ millions)</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120" w:type="dxa"/>
            <w:vAlign w:val="bottom"/>
            <w:tcBorders>
              <w:right w:val="single" w:sz="8" w:color="auto"/>
            </w:tcBorders>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195"/>
        </w:trPr>
        <w:tc>
          <w:tcPr>
            <w:tcW w:w="20" w:type="dxa"/>
            <w:vAlign w:val="bottom"/>
          </w:tcPr>
          <w:p>
            <w:pPr>
              <w:spacing w:after="0"/>
              <w:rPr>
                <w:sz w:val="16"/>
                <w:szCs w:val="16"/>
                <w:color w:val="auto"/>
              </w:rPr>
            </w:pPr>
          </w:p>
        </w:tc>
        <w:tc>
          <w:tcPr>
            <w:tcW w:w="8280" w:type="dxa"/>
            <w:vAlign w:val="bottom"/>
            <w:gridSpan w:val="4"/>
          </w:tcPr>
          <w:p>
            <w:pPr>
              <w:spacing w:after="0"/>
              <w:rPr>
                <w:sz w:val="20"/>
                <w:szCs w:val="20"/>
                <w:color w:val="auto"/>
              </w:rPr>
            </w:pPr>
            <w:r>
              <w:rPr>
                <w:rFonts w:ascii="Arial" w:cs="Arial" w:eastAsia="Arial" w:hAnsi="Arial"/>
                <w:sz w:val="14"/>
                <w:szCs w:val="14"/>
                <w:color w:val="auto"/>
              </w:rPr>
              <w:t>Net gain from commodity derivatives ($ millions)</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20" w:type="dxa"/>
            <w:vAlign w:val="bottom"/>
            <w:tcBorders>
              <w:right w:val="single" w:sz="8" w:color="auto"/>
            </w:tcBorders>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201"/>
        </w:trPr>
        <w:tc>
          <w:tcPr>
            <w:tcW w:w="20" w:type="dxa"/>
            <w:vAlign w:val="bottom"/>
          </w:tcPr>
          <w:p>
            <w:pPr>
              <w:spacing w:after="0"/>
              <w:rPr>
                <w:sz w:val="17"/>
                <w:szCs w:val="17"/>
                <w:color w:val="auto"/>
              </w:rPr>
            </w:pPr>
          </w:p>
        </w:tc>
        <w:tc>
          <w:tcPr>
            <w:tcW w:w="8280" w:type="dxa"/>
            <w:vAlign w:val="bottom"/>
            <w:gridSpan w:val="4"/>
          </w:tcPr>
          <w:p>
            <w:pPr>
              <w:spacing w:after="0" w:line="201" w:lineRule="exact"/>
              <w:rPr>
                <w:sz w:val="20"/>
                <w:szCs w:val="20"/>
                <w:color w:val="auto"/>
              </w:rPr>
            </w:pPr>
            <w:r>
              <w:rPr>
                <w:rFonts w:ascii="Arial" w:cs="Arial" w:eastAsia="Arial" w:hAnsi="Arial"/>
                <w:sz w:val="14"/>
                <w:szCs w:val="14"/>
                <w:color w:val="auto"/>
              </w:rPr>
              <w:t>Other revenue and operating expenses, net</w:t>
            </w:r>
            <w:r>
              <w:rPr>
                <w:rFonts w:ascii="Arial" w:cs="Arial" w:eastAsia="Arial" w:hAnsi="Arial"/>
                <w:sz w:val="18"/>
                <w:szCs w:val="18"/>
                <w:color w:val="auto"/>
                <w:vertAlign w:val="superscript"/>
              </w:rPr>
              <w:t>6</w:t>
            </w:r>
            <w:r>
              <w:rPr>
                <w:rFonts w:ascii="Arial" w:cs="Arial" w:eastAsia="Arial" w:hAnsi="Arial"/>
                <w:sz w:val="14"/>
                <w:szCs w:val="14"/>
                <w:color w:val="auto"/>
              </w:rPr>
              <w:t xml:space="preserve"> ($ millions)</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(27)</w:t>
            </w:r>
          </w:p>
        </w:tc>
        <w:tc>
          <w:tcPr>
            <w:tcW w:w="120" w:type="dxa"/>
            <w:vAlign w:val="bottom"/>
            <w:tcBorders>
              <w:right w:val="single" w:sz="8" w:color="auto"/>
            </w:tcBorders>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120"/>
        </w:trPr>
        <w:tc>
          <w:tcPr>
            <w:tcW w:w="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43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r>
      <w:tr>
        <w:trPr>
          <w:trHeight w:val="192"/>
        </w:trPr>
        <w:tc>
          <w:tcPr>
            <w:tcW w:w="20" w:type="dxa"/>
            <w:vAlign w:val="bottom"/>
            <w:shd w:val="clear" w:color="auto" w:fill="DBDBDB"/>
          </w:tcPr>
          <w:p>
            <w:pPr>
              <w:spacing w:after="0"/>
              <w:rPr>
                <w:sz w:val="16"/>
                <w:szCs w:val="16"/>
                <w:color w:val="auto"/>
              </w:rPr>
            </w:pPr>
          </w:p>
        </w:tc>
        <w:tc>
          <w:tcPr>
            <w:tcW w:w="8280" w:type="dxa"/>
            <w:vAlign w:val="bottom"/>
            <w:gridSpan w:val="4"/>
            <w:shd w:val="clear" w:color="auto" w:fill="DBDBDB"/>
          </w:tcPr>
          <w:p>
            <w:pPr>
              <w:spacing w:after="0"/>
              <w:rPr>
                <w:sz w:val="20"/>
                <w:szCs w:val="20"/>
                <w:color w:val="auto"/>
              </w:rPr>
            </w:pPr>
            <w:r>
              <w:rPr>
                <w:rFonts w:ascii="Arial" w:cs="Arial" w:eastAsia="Arial" w:hAnsi="Arial"/>
                <w:sz w:val="14"/>
                <w:szCs w:val="14"/>
                <w:b w:val="1"/>
                <w:bCs w:val="1"/>
                <w:color w:val="auto"/>
              </w:rPr>
              <w:t>Selected Financial Statement Data and non-GAAP measures:</w:t>
            </w:r>
          </w:p>
        </w:tc>
        <w:tc>
          <w:tcPr>
            <w:tcW w:w="40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000" w:type="dxa"/>
            <w:vAlign w:val="bottom"/>
            <w:shd w:val="clear" w:color="auto" w:fill="DBDBDB"/>
          </w:tcPr>
          <w:p>
            <w:pPr>
              <w:jc w:val="center"/>
              <w:ind w:right="69"/>
              <w:spacing w:after="0"/>
              <w:rPr>
                <w:sz w:val="20"/>
                <w:szCs w:val="20"/>
                <w:color w:val="auto"/>
              </w:rPr>
            </w:pPr>
            <w:r>
              <w:rPr>
                <w:rFonts w:ascii="Arial" w:cs="Arial" w:eastAsia="Arial" w:hAnsi="Arial"/>
                <w:sz w:val="14"/>
                <w:szCs w:val="14"/>
                <w:b w:val="1"/>
                <w:bCs w:val="1"/>
                <w:color w:val="auto"/>
                <w:w w:val="99"/>
              </w:rPr>
              <w:t>1st Quarter</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020" w:type="dxa"/>
            <w:vAlign w:val="bottom"/>
            <w:shd w:val="clear" w:color="auto" w:fill="DBDBDB"/>
          </w:tcPr>
          <w:p>
            <w:pPr>
              <w:jc w:val="center"/>
              <w:ind w:right="109"/>
              <w:spacing w:after="0"/>
              <w:rPr>
                <w:sz w:val="20"/>
                <w:szCs w:val="20"/>
                <w:color w:val="auto"/>
              </w:rPr>
            </w:pPr>
            <w:r>
              <w:rPr>
                <w:rFonts w:ascii="Arial" w:cs="Arial" w:eastAsia="Arial" w:hAnsi="Arial"/>
                <w:sz w:val="14"/>
                <w:szCs w:val="14"/>
                <w:color w:val="auto"/>
              </w:rPr>
              <w:t>4th Quarter</w:t>
            </w:r>
          </w:p>
        </w:tc>
      </w:tr>
      <w:tr>
        <w:trPr>
          <w:trHeight w:val="201"/>
        </w:trPr>
        <w:tc>
          <w:tcPr>
            <w:tcW w:w="20" w:type="dxa"/>
            <w:vAlign w:val="bottom"/>
            <w:tcBorders>
              <w:bottom w:val="single" w:sz="8" w:color="auto"/>
            </w:tcBorders>
            <w:shd w:val="clear" w:color="auto" w:fill="DBDBDB"/>
          </w:tcPr>
          <w:p>
            <w:pPr>
              <w:spacing w:after="0"/>
              <w:rPr>
                <w:sz w:val="17"/>
                <w:szCs w:val="17"/>
                <w:color w:val="auto"/>
              </w:rPr>
            </w:pPr>
          </w:p>
        </w:tc>
        <w:tc>
          <w:tcPr>
            <w:tcW w:w="8280" w:type="dxa"/>
            <w:vAlign w:val="bottom"/>
            <w:tcBorders>
              <w:bottom w:val="single" w:sz="8" w:color="auto"/>
            </w:tcBorders>
            <w:gridSpan w:val="4"/>
            <w:shd w:val="clear" w:color="auto" w:fill="DBDBDB"/>
          </w:tcPr>
          <w:p>
            <w:pPr>
              <w:spacing w:after="0"/>
              <w:rPr>
                <w:sz w:val="20"/>
                <w:szCs w:val="20"/>
                <w:color w:val="auto"/>
              </w:rPr>
            </w:pPr>
            <w:r>
              <w:rPr>
                <w:rFonts w:ascii="Arial" w:cs="Arial" w:eastAsia="Arial" w:hAnsi="Arial"/>
                <w:sz w:val="14"/>
                <w:szCs w:val="14"/>
                <w:color w:val="auto"/>
              </w:rPr>
              <w:t>($ and shares in millions, except per share amounts)</w:t>
            </w:r>
          </w:p>
        </w:tc>
        <w:tc>
          <w:tcPr>
            <w:tcW w:w="400" w:type="dxa"/>
            <w:vAlign w:val="bottom"/>
            <w:tcBorders>
              <w:bottom w:val="single" w:sz="8" w:color="auto"/>
            </w:tcBorders>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center"/>
              <w:ind w:right="69"/>
              <w:spacing w:after="0"/>
              <w:rPr>
                <w:sz w:val="20"/>
                <w:szCs w:val="20"/>
                <w:color w:val="auto"/>
              </w:rPr>
            </w:pPr>
            <w:r>
              <w:rPr>
                <w:rFonts w:ascii="Arial" w:cs="Arial" w:eastAsia="Arial" w:hAnsi="Arial"/>
                <w:sz w:val="14"/>
                <w:szCs w:val="14"/>
                <w:b w:val="1"/>
                <w:bCs w:val="1"/>
                <w:color w:val="auto"/>
                <w:w w:val="96"/>
              </w:rPr>
              <w:t>2025</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jc w:val="center"/>
              <w:ind w:right="89"/>
              <w:spacing w:after="0"/>
              <w:rPr>
                <w:sz w:val="20"/>
                <w:szCs w:val="20"/>
                <w:color w:val="auto"/>
              </w:rPr>
            </w:pPr>
            <w:r>
              <w:rPr>
                <w:rFonts w:ascii="Arial" w:cs="Arial" w:eastAsia="Arial" w:hAnsi="Arial"/>
                <w:sz w:val="14"/>
                <w:szCs w:val="14"/>
                <w:color w:val="auto"/>
                <w:w w:val="96"/>
              </w:rPr>
              <w:t>2024</w:t>
            </w:r>
          </w:p>
        </w:tc>
      </w:tr>
      <w:tr>
        <w:trPr>
          <w:trHeight w:val="154"/>
        </w:trPr>
        <w:tc>
          <w:tcPr>
            <w:tcW w:w="20" w:type="dxa"/>
            <w:vAlign w:val="bottom"/>
          </w:tcPr>
          <w:p>
            <w:pPr>
              <w:spacing w:after="0"/>
              <w:rPr>
                <w:sz w:val="13"/>
                <w:szCs w:val="13"/>
                <w:color w:val="auto"/>
              </w:rPr>
            </w:pPr>
          </w:p>
        </w:tc>
        <w:tc>
          <w:tcPr>
            <w:tcW w:w="1780" w:type="dxa"/>
            <w:vAlign w:val="bottom"/>
            <w:tcBorders>
              <w:bottom w:val="single" w:sz="8" w:color="auto"/>
            </w:tcBorders>
            <w:gridSpan w:val="2"/>
          </w:tcPr>
          <w:p>
            <w:pPr>
              <w:spacing w:after="0" w:line="154" w:lineRule="exact"/>
              <w:rPr>
                <w:sz w:val="20"/>
                <w:szCs w:val="20"/>
                <w:color w:val="auto"/>
              </w:rPr>
            </w:pPr>
            <w:r>
              <w:rPr>
                <w:rFonts w:ascii="Arial" w:cs="Arial" w:eastAsia="Arial" w:hAnsi="Arial"/>
                <w:sz w:val="14"/>
                <w:szCs w:val="14"/>
                <w:b w:val="1"/>
                <w:bCs w:val="1"/>
                <w:color w:val="auto"/>
              </w:rPr>
              <w:t>Statements of Operations:</w:t>
            </w:r>
          </w:p>
        </w:tc>
        <w:tc>
          <w:tcPr>
            <w:tcW w:w="6500" w:type="dxa"/>
            <w:vAlign w:val="bottom"/>
            <w:gridSpan w:val="2"/>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19"/>
        </w:trPr>
        <w:tc>
          <w:tcPr>
            <w:tcW w:w="20" w:type="dxa"/>
            <w:vAlign w:val="bottom"/>
          </w:tcPr>
          <w:p>
            <w:pPr>
              <w:spacing w:after="0"/>
              <w:rPr>
                <w:sz w:val="19"/>
                <w:szCs w:val="19"/>
                <w:color w:val="auto"/>
              </w:rPr>
            </w:pPr>
          </w:p>
        </w:tc>
        <w:tc>
          <w:tcPr>
            <w:tcW w:w="8280" w:type="dxa"/>
            <w:vAlign w:val="bottom"/>
            <w:gridSpan w:val="4"/>
          </w:tcPr>
          <w:p>
            <w:pPr>
              <w:spacing w:after="0"/>
              <w:rPr>
                <w:sz w:val="20"/>
                <w:szCs w:val="20"/>
                <w:color w:val="auto"/>
              </w:rPr>
            </w:pPr>
            <w:r>
              <w:rPr>
                <w:rFonts w:ascii="Arial" w:cs="Arial" w:eastAsia="Arial" w:hAnsi="Arial"/>
                <w:sz w:val="14"/>
                <w:szCs w:val="14"/>
                <w:b w:val="1"/>
                <w:bCs w:val="1"/>
                <w:color w:val="auto"/>
              </w:rPr>
              <w:t>Revenues</w:t>
            </w: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r>
      <w:tr>
        <w:trPr>
          <w:trHeight w:val="193"/>
        </w:trPr>
        <w:tc>
          <w:tcPr>
            <w:tcW w:w="20" w:type="dxa"/>
            <w:vAlign w:val="bottom"/>
          </w:tcPr>
          <w:p>
            <w:pPr>
              <w:spacing w:after="0"/>
              <w:rPr>
                <w:sz w:val="16"/>
                <w:szCs w:val="16"/>
                <w:color w:val="auto"/>
              </w:rPr>
            </w:pPr>
          </w:p>
        </w:tc>
        <w:tc>
          <w:tcPr>
            <w:tcW w:w="8280" w:type="dxa"/>
            <w:vAlign w:val="bottom"/>
            <w:gridSpan w:val="4"/>
          </w:tcPr>
          <w:p>
            <w:pPr>
              <w:ind w:left="200"/>
              <w:spacing w:after="0"/>
              <w:rPr>
                <w:sz w:val="20"/>
                <w:szCs w:val="20"/>
                <w:color w:val="auto"/>
              </w:rPr>
            </w:pPr>
            <w:r>
              <w:rPr>
                <w:rFonts w:ascii="Arial" w:cs="Arial" w:eastAsia="Arial" w:hAnsi="Arial"/>
                <w:sz w:val="14"/>
                <w:szCs w:val="14"/>
                <w:color w:val="auto"/>
              </w:rPr>
              <w:t>Total operating revenues</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912</w:t>
            </w:r>
          </w:p>
        </w:tc>
        <w:tc>
          <w:tcPr>
            <w:tcW w:w="120" w:type="dxa"/>
            <w:vAlign w:val="bottom"/>
            <w:tcBorders>
              <w:right w:val="single" w:sz="8" w:color="auto"/>
            </w:tcBorders>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877</w:t>
            </w:r>
          </w:p>
        </w:tc>
      </w:tr>
      <w:tr>
        <w:trPr>
          <w:trHeight w:val="248"/>
        </w:trPr>
        <w:tc>
          <w:tcPr>
            <w:tcW w:w="20" w:type="dxa"/>
            <w:vAlign w:val="bottom"/>
          </w:tcPr>
          <w:p>
            <w:pPr>
              <w:spacing w:after="0"/>
              <w:rPr>
                <w:sz w:val="21"/>
                <w:szCs w:val="21"/>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Selected Expenses</w:t>
            </w:r>
          </w:p>
        </w:tc>
        <w:tc>
          <w:tcPr>
            <w:tcW w:w="6980" w:type="dxa"/>
            <w:vAlign w:val="bottom"/>
            <w:gridSpan w:val="3"/>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r>
      <w:tr>
        <w:trPr>
          <w:trHeight w:val="219"/>
        </w:trPr>
        <w:tc>
          <w:tcPr>
            <w:tcW w:w="20" w:type="dxa"/>
            <w:vAlign w:val="bottom"/>
          </w:tcPr>
          <w:p>
            <w:pPr>
              <w:spacing w:after="0"/>
              <w:rPr>
                <w:sz w:val="19"/>
                <w:szCs w:val="19"/>
                <w:color w:val="auto"/>
              </w:rPr>
            </w:pPr>
          </w:p>
        </w:tc>
        <w:tc>
          <w:tcPr>
            <w:tcW w:w="8280" w:type="dxa"/>
            <w:vAlign w:val="bottom"/>
            <w:gridSpan w:val="4"/>
          </w:tcPr>
          <w:p>
            <w:pPr>
              <w:spacing w:after="0"/>
              <w:rPr>
                <w:sz w:val="20"/>
                <w:szCs w:val="20"/>
                <w:color w:val="auto"/>
              </w:rPr>
            </w:pPr>
            <w:r>
              <w:rPr>
                <w:rFonts w:ascii="Arial" w:cs="Arial" w:eastAsia="Arial" w:hAnsi="Arial"/>
                <w:sz w:val="14"/>
                <w:szCs w:val="14"/>
                <w:color w:val="auto"/>
              </w:rPr>
              <w:t>Operating costs</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316</w:t>
            </w:r>
          </w:p>
        </w:tc>
        <w:tc>
          <w:tcPr>
            <w:tcW w:w="120" w:type="dxa"/>
            <w:vAlign w:val="bottom"/>
            <w:tcBorders>
              <w:right w:val="single" w:sz="8" w:color="auto"/>
            </w:tcBorders>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323</w:t>
            </w:r>
          </w:p>
        </w:tc>
      </w:tr>
      <w:tr>
        <w:trPr>
          <w:trHeight w:val="200"/>
        </w:trPr>
        <w:tc>
          <w:tcPr>
            <w:tcW w:w="20" w:type="dxa"/>
            <w:vAlign w:val="bottom"/>
          </w:tcPr>
          <w:p>
            <w:pPr>
              <w:spacing w:after="0"/>
              <w:rPr>
                <w:sz w:val="17"/>
                <w:szCs w:val="17"/>
                <w:color w:val="auto"/>
              </w:rPr>
            </w:pPr>
          </w:p>
        </w:tc>
        <w:tc>
          <w:tcPr>
            <w:tcW w:w="8280" w:type="dxa"/>
            <w:vAlign w:val="bottom"/>
            <w:gridSpan w:val="4"/>
          </w:tcPr>
          <w:p>
            <w:pPr>
              <w:spacing w:after="0"/>
              <w:rPr>
                <w:sz w:val="20"/>
                <w:szCs w:val="20"/>
                <w:color w:val="auto"/>
              </w:rPr>
            </w:pPr>
            <w:r>
              <w:rPr>
                <w:rFonts w:ascii="Arial" w:cs="Arial" w:eastAsia="Arial" w:hAnsi="Arial"/>
                <w:sz w:val="14"/>
                <w:szCs w:val="14"/>
                <w:color w:val="auto"/>
              </w:rPr>
              <w:t>General and administrative expenses</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72</w:t>
            </w:r>
          </w:p>
        </w:tc>
        <w:tc>
          <w:tcPr>
            <w:tcW w:w="120" w:type="dxa"/>
            <w:vAlign w:val="bottom"/>
            <w:tcBorders>
              <w:right w:val="single" w:sz="8" w:color="auto"/>
            </w:tcBorders>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95</w:t>
            </w:r>
          </w:p>
        </w:tc>
      </w:tr>
      <w:tr>
        <w:trPr>
          <w:trHeight w:val="205"/>
        </w:trPr>
        <w:tc>
          <w:tcPr>
            <w:tcW w:w="20" w:type="dxa"/>
            <w:vAlign w:val="bottom"/>
          </w:tcPr>
          <w:p>
            <w:pPr>
              <w:spacing w:after="0"/>
              <w:rPr>
                <w:sz w:val="17"/>
                <w:szCs w:val="17"/>
                <w:color w:val="auto"/>
              </w:rPr>
            </w:pPr>
          </w:p>
        </w:tc>
        <w:tc>
          <w:tcPr>
            <w:tcW w:w="8280" w:type="dxa"/>
            <w:vAlign w:val="bottom"/>
            <w:gridSpan w:val="4"/>
          </w:tcPr>
          <w:p>
            <w:pPr>
              <w:ind w:left="120"/>
              <w:spacing w:after="0" w:line="205" w:lineRule="exact"/>
              <w:rPr>
                <w:sz w:val="20"/>
                <w:szCs w:val="20"/>
                <w:color w:val="auto"/>
              </w:rPr>
            </w:pPr>
            <w:r>
              <w:rPr>
                <w:rFonts w:ascii="Arial" w:cs="Arial" w:eastAsia="Arial" w:hAnsi="Arial"/>
                <w:sz w:val="14"/>
                <w:szCs w:val="14"/>
                <w:i w:val="1"/>
                <w:iCs w:val="1"/>
                <w:color w:val="auto"/>
              </w:rPr>
              <w:t>Adjusted general and administrative expenses</w:t>
            </w:r>
            <w:r>
              <w:rPr>
                <w:rFonts w:ascii="Arial" w:cs="Arial" w:eastAsia="Arial" w:hAnsi="Arial"/>
                <w:sz w:val="18"/>
                <w:szCs w:val="18"/>
                <w:i w:val="1"/>
                <w:iCs w:val="1"/>
                <w:color w:val="auto"/>
                <w:vertAlign w:val="superscript"/>
              </w:rPr>
              <w:t>1</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66</w:t>
            </w:r>
          </w:p>
        </w:tc>
        <w:tc>
          <w:tcPr>
            <w:tcW w:w="120" w:type="dxa"/>
            <w:vAlign w:val="bottom"/>
            <w:tcBorders>
              <w:right w:val="single" w:sz="8" w:color="auto"/>
            </w:tcBorders>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i w:val="1"/>
                <w:i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i w:val="1"/>
                <w:iCs w:val="1"/>
                <w:color w:val="auto"/>
              </w:rPr>
              <w:t>85</w:t>
            </w:r>
          </w:p>
        </w:tc>
      </w:tr>
      <w:tr>
        <w:trPr>
          <w:trHeight w:val="195"/>
        </w:trPr>
        <w:tc>
          <w:tcPr>
            <w:tcW w:w="20" w:type="dxa"/>
            <w:vAlign w:val="bottom"/>
          </w:tcPr>
          <w:p>
            <w:pPr>
              <w:spacing w:after="0"/>
              <w:rPr>
                <w:sz w:val="16"/>
                <w:szCs w:val="16"/>
                <w:color w:val="auto"/>
              </w:rPr>
            </w:pPr>
          </w:p>
        </w:tc>
        <w:tc>
          <w:tcPr>
            <w:tcW w:w="8280" w:type="dxa"/>
            <w:vAlign w:val="bottom"/>
            <w:gridSpan w:val="4"/>
          </w:tcPr>
          <w:p>
            <w:pPr>
              <w:spacing w:after="0"/>
              <w:rPr>
                <w:sz w:val="20"/>
                <w:szCs w:val="20"/>
                <w:color w:val="auto"/>
              </w:rPr>
            </w:pPr>
            <w:r>
              <w:rPr>
                <w:rFonts w:ascii="Arial" w:cs="Arial" w:eastAsia="Arial" w:hAnsi="Arial"/>
                <w:sz w:val="14"/>
                <w:szCs w:val="14"/>
                <w:color w:val="auto"/>
              </w:rPr>
              <w:t>Taxes other than on income</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70</w:t>
            </w:r>
          </w:p>
        </w:tc>
        <w:tc>
          <w:tcPr>
            <w:tcW w:w="120" w:type="dxa"/>
            <w:vAlign w:val="bottom"/>
            <w:tcBorders>
              <w:right w:val="single" w:sz="8" w:color="auto"/>
            </w:tcBorders>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00"/>
        </w:trPr>
        <w:tc>
          <w:tcPr>
            <w:tcW w:w="20" w:type="dxa"/>
            <w:vAlign w:val="bottom"/>
          </w:tcPr>
          <w:p>
            <w:pPr>
              <w:spacing w:after="0"/>
              <w:rPr>
                <w:sz w:val="17"/>
                <w:szCs w:val="17"/>
                <w:color w:val="auto"/>
              </w:rPr>
            </w:pPr>
          </w:p>
        </w:tc>
        <w:tc>
          <w:tcPr>
            <w:tcW w:w="8280" w:type="dxa"/>
            <w:vAlign w:val="bottom"/>
            <w:gridSpan w:val="4"/>
          </w:tcPr>
          <w:p>
            <w:pPr>
              <w:spacing w:after="0"/>
              <w:rPr>
                <w:sz w:val="20"/>
                <w:szCs w:val="20"/>
                <w:color w:val="auto"/>
              </w:rPr>
            </w:pPr>
            <w:r>
              <w:rPr>
                <w:rFonts w:ascii="Arial" w:cs="Arial" w:eastAsia="Arial" w:hAnsi="Arial"/>
                <w:sz w:val="14"/>
                <w:szCs w:val="14"/>
                <w:color w:val="auto"/>
              </w:rPr>
              <w:t>Transportation costs</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120" w:type="dxa"/>
            <w:vAlign w:val="bottom"/>
            <w:tcBorders>
              <w:right w:val="single" w:sz="8" w:color="auto"/>
            </w:tcBorders>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00"/>
        </w:trPr>
        <w:tc>
          <w:tcPr>
            <w:tcW w:w="20" w:type="dxa"/>
            <w:vAlign w:val="bottom"/>
          </w:tcPr>
          <w:p>
            <w:pPr>
              <w:spacing w:after="0"/>
              <w:rPr>
                <w:sz w:val="17"/>
                <w:szCs w:val="17"/>
                <w:color w:val="auto"/>
              </w:rPr>
            </w:pPr>
          </w:p>
        </w:tc>
        <w:tc>
          <w:tcPr>
            <w:tcW w:w="8280" w:type="dxa"/>
            <w:vAlign w:val="bottom"/>
            <w:gridSpan w:val="4"/>
          </w:tcPr>
          <w:p>
            <w:pPr>
              <w:spacing w:after="0"/>
              <w:rPr>
                <w:sz w:val="20"/>
                <w:szCs w:val="20"/>
                <w:color w:val="auto"/>
              </w:rPr>
            </w:pPr>
            <w:r>
              <w:rPr>
                <w:rFonts w:ascii="Arial" w:cs="Arial" w:eastAsia="Arial" w:hAnsi="Arial"/>
                <w:sz w:val="14"/>
                <w:szCs w:val="14"/>
                <w:b w:val="1"/>
                <w:bCs w:val="1"/>
                <w:color w:val="auto"/>
              </w:rPr>
              <w:t>Operating Income</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186</w:t>
            </w:r>
          </w:p>
        </w:tc>
        <w:tc>
          <w:tcPr>
            <w:tcW w:w="120" w:type="dxa"/>
            <w:vAlign w:val="bottom"/>
            <w:tcBorders>
              <w:right w:val="single" w:sz="8" w:color="auto"/>
            </w:tcBorders>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68</w:t>
            </w:r>
          </w:p>
        </w:tc>
      </w:tr>
      <w:tr>
        <w:trPr>
          <w:trHeight w:val="200"/>
        </w:trPr>
        <w:tc>
          <w:tcPr>
            <w:tcW w:w="20" w:type="dxa"/>
            <w:vAlign w:val="bottom"/>
          </w:tcPr>
          <w:p>
            <w:pPr>
              <w:spacing w:after="0"/>
              <w:rPr>
                <w:sz w:val="17"/>
                <w:szCs w:val="17"/>
                <w:color w:val="auto"/>
              </w:rPr>
            </w:pPr>
          </w:p>
        </w:tc>
        <w:tc>
          <w:tcPr>
            <w:tcW w:w="8280" w:type="dxa"/>
            <w:vAlign w:val="bottom"/>
            <w:gridSpan w:val="4"/>
          </w:tcPr>
          <w:p>
            <w:pPr>
              <w:spacing w:after="0"/>
              <w:rPr>
                <w:sz w:val="20"/>
                <w:szCs w:val="20"/>
                <w:color w:val="auto"/>
              </w:rPr>
            </w:pPr>
            <w:r>
              <w:rPr>
                <w:rFonts w:ascii="Arial" w:cs="Arial" w:eastAsia="Arial" w:hAnsi="Arial"/>
                <w:sz w:val="14"/>
                <w:szCs w:val="14"/>
                <w:color w:val="auto"/>
              </w:rPr>
              <w:t>Interest and debt expense</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(27)</w:t>
            </w:r>
          </w:p>
        </w:tc>
        <w:tc>
          <w:tcPr>
            <w:tcW w:w="120" w:type="dxa"/>
            <w:vAlign w:val="bottom"/>
            <w:tcBorders>
              <w:right w:val="single" w:sz="8" w:color="auto"/>
            </w:tcBorders>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00"/>
        </w:trPr>
        <w:tc>
          <w:tcPr>
            <w:tcW w:w="20" w:type="dxa"/>
            <w:vAlign w:val="bottom"/>
          </w:tcPr>
          <w:p>
            <w:pPr>
              <w:spacing w:after="0"/>
              <w:rPr>
                <w:sz w:val="17"/>
                <w:szCs w:val="17"/>
                <w:color w:val="auto"/>
              </w:rPr>
            </w:pPr>
          </w:p>
        </w:tc>
        <w:tc>
          <w:tcPr>
            <w:tcW w:w="8280" w:type="dxa"/>
            <w:vAlign w:val="bottom"/>
            <w:gridSpan w:val="4"/>
          </w:tcPr>
          <w:p>
            <w:pPr>
              <w:spacing w:after="0"/>
              <w:rPr>
                <w:sz w:val="20"/>
                <w:szCs w:val="20"/>
                <w:color w:val="auto"/>
              </w:rPr>
            </w:pPr>
            <w:r>
              <w:rPr>
                <w:rFonts w:ascii="Arial" w:cs="Arial" w:eastAsia="Arial" w:hAnsi="Arial"/>
                <w:sz w:val="14"/>
                <w:szCs w:val="14"/>
                <w:color w:val="auto"/>
              </w:rPr>
              <w:t>Income tax (provision) benefit</w:t>
            </w:r>
          </w:p>
        </w:tc>
        <w:tc>
          <w:tcPr>
            <w:tcW w:w="4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r>
      <w:tr>
        <w:trPr>
          <w:trHeight w:val="193"/>
        </w:trPr>
        <w:tc>
          <w:tcPr>
            <w:tcW w:w="20" w:type="dxa"/>
            <w:vAlign w:val="bottom"/>
          </w:tcPr>
          <w:p>
            <w:pPr>
              <w:spacing w:after="0"/>
              <w:rPr>
                <w:sz w:val="16"/>
                <w:szCs w:val="16"/>
                <w:color w:val="auto"/>
              </w:rPr>
            </w:pPr>
          </w:p>
        </w:tc>
        <w:tc>
          <w:tcPr>
            <w:tcW w:w="8280" w:type="dxa"/>
            <w:vAlign w:val="bottom"/>
            <w:gridSpan w:val="4"/>
          </w:tcPr>
          <w:p>
            <w:pPr>
              <w:spacing w:after="0"/>
              <w:rPr>
                <w:sz w:val="20"/>
                <w:szCs w:val="20"/>
                <w:color w:val="auto"/>
              </w:rPr>
            </w:pPr>
            <w:r>
              <w:rPr>
                <w:rFonts w:ascii="Arial" w:cs="Arial" w:eastAsia="Arial" w:hAnsi="Arial"/>
                <w:sz w:val="14"/>
                <w:szCs w:val="14"/>
                <w:b w:val="1"/>
                <w:bCs w:val="1"/>
                <w:color w:val="auto"/>
              </w:rPr>
              <w:t>Net income</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115</w:t>
            </w:r>
          </w:p>
        </w:tc>
        <w:tc>
          <w:tcPr>
            <w:tcW w:w="120" w:type="dxa"/>
            <w:vAlign w:val="bottom"/>
            <w:tcBorders>
              <w:right w:val="single" w:sz="8" w:color="auto"/>
            </w:tcBorders>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48"/>
        </w:trPr>
        <w:tc>
          <w:tcPr>
            <w:tcW w:w="20" w:type="dxa"/>
            <w:vAlign w:val="bottom"/>
          </w:tcPr>
          <w:p>
            <w:pPr>
              <w:spacing w:after="0"/>
              <w:rPr>
                <w:sz w:val="21"/>
                <w:szCs w:val="21"/>
                <w:color w:val="auto"/>
              </w:rPr>
            </w:pPr>
          </w:p>
        </w:tc>
        <w:tc>
          <w:tcPr>
            <w:tcW w:w="8280" w:type="dxa"/>
            <w:vAlign w:val="bottom"/>
            <w:gridSpan w:val="4"/>
          </w:tcPr>
          <w:p>
            <w:pPr>
              <w:spacing w:after="0"/>
              <w:rPr>
                <w:sz w:val="20"/>
                <w:szCs w:val="20"/>
                <w:color w:val="auto"/>
              </w:rPr>
            </w:pPr>
            <w:r>
              <w:rPr>
                <w:rFonts w:ascii="Arial" w:cs="Arial" w:eastAsia="Arial" w:hAnsi="Arial"/>
                <w:sz w:val="14"/>
                <w:szCs w:val="14"/>
                <w:b w:val="1"/>
                <w:bCs w:val="1"/>
                <w:color w:val="auto"/>
              </w:rPr>
              <w:t>EPS, Non-GAAP Measures and Select Balance Sheet Data</w:t>
            </w:r>
          </w:p>
        </w:tc>
        <w:tc>
          <w:tcPr>
            <w:tcW w:w="4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r>
      <w:tr>
        <w:trPr>
          <w:trHeight w:val="224"/>
        </w:trPr>
        <w:tc>
          <w:tcPr>
            <w:tcW w:w="20" w:type="dxa"/>
            <w:vAlign w:val="bottom"/>
          </w:tcPr>
          <w:p>
            <w:pPr>
              <w:spacing w:after="0"/>
              <w:rPr>
                <w:sz w:val="19"/>
                <w:szCs w:val="19"/>
                <w:color w:val="auto"/>
              </w:rPr>
            </w:pPr>
          </w:p>
        </w:tc>
        <w:tc>
          <w:tcPr>
            <w:tcW w:w="390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Adjusted net income</w:t>
            </w:r>
            <w:r>
              <w:rPr>
                <w:rFonts w:ascii="Arial" w:cs="Arial" w:eastAsia="Arial" w:hAnsi="Arial"/>
                <w:sz w:val="18"/>
                <w:szCs w:val="18"/>
                <w:color w:val="auto"/>
                <w:vertAlign w:val="superscript"/>
              </w:rPr>
              <w:t>1</w:t>
            </w:r>
          </w:p>
        </w:tc>
        <w:tc>
          <w:tcPr>
            <w:tcW w:w="43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98</w:t>
            </w:r>
          </w:p>
        </w:tc>
        <w:tc>
          <w:tcPr>
            <w:tcW w:w="120" w:type="dxa"/>
            <w:vAlign w:val="bottom"/>
            <w:tcBorders>
              <w:right w:val="single" w:sz="8" w:color="auto"/>
            </w:tcBorders>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84</w:t>
            </w:r>
          </w:p>
        </w:tc>
      </w:tr>
      <w:tr>
        <w:trPr>
          <w:trHeight w:val="195"/>
        </w:trPr>
        <w:tc>
          <w:tcPr>
            <w:tcW w:w="20" w:type="dxa"/>
            <w:vAlign w:val="bottom"/>
          </w:tcPr>
          <w:p>
            <w:pPr>
              <w:spacing w:after="0"/>
              <w:rPr>
                <w:sz w:val="16"/>
                <w:szCs w:val="16"/>
                <w:color w:val="auto"/>
              </w:rPr>
            </w:pPr>
          </w:p>
        </w:tc>
        <w:tc>
          <w:tcPr>
            <w:tcW w:w="8280" w:type="dxa"/>
            <w:vAlign w:val="bottom"/>
            <w:gridSpan w:val="4"/>
          </w:tcPr>
          <w:p>
            <w:pPr>
              <w:spacing w:after="0"/>
              <w:rPr>
                <w:sz w:val="20"/>
                <w:szCs w:val="20"/>
                <w:color w:val="auto"/>
              </w:rPr>
            </w:pPr>
            <w:r>
              <w:rPr>
                <w:rFonts w:ascii="Arial" w:cs="Arial" w:eastAsia="Arial" w:hAnsi="Arial"/>
                <w:sz w:val="14"/>
                <w:szCs w:val="14"/>
                <w:color w:val="auto"/>
              </w:rPr>
              <w:t>Weighted-average common shares outstanding - diluted</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91.2</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92.2</w:t>
            </w:r>
          </w:p>
        </w:tc>
      </w:tr>
      <w:tr>
        <w:trPr>
          <w:trHeight w:val="200"/>
        </w:trPr>
        <w:tc>
          <w:tcPr>
            <w:tcW w:w="20" w:type="dxa"/>
            <w:vAlign w:val="bottom"/>
          </w:tcPr>
          <w:p>
            <w:pPr>
              <w:spacing w:after="0"/>
              <w:rPr>
                <w:sz w:val="17"/>
                <w:szCs w:val="17"/>
                <w:color w:val="auto"/>
              </w:rPr>
            </w:pPr>
          </w:p>
        </w:tc>
        <w:tc>
          <w:tcPr>
            <w:tcW w:w="8280" w:type="dxa"/>
            <w:vAlign w:val="bottom"/>
            <w:gridSpan w:val="4"/>
          </w:tcPr>
          <w:p>
            <w:pPr>
              <w:spacing w:after="0"/>
              <w:rPr>
                <w:sz w:val="20"/>
                <w:szCs w:val="20"/>
                <w:color w:val="auto"/>
              </w:rPr>
            </w:pPr>
            <w:r>
              <w:rPr>
                <w:rFonts w:ascii="Arial" w:cs="Arial" w:eastAsia="Arial" w:hAnsi="Arial"/>
                <w:sz w:val="14"/>
                <w:szCs w:val="14"/>
                <w:color w:val="auto"/>
              </w:rPr>
              <w:t>Net income per share - diluted</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1.26</w:t>
            </w:r>
          </w:p>
        </w:tc>
        <w:tc>
          <w:tcPr>
            <w:tcW w:w="120" w:type="dxa"/>
            <w:vAlign w:val="bottom"/>
            <w:tcBorders>
              <w:right w:val="single" w:sz="8" w:color="auto"/>
            </w:tcBorders>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0.36</w:t>
            </w:r>
          </w:p>
        </w:tc>
      </w:tr>
      <w:tr>
        <w:trPr>
          <w:trHeight w:val="203"/>
        </w:trPr>
        <w:tc>
          <w:tcPr>
            <w:tcW w:w="20" w:type="dxa"/>
            <w:vAlign w:val="bottom"/>
          </w:tcPr>
          <w:p>
            <w:pPr>
              <w:spacing w:after="0"/>
              <w:rPr>
                <w:sz w:val="17"/>
                <w:szCs w:val="17"/>
                <w:color w:val="auto"/>
              </w:rPr>
            </w:pPr>
          </w:p>
        </w:tc>
        <w:tc>
          <w:tcPr>
            <w:tcW w:w="8280" w:type="dxa"/>
            <w:vAlign w:val="bottom"/>
            <w:gridSpan w:val="4"/>
          </w:tcPr>
          <w:p>
            <w:pPr>
              <w:spacing w:after="0" w:line="203" w:lineRule="exact"/>
              <w:rPr>
                <w:sz w:val="20"/>
                <w:szCs w:val="20"/>
                <w:color w:val="auto"/>
              </w:rPr>
            </w:pPr>
            <w:r>
              <w:rPr>
                <w:rFonts w:ascii="Arial" w:cs="Arial" w:eastAsia="Arial" w:hAnsi="Arial"/>
                <w:sz w:val="14"/>
                <w:szCs w:val="14"/>
                <w:color w:val="auto"/>
              </w:rPr>
              <w:t>Adjusted net income per share</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 diluted</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1.07</w:t>
            </w:r>
          </w:p>
        </w:tc>
        <w:tc>
          <w:tcPr>
            <w:tcW w:w="120" w:type="dxa"/>
            <w:vAlign w:val="bottom"/>
            <w:tcBorders>
              <w:right w:val="single" w:sz="8" w:color="auto"/>
            </w:tcBorders>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0.91</w:t>
            </w:r>
          </w:p>
        </w:tc>
      </w:tr>
      <w:tr>
        <w:trPr>
          <w:trHeight w:val="202"/>
        </w:trPr>
        <w:tc>
          <w:tcPr>
            <w:tcW w:w="20" w:type="dxa"/>
            <w:vAlign w:val="bottom"/>
          </w:tcPr>
          <w:p>
            <w:pPr>
              <w:spacing w:after="0"/>
              <w:rPr>
                <w:sz w:val="17"/>
                <w:szCs w:val="17"/>
                <w:color w:val="auto"/>
              </w:rPr>
            </w:pPr>
          </w:p>
        </w:tc>
        <w:tc>
          <w:tcPr>
            <w:tcW w:w="8280" w:type="dxa"/>
            <w:vAlign w:val="bottom"/>
            <w:gridSpan w:val="4"/>
          </w:tcPr>
          <w:p>
            <w:pPr>
              <w:spacing w:after="0" w:line="202" w:lineRule="exact"/>
              <w:rPr>
                <w:sz w:val="20"/>
                <w:szCs w:val="20"/>
                <w:color w:val="auto"/>
              </w:rPr>
            </w:pPr>
            <w:r>
              <w:rPr>
                <w:rFonts w:ascii="Arial" w:cs="Arial" w:eastAsia="Arial" w:hAnsi="Arial"/>
                <w:sz w:val="14"/>
                <w:szCs w:val="14"/>
                <w:color w:val="auto"/>
              </w:rPr>
              <w:t>Adjusted EBITDAX</w:t>
            </w:r>
            <w:r>
              <w:rPr>
                <w:rFonts w:ascii="Arial" w:cs="Arial" w:eastAsia="Arial" w:hAnsi="Arial"/>
                <w:sz w:val="18"/>
                <w:szCs w:val="18"/>
                <w:color w:val="auto"/>
                <w:vertAlign w:val="superscript"/>
              </w:rPr>
              <w:t>1</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328</w:t>
            </w:r>
          </w:p>
        </w:tc>
        <w:tc>
          <w:tcPr>
            <w:tcW w:w="120" w:type="dxa"/>
            <w:vAlign w:val="bottom"/>
            <w:tcBorders>
              <w:right w:val="single" w:sz="8" w:color="auto"/>
            </w:tcBorders>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316</w:t>
            </w:r>
          </w:p>
        </w:tc>
      </w:tr>
      <w:tr>
        <w:trPr>
          <w:trHeight w:val="195"/>
        </w:trPr>
        <w:tc>
          <w:tcPr>
            <w:tcW w:w="20" w:type="dxa"/>
            <w:vAlign w:val="bottom"/>
          </w:tcPr>
          <w:p>
            <w:pPr>
              <w:spacing w:after="0"/>
              <w:rPr>
                <w:sz w:val="16"/>
                <w:szCs w:val="16"/>
                <w:color w:val="auto"/>
              </w:rPr>
            </w:pPr>
          </w:p>
        </w:tc>
        <w:tc>
          <w:tcPr>
            <w:tcW w:w="8280" w:type="dxa"/>
            <w:vAlign w:val="bottom"/>
            <w:gridSpan w:val="4"/>
          </w:tcPr>
          <w:p>
            <w:pPr>
              <w:spacing w:after="0"/>
              <w:rPr>
                <w:sz w:val="20"/>
                <w:szCs w:val="20"/>
                <w:color w:val="auto"/>
              </w:rPr>
            </w:pPr>
            <w:r>
              <w:rPr>
                <w:rFonts w:ascii="Arial" w:cs="Arial" w:eastAsia="Arial" w:hAnsi="Arial"/>
                <w:sz w:val="14"/>
                <w:szCs w:val="14"/>
                <w:color w:val="auto"/>
              </w:rPr>
              <w:t>Deferred income tax provision (benefit)</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35</w:t>
            </w:r>
          </w:p>
        </w:tc>
        <w:tc>
          <w:tcPr>
            <w:tcW w:w="120" w:type="dxa"/>
            <w:vAlign w:val="bottom"/>
            <w:tcBorders>
              <w:right w:val="single" w:sz="8" w:color="auto"/>
            </w:tcBorders>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00"/>
        </w:trPr>
        <w:tc>
          <w:tcPr>
            <w:tcW w:w="20" w:type="dxa"/>
            <w:vAlign w:val="bottom"/>
          </w:tcPr>
          <w:p>
            <w:pPr>
              <w:spacing w:after="0"/>
              <w:rPr>
                <w:sz w:val="17"/>
                <w:szCs w:val="17"/>
                <w:color w:val="auto"/>
              </w:rPr>
            </w:pPr>
          </w:p>
        </w:tc>
        <w:tc>
          <w:tcPr>
            <w:tcW w:w="8280" w:type="dxa"/>
            <w:vAlign w:val="bottom"/>
            <w:gridSpan w:val="4"/>
          </w:tcPr>
          <w:p>
            <w:pPr>
              <w:spacing w:after="0"/>
              <w:rPr>
                <w:sz w:val="20"/>
                <w:szCs w:val="20"/>
                <w:color w:val="auto"/>
              </w:rPr>
            </w:pPr>
            <w:r>
              <w:rPr>
                <w:rFonts w:ascii="Arial" w:cs="Arial" w:eastAsia="Arial" w:hAnsi="Arial"/>
                <w:sz w:val="14"/>
                <w:szCs w:val="14"/>
                <w:color w:val="auto"/>
              </w:rPr>
              <w:t>Net cash provided by operating activities</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186</w:t>
            </w:r>
          </w:p>
        </w:tc>
        <w:tc>
          <w:tcPr>
            <w:tcW w:w="120" w:type="dxa"/>
            <w:vAlign w:val="bottom"/>
            <w:tcBorders>
              <w:right w:val="single" w:sz="8" w:color="auto"/>
            </w:tcBorders>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206</w:t>
            </w:r>
          </w:p>
        </w:tc>
      </w:tr>
      <w:tr>
        <w:trPr>
          <w:trHeight w:val="205"/>
        </w:trPr>
        <w:tc>
          <w:tcPr>
            <w:tcW w:w="20" w:type="dxa"/>
            <w:vAlign w:val="bottom"/>
          </w:tcPr>
          <w:p>
            <w:pPr>
              <w:spacing w:after="0"/>
              <w:rPr>
                <w:sz w:val="17"/>
                <w:szCs w:val="17"/>
                <w:color w:val="auto"/>
              </w:rPr>
            </w:pPr>
          </w:p>
        </w:tc>
        <w:tc>
          <w:tcPr>
            <w:tcW w:w="8280" w:type="dxa"/>
            <w:vAlign w:val="bottom"/>
            <w:gridSpan w:val="4"/>
          </w:tcPr>
          <w:p>
            <w:pPr>
              <w:spacing w:after="0" w:line="205" w:lineRule="exact"/>
              <w:rPr>
                <w:sz w:val="20"/>
                <w:szCs w:val="20"/>
                <w:color w:val="auto"/>
              </w:rPr>
            </w:pPr>
            <w:r>
              <w:rPr>
                <w:rFonts w:ascii="Arial" w:cs="Arial" w:eastAsia="Arial" w:hAnsi="Arial"/>
                <w:sz w:val="14"/>
                <w:szCs w:val="14"/>
                <w:color w:val="auto"/>
              </w:rPr>
              <w:t>Net cash provided by operating activities before net changes in operating assets and liabilities</w:t>
            </w:r>
            <w:r>
              <w:rPr>
                <w:rFonts w:ascii="Arial" w:cs="Arial" w:eastAsia="Arial" w:hAnsi="Arial"/>
                <w:sz w:val="18"/>
                <w:szCs w:val="18"/>
                <w:color w:val="auto"/>
                <w:vertAlign w:val="superscript"/>
              </w:rPr>
              <w:t>1</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252</w:t>
            </w:r>
          </w:p>
        </w:tc>
        <w:tc>
          <w:tcPr>
            <w:tcW w:w="120" w:type="dxa"/>
            <w:vAlign w:val="bottom"/>
            <w:tcBorders>
              <w:right w:val="single" w:sz="8" w:color="auto"/>
            </w:tcBorders>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258</w:t>
            </w:r>
          </w:p>
        </w:tc>
      </w:tr>
      <w:tr>
        <w:trPr>
          <w:trHeight w:val="195"/>
        </w:trPr>
        <w:tc>
          <w:tcPr>
            <w:tcW w:w="20" w:type="dxa"/>
            <w:vAlign w:val="bottom"/>
          </w:tcPr>
          <w:p>
            <w:pPr>
              <w:spacing w:after="0"/>
              <w:rPr>
                <w:sz w:val="16"/>
                <w:szCs w:val="16"/>
                <w:color w:val="auto"/>
              </w:rPr>
            </w:pPr>
          </w:p>
        </w:tc>
        <w:tc>
          <w:tcPr>
            <w:tcW w:w="8280" w:type="dxa"/>
            <w:vAlign w:val="bottom"/>
            <w:gridSpan w:val="4"/>
          </w:tcPr>
          <w:p>
            <w:pPr>
              <w:spacing w:after="0"/>
              <w:rPr>
                <w:sz w:val="20"/>
                <w:szCs w:val="20"/>
                <w:color w:val="auto"/>
              </w:rPr>
            </w:pPr>
            <w:r>
              <w:rPr>
                <w:rFonts w:ascii="Arial" w:cs="Arial" w:eastAsia="Arial" w:hAnsi="Arial"/>
                <w:sz w:val="14"/>
                <w:szCs w:val="14"/>
                <w:color w:val="auto"/>
              </w:rPr>
              <w:t>Capital investments</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55</w:t>
            </w:r>
          </w:p>
        </w:tc>
        <w:tc>
          <w:tcPr>
            <w:tcW w:w="120" w:type="dxa"/>
            <w:vAlign w:val="bottom"/>
            <w:tcBorders>
              <w:right w:val="single" w:sz="8" w:color="auto"/>
            </w:tcBorders>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88</w:t>
            </w:r>
          </w:p>
        </w:tc>
      </w:tr>
      <w:tr>
        <w:trPr>
          <w:trHeight w:val="205"/>
        </w:trPr>
        <w:tc>
          <w:tcPr>
            <w:tcW w:w="20" w:type="dxa"/>
            <w:vAlign w:val="bottom"/>
          </w:tcPr>
          <w:p>
            <w:pPr>
              <w:spacing w:after="0"/>
              <w:rPr>
                <w:sz w:val="17"/>
                <w:szCs w:val="17"/>
                <w:color w:val="auto"/>
              </w:rPr>
            </w:pPr>
          </w:p>
        </w:tc>
        <w:tc>
          <w:tcPr>
            <w:tcW w:w="8280" w:type="dxa"/>
            <w:vAlign w:val="bottom"/>
            <w:gridSpan w:val="4"/>
          </w:tcPr>
          <w:p>
            <w:pPr>
              <w:spacing w:after="0" w:line="205" w:lineRule="exact"/>
              <w:rPr>
                <w:sz w:val="20"/>
                <w:szCs w:val="20"/>
                <w:color w:val="auto"/>
              </w:rPr>
            </w:pPr>
            <w:r>
              <w:rPr>
                <w:rFonts w:ascii="Arial" w:cs="Arial" w:eastAsia="Arial" w:hAnsi="Arial"/>
                <w:sz w:val="14"/>
                <w:szCs w:val="14"/>
                <w:color w:val="auto"/>
              </w:rPr>
              <w:t>Free cash flow</w:t>
            </w:r>
            <w:r>
              <w:rPr>
                <w:rFonts w:ascii="Arial" w:cs="Arial" w:eastAsia="Arial" w:hAnsi="Arial"/>
                <w:sz w:val="18"/>
                <w:szCs w:val="18"/>
                <w:color w:val="auto"/>
                <w:vertAlign w:val="superscript"/>
              </w:rPr>
              <w:t>1</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131</w:t>
            </w:r>
          </w:p>
        </w:tc>
        <w:tc>
          <w:tcPr>
            <w:tcW w:w="120" w:type="dxa"/>
            <w:vAlign w:val="bottom"/>
            <w:tcBorders>
              <w:right w:val="single" w:sz="8" w:color="auto"/>
            </w:tcBorders>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118</w:t>
            </w:r>
          </w:p>
        </w:tc>
      </w:tr>
      <w:tr>
        <w:trPr>
          <w:trHeight w:val="196"/>
        </w:trPr>
        <w:tc>
          <w:tcPr>
            <w:tcW w:w="20" w:type="dxa"/>
            <w:vAlign w:val="bottom"/>
          </w:tcPr>
          <w:p>
            <w:pPr>
              <w:spacing w:after="0"/>
              <w:rPr>
                <w:sz w:val="17"/>
                <w:szCs w:val="17"/>
                <w:color w:val="auto"/>
              </w:rPr>
            </w:pPr>
          </w:p>
        </w:tc>
        <w:tc>
          <w:tcPr>
            <w:tcW w:w="8280" w:type="dxa"/>
            <w:vAlign w:val="bottom"/>
            <w:gridSpan w:val="4"/>
          </w:tcPr>
          <w:p>
            <w:pPr>
              <w:spacing w:after="0"/>
              <w:rPr>
                <w:sz w:val="20"/>
                <w:szCs w:val="20"/>
                <w:color w:val="auto"/>
              </w:rPr>
            </w:pPr>
            <w:r>
              <w:rPr>
                <w:rFonts w:ascii="Arial" w:cs="Arial" w:eastAsia="Arial" w:hAnsi="Arial"/>
                <w:sz w:val="14"/>
                <w:szCs w:val="14"/>
                <w:color w:val="auto"/>
              </w:rPr>
              <w:t>Cash and cash equivalents</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214</w:t>
            </w:r>
          </w:p>
        </w:tc>
        <w:tc>
          <w:tcPr>
            <w:tcW w:w="120" w:type="dxa"/>
            <w:vAlign w:val="bottom"/>
            <w:tcBorders>
              <w:right w:val="single" w:sz="8" w:color="auto"/>
            </w:tcBorders>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240"/>
          </w:cols>
          <w:pgMar w:left="320" w:top="871" w:right="339" w:bottom="1440" w:gutter="0" w:footer="0" w:header="0"/>
        </w:sectPr>
      </w:pPr>
    </w:p>
    <w:bookmarkStart w:id="6" w:name="page7"/>
    <w:bookmarkEnd w:id="6"/>
    <w:p>
      <w:pPr>
        <w:spacing w:after="0"/>
        <w:rPr>
          <w:sz w:val="20"/>
          <w:szCs w:val="20"/>
          <w:color w:val="auto"/>
        </w:rPr>
      </w:pPr>
      <w:r>
        <w:rPr>
          <w:rFonts w:ascii="Arial" w:cs="Arial" w:eastAsia="Arial" w:hAnsi="Arial"/>
          <w:sz w:val="21"/>
          <w:szCs w:val="21"/>
          <w:b w:val="1"/>
          <w:bCs w:val="1"/>
          <w:u w:val="single" w:color="auto"/>
          <w:color w:val="auto"/>
        </w:rPr>
        <w:t>Guidance</w:t>
      </w:r>
    </w:p>
    <w:p>
      <w:pPr>
        <w:spacing w:after="0" w:line="240" w:lineRule="exact"/>
        <w:rPr>
          <w:sz w:val="20"/>
          <w:szCs w:val="20"/>
          <w:color w:val="auto"/>
        </w:rPr>
      </w:pPr>
    </w:p>
    <w:p>
      <w:pPr>
        <w:jc w:val="both"/>
        <w:ind w:firstLine="320"/>
        <w:spacing w:after="0" w:line="248" w:lineRule="auto"/>
        <w:rPr>
          <w:sz w:val="20"/>
          <w:szCs w:val="20"/>
          <w:color w:val="auto"/>
        </w:rPr>
      </w:pPr>
      <w:r>
        <w:rPr>
          <w:rFonts w:ascii="Arial" w:cs="Arial" w:eastAsia="Arial" w:hAnsi="Arial"/>
          <w:sz w:val="21"/>
          <w:szCs w:val="21"/>
          <w:color w:val="auto"/>
        </w:rPr>
        <w:t>The following table provides key second quarter and full year 2025 financial and operating guidance. With respect to oil and gas development, CRC will run a one rig program in the first half of 2025 and expects to run a two rig program in the second half of 2025 using existing permits in hand. CRC currently holds sufficient permits to maintain its existing capital program through 2025. See Attachment 2 for additional information on CRC's second quarter and full year 2025 guidance.</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77"/>
        </w:trPr>
        <w:tc>
          <w:tcPr>
            <w:tcW w:w="5120" w:type="dxa"/>
            <w:vAlign w:val="bottom"/>
            <w:tcBorders>
              <w:top w:val="single" w:sz="8" w:color="auto"/>
            </w:tcBorders>
            <w:shd w:val="clear" w:color="auto" w:fill="DBDBDB"/>
          </w:tcPr>
          <w:p>
            <w:pPr>
              <w:spacing w:after="0"/>
              <w:rPr>
                <w:sz w:val="20"/>
                <w:szCs w:val="20"/>
                <w:color w:val="auto"/>
              </w:rPr>
            </w:pPr>
            <w:r>
              <w:rPr>
                <w:rFonts w:ascii="Arial" w:cs="Arial" w:eastAsia="Arial" w:hAnsi="Arial"/>
                <w:sz w:val="14"/>
                <w:szCs w:val="14"/>
                <w:b w:val="1"/>
                <w:bCs w:val="1"/>
                <w:color w:val="auto"/>
              </w:rPr>
              <w:t>CRC Guidance</w:t>
            </w:r>
            <w:r>
              <w:rPr>
                <w:rFonts w:ascii="Arial" w:cs="Arial" w:eastAsia="Arial" w:hAnsi="Arial"/>
                <w:sz w:val="9"/>
                <w:szCs w:val="9"/>
                <w:b w:val="1"/>
                <w:bCs w:val="1"/>
                <w:color w:val="auto"/>
              </w:rPr>
              <w:t>7</w:t>
            </w:r>
          </w:p>
        </w:tc>
        <w:tc>
          <w:tcPr>
            <w:tcW w:w="3360" w:type="dxa"/>
            <w:vAlign w:val="bottom"/>
            <w:tcBorders>
              <w:top w:val="single" w:sz="8" w:color="auto"/>
            </w:tcBorders>
            <w:shd w:val="clear" w:color="auto" w:fill="DBDBDB"/>
          </w:tcPr>
          <w:p>
            <w:pPr>
              <w:spacing w:after="0"/>
              <w:rPr>
                <w:sz w:val="15"/>
                <w:szCs w:val="15"/>
                <w:color w:val="auto"/>
              </w:rPr>
            </w:pPr>
          </w:p>
        </w:tc>
        <w:tc>
          <w:tcPr>
            <w:tcW w:w="860" w:type="dxa"/>
            <w:vAlign w:val="bottom"/>
            <w:tcBorders>
              <w:top w:val="single" w:sz="8" w:color="auto"/>
            </w:tcBorders>
            <w:shd w:val="clear" w:color="auto" w:fill="DBDBDB"/>
          </w:tcPr>
          <w:p>
            <w:pPr>
              <w:spacing w:after="0"/>
              <w:rPr>
                <w:sz w:val="15"/>
                <w:szCs w:val="15"/>
                <w:color w:val="auto"/>
              </w:rPr>
            </w:pPr>
          </w:p>
        </w:tc>
        <w:tc>
          <w:tcPr>
            <w:tcW w:w="1840" w:type="dxa"/>
            <w:vAlign w:val="bottom"/>
            <w:tcBorders>
              <w:top w:val="single" w:sz="8" w:color="auto"/>
            </w:tcBorders>
            <w:gridSpan w:val="2"/>
            <w:shd w:val="clear" w:color="auto" w:fill="DBDBDB"/>
          </w:tcPr>
          <w:p>
            <w:pPr>
              <w:ind w:left="620"/>
              <w:spacing w:after="0"/>
              <w:rPr>
                <w:sz w:val="20"/>
                <w:szCs w:val="20"/>
                <w:color w:val="auto"/>
              </w:rPr>
            </w:pPr>
            <w:r>
              <w:rPr>
                <w:rFonts w:ascii="Arial" w:cs="Arial" w:eastAsia="Arial" w:hAnsi="Arial"/>
                <w:sz w:val="14"/>
                <w:szCs w:val="14"/>
                <w:b w:val="1"/>
                <w:bCs w:val="1"/>
                <w:color w:val="auto"/>
              </w:rPr>
              <w:t>Total Year</w:t>
            </w:r>
          </w:p>
        </w:tc>
      </w:tr>
      <w:tr>
        <w:trPr>
          <w:trHeight w:val="203"/>
        </w:trPr>
        <w:tc>
          <w:tcPr>
            <w:tcW w:w="5120" w:type="dxa"/>
            <w:vAlign w:val="bottom"/>
            <w:tcBorders>
              <w:bottom w:val="single" w:sz="8" w:color="auto"/>
            </w:tcBorders>
            <w:shd w:val="clear" w:color="auto" w:fill="DBDBDB"/>
          </w:tcPr>
          <w:p>
            <w:pPr>
              <w:spacing w:after="0"/>
              <w:rPr>
                <w:sz w:val="17"/>
                <w:szCs w:val="17"/>
                <w:color w:val="auto"/>
              </w:rPr>
            </w:pPr>
          </w:p>
        </w:tc>
        <w:tc>
          <w:tcPr>
            <w:tcW w:w="4220" w:type="dxa"/>
            <w:vAlign w:val="bottom"/>
            <w:tcBorders>
              <w:bottom w:val="single" w:sz="8" w:color="auto"/>
            </w:tcBorders>
            <w:gridSpan w:val="2"/>
            <w:shd w:val="clear" w:color="auto" w:fill="DBDBDB"/>
          </w:tcPr>
          <w:p>
            <w:pPr>
              <w:jc w:val="center"/>
              <w:ind w:left="2509"/>
              <w:spacing w:after="0"/>
              <w:rPr>
                <w:sz w:val="20"/>
                <w:szCs w:val="20"/>
                <w:color w:val="auto"/>
              </w:rPr>
            </w:pPr>
            <w:r>
              <w:rPr>
                <w:rFonts w:ascii="Arial" w:cs="Arial" w:eastAsia="Arial" w:hAnsi="Arial"/>
                <w:sz w:val="14"/>
                <w:szCs w:val="14"/>
                <w:b w:val="1"/>
                <w:bCs w:val="1"/>
                <w:color w:val="auto"/>
              </w:rPr>
              <w:t>2Q25E</w:t>
            </w:r>
          </w:p>
        </w:tc>
        <w:tc>
          <w:tcPr>
            <w:tcW w:w="1840" w:type="dxa"/>
            <w:vAlign w:val="bottom"/>
            <w:tcBorders>
              <w:bottom w:val="single" w:sz="8" w:color="auto"/>
            </w:tcBorders>
            <w:gridSpan w:val="2"/>
            <w:shd w:val="clear" w:color="auto" w:fill="DBDBDB"/>
          </w:tcPr>
          <w:p>
            <w:pPr>
              <w:jc w:val="center"/>
              <w:spacing w:after="0"/>
              <w:rPr>
                <w:sz w:val="20"/>
                <w:szCs w:val="20"/>
                <w:color w:val="auto"/>
              </w:rPr>
            </w:pPr>
            <w:r>
              <w:rPr>
                <w:rFonts w:ascii="Arial" w:cs="Arial" w:eastAsia="Arial" w:hAnsi="Arial"/>
                <w:sz w:val="14"/>
                <w:szCs w:val="14"/>
                <w:b w:val="1"/>
                <w:bCs w:val="1"/>
                <w:color w:val="auto"/>
              </w:rPr>
              <w:t>2025E</w:t>
            </w:r>
          </w:p>
        </w:tc>
      </w:tr>
      <w:tr>
        <w:trPr>
          <w:trHeight w:val="193"/>
        </w:trPr>
        <w:tc>
          <w:tcPr>
            <w:tcW w:w="5120" w:type="dxa"/>
            <w:vAlign w:val="bottom"/>
          </w:tcPr>
          <w:p>
            <w:pPr>
              <w:ind w:left="120"/>
              <w:spacing w:after="0"/>
              <w:rPr>
                <w:sz w:val="20"/>
                <w:szCs w:val="20"/>
                <w:color w:val="auto"/>
              </w:rPr>
            </w:pPr>
            <w:r>
              <w:rPr>
                <w:rFonts w:ascii="Arial" w:cs="Arial" w:eastAsia="Arial" w:hAnsi="Arial"/>
                <w:sz w:val="14"/>
                <w:szCs w:val="14"/>
                <w:color w:val="auto"/>
              </w:rPr>
              <w:t>Net Production (MBoe/d)</w:t>
            </w:r>
          </w:p>
        </w:tc>
        <w:tc>
          <w:tcPr>
            <w:tcW w:w="3360" w:type="dxa"/>
            <w:vAlign w:val="bottom"/>
          </w:tcPr>
          <w:p>
            <w:pPr>
              <w:jc w:val="right"/>
              <w:spacing w:after="0"/>
              <w:rPr>
                <w:sz w:val="20"/>
                <w:szCs w:val="20"/>
                <w:color w:val="auto"/>
              </w:rPr>
            </w:pPr>
            <w:r>
              <w:rPr>
                <w:rFonts w:ascii="Arial" w:cs="Arial" w:eastAsia="Arial" w:hAnsi="Arial"/>
                <w:sz w:val="14"/>
                <w:szCs w:val="14"/>
                <w:color w:val="auto"/>
              </w:rPr>
              <w:t>133</w:t>
            </w:r>
          </w:p>
        </w:tc>
        <w:tc>
          <w:tcPr>
            <w:tcW w:w="860" w:type="dxa"/>
            <w:vAlign w:val="bottom"/>
          </w:tcPr>
          <w:p>
            <w:pPr>
              <w:ind w:left="20"/>
              <w:spacing w:after="0"/>
              <w:rPr>
                <w:sz w:val="20"/>
                <w:szCs w:val="20"/>
                <w:color w:val="auto"/>
              </w:rPr>
            </w:pPr>
            <w:r>
              <w:rPr>
                <w:rFonts w:ascii="Arial" w:cs="Arial" w:eastAsia="Arial" w:hAnsi="Arial"/>
                <w:sz w:val="14"/>
                <w:szCs w:val="14"/>
                <w:color w:val="auto"/>
              </w:rPr>
              <w:t>- 137</w:t>
            </w:r>
          </w:p>
        </w:tc>
        <w:tc>
          <w:tcPr>
            <w:tcW w:w="920" w:type="dxa"/>
            <w:vAlign w:val="bottom"/>
          </w:tcPr>
          <w:p>
            <w:pPr>
              <w:jc w:val="right"/>
              <w:spacing w:after="0"/>
              <w:rPr>
                <w:sz w:val="20"/>
                <w:szCs w:val="20"/>
                <w:color w:val="auto"/>
              </w:rPr>
            </w:pPr>
            <w:r>
              <w:rPr>
                <w:rFonts w:ascii="Arial" w:cs="Arial" w:eastAsia="Arial" w:hAnsi="Arial"/>
                <w:sz w:val="14"/>
                <w:szCs w:val="14"/>
                <w:color w:val="auto"/>
              </w:rPr>
              <w:t>132</w:t>
            </w:r>
          </w:p>
        </w:tc>
        <w:tc>
          <w:tcPr>
            <w:tcW w:w="920" w:type="dxa"/>
            <w:vAlign w:val="bottom"/>
          </w:tcPr>
          <w:p>
            <w:pPr>
              <w:ind w:left="20"/>
              <w:spacing w:after="0"/>
              <w:rPr>
                <w:sz w:val="20"/>
                <w:szCs w:val="20"/>
                <w:color w:val="auto"/>
              </w:rPr>
            </w:pPr>
            <w:r>
              <w:rPr>
                <w:rFonts w:ascii="Arial" w:cs="Arial" w:eastAsia="Arial" w:hAnsi="Arial"/>
                <w:sz w:val="14"/>
                <w:szCs w:val="14"/>
                <w:color w:val="auto"/>
              </w:rPr>
              <w:t>- 138</w:t>
            </w:r>
          </w:p>
        </w:tc>
      </w:tr>
      <w:tr>
        <w:trPr>
          <w:trHeight w:val="213"/>
        </w:trPr>
        <w:tc>
          <w:tcPr>
            <w:tcW w:w="5120" w:type="dxa"/>
            <w:vAlign w:val="bottom"/>
          </w:tcPr>
          <w:p>
            <w:pPr>
              <w:ind w:left="120"/>
              <w:spacing w:after="0"/>
              <w:rPr>
                <w:sz w:val="20"/>
                <w:szCs w:val="20"/>
                <w:color w:val="auto"/>
              </w:rPr>
            </w:pPr>
            <w:r>
              <w:rPr>
                <w:rFonts w:ascii="Arial" w:cs="Arial" w:eastAsia="Arial" w:hAnsi="Arial"/>
                <w:sz w:val="14"/>
                <w:szCs w:val="14"/>
                <w:color w:val="auto"/>
              </w:rPr>
              <w:t>Net Oil Production (%)</w:t>
            </w:r>
          </w:p>
        </w:tc>
        <w:tc>
          <w:tcPr>
            <w:tcW w:w="4220" w:type="dxa"/>
            <w:vAlign w:val="bottom"/>
            <w:gridSpan w:val="2"/>
          </w:tcPr>
          <w:p>
            <w:pPr>
              <w:jc w:val="right"/>
              <w:ind w:right="569"/>
              <w:spacing w:after="0"/>
              <w:rPr>
                <w:sz w:val="20"/>
                <w:szCs w:val="20"/>
                <w:color w:val="auto"/>
              </w:rPr>
            </w:pPr>
            <w:r>
              <w:rPr>
                <w:rFonts w:ascii="Arial" w:cs="Arial" w:eastAsia="Arial" w:hAnsi="Arial"/>
                <w:sz w:val="14"/>
                <w:szCs w:val="14"/>
                <w:color w:val="auto"/>
              </w:rPr>
              <w:t>~79%</w:t>
            </w:r>
          </w:p>
        </w:tc>
        <w:tc>
          <w:tcPr>
            <w:tcW w:w="1840" w:type="dxa"/>
            <w:vAlign w:val="bottom"/>
            <w:gridSpan w:val="2"/>
          </w:tcPr>
          <w:p>
            <w:pPr>
              <w:jc w:val="right"/>
              <w:ind w:right="629"/>
              <w:spacing w:after="0"/>
              <w:rPr>
                <w:sz w:val="20"/>
                <w:szCs w:val="20"/>
                <w:color w:val="auto"/>
              </w:rPr>
            </w:pPr>
            <w:r>
              <w:rPr>
                <w:rFonts w:ascii="Arial" w:cs="Arial" w:eastAsia="Arial" w:hAnsi="Arial"/>
                <w:sz w:val="14"/>
                <w:szCs w:val="14"/>
                <w:color w:val="auto"/>
              </w:rPr>
              <w:t>~79%</w:t>
            </w:r>
          </w:p>
        </w:tc>
      </w:tr>
      <w:tr>
        <w:trPr>
          <w:trHeight w:val="213"/>
        </w:trPr>
        <w:tc>
          <w:tcPr>
            <w:tcW w:w="5120" w:type="dxa"/>
            <w:vAlign w:val="bottom"/>
          </w:tcPr>
          <w:p>
            <w:pPr>
              <w:ind w:left="120"/>
              <w:spacing w:after="0"/>
              <w:rPr>
                <w:sz w:val="20"/>
                <w:szCs w:val="20"/>
                <w:color w:val="auto"/>
              </w:rPr>
            </w:pPr>
            <w:r>
              <w:rPr>
                <w:rFonts w:ascii="Arial" w:cs="Arial" w:eastAsia="Arial" w:hAnsi="Arial"/>
                <w:sz w:val="14"/>
                <w:szCs w:val="14"/>
                <w:color w:val="auto"/>
              </w:rPr>
              <w:t>Capital ($ millions)</w:t>
            </w:r>
          </w:p>
        </w:tc>
        <w:tc>
          <w:tcPr>
            <w:tcW w:w="3360" w:type="dxa"/>
            <w:vAlign w:val="bottom"/>
          </w:tcPr>
          <w:p>
            <w:pPr>
              <w:jc w:val="right"/>
              <w:spacing w:after="0"/>
              <w:rPr>
                <w:sz w:val="20"/>
                <w:szCs w:val="20"/>
                <w:color w:val="auto"/>
              </w:rPr>
            </w:pPr>
            <w:r>
              <w:rPr>
                <w:rFonts w:ascii="Arial" w:cs="Arial" w:eastAsia="Arial" w:hAnsi="Arial"/>
                <w:sz w:val="14"/>
                <w:szCs w:val="14"/>
                <w:color w:val="auto"/>
              </w:rPr>
              <w:t>$81</w:t>
            </w:r>
          </w:p>
        </w:tc>
        <w:tc>
          <w:tcPr>
            <w:tcW w:w="860" w:type="dxa"/>
            <w:vAlign w:val="bottom"/>
          </w:tcPr>
          <w:p>
            <w:pPr>
              <w:ind w:left="20"/>
              <w:spacing w:after="0"/>
              <w:rPr>
                <w:sz w:val="20"/>
                <w:szCs w:val="20"/>
                <w:color w:val="auto"/>
              </w:rPr>
            </w:pPr>
            <w:r>
              <w:rPr>
                <w:rFonts w:ascii="Arial" w:cs="Arial" w:eastAsia="Arial" w:hAnsi="Arial"/>
                <w:sz w:val="14"/>
                <w:szCs w:val="14"/>
                <w:color w:val="auto"/>
              </w:rPr>
              <w:t>- $92</w:t>
            </w:r>
          </w:p>
        </w:tc>
        <w:tc>
          <w:tcPr>
            <w:tcW w:w="920" w:type="dxa"/>
            <w:vAlign w:val="bottom"/>
          </w:tcPr>
          <w:p>
            <w:pPr>
              <w:jc w:val="right"/>
              <w:spacing w:after="0"/>
              <w:rPr>
                <w:sz w:val="20"/>
                <w:szCs w:val="20"/>
                <w:color w:val="auto"/>
              </w:rPr>
            </w:pPr>
            <w:r>
              <w:rPr>
                <w:rFonts w:ascii="Arial" w:cs="Arial" w:eastAsia="Arial" w:hAnsi="Arial"/>
                <w:sz w:val="14"/>
                <w:szCs w:val="14"/>
                <w:color w:val="auto"/>
              </w:rPr>
              <w:t>$285</w:t>
            </w:r>
          </w:p>
        </w:tc>
        <w:tc>
          <w:tcPr>
            <w:tcW w:w="920" w:type="dxa"/>
            <w:vAlign w:val="bottom"/>
          </w:tcPr>
          <w:p>
            <w:pPr>
              <w:ind w:left="20"/>
              <w:spacing w:after="0"/>
              <w:rPr>
                <w:sz w:val="20"/>
                <w:szCs w:val="20"/>
                <w:color w:val="auto"/>
              </w:rPr>
            </w:pPr>
            <w:r>
              <w:rPr>
                <w:rFonts w:ascii="Arial" w:cs="Arial" w:eastAsia="Arial" w:hAnsi="Arial"/>
                <w:sz w:val="14"/>
                <w:szCs w:val="14"/>
                <w:color w:val="auto"/>
              </w:rPr>
              <w:t>- $335</w:t>
            </w:r>
          </w:p>
        </w:tc>
      </w:tr>
      <w:tr>
        <w:trPr>
          <w:trHeight w:val="213"/>
        </w:trPr>
        <w:tc>
          <w:tcPr>
            <w:tcW w:w="5120" w:type="dxa"/>
            <w:vAlign w:val="bottom"/>
          </w:tcPr>
          <w:p>
            <w:pPr>
              <w:ind w:left="120"/>
              <w:spacing w:after="0"/>
              <w:rPr>
                <w:sz w:val="20"/>
                <w:szCs w:val="20"/>
                <w:color w:val="auto"/>
              </w:rPr>
            </w:pPr>
            <w:r>
              <w:rPr>
                <w:rFonts w:ascii="Arial" w:cs="Arial" w:eastAsia="Arial" w:hAnsi="Arial"/>
                <w:sz w:val="14"/>
                <w:szCs w:val="14"/>
                <w:color w:val="auto"/>
              </w:rPr>
              <w:t>Adjusted EBITDAX</w:t>
            </w:r>
            <w:r>
              <w:rPr>
                <w:rFonts w:ascii="Arial" w:cs="Arial" w:eastAsia="Arial" w:hAnsi="Arial"/>
                <w:sz w:val="9"/>
                <w:szCs w:val="9"/>
                <w:color w:val="auto"/>
              </w:rPr>
              <w:t>1</w:t>
            </w:r>
            <w:r>
              <w:rPr>
                <w:rFonts w:ascii="Arial" w:cs="Arial" w:eastAsia="Arial" w:hAnsi="Arial"/>
                <w:sz w:val="14"/>
                <w:szCs w:val="14"/>
                <w:color w:val="auto"/>
              </w:rPr>
              <w:t xml:space="preserve"> ($ millions)</w:t>
            </w:r>
          </w:p>
        </w:tc>
        <w:tc>
          <w:tcPr>
            <w:tcW w:w="3360" w:type="dxa"/>
            <w:vAlign w:val="bottom"/>
          </w:tcPr>
          <w:p>
            <w:pPr>
              <w:jc w:val="right"/>
              <w:spacing w:after="0"/>
              <w:rPr>
                <w:sz w:val="20"/>
                <w:szCs w:val="20"/>
                <w:color w:val="auto"/>
              </w:rPr>
            </w:pPr>
            <w:r>
              <w:rPr>
                <w:rFonts w:ascii="Arial" w:cs="Arial" w:eastAsia="Arial" w:hAnsi="Arial"/>
                <w:sz w:val="14"/>
                <w:szCs w:val="14"/>
                <w:color w:val="auto"/>
              </w:rPr>
              <w:t>$275</w:t>
            </w:r>
          </w:p>
        </w:tc>
        <w:tc>
          <w:tcPr>
            <w:tcW w:w="860" w:type="dxa"/>
            <w:vAlign w:val="bottom"/>
          </w:tcPr>
          <w:p>
            <w:pPr>
              <w:ind w:left="20"/>
              <w:spacing w:after="0"/>
              <w:rPr>
                <w:sz w:val="20"/>
                <w:szCs w:val="20"/>
                <w:color w:val="auto"/>
              </w:rPr>
            </w:pPr>
            <w:r>
              <w:rPr>
                <w:rFonts w:ascii="Arial" w:cs="Arial" w:eastAsia="Arial" w:hAnsi="Arial"/>
                <w:sz w:val="14"/>
                <w:szCs w:val="14"/>
                <w:color w:val="auto"/>
              </w:rPr>
              <w:t>- $290</w:t>
            </w:r>
          </w:p>
        </w:tc>
        <w:tc>
          <w:tcPr>
            <w:tcW w:w="920" w:type="dxa"/>
            <w:vAlign w:val="bottom"/>
          </w:tcPr>
          <w:p>
            <w:pPr>
              <w:jc w:val="right"/>
              <w:spacing w:after="0"/>
              <w:rPr>
                <w:sz w:val="20"/>
                <w:szCs w:val="20"/>
                <w:color w:val="auto"/>
              </w:rPr>
            </w:pPr>
            <w:r>
              <w:rPr>
                <w:rFonts w:ascii="Arial" w:cs="Arial" w:eastAsia="Arial" w:hAnsi="Arial"/>
                <w:sz w:val="14"/>
                <w:szCs w:val="14"/>
                <w:color w:val="auto"/>
              </w:rPr>
              <w:t>$1,100</w:t>
            </w:r>
          </w:p>
        </w:tc>
        <w:tc>
          <w:tcPr>
            <w:tcW w:w="920" w:type="dxa"/>
            <w:vAlign w:val="bottom"/>
          </w:tcPr>
          <w:p>
            <w:pPr>
              <w:ind w:left="20"/>
              <w:spacing w:after="0"/>
              <w:rPr>
                <w:sz w:val="20"/>
                <w:szCs w:val="20"/>
                <w:color w:val="auto"/>
              </w:rPr>
            </w:pPr>
            <w:r>
              <w:rPr>
                <w:rFonts w:ascii="Arial" w:cs="Arial" w:eastAsia="Arial" w:hAnsi="Arial"/>
                <w:sz w:val="14"/>
                <w:szCs w:val="14"/>
                <w:color w:val="auto"/>
              </w:rPr>
              <w:t>- $1,200</w:t>
            </w:r>
          </w:p>
        </w:tc>
      </w:tr>
    </w:tbl>
    <w:p>
      <w:pPr>
        <w:spacing w:after="0" w:line="312"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Shareholder Returns and Dividend Announcements</w:t>
      </w:r>
    </w:p>
    <w:p>
      <w:pPr>
        <w:spacing w:after="0" w:line="240" w:lineRule="exact"/>
        <w:rPr>
          <w:sz w:val="20"/>
          <w:szCs w:val="20"/>
          <w:color w:val="auto"/>
        </w:rPr>
      </w:pPr>
    </w:p>
    <w:p>
      <w:pPr>
        <w:jc w:val="both"/>
        <w:ind w:firstLine="320"/>
        <w:spacing w:after="0" w:line="262" w:lineRule="auto"/>
        <w:rPr>
          <w:sz w:val="20"/>
          <w:szCs w:val="20"/>
          <w:color w:val="auto"/>
        </w:rPr>
      </w:pPr>
      <w:r>
        <w:rPr>
          <w:rFonts w:ascii="Arial" w:cs="Arial" w:eastAsia="Arial" w:hAnsi="Arial"/>
          <w:sz w:val="21"/>
          <w:szCs w:val="21"/>
          <w:color w:val="auto"/>
        </w:rPr>
        <w:t>CRC is committed to returning cash to shareholders through dividends and repurchases of its outstanding common stock. During the first quarter of 2025, CRC repurchased 2.3 million shares for $100 million at an average price of $44 per share</w:t>
      </w:r>
      <w:r>
        <w:rPr>
          <w:rFonts w:ascii="Arial" w:cs="Arial" w:eastAsia="Arial" w:hAnsi="Arial"/>
          <w:sz w:val="27"/>
          <w:szCs w:val="27"/>
          <w:color w:val="auto"/>
          <w:vertAlign w:val="superscript"/>
        </w:rPr>
        <w:t>2</w:t>
      </w:r>
      <w:r>
        <w:rPr>
          <w:rFonts w:ascii="Arial" w:cs="Arial" w:eastAsia="Arial" w:hAnsi="Arial"/>
          <w:sz w:val="21"/>
          <w:szCs w:val="21"/>
          <w:color w:val="auto"/>
        </w:rPr>
        <w:t>.</w:t>
      </w:r>
    </w:p>
    <w:p>
      <w:pPr>
        <w:spacing w:after="0" w:line="89" w:lineRule="exact"/>
        <w:rPr>
          <w:sz w:val="20"/>
          <w:szCs w:val="20"/>
          <w:color w:val="auto"/>
        </w:rPr>
      </w:pPr>
    </w:p>
    <w:p>
      <w:pPr>
        <w:jc w:val="both"/>
        <w:ind w:firstLine="320"/>
        <w:spacing w:after="0" w:line="231" w:lineRule="auto"/>
        <w:rPr>
          <w:sz w:val="20"/>
          <w:szCs w:val="20"/>
          <w:color w:val="auto"/>
        </w:rPr>
      </w:pPr>
      <w:r>
        <w:rPr>
          <w:rFonts w:ascii="Arial" w:cs="Arial" w:eastAsia="Arial" w:hAnsi="Arial"/>
          <w:sz w:val="21"/>
          <w:szCs w:val="21"/>
          <w:color w:val="auto"/>
        </w:rPr>
        <w:t>Since mid-2021, the Company has returned approximately $1,195 million to shareholders</w:t>
      </w:r>
      <w:r>
        <w:rPr>
          <w:rFonts w:ascii="Arial" w:cs="Arial" w:eastAsia="Arial" w:hAnsi="Arial"/>
          <w:sz w:val="27"/>
          <w:szCs w:val="27"/>
          <w:color w:val="auto"/>
          <w:vertAlign w:val="superscript"/>
        </w:rPr>
        <w:t>2</w:t>
      </w:r>
      <w:r>
        <w:rPr>
          <w:rFonts w:ascii="Arial" w:cs="Arial" w:eastAsia="Arial" w:hAnsi="Arial"/>
          <w:sz w:val="21"/>
          <w:szCs w:val="21"/>
          <w:color w:val="auto"/>
        </w:rPr>
        <w:t>, including $893 million in share repurchases and $302 million in dividends. As of March 31, 2025, CRC had approximately $457 million remaining for repurchases under its authorized share repurchase program.</w:t>
      </w:r>
    </w:p>
    <w:p>
      <w:pPr>
        <w:spacing w:after="0" w:line="187" w:lineRule="exact"/>
        <w:rPr>
          <w:sz w:val="20"/>
          <w:szCs w:val="20"/>
          <w:color w:val="auto"/>
        </w:rPr>
      </w:pPr>
    </w:p>
    <w:p>
      <w:pPr>
        <w:jc w:val="both"/>
        <w:ind w:firstLine="320"/>
        <w:spacing w:after="0" w:line="226" w:lineRule="auto"/>
        <w:rPr>
          <w:sz w:val="20"/>
          <w:szCs w:val="20"/>
          <w:color w:val="auto"/>
        </w:rPr>
      </w:pPr>
      <w:r>
        <w:rPr>
          <w:rFonts w:ascii="Arial" w:cs="Arial" w:eastAsia="Arial" w:hAnsi="Arial"/>
          <w:sz w:val="21"/>
          <w:szCs w:val="21"/>
          <w:color w:val="auto"/>
        </w:rPr>
        <w:t>On May 5, 2025, CRC's Board of Directors declared a quarterly cash dividend</w:t>
      </w:r>
      <w:r>
        <w:rPr>
          <w:rFonts w:ascii="Arial" w:cs="Arial" w:eastAsia="Arial" w:hAnsi="Arial"/>
          <w:sz w:val="27"/>
          <w:szCs w:val="27"/>
          <w:color w:val="auto"/>
          <w:vertAlign w:val="superscript"/>
        </w:rPr>
        <w:t>2</w:t>
      </w:r>
      <w:r>
        <w:rPr>
          <w:rFonts w:ascii="Arial" w:cs="Arial" w:eastAsia="Arial" w:hAnsi="Arial"/>
          <w:sz w:val="21"/>
          <w:szCs w:val="21"/>
          <w:color w:val="auto"/>
        </w:rPr>
        <w:t xml:space="preserve"> of $0.3875 per share of common stock, payable to shareholders of record on May 30, 2025. The dividend is expected to be paid on June 13, 2025.</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Balance Sheet and Liquidity</w:t>
      </w:r>
    </w:p>
    <w:p>
      <w:pPr>
        <w:spacing w:after="0" w:line="240" w:lineRule="exact"/>
        <w:rPr>
          <w:sz w:val="20"/>
          <w:szCs w:val="20"/>
          <w:color w:val="auto"/>
        </w:rPr>
      </w:pPr>
    </w:p>
    <w:p>
      <w:pPr>
        <w:jc w:val="both"/>
        <w:ind w:firstLine="320"/>
        <w:spacing w:after="0" w:line="277" w:lineRule="auto"/>
        <w:rPr>
          <w:sz w:val="20"/>
          <w:szCs w:val="20"/>
          <w:color w:val="auto"/>
        </w:rPr>
      </w:pPr>
      <w:r>
        <w:rPr>
          <w:rFonts w:ascii="Arial" w:cs="Arial" w:eastAsia="Arial" w:hAnsi="Arial"/>
          <w:sz w:val="21"/>
          <w:szCs w:val="21"/>
          <w:color w:val="auto"/>
        </w:rPr>
        <w:t>In February 2025, CRC redeemed $123 million of its 2026 Senior Notes at 100% of the principal amount of such notes. CRC expects to redeem the remaining $122 million principal amount in 2025.</w:t>
      </w:r>
    </w:p>
    <w:p>
      <w:pPr>
        <w:spacing w:after="0" w:line="158" w:lineRule="exact"/>
        <w:rPr>
          <w:sz w:val="20"/>
          <w:szCs w:val="20"/>
          <w:color w:val="auto"/>
        </w:rPr>
      </w:pPr>
    </w:p>
    <w:p>
      <w:pPr>
        <w:jc w:val="both"/>
        <w:ind w:firstLine="320"/>
        <w:spacing w:after="0" w:line="236" w:lineRule="auto"/>
        <w:rPr>
          <w:sz w:val="20"/>
          <w:szCs w:val="20"/>
          <w:color w:val="auto"/>
        </w:rPr>
      </w:pPr>
      <w:r>
        <w:rPr>
          <w:rFonts w:ascii="Arial" w:cs="Arial" w:eastAsia="Arial" w:hAnsi="Arial"/>
          <w:sz w:val="21"/>
          <w:szCs w:val="21"/>
          <w:color w:val="auto"/>
        </w:rPr>
        <w:t>As of March 31, 2025, CRC had $199 million in available cash and cash equivalents</w:t>
      </w:r>
      <w:r>
        <w:rPr>
          <w:rFonts w:ascii="Arial" w:cs="Arial" w:eastAsia="Arial" w:hAnsi="Arial"/>
          <w:sz w:val="27"/>
          <w:szCs w:val="27"/>
          <w:color w:val="auto"/>
          <w:vertAlign w:val="superscript"/>
        </w:rPr>
        <w:t>3</w:t>
      </w:r>
      <w:r>
        <w:rPr>
          <w:rFonts w:ascii="Arial" w:cs="Arial" w:eastAsia="Arial" w:hAnsi="Arial"/>
          <w:sz w:val="21"/>
          <w:szCs w:val="21"/>
          <w:color w:val="auto"/>
        </w:rPr>
        <w:t>, $983 million of available borrowing capacity under its Facility (which reflects $1,150 million of borrowing capacity less $167 million of outstanding letters of credit) and liquidity</w:t>
      </w:r>
      <w:r>
        <w:rPr>
          <w:rFonts w:ascii="Arial" w:cs="Arial" w:eastAsia="Arial" w:hAnsi="Arial"/>
          <w:sz w:val="27"/>
          <w:szCs w:val="27"/>
          <w:color w:val="auto"/>
          <w:vertAlign w:val="superscript"/>
        </w:rPr>
        <w:t>1, 3</w:t>
      </w:r>
      <w:r>
        <w:rPr>
          <w:rFonts w:ascii="Arial" w:cs="Arial" w:eastAsia="Arial" w:hAnsi="Arial"/>
          <w:sz w:val="21"/>
          <w:szCs w:val="21"/>
          <w:color w:val="auto"/>
        </w:rPr>
        <w:t xml:space="preserve"> of $1,182 million.</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21"/>
          <w:szCs w:val="21"/>
          <w:color w:val="auto"/>
        </w:rPr>
        <w:t>In April 2025, CRC's borrowing base was reaffirmed under its Revolving Credit Facility at $1,500 million.</w:t>
      </w: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Upcoming Investor Conference Participation</w:t>
      </w:r>
    </w:p>
    <w:p>
      <w:pPr>
        <w:spacing w:after="0" w:line="240" w:lineRule="exact"/>
        <w:rPr>
          <w:sz w:val="20"/>
          <w:szCs w:val="20"/>
          <w:color w:val="auto"/>
        </w:rPr>
      </w:pPr>
    </w:p>
    <w:p>
      <w:pPr>
        <w:ind w:left="320"/>
        <w:spacing w:after="0"/>
        <w:rPr>
          <w:sz w:val="20"/>
          <w:szCs w:val="20"/>
          <w:color w:val="auto"/>
        </w:rPr>
      </w:pPr>
      <w:r>
        <w:rPr>
          <w:rFonts w:ascii="Arial" w:cs="Arial" w:eastAsia="Arial" w:hAnsi="Arial"/>
          <w:sz w:val="21"/>
          <w:szCs w:val="21"/>
          <w:color w:val="auto"/>
        </w:rPr>
        <w:t>CRC will be participating in the following events In May through July 2025:</w:t>
      </w:r>
    </w:p>
    <w:p>
      <w:pPr>
        <w:spacing w:after="0" w:line="238" w:lineRule="exact"/>
        <w:rPr>
          <w:sz w:val="20"/>
          <w:szCs w:val="20"/>
          <w:color w:val="auto"/>
        </w:rPr>
      </w:pPr>
    </w:p>
    <w:p>
      <w:pPr>
        <w:ind w:left="580" w:hanging="254"/>
        <w:spacing w:after="0"/>
        <w:tabs>
          <w:tab w:leader="none" w:pos="580" w:val="left"/>
        </w:tabs>
        <w:numPr>
          <w:ilvl w:val="0"/>
          <w:numId w:val="5"/>
        </w:numPr>
        <w:rPr>
          <w:rFonts w:ascii="Arial" w:cs="Arial" w:eastAsia="Arial" w:hAnsi="Arial"/>
          <w:sz w:val="21"/>
          <w:szCs w:val="21"/>
          <w:color w:val="auto"/>
        </w:rPr>
      </w:pPr>
      <w:r>
        <w:rPr>
          <w:rFonts w:ascii="Arial" w:cs="Arial" w:eastAsia="Arial" w:hAnsi="Arial"/>
          <w:sz w:val="21"/>
          <w:szCs w:val="21"/>
          <w:color w:val="auto"/>
        </w:rPr>
        <w:t>UBS Energy Transition and Decarbonization Conference on May 13 to 14 in New York, NY</w:t>
      </w:r>
    </w:p>
    <w:p>
      <w:pPr>
        <w:spacing w:after="0" w:line="39" w:lineRule="exact"/>
        <w:rPr>
          <w:rFonts w:ascii="Arial" w:cs="Arial" w:eastAsia="Arial" w:hAnsi="Arial"/>
          <w:sz w:val="21"/>
          <w:szCs w:val="21"/>
          <w:color w:val="auto"/>
        </w:rPr>
      </w:pPr>
    </w:p>
    <w:p>
      <w:pPr>
        <w:ind w:left="580" w:hanging="254"/>
        <w:spacing w:after="0"/>
        <w:tabs>
          <w:tab w:leader="none" w:pos="580" w:val="left"/>
        </w:tabs>
        <w:numPr>
          <w:ilvl w:val="0"/>
          <w:numId w:val="5"/>
        </w:numPr>
        <w:rPr>
          <w:rFonts w:ascii="Arial" w:cs="Arial" w:eastAsia="Arial" w:hAnsi="Arial"/>
          <w:sz w:val="21"/>
          <w:szCs w:val="21"/>
          <w:color w:val="auto"/>
        </w:rPr>
      </w:pPr>
      <w:r>
        <w:rPr>
          <w:rFonts w:ascii="Arial" w:cs="Arial" w:eastAsia="Arial" w:hAnsi="Arial"/>
          <w:sz w:val="21"/>
          <w:szCs w:val="21"/>
          <w:color w:val="auto"/>
        </w:rPr>
        <w:t>Morgan Stanley Sustainability Leadership Summit on May 15 in New York, NY</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240"/>
          </w:cols>
          <w:pgMar w:left="320" w:top="871" w:right="339" w:bottom="1440" w:gutter="0" w:footer="0" w:header="0"/>
        </w:sectPr>
      </w:pPr>
    </w:p>
    <w:bookmarkStart w:id="7" w:name="page8"/>
    <w:bookmarkEnd w:id="7"/>
    <w:p>
      <w:pPr>
        <w:ind w:left="580" w:hanging="254"/>
        <w:spacing w:after="0"/>
        <w:tabs>
          <w:tab w:leader="none" w:pos="580" w:val="left"/>
        </w:tabs>
        <w:numPr>
          <w:ilvl w:val="0"/>
          <w:numId w:val="6"/>
        </w:numPr>
        <w:rPr>
          <w:rFonts w:ascii="Arial" w:cs="Arial" w:eastAsia="Arial" w:hAnsi="Arial"/>
          <w:sz w:val="21"/>
          <w:szCs w:val="21"/>
          <w:color w:val="auto"/>
        </w:rPr>
      </w:pPr>
      <w:r>
        <w:rPr>
          <w:rFonts w:ascii="Arial" w:cs="Arial" w:eastAsia="Arial" w:hAnsi="Arial"/>
          <w:sz w:val="21"/>
          <w:szCs w:val="21"/>
          <w:color w:val="auto"/>
        </w:rPr>
        <w:t>Goldman Sachs Leveraged Finance and Credit Conference on May 28 to 29 in Dana Point, CA</w:t>
      </w:r>
    </w:p>
    <w:p>
      <w:pPr>
        <w:spacing w:after="0" w:line="31" w:lineRule="exact"/>
        <w:rPr>
          <w:rFonts w:ascii="Arial" w:cs="Arial" w:eastAsia="Arial" w:hAnsi="Arial"/>
          <w:sz w:val="21"/>
          <w:szCs w:val="21"/>
          <w:color w:val="auto"/>
        </w:rPr>
      </w:pPr>
    </w:p>
    <w:p>
      <w:pPr>
        <w:ind w:left="580" w:hanging="254"/>
        <w:spacing w:after="0"/>
        <w:tabs>
          <w:tab w:leader="none" w:pos="580" w:val="left"/>
        </w:tabs>
        <w:numPr>
          <w:ilvl w:val="0"/>
          <w:numId w:val="6"/>
        </w:numPr>
        <w:rPr>
          <w:rFonts w:ascii="Arial" w:cs="Arial" w:eastAsia="Arial" w:hAnsi="Arial"/>
          <w:sz w:val="21"/>
          <w:szCs w:val="21"/>
          <w:color w:val="auto"/>
        </w:rPr>
      </w:pPr>
      <w:r>
        <w:rPr>
          <w:rFonts w:ascii="Arial" w:cs="Arial" w:eastAsia="Arial" w:hAnsi="Arial"/>
          <w:sz w:val="21"/>
          <w:szCs w:val="21"/>
          <w:color w:val="auto"/>
        </w:rPr>
        <w:t>RBC Capital Markets Global Energy, Power &amp; Infrastructure Conference on June 3 in New York, NY</w:t>
      </w:r>
    </w:p>
    <w:p>
      <w:pPr>
        <w:spacing w:after="0" w:line="19" w:lineRule="exact"/>
        <w:rPr>
          <w:rFonts w:ascii="Arial" w:cs="Arial" w:eastAsia="Arial" w:hAnsi="Arial"/>
          <w:sz w:val="21"/>
          <w:szCs w:val="21"/>
          <w:color w:val="auto"/>
        </w:rPr>
      </w:pPr>
    </w:p>
    <w:p>
      <w:pPr>
        <w:ind w:left="580" w:hanging="254"/>
        <w:spacing w:after="0"/>
        <w:tabs>
          <w:tab w:leader="none" w:pos="580" w:val="left"/>
        </w:tabs>
        <w:numPr>
          <w:ilvl w:val="0"/>
          <w:numId w:val="6"/>
        </w:numPr>
        <w:rPr>
          <w:rFonts w:ascii="Arial" w:cs="Arial" w:eastAsia="Arial" w:hAnsi="Arial"/>
          <w:sz w:val="21"/>
          <w:szCs w:val="21"/>
          <w:color w:val="auto"/>
        </w:rPr>
      </w:pPr>
      <w:r>
        <w:rPr>
          <w:rFonts w:ascii="Arial" w:cs="Arial" w:eastAsia="Arial" w:hAnsi="Arial"/>
          <w:sz w:val="21"/>
          <w:szCs w:val="21"/>
          <w:color w:val="auto"/>
        </w:rPr>
        <w:t>BofA Energy and Power Credit Conference on June 3 in New York, NY</w:t>
      </w:r>
    </w:p>
    <w:p>
      <w:pPr>
        <w:spacing w:after="0" w:line="17" w:lineRule="exact"/>
        <w:rPr>
          <w:rFonts w:ascii="Arial" w:cs="Arial" w:eastAsia="Arial" w:hAnsi="Arial"/>
          <w:sz w:val="21"/>
          <w:szCs w:val="21"/>
          <w:color w:val="auto"/>
        </w:rPr>
      </w:pPr>
    </w:p>
    <w:p>
      <w:pPr>
        <w:ind w:left="580" w:hanging="254"/>
        <w:spacing w:after="0"/>
        <w:tabs>
          <w:tab w:leader="none" w:pos="580" w:val="left"/>
        </w:tabs>
        <w:numPr>
          <w:ilvl w:val="0"/>
          <w:numId w:val="6"/>
        </w:numPr>
        <w:rPr>
          <w:rFonts w:ascii="Arial" w:cs="Arial" w:eastAsia="Arial" w:hAnsi="Arial"/>
          <w:sz w:val="21"/>
          <w:szCs w:val="21"/>
          <w:color w:val="auto"/>
        </w:rPr>
      </w:pPr>
      <w:r>
        <w:rPr>
          <w:rFonts w:ascii="Arial" w:cs="Arial" w:eastAsia="Arial" w:hAnsi="Arial"/>
          <w:sz w:val="21"/>
          <w:szCs w:val="21"/>
          <w:color w:val="auto"/>
        </w:rPr>
        <w:t>Jefferies Energy Conference on June 11 in Kiawah, SC</w:t>
      </w:r>
    </w:p>
    <w:p>
      <w:pPr>
        <w:spacing w:after="0" w:line="11" w:lineRule="exact"/>
        <w:rPr>
          <w:rFonts w:ascii="Arial" w:cs="Arial" w:eastAsia="Arial" w:hAnsi="Arial"/>
          <w:sz w:val="21"/>
          <w:szCs w:val="21"/>
          <w:color w:val="auto"/>
        </w:rPr>
      </w:pPr>
    </w:p>
    <w:p>
      <w:pPr>
        <w:ind w:left="580" w:hanging="254"/>
        <w:spacing w:after="0"/>
        <w:tabs>
          <w:tab w:leader="none" w:pos="580" w:val="left"/>
        </w:tabs>
        <w:numPr>
          <w:ilvl w:val="0"/>
          <w:numId w:val="6"/>
        </w:numPr>
        <w:rPr>
          <w:rFonts w:ascii="Arial" w:cs="Arial" w:eastAsia="Arial" w:hAnsi="Arial"/>
          <w:sz w:val="21"/>
          <w:szCs w:val="21"/>
          <w:color w:val="auto"/>
        </w:rPr>
      </w:pPr>
      <w:r>
        <w:rPr>
          <w:rFonts w:ascii="Arial" w:cs="Arial" w:eastAsia="Arial" w:hAnsi="Arial"/>
          <w:sz w:val="21"/>
          <w:szCs w:val="21"/>
          <w:color w:val="auto"/>
        </w:rPr>
        <w:t>J.P. Morgan Energy, Power, Renewables, and Mining Conference on June 24 in New York, NY</w:t>
      </w:r>
    </w:p>
    <w:p>
      <w:pPr>
        <w:spacing w:after="0" w:line="11" w:lineRule="exact"/>
        <w:rPr>
          <w:rFonts w:ascii="Arial" w:cs="Arial" w:eastAsia="Arial" w:hAnsi="Arial"/>
          <w:sz w:val="21"/>
          <w:szCs w:val="21"/>
          <w:color w:val="auto"/>
        </w:rPr>
      </w:pPr>
    </w:p>
    <w:p>
      <w:pPr>
        <w:ind w:left="580" w:hanging="254"/>
        <w:spacing w:after="0"/>
        <w:tabs>
          <w:tab w:leader="none" w:pos="580" w:val="left"/>
        </w:tabs>
        <w:numPr>
          <w:ilvl w:val="0"/>
          <w:numId w:val="6"/>
        </w:numPr>
        <w:rPr>
          <w:rFonts w:ascii="Arial" w:cs="Arial" w:eastAsia="Arial" w:hAnsi="Arial"/>
          <w:sz w:val="21"/>
          <w:szCs w:val="21"/>
          <w:color w:val="auto"/>
        </w:rPr>
      </w:pPr>
      <w:r>
        <w:rPr>
          <w:rFonts w:ascii="Arial" w:cs="Arial" w:eastAsia="Arial" w:hAnsi="Arial"/>
          <w:sz w:val="21"/>
          <w:szCs w:val="21"/>
          <w:color w:val="auto"/>
        </w:rPr>
        <w:t>RBC Energy Transition Conference on June 26 in London, UK</w:t>
      </w:r>
    </w:p>
    <w:p>
      <w:pPr>
        <w:spacing w:after="0" w:line="11" w:lineRule="exact"/>
        <w:rPr>
          <w:rFonts w:ascii="Arial" w:cs="Arial" w:eastAsia="Arial" w:hAnsi="Arial"/>
          <w:sz w:val="21"/>
          <w:szCs w:val="21"/>
          <w:color w:val="auto"/>
        </w:rPr>
      </w:pPr>
    </w:p>
    <w:p>
      <w:pPr>
        <w:ind w:left="580" w:hanging="254"/>
        <w:spacing w:after="0"/>
        <w:tabs>
          <w:tab w:leader="none" w:pos="580" w:val="left"/>
        </w:tabs>
        <w:numPr>
          <w:ilvl w:val="0"/>
          <w:numId w:val="6"/>
        </w:numPr>
        <w:rPr>
          <w:rFonts w:ascii="Arial" w:cs="Arial" w:eastAsia="Arial" w:hAnsi="Arial"/>
          <w:sz w:val="21"/>
          <w:szCs w:val="21"/>
          <w:color w:val="auto"/>
        </w:rPr>
      </w:pPr>
      <w:r>
        <w:rPr>
          <w:rFonts w:ascii="Arial" w:cs="Arial" w:eastAsia="Arial" w:hAnsi="Arial"/>
          <w:sz w:val="21"/>
          <w:szCs w:val="21"/>
          <w:color w:val="auto"/>
        </w:rPr>
        <w:t>TD Energy, Power &amp; Utilities Conference on July 8 to 9 in Calgary, AB, Canada</w:t>
      </w:r>
    </w:p>
    <w:p>
      <w:pPr>
        <w:spacing w:after="0" w:line="218" w:lineRule="exact"/>
        <w:rPr>
          <w:sz w:val="20"/>
          <w:szCs w:val="20"/>
          <w:color w:val="auto"/>
        </w:rPr>
      </w:pPr>
    </w:p>
    <w:p>
      <w:pPr>
        <w:jc w:val="both"/>
        <w:ind w:firstLine="320"/>
        <w:spacing w:after="0" w:line="277" w:lineRule="auto"/>
        <w:rPr>
          <w:sz w:val="20"/>
          <w:szCs w:val="20"/>
          <w:color w:val="auto"/>
        </w:rPr>
      </w:pPr>
      <w:r>
        <w:rPr>
          <w:rFonts w:ascii="Arial" w:cs="Arial" w:eastAsia="Arial" w:hAnsi="Arial"/>
          <w:sz w:val="21"/>
          <w:szCs w:val="21"/>
          <w:color w:val="auto"/>
        </w:rPr>
        <w:t>CRC’s presentation materials will be available on the day of the event on its website. See the Events and Presentations page under the Investor Relations section on www.crc.com.</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Conference Call Details</w:t>
      </w:r>
    </w:p>
    <w:p>
      <w:pPr>
        <w:spacing w:after="0" w:line="240"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21"/>
          <w:szCs w:val="21"/>
          <w:color w:val="auto"/>
        </w:rPr>
        <w:t>A conference call and webcast is planned for 1 p.m. ET (10 a.m. PT) on Wednesday, May 7, 2025. To participate in the call, dial (877) 328-5505 (International calls dial +1 (412) 317-5421) or access via webcast at www.crc.com. Participants may also pre-register for the conference call at https://dpregister.com/sreg/10197788/feb45747fc. A digital replay of the conference call will be available for approximately 90 days.</w:t>
      </w:r>
    </w:p>
    <w:p>
      <w:pPr>
        <w:spacing w:after="0" w:line="193" w:lineRule="exact"/>
        <w:rPr>
          <w:sz w:val="20"/>
          <w:szCs w:val="20"/>
          <w:color w:val="auto"/>
        </w:rPr>
      </w:pPr>
    </w:p>
    <w:p>
      <w:pPr>
        <w:jc w:val="both"/>
        <w:ind w:firstLine="7"/>
        <w:spacing w:after="0" w:line="222" w:lineRule="auto"/>
        <w:tabs>
          <w:tab w:leader="none" w:pos="77"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See Attachment 3 for the non-GAAP financial measures of operating costs per BOE, adjusted net income (loss), adjusted net income (loss) per share - basic and diluted, net cash provided by operating activities before net changes in operating assets and liabilities, adjusted EBITDAX, free cash flow and adjusted general and administrative expenses including reconciliations to their most directly comparable GAAP measure, where applicable. See Attachment 2 for the 2Q25 and 2025 estimates of the non-GAAP measures of adjusted EBITDAX and adjusted general and administrative expenses, including reconciliations to its most directly comparable GAAP measure.</w:t>
      </w:r>
    </w:p>
    <w:p>
      <w:pPr>
        <w:spacing w:after="0" w:line="2" w:lineRule="exact"/>
        <w:rPr>
          <w:rFonts w:ascii="Arial" w:cs="Arial" w:eastAsia="Arial" w:hAnsi="Arial"/>
          <w:sz w:val="18"/>
          <w:szCs w:val="18"/>
          <w:color w:val="auto"/>
          <w:vertAlign w:val="superscript"/>
        </w:rPr>
      </w:pPr>
    </w:p>
    <w:p>
      <w:pPr>
        <w:jc w:val="both"/>
        <w:spacing w:after="0" w:line="238" w:lineRule="auto"/>
        <w:rPr>
          <w:rFonts w:ascii="Arial" w:cs="Arial" w:eastAsia="Arial" w:hAnsi="Arial"/>
          <w:sz w:val="18"/>
          <w:szCs w:val="18"/>
          <w:color w:val="auto"/>
          <w:vertAlign w:val="superscript"/>
        </w:rPr>
      </w:pPr>
      <w:r>
        <w:rPr>
          <w:rFonts w:ascii="Arial" w:cs="Arial" w:eastAsia="Arial" w:hAnsi="Arial"/>
          <w:sz w:val="9"/>
          <w:szCs w:val="9"/>
          <w:color w:val="auto"/>
        </w:rPr>
        <w:t xml:space="preserve">2 </w:t>
      </w:r>
      <w:r>
        <w:rPr>
          <w:rFonts w:ascii="Arial" w:cs="Arial" w:eastAsia="Arial" w:hAnsi="Arial"/>
          <w:sz w:val="14"/>
          <w:szCs w:val="14"/>
          <w:color w:val="auto"/>
        </w:rPr>
        <w:t>All of CRC’s future quarterly dividends and share repurchases are subject to commodity prices, debt agreement covenants and Board of Directors' approval. The total value of</w:t>
      </w:r>
      <w:r>
        <w:rPr>
          <w:rFonts w:ascii="Arial" w:cs="Arial" w:eastAsia="Arial" w:hAnsi="Arial"/>
          <w:sz w:val="9"/>
          <w:szCs w:val="9"/>
          <w:color w:val="auto"/>
        </w:rPr>
        <w:t xml:space="preserve"> </w:t>
      </w:r>
      <w:r>
        <w:rPr>
          <w:rFonts w:ascii="Arial" w:cs="Arial" w:eastAsia="Arial" w:hAnsi="Arial"/>
          <w:sz w:val="14"/>
          <w:szCs w:val="14"/>
          <w:color w:val="auto"/>
        </w:rPr>
        <w:t>shares purchased excludes approximately $1 million in both the three months ended March 31, 2025 and 2024 related to excise taxes on share repurchases, which was effective beginning on January 1, 2023. Commissions paid on share repurchases were not significant in all periods presented.</w:t>
      </w:r>
    </w:p>
    <w:p>
      <w:pPr>
        <w:spacing w:after="0" w:line="238" w:lineRule="auto"/>
        <w:rPr>
          <w:rFonts w:ascii="Arial" w:cs="Arial" w:eastAsia="Arial" w:hAnsi="Arial"/>
          <w:sz w:val="18"/>
          <w:szCs w:val="18"/>
          <w:color w:val="auto"/>
          <w:vertAlign w:val="superscript"/>
        </w:rPr>
      </w:pPr>
      <w:r>
        <w:rPr>
          <w:rFonts w:ascii="Arial" w:cs="Arial" w:eastAsia="Arial" w:hAnsi="Arial"/>
          <w:sz w:val="9"/>
          <w:szCs w:val="9"/>
          <w:color w:val="auto"/>
        </w:rPr>
        <w:t xml:space="preserve">3 </w:t>
      </w:r>
      <w:r>
        <w:rPr>
          <w:rFonts w:ascii="Arial" w:cs="Arial" w:eastAsia="Arial" w:hAnsi="Arial"/>
          <w:sz w:val="14"/>
          <w:szCs w:val="14"/>
          <w:color w:val="auto"/>
        </w:rPr>
        <w:t>Excludes restricted cash of $15 million.</w:t>
      </w:r>
    </w:p>
    <w:p>
      <w:pPr>
        <w:spacing w:after="0" w:line="208" w:lineRule="auto"/>
        <w:rPr>
          <w:rFonts w:ascii="Arial" w:cs="Arial" w:eastAsia="Arial" w:hAnsi="Arial"/>
          <w:sz w:val="18"/>
          <w:szCs w:val="18"/>
          <w:color w:val="auto"/>
          <w:vertAlign w:val="superscript"/>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Margin from purchased commodities is calculated as the difference between revenue from purchased commodities and costs related to purchased commodities, and excludes costs of transportation.</w:t>
      </w:r>
    </w:p>
    <w:p>
      <w:pPr>
        <w:spacing w:after="0" w:line="185" w:lineRule="auto"/>
        <w:rPr>
          <w:rFonts w:ascii="Arial" w:cs="Arial" w:eastAsia="Arial" w:hAnsi="Arial"/>
          <w:sz w:val="18"/>
          <w:szCs w:val="18"/>
          <w:color w:val="auto"/>
          <w:vertAlign w:val="superscript"/>
        </w:rPr>
      </w:pPr>
      <w:r>
        <w:rPr>
          <w:rFonts w:ascii="Arial" w:cs="Arial" w:eastAsia="Arial" w:hAnsi="Arial"/>
          <w:sz w:val="18"/>
          <w:szCs w:val="18"/>
          <w:color w:val="auto"/>
          <w:vertAlign w:val="superscript"/>
        </w:rPr>
        <w:t>5</w:t>
      </w:r>
      <w:r>
        <w:rPr>
          <w:rFonts w:ascii="Arial" w:cs="Arial" w:eastAsia="Arial" w:hAnsi="Arial"/>
          <w:sz w:val="14"/>
          <w:szCs w:val="14"/>
          <w:color w:val="auto"/>
        </w:rPr>
        <w:t xml:space="preserve"> Electricity margin is calculated as the difference between electricity sales and electricity generation expenses.</w:t>
      </w:r>
    </w:p>
    <w:p>
      <w:pPr>
        <w:spacing w:after="0" w:line="208" w:lineRule="auto"/>
        <w:rPr>
          <w:rFonts w:ascii="Arial" w:cs="Arial" w:eastAsia="Arial" w:hAnsi="Arial"/>
          <w:sz w:val="18"/>
          <w:szCs w:val="18"/>
          <w:color w:val="auto"/>
          <w:vertAlign w:val="superscript"/>
        </w:rPr>
      </w:pPr>
      <w:r>
        <w:rPr>
          <w:rFonts w:ascii="Arial" w:cs="Arial" w:eastAsia="Arial" w:hAnsi="Arial"/>
          <w:sz w:val="18"/>
          <w:szCs w:val="18"/>
          <w:color w:val="auto"/>
          <w:vertAlign w:val="superscript"/>
        </w:rPr>
        <w:t>6</w:t>
      </w:r>
      <w:r>
        <w:rPr>
          <w:rFonts w:ascii="Arial" w:cs="Arial" w:eastAsia="Arial" w:hAnsi="Arial"/>
          <w:sz w:val="14"/>
          <w:szCs w:val="14"/>
          <w:color w:val="auto"/>
        </w:rPr>
        <w:t xml:space="preserve"> Other operating revenue and expenses, net is calculated as the difference between other revenue and other operating expenses, net. Includes exploration expense and CMB expenses. CMB expenses includes lease cost for sequestration easements, advocacy, and other startup related costs.</w:t>
      </w:r>
    </w:p>
    <w:p>
      <w:pPr>
        <w:jc w:val="both"/>
        <w:spacing w:after="0" w:line="224" w:lineRule="auto"/>
        <w:rPr>
          <w:rFonts w:ascii="Arial" w:cs="Arial" w:eastAsia="Arial" w:hAnsi="Arial"/>
          <w:sz w:val="18"/>
          <w:szCs w:val="18"/>
          <w:color w:val="auto"/>
          <w:vertAlign w:val="superscript"/>
        </w:rPr>
      </w:pPr>
      <w:r>
        <w:rPr>
          <w:rFonts w:ascii="Arial" w:cs="Arial" w:eastAsia="Arial" w:hAnsi="Arial"/>
          <w:sz w:val="18"/>
          <w:szCs w:val="18"/>
          <w:color w:val="auto"/>
          <w:vertAlign w:val="superscript"/>
        </w:rPr>
        <w:t>7</w:t>
      </w:r>
      <w:r>
        <w:rPr>
          <w:rFonts w:ascii="Arial" w:cs="Arial" w:eastAsia="Arial" w:hAnsi="Arial"/>
          <w:sz w:val="14"/>
          <w:szCs w:val="14"/>
          <w:color w:val="auto"/>
        </w:rPr>
        <w:t xml:space="preserve"> 2Q25E guidance assumes Brent price of $63.00 per barrel of oil, NGL realizations as a percentage of Brent consistent with prior years and a NYMEX gas price of $4.11 per mcf. Total year 2025E guidance assumes Brent price of $63.00 per barrel of oil, NGL realizations as a percentage of Brent consistent with prior years and a NYMEX gas price of $4.28 per mcf. CRC's share of production under PSC contracts decreases when commodity prices rise and increases when prices fall.</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About California Resources Corporation</w:t>
      </w:r>
    </w:p>
    <w:p>
      <w:pPr>
        <w:spacing w:after="0" w:line="240" w:lineRule="exact"/>
        <w:rPr>
          <w:sz w:val="20"/>
          <w:szCs w:val="20"/>
          <w:color w:val="auto"/>
        </w:rPr>
      </w:pPr>
    </w:p>
    <w:p>
      <w:pPr>
        <w:jc w:val="both"/>
        <w:ind w:firstLine="320"/>
        <w:spacing w:after="0" w:line="248" w:lineRule="auto"/>
        <w:rPr>
          <w:sz w:val="20"/>
          <w:szCs w:val="20"/>
          <w:color w:val="auto"/>
        </w:rPr>
      </w:pPr>
      <w:r>
        <w:rPr>
          <w:rFonts w:ascii="Arial" w:cs="Arial" w:eastAsia="Arial" w:hAnsi="Arial"/>
          <w:sz w:val="21"/>
          <w:szCs w:val="21"/>
          <w:color w:val="auto"/>
        </w:rPr>
        <w:t>California Resources Corporation (CRC) is an independent energy and carbon management company committed to energy transition. CRC is committed to environmental stewardship while safely providing local, responsibly sourced energy. CRC is also focused on maximizing the value of its land, mineral ownership, and energy expertise for decarbonization by developing CCS and other emissions reducing projects. For more information about CRC, please visit www.crc.com.</w:t>
      </w:r>
    </w:p>
    <w:p>
      <w:pPr>
        <w:spacing w:after="0" w:line="19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About Carbon TerraVault</w:t>
      </w:r>
    </w:p>
    <w:p>
      <w:pPr>
        <w:spacing w:after="0" w:line="240" w:lineRule="exact"/>
        <w:rPr>
          <w:sz w:val="20"/>
          <w:szCs w:val="20"/>
          <w:color w:val="auto"/>
        </w:rPr>
      </w:pPr>
    </w:p>
    <w:p>
      <w:pPr>
        <w:jc w:val="both"/>
        <w:ind w:firstLine="320"/>
        <w:spacing w:after="0" w:line="217" w:lineRule="auto"/>
        <w:rPr>
          <w:sz w:val="20"/>
          <w:szCs w:val="20"/>
          <w:color w:val="auto"/>
        </w:rPr>
      </w:pPr>
      <w:r>
        <w:rPr>
          <w:rFonts w:ascii="Arial" w:cs="Arial" w:eastAsia="Arial" w:hAnsi="Arial"/>
          <w:sz w:val="21"/>
          <w:szCs w:val="21"/>
          <w:color w:val="auto"/>
        </w:rPr>
        <w:t>Carbon TerraVault (CTV), CRC’s carbon management business, is developing services to capture, transport and permanently store CO</w:t>
      </w:r>
      <w:r>
        <w:rPr>
          <w:rFonts w:ascii="Arial" w:cs="Arial" w:eastAsia="Arial" w:hAnsi="Arial"/>
          <w:sz w:val="27"/>
          <w:szCs w:val="27"/>
          <w:color w:val="auto"/>
          <w:vertAlign w:val="subscript"/>
        </w:rPr>
        <w:t>2</w:t>
      </w:r>
      <w:r>
        <w:rPr>
          <w:rFonts w:ascii="Arial" w:cs="Arial" w:eastAsia="Arial" w:hAnsi="Arial"/>
          <w:sz w:val="21"/>
          <w:szCs w:val="21"/>
          <w:color w:val="auto"/>
        </w:rPr>
        <w:t xml:space="preserve"> for its customers. CTV is engaged in a series of proposed CCS projects that if developed will inject CO</w:t>
      </w:r>
      <w:r>
        <w:rPr>
          <w:rFonts w:ascii="Arial" w:cs="Arial" w:eastAsia="Arial" w:hAnsi="Arial"/>
          <w:sz w:val="27"/>
          <w:szCs w:val="27"/>
          <w:color w:val="auto"/>
          <w:vertAlign w:val="subscript"/>
        </w:rPr>
        <w:t>2</w:t>
      </w:r>
      <w:r>
        <w:rPr>
          <w:rFonts w:ascii="Arial" w:cs="Arial" w:eastAsia="Arial" w:hAnsi="Arial"/>
          <w:sz w:val="21"/>
          <w:szCs w:val="21"/>
          <w:color w:val="auto"/>
        </w:rPr>
        <w:t xml:space="preserve"> captured from industrial sources into depleted reservoirs deep underground for permanent sequestration. For more information, visit carbonterravault.com.</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240"/>
          </w:cols>
          <w:pgMar w:left="320" w:top="873" w:right="339" w:bottom="1440" w:gutter="0" w:footer="0" w:header="0"/>
        </w:sectPr>
      </w:pPr>
    </w:p>
    <w:bookmarkStart w:id="8" w:name="page9"/>
    <w:bookmarkEnd w:id="8"/>
    <w:p>
      <w:pPr>
        <w:spacing w:after="0"/>
        <w:rPr>
          <w:sz w:val="20"/>
          <w:szCs w:val="20"/>
          <w:color w:val="auto"/>
        </w:rPr>
      </w:pPr>
      <w:r>
        <w:rPr>
          <w:rFonts w:ascii="Arial" w:cs="Arial" w:eastAsia="Arial" w:hAnsi="Arial"/>
          <w:sz w:val="21"/>
          <w:szCs w:val="21"/>
          <w:b w:val="1"/>
          <w:bCs w:val="1"/>
          <w:u w:val="single" w:color="auto"/>
          <w:color w:val="auto"/>
        </w:rPr>
        <w:t>Forward-Looking Statements</w:t>
      </w:r>
    </w:p>
    <w:p>
      <w:pPr>
        <w:spacing w:after="0" w:line="240" w:lineRule="exact"/>
        <w:rPr>
          <w:sz w:val="20"/>
          <w:szCs w:val="20"/>
          <w:color w:val="auto"/>
        </w:rPr>
      </w:pPr>
    </w:p>
    <w:p>
      <w:pPr>
        <w:jc w:val="both"/>
        <w:ind w:firstLine="320"/>
        <w:spacing w:after="0" w:line="241" w:lineRule="auto"/>
        <w:rPr>
          <w:sz w:val="20"/>
          <w:szCs w:val="20"/>
          <w:color w:val="auto"/>
        </w:rPr>
      </w:pPr>
      <w:r>
        <w:rPr>
          <w:rFonts w:ascii="Arial" w:cs="Arial" w:eastAsia="Arial" w:hAnsi="Arial"/>
          <w:sz w:val="21"/>
          <w:szCs w:val="21"/>
          <w:color w:val="auto"/>
        </w:rPr>
        <w:t>This document contains statements that CRC believes to be “forward-looking statements” within the meaning of Section 27A of the Securities Act of 1933 and Section 21E of the Securities Exchange Act of 1934. All statements other than historical facts are forward-looking statements, and include statements regarding CRC's future financial position, business strategy, projected revenues, earnings, costs, capital expenditures and plans and objectives of management for the future. Words such as “expect,” “could,” “may,” “anticipate,” “intend,” “plan,” “ability,” “believe,” “seek,” “see,” “will,” “would,” “estimate,” “forecast,” “target,” “guidance,” “outlook,” “opportunity” or “strategy” or similar expressions are generally intended to identify forward-looking statements. These forward-looking statements are subject to risks and uncertainties that could cause actual results to differ materially from those expressed in, or implied by, such statements.</w:t>
      </w:r>
    </w:p>
    <w:p>
      <w:pPr>
        <w:spacing w:after="0" w:line="200" w:lineRule="exact"/>
        <w:rPr>
          <w:sz w:val="20"/>
          <w:szCs w:val="20"/>
          <w:color w:val="auto"/>
        </w:rPr>
      </w:pPr>
    </w:p>
    <w:p>
      <w:pPr>
        <w:spacing w:after="0" w:line="246" w:lineRule="exact"/>
        <w:rPr>
          <w:sz w:val="20"/>
          <w:szCs w:val="20"/>
          <w:color w:val="auto"/>
        </w:rPr>
      </w:pPr>
    </w:p>
    <w:p>
      <w:pPr>
        <w:jc w:val="both"/>
        <w:ind w:firstLine="320"/>
        <w:spacing w:after="0" w:line="239" w:lineRule="auto"/>
        <w:rPr>
          <w:sz w:val="20"/>
          <w:szCs w:val="20"/>
          <w:color w:val="auto"/>
        </w:rPr>
      </w:pPr>
      <w:r>
        <w:rPr>
          <w:rFonts w:ascii="Arial" w:cs="Arial" w:eastAsia="Arial" w:hAnsi="Arial"/>
          <w:sz w:val="21"/>
          <w:szCs w:val="21"/>
          <w:color w:val="auto"/>
        </w:rPr>
        <w:t>Although CRC believes the expectations and forecasts reflected in its forward-looking statements are reasonable, they are inherently subject to numerous risks and uncertainties, most of which are difficult to predict and many of which are beyond its control. No assurance can be given that such forward-looking statements will be correct or achieved or that the assumptions are accurate or will not change over time. Particular uncertainties that could cause CRC’s actual results to be materially different than those expressed in its forward-looking statements are described in its most recent Annual Report on Form 10-K and its other periodic filings with the Securities and Exchange Commission. These factors include, but are not limited to: fluctuations in commodity prices; production levels and/or pricing by OPEC or U.S. producers; government policy, war and political conditions and events; integration efforts and projected benefits in connection with the Aera Merger and other acquisitions, divestitures and joint ventures; regulatory actions and changes that affect the oil and gas industry generally and us in particular; the efforts of activists to delay prevent oil and gas activities or the development of CRC’s carbon management segment; changes in business strategy and capital plan; lower-than-expected production; changes to estimates of reserves and related future cash flows; the recoverability of resources and unexpected geologic conditions; general economic conditions and trends; results from operations and competition in the industries in which it operates; CRC’s ability to realize the anticipated benefits from prior or future efforts to reduce costs; environmental risks and liability; the benefits contemplated by its energy transition strategies and initiatives; CRC’s ability to successfully identify, develop and finance carbon capture and storage projects and other renewable energy efforts; future dividends and share repurchases an de-leveraging efforts; and natural disasters, accidents, mechanical failures, power outages, labor difficulties, cybersecurity breaches or attacks or other catastrophic events.</w:t>
      </w:r>
    </w:p>
    <w:p>
      <w:pPr>
        <w:spacing w:after="0" w:line="202" w:lineRule="exact"/>
        <w:rPr>
          <w:sz w:val="20"/>
          <w:szCs w:val="20"/>
          <w:color w:val="auto"/>
        </w:rPr>
      </w:pPr>
    </w:p>
    <w:p>
      <w:pPr>
        <w:jc w:val="both"/>
        <w:ind w:firstLine="320"/>
        <w:spacing w:after="0" w:line="248" w:lineRule="auto"/>
        <w:rPr>
          <w:sz w:val="20"/>
          <w:szCs w:val="20"/>
          <w:color w:val="auto"/>
        </w:rPr>
      </w:pPr>
      <w:r>
        <w:rPr>
          <w:rFonts w:ascii="Arial" w:cs="Arial" w:eastAsia="Arial" w:hAnsi="Arial"/>
          <w:sz w:val="21"/>
          <w:szCs w:val="21"/>
          <w:color w:val="auto"/>
        </w:rPr>
        <w:t>CRC cautions you not to place undue reliance on forward-looking statements contained in this document, which speak only as of the filing date, and CRC undertakes no obligation to update this information. This document may also contain information from third party sources. This data may involve a number of assumptions and limitations, and CRC has not independently verified them and does not warrant the accuracy or completeness of such third-party information.</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60" w:type="dxa"/>
            <w:vAlign w:val="bottom"/>
            <w:gridSpan w:val="4"/>
          </w:tcPr>
          <w:p>
            <w:pPr>
              <w:spacing w:after="0"/>
              <w:rPr>
                <w:sz w:val="20"/>
                <w:szCs w:val="20"/>
                <w:color w:val="auto"/>
              </w:rPr>
            </w:pPr>
            <w:r>
              <w:rPr>
                <w:rFonts w:ascii="Arial" w:cs="Arial" w:eastAsia="Arial" w:hAnsi="Arial"/>
                <w:sz w:val="21"/>
                <w:szCs w:val="21"/>
                <w:b w:val="1"/>
                <w:bCs w:val="1"/>
                <w:color w:val="auto"/>
              </w:rPr>
              <w:t>Contacts:</w:t>
            </w:r>
          </w:p>
        </w:tc>
        <w:tc>
          <w:tcPr>
            <w:tcW w:w="2260" w:type="dxa"/>
            <w:vAlign w:val="bottom"/>
          </w:tcPr>
          <w:p>
            <w:pPr>
              <w:spacing w:after="0"/>
              <w:rPr>
                <w:sz w:val="20"/>
                <w:szCs w:val="20"/>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87"/>
        </w:trPr>
        <w:tc>
          <w:tcPr>
            <w:tcW w:w="20" w:type="dxa"/>
            <w:vAlign w:val="bottom"/>
          </w:tcPr>
          <w:p>
            <w:pPr>
              <w:spacing w:after="0"/>
              <w:rPr>
                <w:sz w:val="24"/>
                <w:szCs w:val="24"/>
                <w:color w:val="auto"/>
              </w:rPr>
            </w:pPr>
          </w:p>
        </w:tc>
        <w:tc>
          <w:tcPr>
            <w:tcW w:w="5540" w:type="dxa"/>
            <w:vAlign w:val="bottom"/>
            <w:gridSpan w:val="3"/>
          </w:tcPr>
          <w:p>
            <w:pPr>
              <w:spacing w:after="0"/>
              <w:rPr>
                <w:sz w:val="20"/>
                <w:szCs w:val="20"/>
                <w:color w:val="auto"/>
              </w:rPr>
            </w:pPr>
            <w:r>
              <w:rPr>
                <w:rFonts w:ascii="Arial" w:cs="Arial" w:eastAsia="Arial" w:hAnsi="Arial"/>
                <w:sz w:val="21"/>
                <w:szCs w:val="21"/>
                <w:color w:val="auto"/>
              </w:rPr>
              <w:t>Joanna Park (Investor Relations)</w:t>
            </w:r>
          </w:p>
        </w:tc>
        <w:tc>
          <w:tcPr>
            <w:tcW w:w="2260" w:type="dxa"/>
            <w:vAlign w:val="bottom"/>
          </w:tcPr>
          <w:p>
            <w:pPr>
              <w:spacing w:after="0"/>
              <w:rPr>
                <w:sz w:val="20"/>
                <w:szCs w:val="20"/>
                <w:color w:val="auto"/>
              </w:rPr>
            </w:pPr>
            <w:r>
              <w:rPr>
                <w:rFonts w:ascii="Arial" w:cs="Arial" w:eastAsia="Arial" w:hAnsi="Arial"/>
                <w:sz w:val="21"/>
                <w:szCs w:val="21"/>
                <w:color w:val="auto"/>
              </w:rPr>
              <w:t>Richard Venn (Media)</w:t>
            </w:r>
          </w:p>
        </w:tc>
      </w:tr>
      <w:tr>
        <w:trPr>
          <w:trHeight w:val="240"/>
        </w:trPr>
        <w:tc>
          <w:tcPr>
            <w:tcW w:w="2180" w:type="dxa"/>
            <w:vAlign w:val="bottom"/>
            <w:gridSpan w:val="3"/>
          </w:tcPr>
          <w:p>
            <w:pPr>
              <w:ind w:left="20"/>
              <w:spacing w:after="0" w:line="240" w:lineRule="exact"/>
              <w:rPr>
                <w:sz w:val="20"/>
                <w:szCs w:val="20"/>
                <w:color w:val="auto"/>
              </w:rPr>
            </w:pPr>
            <w:r>
              <w:rPr>
                <w:rFonts w:ascii="Arial" w:cs="Arial" w:eastAsia="Arial" w:hAnsi="Arial"/>
                <w:sz w:val="21"/>
                <w:szCs w:val="21"/>
                <w:color w:val="auto"/>
              </w:rPr>
              <w:t>818-661-3731</w:t>
            </w:r>
          </w:p>
        </w:tc>
        <w:tc>
          <w:tcPr>
            <w:tcW w:w="3380" w:type="dxa"/>
            <w:vAlign w:val="bottom"/>
          </w:tcPr>
          <w:p>
            <w:pPr>
              <w:spacing w:after="0"/>
              <w:rPr>
                <w:sz w:val="20"/>
                <w:szCs w:val="20"/>
                <w:color w:val="auto"/>
              </w:rPr>
            </w:pPr>
          </w:p>
        </w:tc>
        <w:tc>
          <w:tcPr>
            <w:tcW w:w="2260" w:type="dxa"/>
            <w:vAlign w:val="bottom"/>
          </w:tcPr>
          <w:p>
            <w:pPr>
              <w:spacing w:after="0" w:line="240" w:lineRule="exact"/>
              <w:rPr>
                <w:sz w:val="20"/>
                <w:szCs w:val="20"/>
                <w:color w:val="auto"/>
              </w:rPr>
            </w:pPr>
            <w:r>
              <w:rPr>
                <w:rFonts w:ascii="Arial" w:cs="Arial" w:eastAsia="Arial" w:hAnsi="Arial"/>
                <w:sz w:val="21"/>
                <w:szCs w:val="21"/>
                <w:color w:val="auto"/>
              </w:rPr>
              <w:t>818-661-6014</w:t>
            </w:r>
          </w:p>
        </w:tc>
      </w:tr>
      <w:tr>
        <w:trPr>
          <w:trHeight w:val="226"/>
        </w:trPr>
        <w:tc>
          <w:tcPr>
            <w:tcW w:w="20" w:type="dxa"/>
            <w:vAlign w:val="bottom"/>
          </w:tcPr>
          <w:p>
            <w:pPr>
              <w:spacing w:after="0"/>
              <w:rPr>
                <w:sz w:val="19"/>
                <w:szCs w:val="19"/>
                <w:color w:val="auto"/>
              </w:rPr>
            </w:pPr>
          </w:p>
        </w:tc>
        <w:tc>
          <w:tcPr>
            <w:tcW w:w="5540" w:type="dxa"/>
            <w:vAlign w:val="bottom"/>
            <w:gridSpan w:val="3"/>
          </w:tcPr>
          <w:p>
            <w:pPr>
              <w:spacing w:after="0" w:line="226" w:lineRule="exact"/>
              <w:rPr>
                <w:sz w:val="20"/>
                <w:szCs w:val="20"/>
                <w:color w:val="auto"/>
              </w:rPr>
            </w:pPr>
            <w:r>
              <w:rPr>
                <w:rFonts w:ascii="Arial" w:cs="Arial" w:eastAsia="Arial" w:hAnsi="Arial"/>
                <w:sz w:val="21"/>
                <w:szCs w:val="21"/>
                <w:color w:val="421BFF"/>
              </w:rPr>
              <w:t>Joanna.Park@crc.com</w:t>
            </w:r>
          </w:p>
        </w:tc>
        <w:tc>
          <w:tcPr>
            <w:tcW w:w="2260" w:type="dxa"/>
            <w:vAlign w:val="bottom"/>
          </w:tcPr>
          <w:p>
            <w:pPr>
              <w:spacing w:after="0" w:line="226" w:lineRule="exact"/>
              <w:rPr>
                <w:sz w:val="20"/>
                <w:szCs w:val="20"/>
                <w:color w:val="auto"/>
              </w:rPr>
            </w:pPr>
            <w:r>
              <w:rPr>
                <w:rFonts w:ascii="Arial" w:cs="Arial" w:eastAsia="Arial" w:hAnsi="Arial"/>
                <w:sz w:val="21"/>
                <w:szCs w:val="21"/>
                <w:color w:val="421BFF"/>
              </w:rPr>
              <w:t>Richard.Venn@crc.com</w:t>
            </w: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421BFF"/>
          </w:tcPr>
          <w:p>
            <w:pPr>
              <w:spacing w:after="0" w:line="20" w:lineRule="exact"/>
              <w:rPr>
                <w:sz w:val="1"/>
                <w:szCs w:val="1"/>
                <w:color w:val="auto"/>
              </w:rPr>
            </w:pPr>
          </w:p>
        </w:tc>
        <w:tc>
          <w:tcPr>
            <w:tcW w:w="1200" w:type="dxa"/>
            <w:vAlign w:val="bottom"/>
            <w:shd w:val="clear" w:color="auto" w:fill="421BFF"/>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260" w:type="dxa"/>
            <w:vAlign w:val="bottom"/>
            <w:shd w:val="clear" w:color="auto" w:fill="421B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240"/>
          </w:cols>
          <w:pgMar w:left="320" w:top="1111"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5"/>
        </w:trPr>
        <w:tc>
          <w:tcPr>
            <w:tcW w:w="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5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Attachment 1</w:t>
            </w: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5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880" w:type="dxa"/>
            <w:vAlign w:val="bottom"/>
            <w:gridSpan w:val="2"/>
          </w:tcPr>
          <w:p>
            <w:pPr>
              <w:spacing w:after="0"/>
              <w:rPr>
                <w:sz w:val="20"/>
                <w:szCs w:val="20"/>
                <w:color w:val="auto"/>
              </w:rPr>
            </w:pPr>
            <w:r>
              <w:rPr>
                <w:rFonts w:ascii="Arial" w:cs="Arial" w:eastAsia="Arial" w:hAnsi="Arial"/>
                <w:sz w:val="14"/>
                <w:szCs w:val="14"/>
                <w:b w:val="1"/>
                <w:bCs w:val="1"/>
                <w:color w:val="auto"/>
              </w:rPr>
              <w:t>SUMMARY OF RESULTS</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07"/>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1st Quarter</w:t>
            </w:r>
          </w:p>
        </w:tc>
        <w:tc>
          <w:tcPr>
            <w:tcW w:w="200" w:type="dxa"/>
            <w:vAlign w:val="bottom"/>
          </w:tcPr>
          <w:p>
            <w:pPr>
              <w:spacing w:after="0"/>
              <w:rPr>
                <w:sz w:val="24"/>
                <w:szCs w:val="24"/>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4th Quarter</w:t>
            </w:r>
          </w:p>
        </w:tc>
        <w:tc>
          <w:tcPr>
            <w:tcW w:w="200" w:type="dxa"/>
            <w:vAlign w:val="bottom"/>
          </w:tcPr>
          <w:p>
            <w:pPr>
              <w:spacing w:after="0"/>
              <w:rPr>
                <w:sz w:val="24"/>
                <w:szCs w:val="24"/>
                <w:color w:val="auto"/>
              </w:rPr>
            </w:pPr>
          </w:p>
        </w:tc>
        <w:tc>
          <w:tcPr>
            <w:tcW w:w="1140" w:type="dxa"/>
            <w:vAlign w:val="bottom"/>
          </w:tcPr>
          <w:p>
            <w:pPr>
              <w:jc w:val="right"/>
              <w:ind w:right="209"/>
              <w:spacing w:after="0"/>
              <w:rPr>
                <w:sz w:val="20"/>
                <w:szCs w:val="20"/>
                <w:color w:val="auto"/>
              </w:rPr>
            </w:pPr>
            <w:r>
              <w:rPr>
                <w:rFonts w:ascii="Arial" w:cs="Arial" w:eastAsia="Arial" w:hAnsi="Arial"/>
                <w:sz w:val="14"/>
                <w:szCs w:val="14"/>
                <w:b w:val="1"/>
                <w:bCs w:val="1"/>
                <w:color w:val="auto"/>
              </w:rPr>
              <w:t>1st Quarter</w:t>
            </w:r>
          </w:p>
        </w:tc>
      </w:tr>
      <w:tr>
        <w:trPr>
          <w:trHeight w:val="201"/>
        </w:trPr>
        <w:tc>
          <w:tcPr>
            <w:tcW w:w="20" w:type="dxa"/>
            <w:vAlign w:val="bottom"/>
            <w:tcBorders>
              <w:bottom w:val="single" w:sz="8" w:color="auto"/>
            </w:tcBorders>
          </w:tcPr>
          <w:p>
            <w:pPr>
              <w:spacing w:after="0"/>
              <w:rPr>
                <w:sz w:val="17"/>
                <w:szCs w:val="17"/>
                <w:color w:val="auto"/>
              </w:rPr>
            </w:pPr>
          </w:p>
        </w:tc>
        <w:tc>
          <w:tcPr>
            <w:tcW w:w="6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 and shares in millions, except per share amounts)</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2024</w:t>
            </w:r>
          </w:p>
        </w:tc>
      </w:tr>
      <w:tr>
        <w:trPr>
          <w:trHeight w:val="287"/>
        </w:trPr>
        <w:tc>
          <w:tcPr>
            <w:tcW w:w="20" w:type="dxa"/>
            <w:vAlign w:val="bottom"/>
          </w:tcPr>
          <w:p>
            <w:pPr>
              <w:spacing w:after="0"/>
              <w:rPr>
                <w:sz w:val="24"/>
                <w:szCs w:val="24"/>
                <w:color w:val="auto"/>
              </w:rPr>
            </w:pPr>
          </w:p>
        </w:tc>
        <w:tc>
          <w:tcPr>
            <w:tcW w:w="1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Statements of Operations:</w:t>
            </w:r>
          </w:p>
        </w:tc>
        <w:tc>
          <w:tcPr>
            <w:tcW w:w="5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688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00"/>
        </w:trPr>
        <w:tc>
          <w:tcPr>
            <w:tcW w:w="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Arial" w:cs="Arial" w:eastAsia="Arial" w:hAnsi="Arial"/>
                <w:sz w:val="14"/>
                <w:szCs w:val="14"/>
                <w:color w:val="auto"/>
              </w:rPr>
              <w:t>Oil, natural gas and NGL sales</w:t>
            </w: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814</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826</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429</w:t>
            </w:r>
          </w:p>
        </w:tc>
      </w:tr>
      <w:tr>
        <w:trPr>
          <w:trHeight w:val="200"/>
        </w:trPr>
        <w:tc>
          <w:tcPr>
            <w:tcW w:w="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Arial" w:cs="Arial" w:eastAsia="Arial" w:hAnsi="Arial"/>
                <w:sz w:val="14"/>
                <w:szCs w:val="14"/>
                <w:color w:val="auto"/>
              </w:rPr>
              <w:t>Net gain (loss) from commodity derivatives</w:t>
            </w:r>
          </w:p>
        </w:tc>
        <w:tc>
          <w:tcPr>
            <w:tcW w:w="20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69"/>
              <w:spacing w:after="0"/>
              <w:rPr>
                <w:sz w:val="20"/>
                <w:szCs w:val="20"/>
                <w:color w:val="auto"/>
              </w:rPr>
            </w:pPr>
            <w:r>
              <w:rPr>
                <w:rFonts w:ascii="Arial" w:cs="Arial" w:eastAsia="Arial" w:hAnsi="Arial"/>
                <w:sz w:val="14"/>
                <w:szCs w:val="14"/>
                <w:b w:val="1"/>
                <w:bCs w:val="1"/>
                <w:color w:val="auto"/>
              </w:rPr>
              <w:t>(49)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69"/>
              <w:spacing w:after="0"/>
              <w:rPr>
                <w:sz w:val="20"/>
                <w:szCs w:val="20"/>
                <w:color w:val="auto"/>
              </w:rPr>
            </w:pPr>
            <w:r>
              <w:rPr>
                <w:rFonts w:ascii="Arial" w:cs="Arial" w:eastAsia="Arial" w:hAnsi="Arial"/>
                <w:sz w:val="14"/>
                <w:szCs w:val="14"/>
                <w:b w:val="1"/>
                <w:bCs w:val="1"/>
                <w:color w:val="auto"/>
              </w:rPr>
              <w:t>(71)</w:t>
            </w:r>
          </w:p>
        </w:tc>
      </w:tr>
      <w:tr>
        <w:trPr>
          <w:trHeight w:val="200"/>
        </w:trPr>
        <w:tc>
          <w:tcPr>
            <w:tcW w:w="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Arial" w:cs="Arial" w:eastAsia="Arial" w:hAnsi="Arial"/>
                <w:sz w:val="14"/>
                <w:szCs w:val="14"/>
                <w:color w:val="auto"/>
              </w:rPr>
              <w:t>Revenue from marketing of purchased commodities</w:t>
            </w:r>
          </w:p>
        </w:tc>
        <w:tc>
          <w:tcPr>
            <w:tcW w:w="20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64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59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74</w:t>
            </w:r>
          </w:p>
        </w:tc>
      </w:tr>
      <w:tr>
        <w:trPr>
          <w:trHeight w:val="200"/>
        </w:trPr>
        <w:tc>
          <w:tcPr>
            <w:tcW w:w="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Arial" w:cs="Arial" w:eastAsia="Arial" w:hAnsi="Arial"/>
                <w:sz w:val="14"/>
                <w:szCs w:val="14"/>
                <w:color w:val="auto"/>
              </w:rPr>
              <w:t>Electricity sales</w:t>
            </w:r>
          </w:p>
        </w:tc>
        <w:tc>
          <w:tcPr>
            <w:tcW w:w="20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39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15</w:t>
            </w:r>
          </w:p>
        </w:tc>
      </w:tr>
      <w:tr>
        <w:trPr>
          <w:trHeight w:val="200"/>
        </w:trPr>
        <w:tc>
          <w:tcPr>
            <w:tcW w:w="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Arial" w:cs="Arial" w:eastAsia="Arial" w:hAnsi="Arial"/>
                <w:sz w:val="14"/>
                <w:szCs w:val="14"/>
                <w:color w:val="auto"/>
              </w:rPr>
              <w:t>Interest and other revenue</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7</w:t>
            </w:r>
          </w:p>
        </w:tc>
      </w:tr>
      <w:tr>
        <w:trPr>
          <w:trHeight w:val="193"/>
        </w:trPr>
        <w:tc>
          <w:tcPr>
            <w:tcW w:w="20" w:type="dxa"/>
            <w:vAlign w:val="bottom"/>
          </w:tcPr>
          <w:p>
            <w:pPr>
              <w:spacing w:after="0"/>
              <w:rPr>
                <w:sz w:val="16"/>
                <w:szCs w:val="16"/>
                <w:color w:val="auto"/>
              </w:rPr>
            </w:pPr>
          </w:p>
        </w:tc>
        <w:tc>
          <w:tcPr>
            <w:tcW w:w="6880" w:type="dxa"/>
            <w:vAlign w:val="bottom"/>
            <w:gridSpan w:val="2"/>
          </w:tcPr>
          <w:p>
            <w:pPr>
              <w:ind w:left="200"/>
              <w:spacing w:after="0"/>
              <w:rPr>
                <w:sz w:val="20"/>
                <w:szCs w:val="20"/>
                <w:color w:val="auto"/>
              </w:rPr>
            </w:pPr>
            <w:r>
              <w:rPr>
                <w:rFonts w:ascii="Arial" w:cs="Arial" w:eastAsia="Arial" w:hAnsi="Arial"/>
                <w:sz w:val="14"/>
                <w:szCs w:val="14"/>
                <w:color w:val="auto"/>
              </w:rPr>
              <w:t>Total operating revenues</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912</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877</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454</w:t>
            </w:r>
          </w:p>
        </w:tc>
      </w:tr>
      <w:tr>
        <w:trPr>
          <w:trHeight w:val="287"/>
        </w:trPr>
        <w:tc>
          <w:tcPr>
            <w:tcW w:w="20" w:type="dxa"/>
            <w:vAlign w:val="bottom"/>
          </w:tcPr>
          <w:p>
            <w:pPr>
              <w:spacing w:after="0"/>
              <w:rPr>
                <w:sz w:val="24"/>
                <w:szCs w:val="24"/>
                <w:color w:val="auto"/>
              </w:rPr>
            </w:pPr>
          </w:p>
        </w:tc>
        <w:tc>
          <w:tcPr>
            <w:tcW w:w="6880" w:type="dxa"/>
            <w:vAlign w:val="bottom"/>
            <w:gridSpan w:val="2"/>
          </w:tcPr>
          <w:p>
            <w:pPr>
              <w:spacing w:after="0"/>
              <w:rPr>
                <w:sz w:val="20"/>
                <w:szCs w:val="20"/>
                <w:color w:val="auto"/>
              </w:rPr>
            </w:pPr>
            <w:r>
              <w:rPr>
                <w:rFonts w:ascii="Arial" w:cs="Arial" w:eastAsia="Arial" w:hAnsi="Arial"/>
                <w:sz w:val="14"/>
                <w:szCs w:val="14"/>
                <w:b w:val="1"/>
                <w:bCs w:val="1"/>
                <w:color w:val="auto"/>
              </w:rPr>
              <w:t>Operating Expenses</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0"/>
        </w:trPr>
        <w:tc>
          <w:tcPr>
            <w:tcW w:w="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Arial" w:cs="Arial" w:eastAsia="Arial" w:hAnsi="Arial"/>
                <w:sz w:val="14"/>
                <w:szCs w:val="14"/>
                <w:color w:val="auto"/>
              </w:rPr>
              <w:t>Operating costs</w:t>
            </w:r>
          </w:p>
        </w:tc>
        <w:tc>
          <w:tcPr>
            <w:tcW w:w="20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316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323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176</w:t>
            </w:r>
          </w:p>
        </w:tc>
      </w:tr>
      <w:tr>
        <w:trPr>
          <w:trHeight w:val="200"/>
        </w:trPr>
        <w:tc>
          <w:tcPr>
            <w:tcW w:w="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Arial" w:cs="Arial" w:eastAsia="Arial" w:hAnsi="Arial"/>
                <w:sz w:val="14"/>
                <w:szCs w:val="14"/>
                <w:color w:val="auto"/>
              </w:rPr>
              <w:t>General and administrative expenses</w:t>
            </w:r>
          </w:p>
        </w:tc>
        <w:tc>
          <w:tcPr>
            <w:tcW w:w="20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72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95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57</w:t>
            </w:r>
          </w:p>
        </w:tc>
      </w:tr>
      <w:tr>
        <w:trPr>
          <w:trHeight w:val="200"/>
        </w:trPr>
        <w:tc>
          <w:tcPr>
            <w:tcW w:w="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Arial" w:cs="Arial" w:eastAsia="Arial" w:hAnsi="Arial"/>
                <w:sz w:val="14"/>
                <w:szCs w:val="14"/>
                <w:color w:val="auto"/>
              </w:rPr>
              <w:t>Depreciation, depletion and amortization</w:t>
            </w:r>
          </w:p>
        </w:tc>
        <w:tc>
          <w:tcPr>
            <w:tcW w:w="20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131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142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53</w:t>
            </w:r>
          </w:p>
        </w:tc>
      </w:tr>
      <w:tr>
        <w:trPr>
          <w:trHeight w:val="200"/>
        </w:trPr>
        <w:tc>
          <w:tcPr>
            <w:tcW w:w="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Arial" w:cs="Arial" w:eastAsia="Arial" w:hAnsi="Arial"/>
                <w:sz w:val="14"/>
                <w:szCs w:val="14"/>
                <w:color w:val="auto"/>
              </w:rPr>
              <w:t>Taxes other than on income</w:t>
            </w:r>
          </w:p>
        </w:tc>
        <w:tc>
          <w:tcPr>
            <w:tcW w:w="20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70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80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38</w:t>
            </w:r>
          </w:p>
        </w:tc>
      </w:tr>
      <w:tr>
        <w:trPr>
          <w:trHeight w:val="200"/>
        </w:trPr>
        <w:tc>
          <w:tcPr>
            <w:tcW w:w="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Arial" w:cs="Arial" w:eastAsia="Arial" w:hAnsi="Arial"/>
                <w:sz w:val="14"/>
                <w:szCs w:val="14"/>
                <w:color w:val="auto"/>
              </w:rPr>
              <w:t>Costs related to marketing of purchased commodities</w:t>
            </w:r>
          </w:p>
        </w:tc>
        <w:tc>
          <w:tcPr>
            <w:tcW w:w="20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50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53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54</w:t>
            </w:r>
          </w:p>
        </w:tc>
      </w:tr>
      <w:tr>
        <w:trPr>
          <w:trHeight w:val="200"/>
        </w:trPr>
        <w:tc>
          <w:tcPr>
            <w:tcW w:w="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Arial" w:cs="Arial" w:eastAsia="Arial" w:hAnsi="Arial"/>
                <w:sz w:val="14"/>
                <w:szCs w:val="14"/>
                <w:color w:val="auto"/>
              </w:rPr>
              <w:t>Electricity generation expenses</w:t>
            </w:r>
          </w:p>
        </w:tc>
        <w:tc>
          <w:tcPr>
            <w:tcW w:w="20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8</w:t>
            </w:r>
          </w:p>
        </w:tc>
      </w:tr>
      <w:tr>
        <w:trPr>
          <w:trHeight w:val="200"/>
        </w:trPr>
        <w:tc>
          <w:tcPr>
            <w:tcW w:w="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Arial" w:cs="Arial" w:eastAsia="Arial" w:hAnsi="Arial"/>
                <w:sz w:val="14"/>
                <w:szCs w:val="14"/>
                <w:color w:val="auto"/>
              </w:rPr>
              <w:t>Transportation costs</w:t>
            </w:r>
          </w:p>
        </w:tc>
        <w:tc>
          <w:tcPr>
            <w:tcW w:w="20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20</w:t>
            </w:r>
          </w:p>
        </w:tc>
      </w:tr>
      <w:tr>
        <w:trPr>
          <w:trHeight w:val="200"/>
        </w:trPr>
        <w:tc>
          <w:tcPr>
            <w:tcW w:w="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Arial" w:cs="Arial" w:eastAsia="Arial" w:hAnsi="Arial"/>
                <w:sz w:val="14"/>
                <w:szCs w:val="14"/>
                <w:color w:val="auto"/>
              </w:rPr>
              <w:t>Accretion expense</w:t>
            </w:r>
          </w:p>
        </w:tc>
        <w:tc>
          <w:tcPr>
            <w:tcW w:w="20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29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12</w:t>
            </w:r>
          </w:p>
        </w:tc>
      </w:tr>
      <w:tr>
        <w:trPr>
          <w:trHeight w:val="200"/>
        </w:trPr>
        <w:tc>
          <w:tcPr>
            <w:tcW w:w="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Arial" w:cs="Arial" w:eastAsia="Arial" w:hAnsi="Arial"/>
                <w:sz w:val="14"/>
                <w:szCs w:val="14"/>
                <w:color w:val="auto"/>
              </w:rPr>
              <w:t>Net (gain) loss on natural gas purchase derivatives</w:t>
            </w:r>
          </w:p>
        </w:tc>
        <w:tc>
          <w:tcPr>
            <w:tcW w:w="200" w:type="dxa"/>
            <w:vAlign w:val="bottom"/>
          </w:tcPr>
          <w:p>
            <w:pPr>
              <w:spacing w:after="0"/>
              <w:rPr>
                <w:sz w:val="17"/>
                <w:szCs w:val="17"/>
                <w:color w:val="auto"/>
              </w:rPr>
            </w:pPr>
          </w:p>
        </w:tc>
        <w:tc>
          <w:tcPr>
            <w:tcW w:w="1180" w:type="dxa"/>
            <w:vAlign w:val="bottom"/>
          </w:tcPr>
          <w:p>
            <w:pPr>
              <w:jc w:val="right"/>
              <w:ind w:right="69"/>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19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1</w:t>
            </w:r>
          </w:p>
        </w:tc>
      </w:tr>
      <w:tr>
        <w:trPr>
          <w:trHeight w:val="200"/>
        </w:trPr>
        <w:tc>
          <w:tcPr>
            <w:tcW w:w="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Arial" w:cs="Arial" w:eastAsia="Arial" w:hAnsi="Arial"/>
                <w:sz w:val="14"/>
                <w:szCs w:val="14"/>
                <w:color w:val="auto"/>
              </w:rPr>
              <w:t>Measurement period adjustments</w:t>
            </w:r>
          </w:p>
        </w:tc>
        <w:tc>
          <w:tcPr>
            <w:tcW w:w="20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69"/>
              <w:spacing w:after="0"/>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w:t>
            </w:r>
          </w:p>
        </w:tc>
      </w:tr>
      <w:tr>
        <w:trPr>
          <w:trHeight w:val="200"/>
        </w:trPr>
        <w:tc>
          <w:tcPr>
            <w:tcW w:w="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Arial" w:cs="Arial" w:eastAsia="Arial" w:hAnsi="Arial"/>
                <w:sz w:val="14"/>
                <w:szCs w:val="14"/>
                <w:color w:val="auto"/>
              </w:rPr>
              <w:t>Other operating expenses, net</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33</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52</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45</w:t>
            </w:r>
          </w:p>
        </w:tc>
      </w:tr>
      <w:tr>
        <w:trPr>
          <w:trHeight w:val="193"/>
        </w:trPr>
        <w:tc>
          <w:tcPr>
            <w:tcW w:w="20" w:type="dxa"/>
            <w:vAlign w:val="bottom"/>
          </w:tcPr>
          <w:p>
            <w:pPr>
              <w:spacing w:after="0"/>
              <w:rPr>
                <w:sz w:val="16"/>
                <w:szCs w:val="16"/>
                <w:color w:val="auto"/>
              </w:rPr>
            </w:pPr>
          </w:p>
        </w:tc>
        <w:tc>
          <w:tcPr>
            <w:tcW w:w="6880" w:type="dxa"/>
            <w:vAlign w:val="bottom"/>
            <w:gridSpan w:val="2"/>
          </w:tcPr>
          <w:p>
            <w:pPr>
              <w:ind w:left="200"/>
              <w:spacing w:after="0"/>
              <w:rPr>
                <w:sz w:val="20"/>
                <w:szCs w:val="20"/>
                <w:color w:val="auto"/>
              </w:rPr>
            </w:pPr>
            <w:r>
              <w:rPr>
                <w:rFonts w:ascii="Arial" w:cs="Arial" w:eastAsia="Arial" w:hAnsi="Arial"/>
                <w:sz w:val="14"/>
                <w:szCs w:val="14"/>
                <w:color w:val="auto"/>
              </w:rPr>
              <w:t>Total operating expenses</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726</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813</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464</w:t>
            </w:r>
          </w:p>
        </w:tc>
      </w:tr>
      <w:tr>
        <w:trPr>
          <w:trHeight w:val="193"/>
        </w:trPr>
        <w:tc>
          <w:tcPr>
            <w:tcW w:w="20" w:type="dxa"/>
            <w:vAlign w:val="bottom"/>
          </w:tcPr>
          <w:p>
            <w:pPr>
              <w:spacing w:after="0"/>
              <w:rPr>
                <w:sz w:val="16"/>
                <w:szCs w:val="16"/>
                <w:color w:val="auto"/>
              </w:rPr>
            </w:pPr>
          </w:p>
        </w:tc>
        <w:tc>
          <w:tcPr>
            <w:tcW w:w="6880" w:type="dxa"/>
            <w:vAlign w:val="bottom"/>
            <w:gridSpan w:val="2"/>
          </w:tcPr>
          <w:p>
            <w:pPr>
              <w:spacing w:after="0"/>
              <w:rPr>
                <w:sz w:val="20"/>
                <w:szCs w:val="20"/>
                <w:color w:val="auto"/>
              </w:rPr>
            </w:pPr>
            <w:r>
              <w:rPr>
                <w:rFonts w:ascii="Arial" w:cs="Arial" w:eastAsia="Arial" w:hAnsi="Arial"/>
                <w:sz w:val="14"/>
                <w:szCs w:val="14"/>
                <w:color w:val="auto"/>
              </w:rPr>
              <w:t>Net gain on asset divestitures</w:t>
            </w:r>
          </w:p>
        </w:tc>
        <w:tc>
          <w:tcPr>
            <w:tcW w:w="200" w:type="dxa"/>
            <w:vAlign w:val="bottom"/>
          </w:tcPr>
          <w:p>
            <w:pPr>
              <w:spacing w:after="0"/>
              <w:rPr>
                <w:sz w:val="16"/>
                <w:szCs w:val="16"/>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6</w:t>
            </w:r>
          </w:p>
        </w:tc>
      </w:tr>
      <w:tr>
        <w:trPr>
          <w:trHeight w:val="193"/>
        </w:trPr>
        <w:tc>
          <w:tcPr>
            <w:tcW w:w="20" w:type="dxa"/>
            <w:vAlign w:val="bottom"/>
          </w:tcPr>
          <w:p>
            <w:pPr>
              <w:spacing w:after="0"/>
              <w:rPr>
                <w:sz w:val="16"/>
                <w:szCs w:val="16"/>
                <w:color w:val="auto"/>
              </w:rPr>
            </w:pPr>
          </w:p>
        </w:tc>
        <w:tc>
          <w:tcPr>
            <w:tcW w:w="6880" w:type="dxa"/>
            <w:vAlign w:val="bottom"/>
            <w:gridSpan w:val="2"/>
          </w:tcPr>
          <w:p>
            <w:pPr>
              <w:spacing w:after="0"/>
              <w:rPr>
                <w:sz w:val="20"/>
                <w:szCs w:val="20"/>
                <w:color w:val="auto"/>
              </w:rPr>
            </w:pPr>
            <w:r>
              <w:rPr>
                <w:rFonts w:ascii="Arial" w:cs="Arial" w:eastAsia="Arial" w:hAnsi="Arial"/>
                <w:sz w:val="14"/>
                <w:szCs w:val="14"/>
                <w:b w:val="1"/>
                <w:bCs w:val="1"/>
                <w:color w:val="auto"/>
              </w:rPr>
              <w:t>Operating Income</w:t>
            </w: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186</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68</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(4)</w:t>
            </w:r>
          </w:p>
        </w:tc>
      </w:tr>
      <w:tr>
        <w:trPr>
          <w:trHeight w:val="347"/>
        </w:trPr>
        <w:tc>
          <w:tcPr>
            <w:tcW w:w="20" w:type="dxa"/>
            <w:vAlign w:val="bottom"/>
          </w:tcPr>
          <w:p>
            <w:pPr>
              <w:spacing w:after="0"/>
              <w:rPr>
                <w:sz w:val="24"/>
                <w:szCs w:val="24"/>
                <w:color w:val="auto"/>
              </w:rPr>
            </w:pPr>
          </w:p>
        </w:tc>
        <w:tc>
          <w:tcPr>
            <w:tcW w:w="6880" w:type="dxa"/>
            <w:vAlign w:val="bottom"/>
            <w:gridSpan w:val="2"/>
          </w:tcPr>
          <w:p>
            <w:pPr>
              <w:spacing w:after="0"/>
              <w:rPr>
                <w:sz w:val="20"/>
                <w:szCs w:val="20"/>
                <w:color w:val="auto"/>
              </w:rPr>
            </w:pPr>
            <w:r>
              <w:rPr>
                <w:rFonts w:ascii="Arial" w:cs="Arial" w:eastAsia="Arial" w:hAnsi="Arial"/>
                <w:sz w:val="14"/>
                <w:szCs w:val="14"/>
                <w:b w:val="1"/>
                <w:bCs w:val="1"/>
                <w:color w:val="auto"/>
              </w:rPr>
              <w:t>Non-Operating (Expenses) Income</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0"/>
        </w:trPr>
        <w:tc>
          <w:tcPr>
            <w:tcW w:w="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Arial" w:cs="Arial" w:eastAsia="Arial" w:hAnsi="Arial"/>
                <w:sz w:val="14"/>
                <w:szCs w:val="14"/>
                <w:color w:val="auto"/>
              </w:rPr>
              <w:t>Interest and debt expense</w:t>
            </w:r>
          </w:p>
        </w:tc>
        <w:tc>
          <w:tcPr>
            <w:tcW w:w="200" w:type="dxa"/>
            <w:vAlign w:val="bottom"/>
          </w:tcPr>
          <w:p>
            <w:pPr>
              <w:spacing w:after="0"/>
              <w:rPr>
                <w:sz w:val="17"/>
                <w:szCs w:val="17"/>
                <w:color w:val="auto"/>
              </w:rPr>
            </w:pPr>
          </w:p>
        </w:tc>
        <w:tc>
          <w:tcPr>
            <w:tcW w:w="1180" w:type="dxa"/>
            <w:vAlign w:val="bottom"/>
          </w:tcPr>
          <w:p>
            <w:pPr>
              <w:jc w:val="right"/>
              <w:ind w:right="69"/>
              <w:spacing w:after="0"/>
              <w:rPr>
                <w:sz w:val="20"/>
                <w:szCs w:val="20"/>
                <w:color w:val="auto"/>
              </w:rPr>
            </w:pPr>
            <w:r>
              <w:rPr>
                <w:rFonts w:ascii="Arial" w:cs="Arial" w:eastAsia="Arial" w:hAnsi="Arial"/>
                <w:sz w:val="14"/>
                <w:szCs w:val="14"/>
                <w:b w:val="1"/>
                <w:bCs w:val="1"/>
                <w:color w:val="auto"/>
              </w:rPr>
              <w:t>(27)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69"/>
              <w:spacing w:after="0"/>
              <w:rPr>
                <w:sz w:val="20"/>
                <w:szCs w:val="20"/>
                <w:color w:val="auto"/>
              </w:rPr>
            </w:pPr>
            <w:r>
              <w:rPr>
                <w:rFonts w:ascii="Arial" w:cs="Arial" w:eastAsia="Arial" w:hAnsi="Arial"/>
                <w:sz w:val="14"/>
                <w:szCs w:val="14"/>
                <w:b w:val="1"/>
                <w:bCs w:val="1"/>
                <w:color w:val="auto"/>
              </w:rPr>
              <w:t>(28)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69"/>
              <w:spacing w:after="0"/>
              <w:rPr>
                <w:sz w:val="20"/>
                <w:szCs w:val="20"/>
                <w:color w:val="auto"/>
              </w:rPr>
            </w:pPr>
            <w:r>
              <w:rPr>
                <w:rFonts w:ascii="Arial" w:cs="Arial" w:eastAsia="Arial" w:hAnsi="Arial"/>
                <w:sz w:val="14"/>
                <w:szCs w:val="14"/>
                <w:b w:val="1"/>
                <w:bCs w:val="1"/>
                <w:color w:val="auto"/>
              </w:rPr>
              <w:t>(13)</w:t>
            </w:r>
          </w:p>
        </w:tc>
      </w:tr>
      <w:tr>
        <w:trPr>
          <w:trHeight w:val="200"/>
        </w:trPr>
        <w:tc>
          <w:tcPr>
            <w:tcW w:w="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Arial" w:cs="Arial" w:eastAsia="Arial" w:hAnsi="Arial"/>
                <w:sz w:val="14"/>
                <w:szCs w:val="14"/>
                <w:color w:val="auto"/>
              </w:rPr>
              <w:t>Loss from investment in unconsolidated subsidiaries</w:t>
            </w:r>
          </w:p>
        </w:tc>
        <w:tc>
          <w:tcPr>
            <w:tcW w:w="200" w:type="dxa"/>
            <w:vAlign w:val="bottom"/>
          </w:tcPr>
          <w:p>
            <w:pPr>
              <w:spacing w:after="0"/>
              <w:rPr>
                <w:sz w:val="17"/>
                <w:szCs w:val="17"/>
                <w:color w:val="auto"/>
              </w:rPr>
            </w:pPr>
          </w:p>
        </w:tc>
        <w:tc>
          <w:tcPr>
            <w:tcW w:w="1180" w:type="dxa"/>
            <w:vAlign w:val="bottom"/>
          </w:tcPr>
          <w:p>
            <w:pPr>
              <w:jc w:val="right"/>
              <w:ind w:right="69"/>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69"/>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69"/>
              <w:spacing w:after="0"/>
              <w:rPr>
                <w:sz w:val="20"/>
                <w:szCs w:val="20"/>
                <w:color w:val="auto"/>
              </w:rPr>
            </w:pPr>
            <w:r>
              <w:rPr>
                <w:rFonts w:ascii="Arial" w:cs="Arial" w:eastAsia="Arial" w:hAnsi="Arial"/>
                <w:sz w:val="14"/>
                <w:szCs w:val="14"/>
                <w:b w:val="1"/>
                <w:bCs w:val="1"/>
                <w:color w:val="auto"/>
              </w:rPr>
              <w:t>(3)</w:t>
            </w:r>
          </w:p>
        </w:tc>
      </w:tr>
      <w:tr>
        <w:trPr>
          <w:trHeight w:val="200"/>
        </w:trPr>
        <w:tc>
          <w:tcPr>
            <w:tcW w:w="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Arial" w:cs="Arial" w:eastAsia="Arial" w:hAnsi="Arial"/>
                <w:sz w:val="14"/>
                <w:szCs w:val="14"/>
                <w:color w:val="auto"/>
              </w:rPr>
              <w:t>Loss on early extinguishment of debt</w:t>
            </w:r>
          </w:p>
        </w:tc>
        <w:tc>
          <w:tcPr>
            <w:tcW w:w="200" w:type="dxa"/>
            <w:vAlign w:val="bottom"/>
          </w:tcPr>
          <w:p>
            <w:pPr>
              <w:spacing w:after="0"/>
              <w:rPr>
                <w:sz w:val="17"/>
                <w:szCs w:val="17"/>
                <w:color w:val="auto"/>
              </w:rPr>
            </w:pPr>
          </w:p>
        </w:tc>
        <w:tc>
          <w:tcPr>
            <w:tcW w:w="1180" w:type="dxa"/>
            <w:vAlign w:val="bottom"/>
          </w:tcPr>
          <w:p>
            <w:pPr>
              <w:jc w:val="right"/>
              <w:ind w:right="69"/>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w:t>
            </w:r>
          </w:p>
        </w:tc>
      </w:tr>
      <w:tr>
        <w:trPr>
          <w:trHeight w:val="201"/>
        </w:trPr>
        <w:tc>
          <w:tcPr>
            <w:tcW w:w="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Arial" w:cs="Arial" w:eastAsia="Arial" w:hAnsi="Arial"/>
                <w:sz w:val="14"/>
                <w:szCs w:val="14"/>
                <w:color w:val="auto"/>
              </w:rPr>
              <w:t>Other non-operating income (loss), net</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1</w:t>
            </w:r>
          </w:p>
        </w:tc>
      </w:tr>
      <w:tr>
        <w:trPr>
          <w:trHeight w:val="326"/>
        </w:trPr>
        <w:tc>
          <w:tcPr>
            <w:tcW w:w="20" w:type="dxa"/>
            <w:vAlign w:val="bottom"/>
          </w:tcPr>
          <w:p>
            <w:pPr>
              <w:spacing w:after="0"/>
              <w:rPr>
                <w:sz w:val="24"/>
                <w:szCs w:val="24"/>
                <w:color w:val="auto"/>
              </w:rPr>
            </w:pPr>
          </w:p>
        </w:tc>
        <w:tc>
          <w:tcPr>
            <w:tcW w:w="6880" w:type="dxa"/>
            <w:vAlign w:val="bottom"/>
            <w:gridSpan w:val="2"/>
          </w:tcPr>
          <w:p>
            <w:pPr>
              <w:spacing w:after="0"/>
              <w:rPr>
                <w:sz w:val="20"/>
                <w:szCs w:val="20"/>
                <w:color w:val="auto"/>
              </w:rPr>
            </w:pPr>
            <w:r>
              <w:rPr>
                <w:rFonts w:ascii="Arial" w:cs="Arial" w:eastAsia="Arial" w:hAnsi="Arial"/>
                <w:sz w:val="14"/>
                <w:szCs w:val="14"/>
                <w:b w:val="1"/>
                <w:bCs w:val="1"/>
                <w:color w:val="auto"/>
              </w:rPr>
              <w:t>Income Before Income Taxes</w:t>
            </w:r>
          </w:p>
        </w:tc>
        <w:tc>
          <w:tcPr>
            <w:tcW w:w="200" w:type="dxa"/>
            <w:vAlign w:val="bottom"/>
          </w:tcPr>
          <w:p>
            <w:pPr>
              <w:spacing w:after="0"/>
              <w:rPr>
                <w:sz w:val="24"/>
                <w:szCs w:val="24"/>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162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41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ind w:right="69"/>
              <w:spacing w:after="0"/>
              <w:rPr>
                <w:sz w:val="20"/>
                <w:szCs w:val="20"/>
                <w:color w:val="auto"/>
              </w:rPr>
            </w:pPr>
            <w:r>
              <w:rPr>
                <w:rFonts w:ascii="Arial" w:cs="Arial" w:eastAsia="Arial" w:hAnsi="Arial"/>
                <w:sz w:val="14"/>
                <w:szCs w:val="14"/>
                <w:b w:val="1"/>
                <w:bCs w:val="1"/>
                <w:color w:val="auto"/>
              </w:rPr>
              <w:t>(19)</w:t>
            </w:r>
          </w:p>
        </w:tc>
      </w:tr>
      <w:tr>
        <w:trPr>
          <w:trHeight w:val="200"/>
        </w:trPr>
        <w:tc>
          <w:tcPr>
            <w:tcW w:w="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Arial" w:cs="Arial" w:eastAsia="Arial" w:hAnsi="Arial"/>
                <w:sz w:val="14"/>
                <w:szCs w:val="14"/>
                <w:color w:val="auto"/>
              </w:rPr>
              <w:t>Income tax (provision)</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(47)</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9</w:t>
            </w:r>
          </w:p>
        </w:tc>
      </w:tr>
      <w:tr>
        <w:trPr>
          <w:trHeight w:val="168"/>
        </w:trPr>
        <w:tc>
          <w:tcPr>
            <w:tcW w:w="20" w:type="dxa"/>
            <w:vAlign w:val="bottom"/>
          </w:tcPr>
          <w:p>
            <w:pPr>
              <w:spacing w:after="0"/>
              <w:rPr>
                <w:sz w:val="14"/>
                <w:szCs w:val="14"/>
                <w:color w:val="auto"/>
              </w:rPr>
            </w:pPr>
          </w:p>
        </w:tc>
        <w:tc>
          <w:tcPr>
            <w:tcW w:w="6880" w:type="dxa"/>
            <w:vAlign w:val="bottom"/>
            <w:gridSpan w:val="2"/>
          </w:tcPr>
          <w:p>
            <w:pPr>
              <w:spacing w:after="0"/>
              <w:rPr>
                <w:sz w:val="20"/>
                <w:szCs w:val="20"/>
                <w:color w:val="auto"/>
              </w:rPr>
            </w:pPr>
            <w:r>
              <w:rPr>
                <w:rFonts w:ascii="Arial" w:cs="Arial" w:eastAsia="Arial" w:hAnsi="Arial"/>
                <w:sz w:val="14"/>
                <w:szCs w:val="14"/>
                <w:b w:val="1"/>
                <w:bCs w:val="1"/>
                <w:color w:val="auto"/>
              </w:rPr>
              <w:t>Net Income</w:t>
            </w: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115</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33</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(10)</w:t>
            </w: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72"/>
        </w:trPr>
        <w:tc>
          <w:tcPr>
            <w:tcW w:w="20" w:type="dxa"/>
            <w:vAlign w:val="bottom"/>
          </w:tcPr>
          <w:p>
            <w:pPr>
              <w:spacing w:after="0"/>
              <w:rPr>
                <w:sz w:val="24"/>
                <w:szCs w:val="24"/>
                <w:color w:val="auto"/>
              </w:rPr>
            </w:pPr>
          </w:p>
        </w:tc>
        <w:tc>
          <w:tcPr>
            <w:tcW w:w="6880" w:type="dxa"/>
            <w:vAlign w:val="bottom"/>
            <w:gridSpan w:val="2"/>
          </w:tcPr>
          <w:p>
            <w:pPr>
              <w:spacing w:after="0"/>
              <w:rPr>
                <w:sz w:val="20"/>
                <w:szCs w:val="20"/>
                <w:color w:val="auto"/>
              </w:rPr>
            </w:pPr>
            <w:r>
              <w:rPr>
                <w:rFonts w:ascii="Arial" w:cs="Arial" w:eastAsia="Arial" w:hAnsi="Arial"/>
                <w:sz w:val="14"/>
                <w:szCs w:val="14"/>
                <w:color w:val="auto"/>
              </w:rPr>
              <w:t>Net income per share - basic</w:t>
            </w: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1.27</w:t>
            </w:r>
          </w:p>
        </w:tc>
        <w:tc>
          <w:tcPr>
            <w:tcW w:w="100" w:type="dxa"/>
            <w:vAlign w:val="bottom"/>
          </w:tcPr>
          <w:p>
            <w:pPr>
              <w:spacing w:after="0"/>
              <w:rPr>
                <w:sz w:val="24"/>
                <w:szCs w:val="24"/>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0.36</w:t>
            </w:r>
          </w:p>
        </w:tc>
        <w:tc>
          <w:tcPr>
            <w:tcW w:w="100" w:type="dxa"/>
            <w:vAlign w:val="bottom"/>
          </w:tcPr>
          <w:p>
            <w:pPr>
              <w:spacing w:after="0"/>
              <w:rPr>
                <w:sz w:val="24"/>
                <w:szCs w:val="24"/>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69"/>
              <w:spacing w:after="0"/>
              <w:rPr>
                <w:sz w:val="20"/>
                <w:szCs w:val="20"/>
                <w:color w:val="auto"/>
              </w:rPr>
            </w:pPr>
            <w:r>
              <w:rPr>
                <w:rFonts w:ascii="Arial" w:cs="Arial" w:eastAsia="Arial" w:hAnsi="Arial"/>
                <w:sz w:val="14"/>
                <w:szCs w:val="14"/>
                <w:b w:val="1"/>
                <w:bCs w:val="1"/>
                <w:color w:val="auto"/>
              </w:rPr>
              <w:t>(0.14)</w:t>
            </w:r>
          </w:p>
        </w:tc>
      </w:tr>
      <w:tr>
        <w:trPr>
          <w:trHeight w:val="200"/>
        </w:trPr>
        <w:tc>
          <w:tcPr>
            <w:tcW w:w="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Arial" w:cs="Arial" w:eastAsia="Arial" w:hAnsi="Arial"/>
                <w:sz w:val="14"/>
                <w:szCs w:val="14"/>
                <w:color w:val="auto"/>
              </w:rPr>
              <w:t>Net income per share - diluted</w:t>
            </w: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1.26</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0.36</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69"/>
              <w:spacing w:after="0"/>
              <w:rPr>
                <w:sz w:val="20"/>
                <w:szCs w:val="20"/>
                <w:color w:val="auto"/>
              </w:rPr>
            </w:pPr>
            <w:r>
              <w:rPr>
                <w:rFonts w:ascii="Arial" w:cs="Arial" w:eastAsia="Arial" w:hAnsi="Arial"/>
                <w:sz w:val="14"/>
                <w:szCs w:val="14"/>
                <w:b w:val="1"/>
                <w:bCs w:val="1"/>
                <w:color w:val="auto"/>
              </w:rPr>
              <w:t>(0.14)</w:t>
            </w:r>
          </w:p>
        </w:tc>
      </w:tr>
      <w:tr>
        <w:trPr>
          <w:trHeight w:val="347"/>
        </w:trPr>
        <w:tc>
          <w:tcPr>
            <w:tcW w:w="20" w:type="dxa"/>
            <w:vAlign w:val="bottom"/>
          </w:tcPr>
          <w:p>
            <w:pPr>
              <w:spacing w:after="0"/>
              <w:rPr>
                <w:sz w:val="24"/>
                <w:szCs w:val="24"/>
                <w:color w:val="auto"/>
              </w:rPr>
            </w:pPr>
          </w:p>
        </w:tc>
        <w:tc>
          <w:tcPr>
            <w:tcW w:w="6880" w:type="dxa"/>
            <w:vAlign w:val="bottom"/>
            <w:gridSpan w:val="2"/>
          </w:tcPr>
          <w:p>
            <w:pPr>
              <w:spacing w:after="0"/>
              <w:rPr>
                <w:sz w:val="20"/>
                <w:szCs w:val="20"/>
                <w:color w:val="auto"/>
              </w:rPr>
            </w:pPr>
            <w:r>
              <w:rPr>
                <w:rFonts w:ascii="Arial" w:cs="Arial" w:eastAsia="Arial" w:hAnsi="Arial"/>
                <w:sz w:val="14"/>
                <w:szCs w:val="14"/>
                <w:color w:val="auto"/>
              </w:rPr>
              <w:t>Adjusted net income</w:t>
            </w: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98</w:t>
            </w:r>
          </w:p>
        </w:tc>
        <w:tc>
          <w:tcPr>
            <w:tcW w:w="100" w:type="dxa"/>
            <w:vAlign w:val="bottom"/>
          </w:tcPr>
          <w:p>
            <w:pPr>
              <w:spacing w:after="0"/>
              <w:rPr>
                <w:sz w:val="24"/>
                <w:szCs w:val="24"/>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84</w:t>
            </w:r>
          </w:p>
        </w:tc>
        <w:tc>
          <w:tcPr>
            <w:tcW w:w="100" w:type="dxa"/>
            <w:vAlign w:val="bottom"/>
          </w:tcPr>
          <w:p>
            <w:pPr>
              <w:spacing w:after="0"/>
              <w:rPr>
                <w:sz w:val="24"/>
                <w:szCs w:val="24"/>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54</w:t>
            </w:r>
          </w:p>
        </w:tc>
      </w:tr>
      <w:tr>
        <w:trPr>
          <w:trHeight w:val="200"/>
        </w:trPr>
        <w:tc>
          <w:tcPr>
            <w:tcW w:w="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Arial" w:cs="Arial" w:eastAsia="Arial" w:hAnsi="Arial"/>
                <w:sz w:val="14"/>
                <w:szCs w:val="14"/>
                <w:color w:val="auto"/>
              </w:rPr>
              <w:t>Adjusted net income per share - basic</w:t>
            </w: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1.08</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0.93</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0.78</w:t>
            </w:r>
          </w:p>
        </w:tc>
      </w:tr>
      <w:tr>
        <w:trPr>
          <w:trHeight w:val="200"/>
        </w:trPr>
        <w:tc>
          <w:tcPr>
            <w:tcW w:w="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Arial" w:cs="Arial" w:eastAsia="Arial" w:hAnsi="Arial"/>
                <w:sz w:val="14"/>
                <w:szCs w:val="14"/>
                <w:color w:val="auto"/>
              </w:rPr>
              <w:t>Adjusted net income per share - diluted</w:t>
            </w: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1.07</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0.91</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0.75</w:t>
            </w:r>
          </w:p>
        </w:tc>
      </w:tr>
      <w:tr>
        <w:trPr>
          <w:trHeight w:val="347"/>
        </w:trPr>
        <w:tc>
          <w:tcPr>
            <w:tcW w:w="20" w:type="dxa"/>
            <w:vAlign w:val="bottom"/>
          </w:tcPr>
          <w:p>
            <w:pPr>
              <w:spacing w:after="0"/>
              <w:rPr>
                <w:sz w:val="24"/>
                <w:szCs w:val="24"/>
                <w:color w:val="auto"/>
              </w:rPr>
            </w:pPr>
          </w:p>
        </w:tc>
        <w:tc>
          <w:tcPr>
            <w:tcW w:w="6880" w:type="dxa"/>
            <w:vAlign w:val="bottom"/>
            <w:gridSpan w:val="2"/>
          </w:tcPr>
          <w:p>
            <w:pPr>
              <w:spacing w:after="0"/>
              <w:rPr>
                <w:sz w:val="20"/>
                <w:szCs w:val="20"/>
                <w:color w:val="auto"/>
              </w:rPr>
            </w:pPr>
            <w:r>
              <w:rPr>
                <w:rFonts w:ascii="Arial" w:cs="Arial" w:eastAsia="Arial" w:hAnsi="Arial"/>
                <w:sz w:val="14"/>
                <w:szCs w:val="14"/>
                <w:color w:val="auto"/>
              </w:rPr>
              <w:t>Weighted-average common shares outstanding - basic</w:t>
            </w:r>
          </w:p>
        </w:tc>
        <w:tc>
          <w:tcPr>
            <w:tcW w:w="200" w:type="dxa"/>
            <w:vAlign w:val="bottom"/>
          </w:tcPr>
          <w:p>
            <w:pPr>
              <w:spacing w:after="0"/>
              <w:rPr>
                <w:sz w:val="24"/>
                <w:szCs w:val="24"/>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90.6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90.8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69.0</w:t>
            </w:r>
          </w:p>
        </w:tc>
      </w:tr>
      <w:tr>
        <w:trPr>
          <w:trHeight w:val="200"/>
        </w:trPr>
        <w:tc>
          <w:tcPr>
            <w:tcW w:w="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Arial" w:cs="Arial" w:eastAsia="Arial" w:hAnsi="Arial"/>
                <w:sz w:val="14"/>
                <w:szCs w:val="14"/>
                <w:color w:val="auto"/>
              </w:rPr>
              <w:t>Weighted-average common shares outstanding - diluted</w:t>
            </w:r>
          </w:p>
        </w:tc>
        <w:tc>
          <w:tcPr>
            <w:tcW w:w="20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91.2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92.2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69.0</w:t>
            </w:r>
          </w:p>
        </w:tc>
      </w:tr>
      <w:tr>
        <w:trPr>
          <w:trHeight w:val="347"/>
        </w:trPr>
        <w:tc>
          <w:tcPr>
            <w:tcW w:w="20" w:type="dxa"/>
            <w:vAlign w:val="bottom"/>
          </w:tcPr>
          <w:p>
            <w:pPr>
              <w:spacing w:after="0"/>
              <w:rPr>
                <w:sz w:val="24"/>
                <w:szCs w:val="24"/>
                <w:color w:val="auto"/>
              </w:rPr>
            </w:pPr>
          </w:p>
        </w:tc>
        <w:tc>
          <w:tcPr>
            <w:tcW w:w="6880" w:type="dxa"/>
            <w:vAlign w:val="bottom"/>
            <w:gridSpan w:val="2"/>
          </w:tcPr>
          <w:p>
            <w:pPr>
              <w:spacing w:after="0"/>
              <w:rPr>
                <w:sz w:val="20"/>
                <w:szCs w:val="20"/>
                <w:color w:val="auto"/>
              </w:rPr>
            </w:pPr>
            <w:r>
              <w:rPr>
                <w:rFonts w:ascii="Arial" w:cs="Arial" w:eastAsia="Arial" w:hAnsi="Arial"/>
                <w:sz w:val="14"/>
                <w:szCs w:val="14"/>
                <w:color w:val="auto"/>
              </w:rPr>
              <w:t>Adjusted EBITDAX</w:t>
            </w: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328</w:t>
            </w:r>
          </w:p>
        </w:tc>
        <w:tc>
          <w:tcPr>
            <w:tcW w:w="100" w:type="dxa"/>
            <w:vAlign w:val="bottom"/>
          </w:tcPr>
          <w:p>
            <w:pPr>
              <w:spacing w:after="0"/>
              <w:rPr>
                <w:sz w:val="24"/>
                <w:szCs w:val="24"/>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316</w:t>
            </w:r>
          </w:p>
        </w:tc>
        <w:tc>
          <w:tcPr>
            <w:tcW w:w="100" w:type="dxa"/>
            <w:vAlign w:val="bottom"/>
          </w:tcPr>
          <w:p>
            <w:pPr>
              <w:spacing w:after="0"/>
              <w:rPr>
                <w:sz w:val="24"/>
                <w:szCs w:val="24"/>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149</w:t>
            </w:r>
          </w:p>
        </w:tc>
      </w:tr>
      <w:tr>
        <w:trPr>
          <w:trHeight w:val="200"/>
        </w:trPr>
        <w:tc>
          <w:tcPr>
            <w:tcW w:w="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Arial" w:cs="Arial" w:eastAsia="Arial" w:hAnsi="Arial"/>
                <w:sz w:val="14"/>
                <w:szCs w:val="14"/>
                <w:color w:val="auto"/>
              </w:rPr>
              <w:t>Effective tax rate</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29 %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20 %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45 %</w:t>
            </w: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200"/>
          </w:cols>
          <w:pgMar w:left="340" w:top="1170" w:right="3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9"/>
              </w:rPr>
              <w:t>1st Quarter</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4th Quarter</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109"/>
              <w:spacing w:after="0"/>
              <w:rPr>
                <w:sz w:val="20"/>
                <w:szCs w:val="20"/>
                <w:color w:val="auto"/>
              </w:rPr>
            </w:pPr>
            <w:r>
              <w:rPr>
                <w:rFonts w:ascii="Arial" w:cs="Arial" w:eastAsia="Arial" w:hAnsi="Arial"/>
                <w:sz w:val="14"/>
                <w:szCs w:val="14"/>
                <w:b w:val="1"/>
                <w:bCs w:val="1"/>
                <w:color w:val="auto"/>
              </w:rPr>
              <w:t>1st Quarter</w:t>
            </w:r>
          </w:p>
        </w:tc>
        <w:tc>
          <w:tcPr>
            <w:tcW w:w="20" w:type="dxa"/>
            <w:vAlign w:val="bottom"/>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4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 in millions)</w:t>
            </w:r>
          </w:p>
        </w:tc>
        <w:tc>
          <w:tcPr>
            <w:tcW w:w="17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29"/>
              <w:spacing w:after="0"/>
              <w:rPr>
                <w:sz w:val="20"/>
                <w:szCs w:val="20"/>
                <w:color w:val="auto"/>
              </w:rPr>
            </w:pPr>
            <w:r>
              <w:rPr>
                <w:rFonts w:ascii="Arial" w:cs="Arial" w:eastAsia="Arial" w:hAnsi="Arial"/>
                <w:sz w:val="14"/>
                <w:szCs w:val="14"/>
                <w:b w:val="1"/>
                <w:bCs w:val="1"/>
                <w:color w:val="auto"/>
                <w:w w:val="96"/>
              </w:rPr>
              <w:t>2025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49"/>
              <w:spacing w:after="0"/>
              <w:rPr>
                <w:sz w:val="20"/>
                <w:szCs w:val="20"/>
                <w:color w:val="auto"/>
              </w:rPr>
            </w:pPr>
            <w:r>
              <w:rPr>
                <w:rFonts w:ascii="Arial" w:cs="Arial" w:eastAsia="Arial" w:hAnsi="Arial"/>
                <w:sz w:val="14"/>
                <w:szCs w:val="14"/>
                <w:b w:val="1"/>
                <w:bCs w:val="1"/>
                <w:color w:val="auto"/>
                <w:w w:val="96"/>
              </w:rPr>
              <w:t>2024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40" w:type="dxa"/>
            <w:vAlign w:val="bottom"/>
          </w:tcPr>
          <w:p>
            <w:pPr>
              <w:spacing w:after="0"/>
              <w:rPr>
                <w:sz w:val="20"/>
                <w:szCs w:val="20"/>
                <w:color w:val="auto"/>
              </w:rPr>
            </w:pPr>
            <w:r>
              <w:rPr>
                <w:rFonts w:ascii="Arial" w:cs="Arial" w:eastAsia="Arial" w:hAnsi="Arial"/>
                <w:sz w:val="14"/>
                <w:szCs w:val="14"/>
                <w:b w:val="1"/>
                <w:bCs w:val="1"/>
                <w:color w:val="auto"/>
              </w:rPr>
              <w:t>Cash Flow Data:</w:t>
            </w:r>
          </w:p>
        </w:tc>
        <w:tc>
          <w:tcPr>
            <w:tcW w:w="1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0"/>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4"/>
                <w:szCs w:val="14"/>
                <w:color w:val="auto"/>
              </w:rPr>
              <w:t>Net cash provided by operating activities</w:t>
            </w:r>
          </w:p>
        </w:tc>
        <w:tc>
          <w:tcPr>
            <w:tcW w:w="18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186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206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87</w:t>
            </w:r>
          </w:p>
        </w:tc>
        <w:tc>
          <w:tcPr>
            <w:tcW w:w="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4"/>
                <w:szCs w:val="14"/>
                <w:color w:val="auto"/>
              </w:rPr>
              <w:t>Net cash used in investing activities</w:t>
            </w:r>
          </w:p>
        </w:tc>
        <w:tc>
          <w:tcPr>
            <w:tcW w:w="18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(79)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(67)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(49)</w:t>
            </w:r>
          </w:p>
        </w:tc>
        <w:tc>
          <w:tcPr>
            <w:tcW w:w="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4"/>
                <w:szCs w:val="14"/>
                <w:color w:val="auto"/>
              </w:rPr>
              <w:t>Net cash (used in) provided by financing activities</w:t>
            </w:r>
          </w:p>
        </w:tc>
        <w:tc>
          <w:tcPr>
            <w:tcW w:w="18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(265)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(131)</w:t>
            </w:r>
          </w:p>
        </w:tc>
        <w:tc>
          <w:tcPr>
            <w:tcW w:w="20" w:type="dxa"/>
            <w:vAlign w:val="bottom"/>
          </w:tcPr>
          <w:p>
            <w:pPr>
              <w:spacing w:after="0"/>
              <w:rPr>
                <w:sz w:val="17"/>
                <w:szCs w:val="17"/>
                <w:color w:val="auto"/>
              </w:rPr>
            </w:pPr>
          </w:p>
        </w:tc>
      </w:tr>
      <w:tr>
        <w:trPr>
          <w:trHeight w:val="466"/>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1"/>
        </w:trPr>
        <w:tc>
          <w:tcPr>
            <w:tcW w:w="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4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 in millions)</w:t>
            </w:r>
          </w:p>
        </w:tc>
        <w:tc>
          <w:tcPr>
            <w:tcW w:w="17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29"/>
              <w:spacing w:after="0"/>
              <w:rPr>
                <w:sz w:val="20"/>
                <w:szCs w:val="20"/>
                <w:color w:val="auto"/>
              </w:rPr>
            </w:pPr>
            <w:r>
              <w:rPr>
                <w:rFonts w:ascii="Arial" w:cs="Arial" w:eastAsia="Arial" w:hAnsi="Arial"/>
                <w:sz w:val="14"/>
                <w:szCs w:val="14"/>
                <w:b w:val="1"/>
                <w:bCs w:val="1"/>
                <w:color w:val="auto"/>
                <w:w w:val="96"/>
              </w:rPr>
              <w:t>2024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49"/>
              <w:spacing w:after="0"/>
              <w:rPr>
                <w:sz w:val="20"/>
                <w:szCs w:val="20"/>
                <w:color w:val="auto"/>
              </w:rPr>
            </w:pPr>
            <w:r>
              <w:rPr>
                <w:rFonts w:ascii="Arial" w:cs="Arial" w:eastAsia="Arial" w:hAnsi="Arial"/>
                <w:sz w:val="14"/>
                <w:szCs w:val="14"/>
                <w:b w:val="1"/>
                <w:bCs w:val="1"/>
                <w:color w:val="auto"/>
                <w:w w:val="96"/>
              </w:rPr>
              <w:t>2024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40" w:type="dxa"/>
            <w:vAlign w:val="bottom"/>
          </w:tcPr>
          <w:p>
            <w:pPr>
              <w:spacing w:after="0"/>
              <w:rPr>
                <w:sz w:val="20"/>
                <w:szCs w:val="20"/>
                <w:color w:val="auto"/>
              </w:rPr>
            </w:pPr>
            <w:r>
              <w:rPr>
                <w:rFonts w:ascii="Arial" w:cs="Arial" w:eastAsia="Arial" w:hAnsi="Arial"/>
                <w:sz w:val="14"/>
                <w:szCs w:val="14"/>
                <w:b w:val="1"/>
                <w:bCs w:val="1"/>
                <w:color w:val="auto"/>
              </w:rPr>
              <w:t>Selected Balance Sheet Data:</w:t>
            </w:r>
          </w:p>
        </w:tc>
        <w:tc>
          <w:tcPr>
            <w:tcW w:w="1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0"/>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4"/>
                <w:szCs w:val="14"/>
                <w:color w:val="auto"/>
              </w:rPr>
              <w:t>Total current assets</w:t>
            </w:r>
          </w:p>
        </w:tc>
        <w:tc>
          <w:tcPr>
            <w:tcW w:w="18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799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1,024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4"/>
                <w:szCs w:val="14"/>
                <w:color w:val="auto"/>
              </w:rPr>
              <w:t>Property, plant and equipment, net</w:t>
            </w:r>
          </w:p>
        </w:tc>
        <w:tc>
          <w:tcPr>
            <w:tcW w:w="18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5,618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5,680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4"/>
                <w:szCs w:val="14"/>
                <w:color w:val="auto"/>
              </w:rPr>
              <w:t>Deferred tax asset</w:t>
            </w:r>
          </w:p>
        </w:tc>
        <w:tc>
          <w:tcPr>
            <w:tcW w:w="18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60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73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18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961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980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4"/>
                <w:szCs w:val="14"/>
                <w:color w:val="auto"/>
              </w:rPr>
              <w:t>Long-term debt, net</w:t>
            </w:r>
          </w:p>
        </w:tc>
        <w:tc>
          <w:tcPr>
            <w:tcW w:w="18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888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1,132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4"/>
                <w:szCs w:val="14"/>
                <w:color w:val="auto"/>
              </w:rPr>
              <w:t>Noncurrent asset retirement obligations</w:t>
            </w:r>
          </w:p>
        </w:tc>
        <w:tc>
          <w:tcPr>
            <w:tcW w:w="18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989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995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4"/>
                <w:szCs w:val="14"/>
                <w:color w:val="auto"/>
              </w:rPr>
              <w:t>Deferred tax liability</w:t>
            </w:r>
          </w:p>
        </w:tc>
        <w:tc>
          <w:tcPr>
            <w:tcW w:w="18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134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113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18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3,516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3,538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94"/>
        </w:trPr>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5460" w:type="dxa"/>
            <w:vAlign w:val="bottom"/>
            <w:gridSpan w:val="2"/>
          </w:tcPr>
          <w:p>
            <w:pPr>
              <w:spacing w:after="0"/>
              <w:rPr>
                <w:sz w:val="20"/>
                <w:szCs w:val="20"/>
                <w:color w:val="auto"/>
              </w:rPr>
            </w:pPr>
            <w:r>
              <w:rPr>
                <w:rFonts w:ascii="Arial" w:cs="Arial" w:eastAsia="Arial" w:hAnsi="Arial"/>
                <w:sz w:val="14"/>
                <w:szCs w:val="14"/>
                <w:b w:val="1"/>
                <w:bCs w:val="1"/>
                <w:color w:val="auto"/>
              </w:rPr>
              <w:t>GAINS AND LOSSES FROM COMMODITY DERIVATIVES</w:t>
            </w:r>
          </w:p>
        </w:tc>
        <w:tc>
          <w:tcPr>
            <w:tcW w:w="1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07"/>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1st Quarter</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4"/>
          </w:tcPr>
          <w:p>
            <w:pPr>
              <w:ind w:left="80"/>
              <w:spacing w:after="0"/>
              <w:rPr>
                <w:sz w:val="20"/>
                <w:szCs w:val="20"/>
                <w:color w:val="auto"/>
              </w:rPr>
            </w:pPr>
            <w:r>
              <w:rPr>
                <w:rFonts w:ascii="Arial" w:cs="Arial" w:eastAsia="Arial" w:hAnsi="Arial"/>
                <w:sz w:val="14"/>
                <w:szCs w:val="14"/>
                <w:b w:val="1"/>
                <w:bCs w:val="1"/>
                <w:color w:val="auto"/>
              </w:rPr>
              <w:t>4th Quarter</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149"/>
              <w:spacing w:after="0"/>
              <w:rPr>
                <w:sz w:val="20"/>
                <w:szCs w:val="20"/>
                <w:color w:val="auto"/>
              </w:rPr>
            </w:pPr>
            <w:r>
              <w:rPr>
                <w:rFonts w:ascii="Arial" w:cs="Arial" w:eastAsia="Arial" w:hAnsi="Arial"/>
                <w:sz w:val="14"/>
                <w:szCs w:val="14"/>
                <w:b w:val="1"/>
                <w:bCs w:val="1"/>
                <w:color w:val="auto"/>
              </w:rPr>
              <w:t>1st Quarter</w:t>
            </w:r>
          </w:p>
        </w:tc>
        <w:tc>
          <w:tcPr>
            <w:tcW w:w="20" w:type="dxa"/>
            <w:vAlign w:val="bottom"/>
          </w:tcPr>
          <w:p>
            <w:pPr>
              <w:spacing w:after="0"/>
              <w:rPr>
                <w:sz w:val="24"/>
                <w:szCs w:val="24"/>
                <w:color w:val="auto"/>
              </w:rPr>
            </w:pPr>
          </w:p>
        </w:tc>
      </w:tr>
      <w:tr>
        <w:trPr>
          <w:trHeight w:val="201"/>
        </w:trPr>
        <w:tc>
          <w:tcPr>
            <w:tcW w:w="20" w:type="dxa"/>
            <w:vAlign w:val="bottom"/>
            <w:tcBorders>
              <w:bottom w:val="single" w:sz="8" w:color="auto"/>
            </w:tcBorders>
          </w:tcPr>
          <w:p>
            <w:pPr>
              <w:spacing w:after="0"/>
              <w:rPr>
                <w:sz w:val="17"/>
                <w:szCs w:val="17"/>
                <w:color w:val="auto"/>
              </w:rPr>
            </w:pPr>
          </w:p>
        </w:tc>
        <w:tc>
          <w:tcPr>
            <w:tcW w:w="5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 millions)</w:t>
            </w:r>
          </w:p>
        </w:tc>
        <w:tc>
          <w:tcPr>
            <w:tcW w:w="17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2025</w:t>
            </w:r>
          </w:p>
        </w:tc>
        <w:tc>
          <w:tcPr>
            <w:tcW w:w="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2024</w:t>
            </w: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2024</w:t>
            </w:r>
          </w:p>
        </w:tc>
        <w:tc>
          <w:tcPr>
            <w:tcW w:w="20" w:type="dxa"/>
            <w:vAlign w:val="bottom"/>
            <w:tcBorders>
              <w:bottom w:val="single" w:sz="8" w:color="auto"/>
            </w:tcBorders>
          </w:tcPr>
          <w:p>
            <w:pPr>
              <w:spacing w:after="0"/>
              <w:rPr>
                <w:sz w:val="17"/>
                <w:szCs w:val="17"/>
                <w:color w:val="auto"/>
              </w:rPr>
            </w:pPr>
          </w:p>
        </w:tc>
      </w:tr>
      <w:tr>
        <w:trPr>
          <w:trHeight w:val="273"/>
        </w:trPr>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40" w:type="dxa"/>
            <w:vAlign w:val="bottom"/>
          </w:tcPr>
          <w:p>
            <w:pPr>
              <w:ind w:left="100"/>
              <w:spacing w:after="0"/>
              <w:rPr>
                <w:sz w:val="20"/>
                <w:szCs w:val="20"/>
                <w:color w:val="auto"/>
              </w:rPr>
            </w:pPr>
            <w:r>
              <w:rPr>
                <w:rFonts w:ascii="Arial" w:cs="Arial" w:eastAsia="Arial" w:hAnsi="Arial"/>
                <w:sz w:val="14"/>
                <w:szCs w:val="14"/>
                <w:color w:val="auto"/>
              </w:rPr>
              <w:t>Non-cash derivative gain (loss)</w:t>
            </w:r>
          </w:p>
        </w:tc>
        <w:tc>
          <w:tcPr>
            <w:tcW w:w="18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22</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gridSpan w:val="4"/>
          </w:tcPr>
          <w:p>
            <w:pPr>
              <w:jc w:val="right"/>
              <w:ind w:right="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51</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(59)</w:t>
            </w:r>
          </w:p>
        </w:tc>
        <w:tc>
          <w:tcPr>
            <w:tcW w:w="20" w:type="dxa"/>
            <w:vAlign w:val="bottom"/>
          </w:tcPr>
          <w:p>
            <w:pPr>
              <w:spacing w:after="0"/>
              <w:rPr>
                <w:sz w:val="23"/>
                <w:szCs w:val="23"/>
                <w:color w:val="auto"/>
              </w:rPr>
            </w:pPr>
          </w:p>
        </w:tc>
      </w:tr>
      <w:tr>
        <w:trPr>
          <w:trHeight w:val="201"/>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tcPr>
          <w:p>
            <w:pPr>
              <w:ind w:left="100"/>
              <w:spacing w:after="0"/>
              <w:rPr>
                <w:sz w:val="20"/>
                <w:szCs w:val="20"/>
                <w:color w:val="auto"/>
              </w:rPr>
            </w:pPr>
            <w:r>
              <w:rPr>
                <w:rFonts w:ascii="Arial" w:cs="Arial" w:eastAsia="Arial" w:hAnsi="Arial"/>
                <w:sz w:val="14"/>
                <w:szCs w:val="14"/>
                <w:color w:val="auto"/>
              </w:rPr>
              <w:t>Net received (paid) on settled commodity derivatives</w:t>
            </w:r>
          </w:p>
        </w:tc>
        <w:tc>
          <w:tcPr>
            <w:tcW w:w="17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(16)</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w:t>
            </w: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w:t>
            </w:r>
          </w:p>
        </w:tc>
        <w:tc>
          <w:tcPr>
            <w:tcW w:w="20" w:type="dxa"/>
            <w:vAlign w:val="bottom"/>
            <w:tcBorders>
              <w:bottom w:val="single" w:sz="8" w:color="auto"/>
            </w:tcBorders>
          </w:tcPr>
          <w:p>
            <w:pPr>
              <w:spacing w:after="0"/>
              <w:rPr>
                <w:sz w:val="17"/>
                <w:szCs w:val="17"/>
                <w:color w:val="auto"/>
              </w:rPr>
            </w:pPr>
          </w:p>
        </w:tc>
      </w:tr>
      <w:tr>
        <w:trPr>
          <w:trHeight w:val="194"/>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40" w:type="dxa"/>
            <w:vAlign w:val="bottom"/>
          </w:tcPr>
          <w:p>
            <w:pPr>
              <w:ind w:left="220"/>
              <w:spacing w:after="0"/>
              <w:rPr>
                <w:sz w:val="20"/>
                <w:szCs w:val="20"/>
                <w:color w:val="auto"/>
              </w:rPr>
            </w:pPr>
            <w:r>
              <w:rPr>
                <w:rFonts w:ascii="Arial" w:cs="Arial" w:eastAsia="Arial" w:hAnsi="Arial"/>
                <w:sz w:val="14"/>
                <w:szCs w:val="14"/>
                <w:color w:val="auto"/>
              </w:rPr>
              <w:t>Net gain (loss) from commodity derivatives</w:t>
            </w:r>
          </w:p>
        </w:tc>
        <w:tc>
          <w:tcPr>
            <w:tcW w:w="18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gridSpan w:val="4"/>
          </w:tcPr>
          <w:p>
            <w:pPr>
              <w:jc w:val="right"/>
              <w:ind w:right="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(71)</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646"/>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40" w:type="dxa"/>
            <w:vAlign w:val="bottom"/>
          </w:tcPr>
          <w:p>
            <w:pPr>
              <w:spacing w:after="0"/>
              <w:rPr>
                <w:sz w:val="20"/>
                <w:szCs w:val="20"/>
                <w:color w:val="auto"/>
              </w:rPr>
            </w:pPr>
            <w:r>
              <w:rPr>
                <w:rFonts w:ascii="Arial" w:cs="Arial" w:eastAsia="Arial" w:hAnsi="Arial"/>
                <w:sz w:val="14"/>
                <w:szCs w:val="14"/>
                <w:b w:val="1"/>
                <w:bCs w:val="1"/>
                <w:color w:val="auto"/>
              </w:rPr>
              <w:t>CAPITAL INVESTMENTS</w:t>
            </w:r>
          </w:p>
        </w:tc>
        <w:tc>
          <w:tcPr>
            <w:tcW w:w="1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3"/>
        </w:trPr>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3"/>
          </w:tcPr>
          <w:p>
            <w:pPr>
              <w:ind w:left="120"/>
              <w:spacing w:after="0"/>
              <w:rPr>
                <w:sz w:val="20"/>
                <w:szCs w:val="20"/>
                <w:color w:val="auto"/>
              </w:rPr>
            </w:pPr>
            <w:r>
              <w:rPr>
                <w:rFonts w:ascii="Arial" w:cs="Arial" w:eastAsia="Arial" w:hAnsi="Arial"/>
                <w:sz w:val="14"/>
                <w:szCs w:val="14"/>
                <w:b w:val="1"/>
                <w:bCs w:val="1"/>
                <w:color w:val="auto"/>
              </w:rPr>
              <w:t>1st Quarter</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4"/>
          </w:tcPr>
          <w:p>
            <w:pPr>
              <w:ind w:left="100"/>
              <w:spacing w:after="0"/>
              <w:rPr>
                <w:sz w:val="20"/>
                <w:szCs w:val="20"/>
                <w:color w:val="auto"/>
              </w:rPr>
            </w:pPr>
            <w:r>
              <w:rPr>
                <w:rFonts w:ascii="Arial" w:cs="Arial" w:eastAsia="Arial" w:hAnsi="Arial"/>
                <w:sz w:val="14"/>
                <w:szCs w:val="14"/>
                <w:b w:val="1"/>
                <w:bCs w:val="1"/>
                <w:color w:val="auto"/>
              </w:rPr>
              <w:t>4th Quarter</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center"/>
              <w:ind w:right="109"/>
              <w:spacing w:after="0"/>
              <w:rPr>
                <w:sz w:val="20"/>
                <w:szCs w:val="20"/>
                <w:color w:val="auto"/>
              </w:rPr>
            </w:pPr>
            <w:r>
              <w:rPr>
                <w:rFonts w:ascii="Arial" w:cs="Arial" w:eastAsia="Arial" w:hAnsi="Arial"/>
                <w:sz w:val="14"/>
                <w:szCs w:val="14"/>
                <w:b w:val="1"/>
                <w:bCs w:val="1"/>
                <w:color w:val="auto"/>
              </w:rPr>
              <w:t>1st Quarter</w:t>
            </w:r>
          </w:p>
        </w:tc>
        <w:tc>
          <w:tcPr>
            <w:tcW w:w="20" w:type="dxa"/>
            <w:vAlign w:val="bottom"/>
          </w:tcPr>
          <w:p>
            <w:pPr>
              <w:spacing w:after="0"/>
              <w:rPr>
                <w:sz w:val="22"/>
                <w:szCs w:val="22"/>
                <w:color w:val="auto"/>
              </w:rPr>
            </w:pPr>
          </w:p>
        </w:tc>
      </w:tr>
      <w:tr>
        <w:trPr>
          <w:trHeight w:val="201"/>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 millions)</w:t>
            </w:r>
          </w:p>
        </w:tc>
        <w:tc>
          <w:tcPr>
            <w:tcW w:w="17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2025</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2024</w:t>
            </w: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6"/>
              </w:rPr>
              <w:t>2024</w:t>
            </w:r>
          </w:p>
        </w:tc>
        <w:tc>
          <w:tcPr>
            <w:tcW w:w="20" w:type="dxa"/>
            <w:vAlign w:val="bottom"/>
          </w:tcPr>
          <w:p>
            <w:pPr>
              <w:spacing w:after="0"/>
              <w:rPr>
                <w:sz w:val="17"/>
                <w:szCs w:val="17"/>
                <w:color w:val="auto"/>
              </w:rPr>
            </w:pPr>
          </w:p>
        </w:tc>
      </w:tr>
      <w:tr>
        <w:trPr>
          <w:trHeight w:val="273"/>
        </w:trPr>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40" w:type="dxa"/>
            <w:vAlign w:val="bottom"/>
          </w:tcPr>
          <w:p>
            <w:pPr>
              <w:ind w:left="120"/>
              <w:spacing w:after="0"/>
              <w:rPr>
                <w:sz w:val="20"/>
                <w:szCs w:val="20"/>
                <w:color w:val="auto"/>
              </w:rPr>
            </w:pPr>
            <w:r>
              <w:rPr>
                <w:rFonts w:ascii="Arial" w:cs="Arial" w:eastAsia="Arial" w:hAnsi="Arial"/>
                <w:sz w:val="14"/>
                <w:szCs w:val="14"/>
                <w:color w:val="auto"/>
              </w:rPr>
              <w:t>Facilities</w:t>
            </w:r>
          </w:p>
        </w:tc>
        <w:tc>
          <w:tcPr>
            <w:tcW w:w="200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8</w:t>
            </w:r>
          </w:p>
        </w:tc>
        <w:tc>
          <w:tcPr>
            <w:tcW w:w="60" w:type="dxa"/>
            <w:vAlign w:val="bottom"/>
          </w:tcPr>
          <w:p>
            <w:pPr>
              <w:spacing w:after="0"/>
              <w:rPr>
                <w:sz w:val="23"/>
                <w:szCs w:val="23"/>
                <w:color w:val="auto"/>
              </w:rPr>
            </w:pPr>
          </w:p>
        </w:tc>
        <w:tc>
          <w:tcPr>
            <w:tcW w:w="220" w:type="dxa"/>
            <w:vAlign w:val="bottom"/>
            <w:gridSpan w:val="4"/>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44</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20" w:type="dxa"/>
            <w:vAlign w:val="bottom"/>
          </w:tcPr>
          <w:p>
            <w:pPr>
              <w:spacing w:after="0"/>
              <w:rPr>
                <w:sz w:val="23"/>
                <w:szCs w:val="23"/>
                <w:color w:val="auto"/>
              </w:rPr>
            </w:pPr>
          </w:p>
        </w:tc>
      </w:tr>
      <w:tr>
        <w:trPr>
          <w:trHeight w:val="200"/>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tcPr>
          <w:p>
            <w:pPr>
              <w:ind w:left="120"/>
              <w:spacing w:after="0"/>
              <w:rPr>
                <w:sz w:val="20"/>
                <w:szCs w:val="20"/>
                <w:color w:val="auto"/>
              </w:rPr>
            </w:pPr>
            <w:r>
              <w:rPr>
                <w:rFonts w:ascii="Arial" w:cs="Arial" w:eastAsia="Arial" w:hAnsi="Arial"/>
                <w:sz w:val="14"/>
                <w:szCs w:val="14"/>
                <w:color w:val="auto"/>
              </w:rPr>
              <w:t>Drilling and completions</w:t>
            </w:r>
          </w:p>
        </w:tc>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15</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tcPr>
          <w:p>
            <w:pPr>
              <w:ind w:left="120"/>
              <w:spacing w:after="0"/>
              <w:rPr>
                <w:sz w:val="20"/>
                <w:szCs w:val="20"/>
                <w:color w:val="auto"/>
              </w:rPr>
            </w:pPr>
            <w:r>
              <w:rPr>
                <w:rFonts w:ascii="Arial" w:cs="Arial" w:eastAsia="Arial" w:hAnsi="Arial"/>
                <w:sz w:val="14"/>
                <w:szCs w:val="14"/>
                <w:color w:val="auto"/>
              </w:rPr>
              <w:t>Workovers</w:t>
            </w:r>
          </w:p>
        </w:tc>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19</w:t>
            </w: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w:t>
            </w: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w:t>
            </w:r>
          </w:p>
        </w:tc>
        <w:tc>
          <w:tcPr>
            <w:tcW w:w="2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40" w:type="dxa"/>
            <w:vAlign w:val="bottom"/>
          </w:tcPr>
          <w:p>
            <w:pPr>
              <w:spacing w:after="0"/>
              <w:rPr>
                <w:sz w:val="20"/>
                <w:szCs w:val="20"/>
                <w:color w:val="auto"/>
              </w:rPr>
            </w:pPr>
            <w:r>
              <w:rPr>
                <w:rFonts w:ascii="Arial" w:cs="Arial" w:eastAsia="Arial" w:hAnsi="Arial"/>
                <w:sz w:val="14"/>
                <w:szCs w:val="14"/>
                <w:color w:val="auto"/>
              </w:rPr>
              <w:t>Total oil and natural gas capital</w:t>
            </w:r>
          </w:p>
        </w:tc>
        <w:tc>
          <w:tcPr>
            <w:tcW w:w="1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42</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78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36</w:t>
            </w:r>
          </w:p>
        </w:tc>
        <w:tc>
          <w:tcPr>
            <w:tcW w:w="20" w:type="dxa"/>
            <w:vAlign w:val="bottom"/>
          </w:tcPr>
          <w:p>
            <w:pPr>
              <w:spacing w:after="0"/>
              <w:rPr>
                <w:sz w:val="16"/>
                <w:szCs w:val="16"/>
                <w:color w:val="auto"/>
              </w:rPr>
            </w:pPr>
          </w:p>
        </w:tc>
      </w:tr>
      <w:tr>
        <w:trPr>
          <w:trHeight w:val="200"/>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tcPr>
          <w:p>
            <w:pPr>
              <w:ind w:left="120"/>
              <w:spacing w:after="0"/>
              <w:rPr>
                <w:sz w:val="20"/>
                <w:szCs w:val="20"/>
                <w:color w:val="auto"/>
              </w:rPr>
            </w:pPr>
            <w:r>
              <w:rPr>
                <w:rFonts w:ascii="Arial" w:cs="Arial" w:eastAsia="Arial" w:hAnsi="Arial"/>
                <w:sz w:val="14"/>
                <w:szCs w:val="14"/>
                <w:color w:val="auto"/>
              </w:rPr>
              <w:t>Carbon management</w:t>
            </w:r>
          </w:p>
        </w:tc>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2</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2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tcPr>
          <w:p>
            <w:pPr>
              <w:ind w:left="120"/>
              <w:spacing w:after="0"/>
              <w:rPr>
                <w:sz w:val="20"/>
                <w:szCs w:val="20"/>
                <w:color w:val="auto"/>
              </w:rPr>
            </w:pPr>
            <w:r>
              <w:rPr>
                <w:rFonts w:ascii="Arial" w:cs="Arial" w:eastAsia="Arial" w:hAnsi="Arial"/>
                <w:sz w:val="14"/>
                <w:szCs w:val="14"/>
                <w:color w:val="auto"/>
              </w:rPr>
              <w:t>Corporate and other</w:t>
            </w:r>
          </w:p>
        </w:tc>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11</w:t>
            </w: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w:t>
            </w:r>
          </w:p>
        </w:tc>
        <w:tc>
          <w:tcPr>
            <w:tcW w:w="20" w:type="dxa"/>
            <w:vAlign w:val="bottom"/>
          </w:tcPr>
          <w:p>
            <w:pPr>
              <w:spacing w:after="0"/>
              <w:rPr>
                <w:sz w:val="17"/>
                <w:szCs w:val="17"/>
                <w:color w:val="auto"/>
              </w:rPr>
            </w:pPr>
          </w:p>
        </w:tc>
      </w:tr>
      <w:tr>
        <w:trPr>
          <w:trHeight w:val="194"/>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40" w:type="dxa"/>
            <w:vAlign w:val="bottom"/>
          </w:tcPr>
          <w:p>
            <w:pPr>
              <w:spacing w:after="0"/>
              <w:rPr>
                <w:sz w:val="20"/>
                <w:szCs w:val="20"/>
                <w:color w:val="auto"/>
              </w:rPr>
            </w:pPr>
            <w:r>
              <w:rPr>
                <w:rFonts w:ascii="Arial" w:cs="Arial" w:eastAsia="Arial" w:hAnsi="Arial"/>
                <w:sz w:val="14"/>
                <w:szCs w:val="14"/>
                <w:color w:val="auto"/>
              </w:rPr>
              <w:t>Total capital program</w:t>
            </w:r>
          </w:p>
        </w:tc>
        <w:tc>
          <w:tcPr>
            <w:tcW w:w="200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55</w:t>
            </w:r>
          </w:p>
        </w:tc>
        <w:tc>
          <w:tcPr>
            <w:tcW w:w="60" w:type="dxa"/>
            <w:vAlign w:val="bottom"/>
          </w:tcPr>
          <w:p>
            <w:pPr>
              <w:spacing w:after="0"/>
              <w:rPr>
                <w:sz w:val="16"/>
                <w:szCs w:val="16"/>
                <w:color w:val="auto"/>
              </w:rPr>
            </w:pPr>
          </w:p>
        </w:tc>
        <w:tc>
          <w:tcPr>
            <w:tcW w:w="220" w:type="dxa"/>
            <w:vAlign w:val="bottom"/>
            <w:gridSpan w:val="4"/>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88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54</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240"/>
          </w:cols>
          <w:pgMar w:left="320" w:top="1356"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5"/>
        </w:trPr>
        <w:tc>
          <w:tcPr>
            <w:tcW w:w="50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Attachment 2</w:t>
            </w:r>
          </w:p>
        </w:tc>
        <w:tc>
          <w:tcPr>
            <w:tcW w:w="0" w:type="dxa"/>
            <w:vAlign w:val="bottom"/>
          </w:tcPr>
          <w:p>
            <w:pPr>
              <w:spacing w:after="0"/>
              <w:rPr>
                <w:sz w:val="1"/>
                <w:szCs w:val="1"/>
                <w:color w:val="auto"/>
              </w:rPr>
            </w:pPr>
          </w:p>
        </w:tc>
      </w:tr>
      <w:tr>
        <w:trPr>
          <w:trHeight w:val="21"/>
        </w:trPr>
        <w:tc>
          <w:tcPr>
            <w:tcW w:w="504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gridSpan w:val="3"/>
          </w:tcPr>
          <w:p>
            <w:pPr>
              <w:spacing w:after="0" w:line="20" w:lineRule="exact"/>
              <w:rPr>
                <w:sz w:val="1"/>
                <w:szCs w:val="1"/>
                <w:color w:val="auto"/>
              </w:rPr>
            </w:pPr>
          </w:p>
        </w:tc>
        <w:tc>
          <w:tcPr>
            <w:tcW w:w="2020" w:type="dxa"/>
            <w:vAlign w:val="bottom"/>
            <w:tcBorders>
              <w:bottom w:val="single" w:sz="8" w:color="auto"/>
            </w:tcBorders>
            <w:gridSpan w:val="3"/>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5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CRC GUIDANCE</w:t>
            </w:r>
          </w:p>
        </w:tc>
        <w:tc>
          <w:tcPr>
            <w:tcW w:w="2220" w:type="dxa"/>
            <w:vAlign w:val="bottom"/>
            <w:gridSpan w:val="3"/>
          </w:tcPr>
          <w:p>
            <w:pPr>
              <w:jc w:val="center"/>
              <w:ind w:left="449"/>
              <w:spacing w:after="0" w:line="144" w:lineRule="exact"/>
              <w:rPr>
                <w:sz w:val="20"/>
                <w:szCs w:val="20"/>
                <w:color w:val="auto"/>
              </w:rPr>
            </w:pPr>
            <w:r>
              <w:rPr>
                <w:rFonts w:ascii="Arial" w:cs="Arial" w:eastAsia="Arial" w:hAnsi="Arial"/>
                <w:sz w:val="14"/>
                <w:szCs w:val="14"/>
                <w:b w:val="1"/>
                <w:bCs w:val="1"/>
                <w:color w:val="auto"/>
              </w:rPr>
              <w:t>Consolidated</w:t>
            </w:r>
          </w:p>
        </w:tc>
        <w:tc>
          <w:tcPr>
            <w:tcW w:w="2020" w:type="dxa"/>
            <w:vAlign w:val="bottom"/>
            <w:gridSpan w:val="3"/>
          </w:tcPr>
          <w:p>
            <w:pPr>
              <w:ind w:left="300"/>
              <w:spacing w:after="0" w:line="144" w:lineRule="exact"/>
              <w:rPr>
                <w:sz w:val="20"/>
                <w:szCs w:val="20"/>
                <w:color w:val="auto"/>
              </w:rPr>
            </w:pPr>
            <w:r>
              <w:rPr>
                <w:rFonts w:ascii="Arial" w:cs="Arial" w:eastAsia="Arial" w:hAnsi="Arial"/>
                <w:sz w:val="14"/>
                <w:szCs w:val="14"/>
                <w:b w:val="1"/>
                <w:bCs w:val="1"/>
                <w:color w:val="auto"/>
              </w:rPr>
              <w:t>Oil and Natural Gas</w:t>
            </w:r>
          </w:p>
        </w:tc>
        <w:tc>
          <w:tcPr>
            <w:tcW w:w="1960" w:type="dxa"/>
            <w:vAlign w:val="bottom"/>
          </w:tcPr>
          <w:p>
            <w:pPr>
              <w:ind w:left="280"/>
              <w:spacing w:after="0" w:line="144" w:lineRule="exact"/>
              <w:rPr>
                <w:sz w:val="20"/>
                <w:szCs w:val="20"/>
                <w:color w:val="auto"/>
              </w:rPr>
            </w:pPr>
            <w:r>
              <w:rPr>
                <w:rFonts w:ascii="Arial" w:cs="Arial" w:eastAsia="Arial" w:hAnsi="Arial"/>
                <w:sz w:val="14"/>
                <w:szCs w:val="14"/>
                <w:b w:val="1"/>
                <w:bCs w:val="1"/>
                <w:color w:val="auto"/>
              </w:rPr>
              <w:t>Carbon Management</w:t>
            </w:r>
          </w:p>
        </w:tc>
        <w:tc>
          <w:tcPr>
            <w:tcW w:w="0" w:type="dxa"/>
            <w:vAlign w:val="bottom"/>
          </w:tcPr>
          <w:p>
            <w:pPr>
              <w:spacing w:after="0"/>
              <w:rPr>
                <w:sz w:val="1"/>
                <w:szCs w:val="1"/>
                <w:color w:val="auto"/>
              </w:rPr>
            </w:pPr>
          </w:p>
        </w:tc>
      </w:tr>
      <w:tr>
        <w:trPr>
          <w:trHeight w:val="183"/>
        </w:trPr>
        <w:tc>
          <w:tcPr>
            <w:tcW w:w="5040" w:type="dxa"/>
            <w:vAlign w:val="bottom"/>
            <w:vMerge w:val="continue"/>
          </w:tcPr>
          <w:p>
            <w:pPr>
              <w:spacing w:after="0"/>
              <w:rPr>
                <w:sz w:val="15"/>
                <w:szCs w:val="15"/>
                <w:color w:val="auto"/>
              </w:rPr>
            </w:pPr>
          </w:p>
        </w:tc>
        <w:tc>
          <w:tcPr>
            <w:tcW w:w="2220" w:type="dxa"/>
            <w:vAlign w:val="bottom"/>
            <w:gridSpan w:val="3"/>
          </w:tcPr>
          <w:p>
            <w:pPr>
              <w:jc w:val="center"/>
              <w:ind w:left="449"/>
              <w:spacing w:after="0"/>
              <w:rPr>
                <w:sz w:val="20"/>
                <w:szCs w:val="20"/>
                <w:color w:val="auto"/>
              </w:rPr>
            </w:pPr>
            <w:r>
              <w:rPr>
                <w:rFonts w:ascii="Arial" w:cs="Arial" w:eastAsia="Arial" w:hAnsi="Arial"/>
                <w:sz w:val="14"/>
                <w:szCs w:val="14"/>
                <w:b w:val="1"/>
                <w:bCs w:val="1"/>
                <w:color w:val="auto"/>
              </w:rPr>
              <w:t>2Q25E</w:t>
            </w:r>
          </w:p>
        </w:tc>
        <w:tc>
          <w:tcPr>
            <w:tcW w:w="20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2Q25E</w:t>
            </w: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rPr>
              <w:t>2Q25E</w:t>
            </w:r>
          </w:p>
        </w:tc>
        <w:tc>
          <w:tcPr>
            <w:tcW w:w="0" w:type="dxa"/>
            <w:vAlign w:val="bottom"/>
          </w:tcPr>
          <w:p>
            <w:pPr>
              <w:spacing w:after="0"/>
              <w:rPr>
                <w:sz w:val="1"/>
                <w:szCs w:val="1"/>
                <w:color w:val="auto"/>
              </w:rPr>
            </w:pPr>
          </w:p>
        </w:tc>
      </w:tr>
      <w:tr>
        <w:trPr>
          <w:trHeight w:val="186"/>
        </w:trPr>
        <w:tc>
          <w:tcPr>
            <w:tcW w:w="504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rPr>
              <w:t>Net Production (MBoe/d)</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133</w:t>
            </w:r>
          </w:p>
        </w:tc>
        <w:tc>
          <w:tcPr>
            <w:tcW w:w="8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- 137</w:t>
            </w:r>
          </w:p>
        </w:tc>
        <w:tc>
          <w:tcPr>
            <w:tcW w:w="10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040" w:type="dxa"/>
            <w:vAlign w:val="bottom"/>
          </w:tcPr>
          <w:p>
            <w:pPr>
              <w:ind w:left="140"/>
              <w:spacing w:after="0"/>
              <w:rPr>
                <w:sz w:val="20"/>
                <w:szCs w:val="20"/>
                <w:color w:val="auto"/>
              </w:rPr>
            </w:pPr>
            <w:r>
              <w:rPr>
                <w:rFonts w:ascii="Arial" w:cs="Arial" w:eastAsia="Arial" w:hAnsi="Arial"/>
                <w:sz w:val="14"/>
                <w:szCs w:val="14"/>
                <w:color w:val="auto"/>
              </w:rPr>
              <w:t>Net Oil Production (%)</w:t>
            </w:r>
          </w:p>
        </w:tc>
        <w:tc>
          <w:tcPr>
            <w:tcW w:w="2120" w:type="dxa"/>
            <w:vAlign w:val="bottom"/>
            <w:gridSpan w:val="2"/>
          </w:tcPr>
          <w:p>
            <w:pPr>
              <w:jc w:val="center"/>
              <w:ind w:left="549"/>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040" w:type="dxa"/>
            <w:vAlign w:val="bottom"/>
          </w:tcPr>
          <w:p>
            <w:pPr>
              <w:ind w:left="140"/>
              <w:spacing w:after="0"/>
              <w:rPr>
                <w:sz w:val="20"/>
                <w:szCs w:val="20"/>
                <w:color w:val="auto"/>
              </w:rPr>
            </w:pPr>
            <w:r>
              <w:rPr>
                <w:rFonts w:ascii="Arial" w:cs="Arial" w:eastAsia="Arial" w:hAnsi="Arial"/>
                <w:sz w:val="14"/>
                <w:szCs w:val="14"/>
                <w:color w:val="auto"/>
              </w:rPr>
              <w:t>Operating Costs ($ millions)</w:t>
            </w:r>
          </w:p>
        </w:tc>
        <w:tc>
          <w:tcPr>
            <w:tcW w:w="1320" w:type="dxa"/>
            <w:vAlign w:val="bottom"/>
          </w:tcPr>
          <w:p>
            <w:pPr>
              <w:jc w:val="right"/>
              <w:spacing w:after="0"/>
              <w:rPr>
                <w:sz w:val="20"/>
                <w:szCs w:val="20"/>
                <w:color w:val="auto"/>
              </w:rPr>
            </w:pPr>
            <w:r>
              <w:rPr>
                <w:rFonts w:ascii="Arial" w:cs="Arial" w:eastAsia="Arial" w:hAnsi="Arial"/>
                <w:sz w:val="14"/>
                <w:szCs w:val="14"/>
                <w:color w:val="auto"/>
              </w:rPr>
              <w:t>$295</w:t>
            </w:r>
          </w:p>
        </w:tc>
        <w:tc>
          <w:tcPr>
            <w:tcW w:w="800" w:type="dxa"/>
            <w:vAlign w:val="bottom"/>
          </w:tcPr>
          <w:p>
            <w:pPr>
              <w:ind w:left="20"/>
              <w:spacing w:after="0"/>
              <w:rPr>
                <w:sz w:val="20"/>
                <w:szCs w:val="20"/>
                <w:color w:val="auto"/>
              </w:rPr>
            </w:pPr>
            <w:r>
              <w:rPr>
                <w:rFonts w:ascii="Arial" w:cs="Arial" w:eastAsia="Arial" w:hAnsi="Arial"/>
                <w:sz w:val="14"/>
                <w:szCs w:val="14"/>
                <w:color w:val="auto"/>
              </w:rPr>
              <w:t>- $315</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$295</w:t>
            </w:r>
          </w:p>
        </w:tc>
        <w:tc>
          <w:tcPr>
            <w:tcW w:w="1020" w:type="dxa"/>
            <w:vAlign w:val="bottom"/>
          </w:tcPr>
          <w:p>
            <w:pPr>
              <w:ind w:left="20"/>
              <w:spacing w:after="0"/>
              <w:rPr>
                <w:sz w:val="20"/>
                <w:szCs w:val="20"/>
                <w:color w:val="auto"/>
              </w:rPr>
            </w:pPr>
            <w:r>
              <w:rPr>
                <w:rFonts w:ascii="Arial" w:cs="Arial" w:eastAsia="Arial" w:hAnsi="Arial"/>
                <w:sz w:val="14"/>
                <w:szCs w:val="14"/>
                <w:color w:val="auto"/>
              </w:rPr>
              <w:t>- $315</w:t>
            </w:r>
          </w:p>
        </w:tc>
        <w:tc>
          <w:tcPr>
            <w:tcW w:w="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040" w:type="dxa"/>
            <w:vAlign w:val="bottom"/>
          </w:tcPr>
          <w:p>
            <w:pPr>
              <w:ind w:left="260"/>
              <w:spacing w:after="0"/>
              <w:rPr>
                <w:sz w:val="20"/>
                <w:szCs w:val="20"/>
                <w:color w:val="auto"/>
              </w:rPr>
            </w:pPr>
            <w:r>
              <w:rPr>
                <w:rFonts w:ascii="Arial" w:cs="Arial" w:eastAsia="Arial" w:hAnsi="Arial"/>
                <w:sz w:val="14"/>
                <w:szCs w:val="14"/>
                <w:i w:val="1"/>
                <w:iCs w:val="1"/>
                <w:color w:val="auto"/>
              </w:rPr>
              <w:t>Non-Energy Operating and Gas Processing Costs ($ millions)</w:t>
            </w: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i w:val="1"/>
                <w:iCs w:val="1"/>
                <w:color w:val="auto"/>
              </w:rPr>
              <w:t>$215</w:t>
            </w:r>
          </w:p>
        </w:tc>
        <w:tc>
          <w:tcPr>
            <w:tcW w:w="1020" w:type="dxa"/>
            <w:vAlign w:val="bottom"/>
          </w:tcPr>
          <w:p>
            <w:pPr>
              <w:ind w:left="20"/>
              <w:spacing w:after="0"/>
              <w:rPr>
                <w:sz w:val="20"/>
                <w:szCs w:val="20"/>
                <w:color w:val="auto"/>
              </w:rPr>
            </w:pPr>
            <w:r>
              <w:rPr>
                <w:rFonts w:ascii="Arial" w:cs="Arial" w:eastAsia="Arial" w:hAnsi="Arial"/>
                <w:sz w:val="14"/>
                <w:szCs w:val="14"/>
                <w:i w:val="1"/>
                <w:iCs w:val="1"/>
                <w:color w:val="auto"/>
              </w:rPr>
              <w:t>- $230</w:t>
            </w:r>
          </w:p>
        </w:tc>
        <w:tc>
          <w:tcPr>
            <w:tcW w:w="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040" w:type="dxa"/>
            <w:vAlign w:val="bottom"/>
          </w:tcPr>
          <w:p>
            <w:pPr>
              <w:ind w:left="140"/>
              <w:spacing w:after="0"/>
              <w:rPr>
                <w:sz w:val="20"/>
                <w:szCs w:val="20"/>
                <w:color w:val="auto"/>
              </w:rPr>
            </w:pPr>
            <w:r>
              <w:rPr>
                <w:rFonts w:ascii="Arial" w:cs="Arial" w:eastAsia="Arial" w:hAnsi="Arial"/>
                <w:sz w:val="14"/>
                <w:szCs w:val="14"/>
                <w:color w:val="auto"/>
              </w:rPr>
              <w:t>General and Administrative Expenses ($ millions)</w:t>
            </w:r>
          </w:p>
        </w:tc>
        <w:tc>
          <w:tcPr>
            <w:tcW w:w="1320" w:type="dxa"/>
            <w:vAlign w:val="bottom"/>
          </w:tcPr>
          <w:p>
            <w:pPr>
              <w:jc w:val="right"/>
              <w:spacing w:after="0"/>
              <w:rPr>
                <w:sz w:val="20"/>
                <w:szCs w:val="20"/>
                <w:color w:val="auto"/>
              </w:rPr>
            </w:pPr>
            <w:r>
              <w:rPr>
                <w:rFonts w:ascii="Arial" w:cs="Arial" w:eastAsia="Arial" w:hAnsi="Arial"/>
                <w:sz w:val="14"/>
                <w:szCs w:val="14"/>
                <w:i w:val="1"/>
                <w:iCs w:val="1"/>
                <w:color w:val="auto"/>
              </w:rPr>
              <w:t>$76</w:t>
            </w:r>
          </w:p>
        </w:tc>
        <w:tc>
          <w:tcPr>
            <w:tcW w:w="800" w:type="dxa"/>
            <w:vAlign w:val="bottom"/>
          </w:tcPr>
          <w:p>
            <w:pPr>
              <w:ind w:left="20"/>
              <w:spacing w:after="0"/>
              <w:rPr>
                <w:sz w:val="20"/>
                <w:szCs w:val="20"/>
                <w:color w:val="auto"/>
              </w:rPr>
            </w:pPr>
            <w:r>
              <w:rPr>
                <w:rFonts w:ascii="Arial" w:cs="Arial" w:eastAsia="Arial" w:hAnsi="Arial"/>
                <w:sz w:val="14"/>
                <w:szCs w:val="14"/>
                <w:i w:val="1"/>
                <w:iCs w:val="1"/>
                <w:color w:val="auto"/>
              </w:rPr>
              <w:t>- $80</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w:t>
            </w:r>
          </w:p>
        </w:tc>
        <w:tc>
          <w:tcPr>
            <w:tcW w:w="1020" w:type="dxa"/>
            <w:vAlign w:val="bottom"/>
          </w:tcPr>
          <w:p>
            <w:pPr>
              <w:ind w:left="20"/>
              <w:spacing w:after="0"/>
              <w:rPr>
                <w:sz w:val="20"/>
                <w:szCs w:val="20"/>
                <w:color w:val="auto"/>
              </w:rPr>
            </w:pPr>
            <w:r>
              <w:rPr>
                <w:rFonts w:ascii="Arial" w:cs="Arial" w:eastAsia="Arial" w:hAnsi="Arial"/>
                <w:sz w:val="14"/>
                <w:szCs w:val="14"/>
                <w:color w:val="auto"/>
              </w:rPr>
              <w:t>- $14</w:t>
            </w:r>
          </w:p>
        </w:tc>
        <w:tc>
          <w:tcPr>
            <w:tcW w:w="8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rPr>
              <w:t>$2 - $4</w:t>
            </w:r>
          </w:p>
        </w:tc>
        <w:tc>
          <w:tcPr>
            <w:tcW w:w="0" w:type="dxa"/>
            <w:vAlign w:val="bottom"/>
          </w:tcPr>
          <w:p>
            <w:pPr>
              <w:spacing w:after="0"/>
              <w:rPr>
                <w:sz w:val="1"/>
                <w:szCs w:val="1"/>
                <w:color w:val="auto"/>
              </w:rPr>
            </w:pPr>
          </w:p>
        </w:tc>
      </w:tr>
      <w:tr>
        <w:trPr>
          <w:trHeight w:val="200"/>
        </w:trPr>
        <w:tc>
          <w:tcPr>
            <w:tcW w:w="5040" w:type="dxa"/>
            <w:vAlign w:val="bottom"/>
          </w:tcPr>
          <w:p>
            <w:pPr>
              <w:ind w:left="260"/>
              <w:spacing w:after="0"/>
              <w:rPr>
                <w:sz w:val="20"/>
                <w:szCs w:val="20"/>
                <w:color w:val="auto"/>
              </w:rPr>
            </w:pPr>
            <w:r>
              <w:rPr>
                <w:rFonts w:ascii="Arial" w:cs="Arial" w:eastAsia="Arial" w:hAnsi="Arial"/>
                <w:sz w:val="14"/>
                <w:szCs w:val="14"/>
                <w:i w:val="1"/>
                <w:iCs w:val="1"/>
                <w:color w:val="auto"/>
              </w:rPr>
              <w:t>Adjusted General and Administrative Expenses ($ millions)</w:t>
            </w:r>
          </w:p>
        </w:tc>
        <w:tc>
          <w:tcPr>
            <w:tcW w:w="1320" w:type="dxa"/>
            <w:vAlign w:val="bottom"/>
          </w:tcPr>
          <w:p>
            <w:pPr>
              <w:jc w:val="right"/>
              <w:spacing w:after="0"/>
              <w:rPr>
                <w:sz w:val="20"/>
                <w:szCs w:val="20"/>
                <w:color w:val="auto"/>
              </w:rPr>
            </w:pPr>
            <w:r>
              <w:rPr>
                <w:rFonts w:ascii="Arial" w:cs="Arial" w:eastAsia="Arial" w:hAnsi="Arial"/>
                <w:sz w:val="14"/>
                <w:szCs w:val="14"/>
                <w:i w:val="1"/>
                <w:iCs w:val="1"/>
                <w:color w:val="auto"/>
              </w:rPr>
              <w:t>$69</w:t>
            </w:r>
          </w:p>
        </w:tc>
        <w:tc>
          <w:tcPr>
            <w:tcW w:w="800" w:type="dxa"/>
            <w:vAlign w:val="bottom"/>
          </w:tcPr>
          <w:p>
            <w:pPr>
              <w:ind w:left="20"/>
              <w:spacing w:after="0"/>
              <w:rPr>
                <w:sz w:val="20"/>
                <w:szCs w:val="20"/>
                <w:color w:val="auto"/>
              </w:rPr>
            </w:pPr>
            <w:r>
              <w:rPr>
                <w:rFonts w:ascii="Arial" w:cs="Arial" w:eastAsia="Arial" w:hAnsi="Arial"/>
                <w:sz w:val="14"/>
                <w:szCs w:val="14"/>
                <w:i w:val="1"/>
                <w:iCs w:val="1"/>
                <w:color w:val="auto"/>
              </w:rPr>
              <w:t>- $74</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i w:val="1"/>
                <w:iCs w:val="1"/>
                <w:color w:val="auto"/>
              </w:rPr>
              <w:t>$10</w:t>
            </w:r>
          </w:p>
        </w:tc>
        <w:tc>
          <w:tcPr>
            <w:tcW w:w="1020" w:type="dxa"/>
            <w:vAlign w:val="bottom"/>
          </w:tcPr>
          <w:p>
            <w:pPr>
              <w:ind w:left="20"/>
              <w:spacing w:after="0"/>
              <w:rPr>
                <w:sz w:val="20"/>
                <w:szCs w:val="20"/>
                <w:color w:val="auto"/>
              </w:rPr>
            </w:pPr>
            <w:r>
              <w:rPr>
                <w:rFonts w:ascii="Arial" w:cs="Arial" w:eastAsia="Arial" w:hAnsi="Arial"/>
                <w:sz w:val="14"/>
                <w:szCs w:val="14"/>
                <w:i w:val="1"/>
                <w:iCs w:val="1"/>
                <w:color w:val="auto"/>
              </w:rPr>
              <w:t>- $14</w:t>
            </w:r>
          </w:p>
        </w:tc>
        <w:tc>
          <w:tcPr>
            <w:tcW w:w="8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i w:val="1"/>
                <w:iCs w:val="1"/>
                <w:color w:val="auto"/>
              </w:rPr>
              <w:t>$2 - $4</w:t>
            </w:r>
          </w:p>
        </w:tc>
        <w:tc>
          <w:tcPr>
            <w:tcW w:w="0" w:type="dxa"/>
            <w:vAlign w:val="bottom"/>
          </w:tcPr>
          <w:p>
            <w:pPr>
              <w:spacing w:after="0"/>
              <w:rPr>
                <w:sz w:val="1"/>
                <w:szCs w:val="1"/>
                <w:color w:val="auto"/>
              </w:rPr>
            </w:pPr>
          </w:p>
        </w:tc>
      </w:tr>
      <w:tr>
        <w:trPr>
          <w:trHeight w:val="200"/>
        </w:trPr>
        <w:tc>
          <w:tcPr>
            <w:tcW w:w="5040" w:type="dxa"/>
            <w:vAlign w:val="bottom"/>
          </w:tcPr>
          <w:p>
            <w:pPr>
              <w:ind w:left="140"/>
              <w:spacing w:after="0"/>
              <w:rPr>
                <w:sz w:val="20"/>
                <w:szCs w:val="20"/>
                <w:color w:val="auto"/>
              </w:rPr>
            </w:pPr>
            <w:r>
              <w:rPr>
                <w:rFonts w:ascii="Arial" w:cs="Arial" w:eastAsia="Arial" w:hAnsi="Arial"/>
                <w:sz w:val="14"/>
                <w:szCs w:val="14"/>
                <w:color w:val="auto"/>
              </w:rPr>
              <w:t>Depreciation, Depletion and Amortization ($ millions)</w:t>
            </w:r>
          </w:p>
        </w:tc>
        <w:tc>
          <w:tcPr>
            <w:tcW w:w="1320" w:type="dxa"/>
            <w:vAlign w:val="bottom"/>
          </w:tcPr>
          <w:p>
            <w:pPr>
              <w:jc w:val="right"/>
              <w:spacing w:after="0"/>
              <w:rPr>
                <w:sz w:val="20"/>
                <w:szCs w:val="20"/>
                <w:color w:val="auto"/>
              </w:rPr>
            </w:pPr>
            <w:r>
              <w:rPr>
                <w:rFonts w:ascii="Arial" w:cs="Arial" w:eastAsia="Arial" w:hAnsi="Arial"/>
                <w:sz w:val="14"/>
                <w:szCs w:val="14"/>
                <w:color w:val="auto"/>
              </w:rPr>
              <w:t>$124</w:t>
            </w:r>
          </w:p>
        </w:tc>
        <w:tc>
          <w:tcPr>
            <w:tcW w:w="800" w:type="dxa"/>
            <w:vAlign w:val="bottom"/>
          </w:tcPr>
          <w:p>
            <w:pPr>
              <w:ind w:left="20"/>
              <w:spacing w:after="0"/>
              <w:rPr>
                <w:sz w:val="20"/>
                <w:szCs w:val="20"/>
                <w:color w:val="auto"/>
              </w:rPr>
            </w:pPr>
            <w:r>
              <w:rPr>
                <w:rFonts w:ascii="Arial" w:cs="Arial" w:eastAsia="Arial" w:hAnsi="Arial"/>
                <w:sz w:val="14"/>
                <w:szCs w:val="14"/>
                <w:color w:val="auto"/>
              </w:rPr>
              <w:t>- $128</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$113</w:t>
            </w:r>
          </w:p>
        </w:tc>
        <w:tc>
          <w:tcPr>
            <w:tcW w:w="1020" w:type="dxa"/>
            <w:vAlign w:val="bottom"/>
          </w:tcPr>
          <w:p>
            <w:pPr>
              <w:ind w:left="20"/>
              <w:spacing w:after="0"/>
              <w:rPr>
                <w:sz w:val="20"/>
                <w:szCs w:val="20"/>
                <w:color w:val="auto"/>
              </w:rPr>
            </w:pPr>
            <w:r>
              <w:rPr>
                <w:rFonts w:ascii="Arial" w:cs="Arial" w:eastAsia="Arial" w:hAnsi="Arial"/>
                <w:sz w:val="14"/>
                <w:szCs w:val="14"/>
                <w:color w:val="auto"/>
              </w:rPr>
              <w:t>- $119</w:t>
            </w:r>
          </w:p>
        </w:tc>
        <w:tc>
          <w:tcPr>
            <w:tcW w:w="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040" w:type="dxa"/>
            <w:vAlign w:val="bottom"/>
          </w:tcPr>
          <w:p>
            <w:pPr>
              <w:ind w:left="140"/>
              <w:spacing w:after="0"/>
              <w:rPr>
                <w:sz w:val="20"/>
                <w:szCs w:val="20"/>
                <w:color w:val="auto"/>
              </w:rPr>
            </w:pPr>
            <w:r>
              <w:rPr>
                <w:rFonts w:ascii="Arial" w:cs="Arial" w:eastAsia="Arial" w:hAnsi="Arial"/>
                <w:sz w:val="14"/>
                <w:szCs w:val="14"/>
                <w:color w:val="auto"/>
              </w:rPr>
              <w:t>Capital ($ millions)</w:t>
            </w:r>
          </w:p>
        </w:tc>
        <w:tc>
          <w:tcPr>
            <w:tcW w:w="1320" w:type="dxa"/>
            <w:vAlign w:val="bottom"/>
          </w:tcPr>
          <w:p>
            <w:pPr>
              <w:jc w:val="right"/>
              <w:spacing w:after="0"/>
              <w:rPr>
                <w:sz w:val="20"/>
                <w:szCs w:val="20"/>
                <w:color w:val="auto"/>
              </w:rPr>
            </w:pPr>
            <w:r>
              <w:rPr>
                <w:rFonts w:ascii="Arial" w:cs="Arial" w:eastAsia="Arial" w:hAnsi="Arial"/>
                <w:sz w:val="14"/>
                <w:szCs w:val="14"/>
                <w:color w:val="auto"/>
              </w:rPr>
              <w:t>$81</w:t>
            </w:r>
          </w:p>
        </w:tc>
        <w:tc>
          <w:tcPr>
            <w:tcW w:w="800" w:type="dxa"/>
            <w:vAlign w:val="bottom"/>
          </w:tcPr>
          <w:p>
            <w:pPr>
              <w:ind w:left="20"/>
              <w:spacing w:after="0"/>
              <w:rPr>
                <w:sz w:val="20"/>
                <w:szCs w:val="20"/>
                <w:color w:val="auto"/>
              </w:rPr>
            </w:pPr>
            <w:r>
              <w:rPr>
                <w:rFonts w:ascii="Arial" w:cs="Arial" w:eastAsia="Arial" w:hAnsi="Arial"/>
                <w:sz w:val="14"/>
                <w:szCs w:val="14"/>
                <w:color w:val="auto"/>
              </w:rPr>
              <w:t>- $92</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$71</w:t>
            </w:r>
          </w:p>
        </w:tc>
        <w:tc>
          <w:tcPr>
            <w:tcW w:w="1020" w:type="dxa"/>
            <w:vAlign w:val="bottom"/>
          </w:tcPr>
          <w:p>
            <w:pPr>
              <w:ind w:left="20"/>
              <w:spacing w:after="0"/>
              <w:rPr>
                <w:sz w:val="20"/>
                <w:szCs w:val="20"/>
                <w:color w:val="auto"/>
              </w:rPr>
            </w:pPr>
            <w:r>
              <w:rPr>
                <w:rFonts w:ascii="Arial" w:cs="Arial" w:eastAsia="Arial" w:hAnsi="Arial"/>
                <w:sz w:val="14"/>
                <w:szCs w:val="14"/>
                <w:color w:val="auto"/>
              </w:rPr>
              <w:t>- $75</w:t>
            </w:r>
          </w:p>
        </w:tc>
        <w:tc>
          <w:tcPr>
            <w:tcW w:w="8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rPr>
              <w:t>$5 - $10</w:t>
            </w:r>
          </w:p>
        </w:tc>
        <w:tc>
          <w:tcPr>
            <w:tcW w:w="0" w:type="dxa"/>
            <w:vAlign w:val="bottom"/>
          </w:tcPr>
          <w:p>
            <w:pPr>
              <w:spacing w:after="0"/>
              <w:rPr>
                <w:sz w:val="1"/>
                <w:szCs w:val="1"/>
                <w:color w:val="auto"/>
              </w:rPr>
            </w:pPr>
          </w:p>
        </w:tc>
      </w:tr>
      <w:tr>
        <w:trPr>
          <w:trHeight w:val="213"/>
        </w:trPr>
        <w:tc>
          <w:tcPr>
            <w:tcW w:w="5040" w:type="dxa"/>
            <w:vAlign w:val="bottom"/>
          </w:tcPr>
          <w:p>
            <w:pPr>
              <w:ind w:left="260"/>
              <w:spacing w:after="0"/>
              <w:rPr>
                <w:sz w:val="20"/>
                <w:szCs w:val="20"/>
                <w:color w:val="auto"/>
              </w:rPr>
            </w:pPr>
            <w:r>
              <w:rPr>
                <w:rFonts w:ascii="Arial" w:cs="Arial" w:eastAsia="Arial" w:hAnsi="Arial"/>
                <w:sz w:val="14"/>
                <w:szCs w:val="14"/>
                <w:i w:val="1"/>
                <w:iCs w:val="1"/>
                <w:color w:val="auto"/>
              </w:rPr>
              <w:t>Drilling, Completions and Workovers ($ millions)</w:t>
            </w:r>
          </w:p>
        </w:tc>
        <w:tc>
          <w:tcPr>
            <w:tcW w:w="1320" w:type="dxa"/>
            <w:vAlign w:val="bottom"/>
          </w:tcPr>
          <w:p>
            <w:pPr>
              <w:jc w:val="right"/>
              <w:spacing w:after="0"/>
              <w:rPr>
                <w:sz w:val="20"/>
                <w:szCs w:val="20"/>
                <w:color w:val="auto"/>
              </w:rPr>
            </w:pPr>
            <w:r>
              <w:rPr>
                <w:rFonts w:ascii="Arial" w:cs="Arial" w:eastAsia="Arial" w:hAnsi="Arial"/>
                <w:sz w:val="14"/>
                <w:szCs w:val="14"/>
                <w:i w:val="1"/>
                <w:iCs w:val="1"/>
                <w:color w:val="auto"/>
              </w:rPr>
              <w:t>$42</w:t>
            </w:r>
          </w:p>
        </w:tc>
        <w:tc>
          <w:tcPr>
            <w:tcW w:w="800" w:type="dxa"/>
            <w:vAlign w:val="bottom"/>
          </w:tcPr>
          <w:p>
            <w:pPr>
              <w:ind w:left="20"/>
              <w:spacing w:after="0"/>
              <w:rPr>
                <w:sz w:val="20"/>
                <w:szCs w:val="20"/>
                <w:color w:val="auto"/>
              </w:rPr>
            </w:pPr>
            <w:r>
              <w:rPr>
                <w:rFonts w:ascii="Arial" w:cs="Arial" w:eastAsia="Arial" w:hAnsi="Arial"/>
                <w:sz w:val="14"/>
                <w:szCs w:val="14"/>
                <w:i w:val="1"/>
                <w:iCs w:val="1"/>
                <w:color w:val="auto"/>
              </w:rPr>
              <w:t>- $44</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i w:val="1"/>
                <w:iCs w:val="1"/>
                <w:color w:val="auto"/>
              </w:rPr>
              <w:t>$42</w:t>
            </w:r>
          </w:p>
        </w:tc>
        <w:tc>
          <w:tcPr>
            <w:tcW w:w="1020" w:type="dxa"/>
            <w:vAlign w:val="bottom"/>
          </w:tcPr>
          <w:p>
            <w:pPr>
              <w:ind w:left="20"/>
              <w:spacing w:after="0"/>
              <w:rPr>
                <w:sz w:val="20"/>
                <w:szCs w:val="20"/>
                <w:color w:val="auto"/>
              </w:rPr>
            </w:pPr>
            <w:r>
              <w:rPr>
                <w:rFonts w:ascii="Arial" w:cs="Arial" w:eastAsia="Arial" w:hAnsi="Arial"/>
                <w:sz w:val="14"/>
                <w:szCs w:val="14"/>
                <w:i w:val="1"/>
                <w:iCs w:val="1"/>
                <w:color w:val="auto"/>
              </w:rPr>
              <w:t>- $44</w:t>
            </w:r>
          </w:p>
        </w:tc>
        <w:tc>
          <w:tcPr>
            <w:tcW w:w="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40" w:type="dxa"/>
            <w:vAlign w:val="bottom"/>
          </w:tcPr>
          <w:p>
            <w:pPr>
              <w:ind w:left="260"/>
              <w:spacing w:after="0"/>
              <w:rPr>
                <w:sz w:val="20"/>
                <w:szCs w:val="20"/>
                <w:color w:val="auto"/>
              </w:rPr>
            </w:pPr>
            <w:r>
              <w:rPr>
                <w:rFonts w:ascii="Arial" w:cs="Arial" w:eastAsia="Arial" w:hAnsi="Arial"/>
                <w:sz w:val="14"/>
                <w:szCs w:val="14"/>
                <w:i w:val="1"/>
                <w:iCs w:val="1"/>
                <w:color w:val="auto"/>
              </w:rPr>
              <w:t>Facilities ($ millions)</w:t>
            </w:r>
          </w:p>
        </w:tc>
        <w:tc>
          <w:tcPr>
            <w:tcW w:w="1320" w:type="dxa"/>
            <w:vAlign w:val="bottom"/>
          </w:tcPr>
          <w:p>
            <w:pPr>
              <w:jc w:val="right"/>
              <w:spacing w:after="0"/>
              <w:rPr>
                <w:sz w:val="20"/>
                <w:szCs w:val="20"/>
                <w:color w:val="auto"/>
              </w:rPr>
            </w:pPr>
            <w:r>
              <w:rPr>
                <w:rFonts w:ascii="Arial" w:cs="Arial" w:eastAsia="Arial" w:hAnsi="Arial"/>
                <w:sz w:val="14"/>
                <w:szCs w:val="14"/>
                <w:i w:val="1"/>
                <w:iCs w:val="1"/>
                <w:color w:val="auto"/>
              </w:rPr>
              <w:t>$29</w:t>
            </w:r>
          </w:p>
        </w:tc>
        <w:tc>
          <w:tcPr>
            <w:tcW w:w="800" w:type="dxa"/>
            <w:vAlign w:val="bottom"/>
          </w:tcPr>
          <w:p>
            <w:pPr>
              <w:ind w:left="20"/>
              <w:spacing w:after="0"/>
              <w:rPr>
                <w:sz w:val="20"/>
                <w:szCs w:val="20"/>
                <w:color w:val="auto"/>
              </w:rPr>
            </w:pPr>
            <w:r>
              <w:rPr>
                <w:rFonts w:ascii="Arial" w:cs="Arial" w:eastAsia="Arial" w:hAnsi="Arial"/>
                <w:sz w:val="14"/>
                <w:szCs w:val="14"/>
                <w:i w:val="1"/>
                <w:iCs w:val="1"/>
                <w:color w:val="auto"/>
              </w:rPr>
              <w:t>- $31</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i w:val="1"/>
                <w:iCs w:val="1"/>
                <w:color w:val="auto"/>
              </w:rPr>
              <w:t>$29</w:t>
            </w:r>
          </w:p>
        </w:tc>
        <w:tc>
          <w:tcPr>
            <w:tcW w:w="1020" w:type="dxa"/>
            <w:vAlign w:val="bottom"/>
          </w:tcPr>
          <w:p>
            <w:pPr>
              <w:ind w:left="20"/>
              <w:spacing w:after="0"/>
              <w:rPr>
                <w:sz w:val="20"/>
                <w:szCs w:val="20"/>
                <w:color w:val="auto"/>
              </w:rPr>
            </w:pPr>
            <w:r>
              <w:rPr>
                <w:rFonts w:ascii="Arial" w:cs="Arial" w:eastAsia="Arial" w:hAnsi="Arial"/>
                <w:sz w:val="14"/>
                <w:szCs w:val="14"/>
                <w:i w:val="1"/>
                <w:iCs w:val="1"/>
                <w:color w:val="auto"/>
              </w:rPr>
              <w:t>- $31</w:t>
            </w:r>
          </w:p>
        </w:tc>
        <w:tc>
          <w:tcPr>
            <w:tcW w:w="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40" w:type="dxa"/>
            <w:vAlign w:val="bottom"/>
          </w:tcPr>
          <w:p>
            <w:pPr>
              <w:ind w:left="260"/>
              <w:spacing w:after="0"/>
              <w:rPr>
                <w:sz w:val="20"/>
                <w:szCs w:val="20"/>
                <w:color w:val="auto"/>
              </w:rPr>
            </w:pPr>
            <w:r>
              <w:rPr>
                <w:rFonts w:ascii="Arial" w:cs="Arial" w:eastAsia="Arial" w:hAnsi="Arial"/>
                <w:sz w:val="14"/>
                <w:szCs w:val="14"/>
                <w:i w:val="1"/>
                <w:iCs w:val="1"/>
                <w:color w:val="auto"/>
              </w:rPr>
              <w:t>Carbon Management Business ($ millions)</w:t>
            </w:r>
          </w:p>
        </w:tc>
        <w:tc>
          <w:tcPr>
            <w:tcW w:w="2120" w:type="dxa"/>
            <w:vAlign w:val="bottom"/>
            <w:gridSpan w:val="2"/>
          </w:tcPr>
          <w:p>
            <w:pPr>
              <w:jc w:val="center"/>
              <w:ind w:left="549"/>
              <w:spacing w:after="0"/>
              <w:rPr>
                <w:sz w:val="20"/>
                <w:szCs w:val="20"/>
                <w:color w:val="auto"/>
              </w:rPr>
            </w:pPr>
            <w:r>
              <w:rPr>
                <w:rFonts w:ascii="Arial" w:cs="Arial" w:eastAsia="Arial" w:hAnsi="Arial"/>
                <w:sz w:val="14"/>
                <w:szCs w:val="14"/>
                <w:i w:val="1"/>
                <w:iCs w:val="1"/>
                <w:color w:val="auto"/>
              </w:rPr>
              <w:t>$5 - $10</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4"/>
                <w:szCs w:val="14"/>
                <w:i w:val="1"/>
                <w:iCs w:val="1"/>
                <w:color w:val="auto"/>
              </w:rPr>
              <w:t>$5 - $10</w:t>
            </w:r>
          </w:p>
        </w:tc>
        <w:tc>
          <w:tcPr>
            <w:tcW w:w="0" w:type="dxa"/>
            <w:vAlign w:val="bottom"/>
          </w:tcPr>
          <w:p>
            <w:pPr>
              <w:spacing w:after="0"/>
              <w:rPr>
                <w:sz w:val="1"/>
                <w:szCs w:val="1"/>
                <w:color w:val="auto"/>
              </w:rPr>
            </w:pPr>
          </w:p>
        </w:tc>
      </w:tr>
      <w:tr>
        <w:trPr>
          <w:trHeight w:val="213"/>
        </w:trPr>
        <w:tc>
          <w:tcPr>
            <w:tcW w:w="5040" w:type="dxa"/>
            <w:vAlign w:val="bottom"/>
          </w:tcPr>
          <w:p>
            <w:pPr>
              <w:ind w:left="260"/>
              <w:spacing w:after="0"/>
              <w:rPr>
                <w:sz w:val="20"/>
                <w:szCs w:val="20"/>
                <w:color w:val="auto"/>
              </w:rPr>
            </w:pPr>
            <w:r>
              <w:rPr>
                <w:rFonts w:ascii="Arial" w:cs="Arial" w:eastAsia="Arial" w:hAnsi="Arial"/>
                <w:sz w:val="14"/>
                <w:szCs w:val="14"/>
                <w:i w:val="1"/>
                <w:iCs w:val="1"/>
                <w:color w:val="auto"/>
              </w:rPr>
              <w:t>Corporate and Other ($ millions)</w:t>
            </w:r>
          </w:p>
        </w:tc>
        <w:tc>
          <w:tcPr>
            <w:tcW w:w="1320" w:type="dxa"/>
            <w:vAlign w:val="bottom"/>
          </w:tcPr>
          <w:p>
            <w:pPr>
              <w:jc w:val="right"/>
              <w:spacing w:after="0"/>
              <w:rPr>
                <w:sz w:val="20"/>
                <w:szCs w:val="20"/>
                <w:color w:val="auto"/>
              </w:rPr>
            </w:pPr>
            <w:r>
              <w:rPr>
                <w:rFonts w:ascii="Arial" w:cs="Arial" w:eastAsia="Arial" w:hAnsi="Arial"/>
                <w:sz w:val="14"/>
                <w:szCs w:val="14"/>
                <w:i w:val="1"/>
                <w:iCs w:val="1"/>
                <w:color w:val="auto"/>
              </w:rPr>
              <w:t>$5</w:t>
            </w:r>
          </w:p>
        </w:tc>
        <w:tc>
          <w:tcPr>
            <w:tcW w:w="800" w:type="dxa"/>
            <w:vAlign w:val="bottom"/>
          </w:tcPr>
          <w:p>
            <w:pPr>
              <w:ind w:left="20"/>
              <w:spacing w:after="0"/>
              <w:rPr>
                <w:sz w:val="20"/>
                <w:szCs w:val="20"/>
                <w:color w:val="auto"/>
              </w:rPr>
            </w:pPr>
            <w:r>
              <w:rPr>
                <w:rFonts w:ascii="Arial" w:cs="Arial" w:eastAsia="Arial" w:hAnsi="Arial"/>
                <w:sz w:val="14"/>
                <w:szCs w:val="14"/>
                <w:i w:val="1"/>
                <w:iCs w:val="1"/>
                <w:color w:val="auto"/>
              </w:rPr>
              <w:t>- $7</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040" w:type="dxa"/>
            <w:vAlign w:val="bottom"/>
          </w:tcPr>
          <w:p>
            <w:pPr>
              <w:ind w:left="140"/>
              <w:spacing w:after="0"/>
              <w:rPr>
                <w:sz w:val="20"/>
                <w:szCs w:val="20"/>
                <w:color w:val="auto"/>
              </w:rPr>
            </w:pPr>
            <w:r>
              <w:rPr>
                <w:rFonts w:ascii="Arial" w:cs="Arial" w:eastAsia="Arial" w:hAnsi="Arial"/>
                <w:sz w:val="14"/>
                <w:szCs w:val="14"/>
                <w:color w:val="auto"/>
              </w:rPr>
              <w:t>Adjusted EBITDAX ($ millions)</w:t>
            </w:r>
          </w:p>
        </w:tc>
        <w:tc>
          <w:tcPr>
            <w:tcW w:w="1320" w:type="dxa"/>
            <w:vAlign w:val="bottom"/>
          </w:tcPr>
          <w:p>
            <w:pPr>
              <w:jc w:val="right"/>
              <w:spacing w:after="0"/>
              <w:rPr>
                <w:sz w:val="20"/>
                <w:szCs w:val="20"/>
                <w:color w:val="auto"/>
              </w:rPr>
            </w:pPr>
            <w:r>
              <w:rPr>
                <w:rFonts w:ascii="Arial" w:cs="Arial" w:eastAsia="Arial" w:hAnsi="Arial"/>
                <w:sz w:val="14"/>
                <w:szCs w:val="14"/>
                <w:color w:val="auto"/>
              </w:rPr>
              <w:t>$275</w:t>
            </w:r>
          </w:p>
        </w:tc>
        <w:tc>
          <w:tcPr>
            <w:tcW w:w="800" w:type="dxa"/>
            <w:vAlign w:val="bottom"/>
          </w:tcPr>
          <w:p>
            <w:pPr>
              <w:ind w:left="20"/>
              <w:spacing w:after="0"/>
              <w:rPr>
                <w:sz w:val="20"/>
                <w:szCs w:val="20"/>
                <w:color w:val="auto"/>
              </w:rPr>
            </w:pPr>
            <w:r>
              <w:rPr>
                <w:rFonts w:ascii="Arial" w:cs="Arial" w:eastAsia="Arial" w:hAnsi="Arial"/>
                <w:sz w:val="14"/>
                <w:szCs w:val="14"/>
                <w:color w:val="auto"/>
              </w:rPr>
              <w:t>- $290</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$290</w:t>
            </w:r>
          </w:p>
        </w:tc>
        <w:tc>
          <w:tcPr>
            <w:tcW w:w="1020" w:type="dxa"/>
            <w:vAlign w:val="bottom"/>
          </w:tcPr>
          <w:p>
            <w:pPr>
              <w:ind w:left="20"/>
              <w:spacing w:after="0"/>
              <w:rPr>
                <w:sz w:val="20"/>
                <w:szCs w:val="20"/>
                <w:color w:val="auto"/>
              </w:rPr>
            </w:pPr>
            <w:r>
              <w:rPr>
                <w:rFonts w:ascii="Arial" w:cs="Arial" w:eastAsia="Arial" w:hAnsi="Arial"/>
                <w:sz w:val="14"/>
                <w:szCs w:val="14"/>
                <w:color w:val="auto"/>
              </w:rPr>
              <w:t>- $320</w:t>
            </w:r>
          </w:p>
        </w:tc>
        <w:tc>
          <w:tcPr>
            <w:tcW w:w="8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rPr>
              <w:t>($15) - ($20)</w:t>
            </w:r>
          </w:p>
        </w:tc>
        <w:tc>
          <w:tcPr>
            <w:tcW w:w="0" w:type="dxa"/>
            <w:vAlign w:val="bottom"/>
          </w:tcPr>
          <w:p>
            <w:pPr>
              <w:spacing w:after="0"/>
              <w:rPr>
                <w:sz w:val="1"/>
                <w:szCs w:val="1"/>
                <w:color w:val="auto"/>
              </w:rPr>
            </w:pPr>
          </w:p>
        </w:tc>
      </w:tr>
      <w:tr>
        <w:trPr>
          <w:trHeight w:val="475"/>
        </w:trPr>
        <w:tc>
          <w:tcPr>
            <w:tcW w:w="5040" w:type="dxa"/>
            <w:vAlign w:val="bottom"/>
          </w:tcPr>
          <w:p>
            <w:pPr>
              <w:ind w:left="140"/>
              <w:spacing w:after="0"/>
              <w:rPr>
                <w:sz w:val="20"/>
                <w:szCs w:val="20"/>
                <w:color w:val="auto"/>
              </w:rPr>
            </w:pPr>
            <w:r>
              <w:rPr>
                <w:rFonts w:ascii="Arial" w:cs="Arial" w:eastAsia="Arial" w:hAnsi="Arial"/>
                <w:sz w:val="14"/>
                <w:szCs w:val="14"/>
                <w:color w:val="auto"/>
              </w:rPr>
              <w:t xml:space="preserve">Margin from Purchased Commodities ($ millions) </w:t>
            </w:r>
            <w:r>
              <w:rPr>
                <w:rFonts w:ascii="Arial" w:cs="Arial" w:eastAsia="Arial" w:hAnsi="Arial"/>
                <w:sz w:val="18"/>
                <w:szCs w:val="18"/>
                <w:color w:val="auto"/>
                <w:vertAlign w:val="superscript"/>
              </w:rPr>
              <w:t>(1)</w:t>
            </w:r>
          </w:p>
        </w:tc>
        <w:tc>
          <w:tcPr>
            <w:tcW w:w="1320" w:type="dxa"/>
            <w:vAlign w:val="bottom"/>
          </w:tcPr>
          <w:p>
            <w:pPr>
              <w:jc w:val="right"/>
              <w:spacing w:after="0"/>
              <w:rPr>
                <w:sz w:val="20"/>
                <w:szCs w:val="20"/>
                <w:color w:val="auto"/>
              </w:rPr>
            </w:pPr>
            <w:r>
              <w:rPr>
                <w:rFonts w:ascii="Arial" w:cs="Arial" w:eastAsia="Arial" w:hAnsi="Arial"/>
                <w:sz w:val="14"/>
                <w:szCs w:val="14"/>
                <w:color w:val="auto"/>
              </w:rPr>
              <w:t>$20</w:t>
            </w:r>
          </w:p>
        </w:tc>
        <w:tc>
          <w:tcPr>
            <w:tcW w:w="800" w:type="dxa"/>
            <w:vAlign w:val="bottom"/>
          </w:tcPr>
          <w:p>
            <w:pPr>
              <w:ind w:left="20"/>
              <w:spacing w:after="0"/>
              <w:rPr>
                <w:sz w:val="20"/>
                <w:szCs w:val="20"/>
                <w:color w:val="auto"/>
              </w:rPr>
            </w:pPr>
            <w:r>
              <w:rPr>
                <w:rFonts w:ascii="Arial" w:cs="Arial" w:eastAsia="Arial" w:hAnsi="Arial"/>
                <w:sz w:val="14"/>
                <w:szCs w:val="14"/>
                <w:color w:val="auto"/>
              </w:rPr>
              <w:t>- $25</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040" w:type="dxa"/>
            <w:vAlign w:val="bottom"/>
          </w:tcPr>
          <w:p>
            <w:pPr>
              <w:ind w:left="140"/>
              <w:spacing w:after="0" w:line="200" w:lineRule="exact"/>
              <w:rPr>
                <w:sz w:val="20"/>
                <w:szCs w:val="20"/>
                <w:color w:val="auto"/>
              </w:rPr>
            </w:pPr>
            <w:r>
              <w:rPr>
                <w:rFonts w:ascii="Arial" w:cs="Arial" w:eastAsia="Arial" w:hAnsi="Arial"/>
                <w:sz w:val="14"/>
                <w:szCs w:val="14"/>
                <w:color w:val="auto"/>
              </w:rPr>
              <w:t xml:space="preserve">Electricity Margin ($ millions) </w:t>
            </w:r>
            <w:r>
              <w:rPr>
                <w:rFonts w:ascii="Arial" w:cs="Arial" w:eastAsia="Arial" w:hAnsi="Arial"/>
                <w:sz w:val="18"/>
                <w:szCs w:val="18"/>
                <w:color w:val="auto"/>
                <w:vertAlign w:val="superscript"/>
              </w:rPr>
              <w:t>(2)</w:t>
            </w:r>
          </w:p>
        </w:tc>
        <w:tc>
          <w:tcPr>
            <w:tcW w:w="1320" w:type="dxa"/>
            <w:vAlign w:val="bottom"/>
          </w:tcPr>
          <w:p>
            <w:pPr>
              <w:jc w:val="right"/>
              <w:spacing w:after="0"/>
              <w:rPr>
                <w:sz w:val="20"/>
                <w:szCs w:val="20"/>
                <w:color w:val="auto"/>
              </w:rPr>
            </w:pPr>
            <w:r>
              <w:rPr>
                <w:rFonts w:ascii="Arial" w:cs="Arial" w:eastAsia="Arial" w:hAnsi="Arial"/>
                <w:sz w:val="14"/>
                <w:szCs w:val="14"/>
                <w:color w:val="auto"/>
              </w:rPr>
              <w:t>$40</w:t>
            </w:r>
          </w:p>
        </w:tc>
        <w:tc>
          <w:tcPr>
            <w:tcW w:w="800" w:type="dxa"/>
            <w:vAlign w:val="bottom"/>
          </w:tcPr>
          <w:p>
            <w:pPr>
              <w:ind w:left="20"/>
              <w:spacing w:after="0"/>
              <w:rPr>
                <w:sz w:val="20"/>
                <w:szCs w:val="20"/>
                <w:color w:val="auto"/>
              </w:rPr>
            </w:pPr>
            <w:r>
              <w:rPr>
                <w:rFonts w:ascii="Arial" w:cs="Arial" w:eastAsia="Arial" w:hAnsi="Arial"/>
                <w:sz w:val="14"/>
                <w:szCs w:val="14"/>
                <w:color w:val="auto"/>
              </w:rPr>
              <w:t>- $45</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040" w:type="dxa"/>
            <w:vAlign w:val="bottom"/>
          </w:tcPr>
          <w:p>
            <w:pPr>
              <w:ind w:left="140"/>
              <w:spacing w:after="0" w:line="202" w:lineRule="exact"/>
              <w:rPr>
                <w:sz w:val="20"/>
                <w:szCs w:val="20"/>
                <w:color w:val="auto"/>
              </w:rPr>
            </w:pPr>
            <w:r>
              <w:rPr>
                <w:rFonts w:ascii="Arial" w:cs="Arial" w:eastAsia="Arial" w:hAnsi="Arial"/>
                <w:sz w:val="14"/>
                <w:szCs w:val="14"/>
                <w:color w:val="auto"/>
              </w:rPr>
              <w:t>Other Operating Revenue and Expenses, net ($ millions)</w:t>
            </w:r>
            <w:r>
              <w:rPr>
                <w:rFonts w:ascii="Arial" w:cs="Arial" w:eastAsia="Arial" w:hAnsi="Arial"/>
                <w:sz w:val="18"/>
                <w:szCs w:val="18"/>
                <w:color w:val="auto"/>
                <w:vertAlign w:val="superscript"/>
              </w:rPr>
              <w:t>(3)</w:t>
            </w:r>
          </w:p>
        </w:tc>
        <w:tc>
          <w:tcPr>
            <w:tcW w:w="2120" w:type="dxa"/>
            <w:vAlign w:val="bottom"/>
            <w:gridSpan w:val="2"/>
          </w:tcPr>
          <w:p>
            <w:pPr>
              <w:jc w:val="center"/>
              <w:ind w:left="549"/>
              <w:spacing w:after="0"/>
              <w:rPr>
                <w:sz w:val="20"/>
                <w:szCs w:val="20"/>
                <w:color w:val="auto"/>
              </w:rPr>
            </w:pPr>
            <w:r>
              <w:rPr>
                <w:rFonts w:ascii="Arial" w:cs="Arial" w:eastAsia="Arial" w:hAnsi="Arial"/>
                <w:sz w:val="14"/>
                <w:szCs w:val="14"/>
                <w:color w:val="auto"/>
              </w:rPr>
              <w:t>$5 - $20</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rPr>
              <w:t>$10 - $15</w:t>
            </w:r>
          </w:p>
        </w:tc>
        <w:tc>
          <w:tcPr>
            <w:tcW w:w="0" w:type="dxa"/>
            <w:vAlign w:val="bottom"/>
          </w:tcPr>
          <w:p>
            <w:pPr>
              <w:spacing w:after="0"/>
              <w:rPr>
                <w:sz w:val="1"/>
                <w:szCs w:val="1"/>
                <w:color w:val="auto"/>
              </w:rPr>
            </w:pPr>
          </w:p>
        </w:tc>
      </w:tr>
      <w:tr>
        <w:trPr>
          <w:trHeight w:val="189"/>
        </w:trPr>
        <w:tc>
          <w:tcPr>
            <w:tcW w:w="5040" w:type="dxa"/>
            <w:vAlign w:val="bottom"/>
          </w:tcPr>
          <w:p>
            <w:pPr>
              <w:ind w:left="140"/>
              <w:spacing w:after="0"/>
              <w:rPr>
                <w:sz w:val="20"/>
                <w:szCs w:val="20"/>
                <w:color w:val="auto"/>
              </w:rPr>
            </w:pPr>
            <w:r>
              <w:rPr>
                <w:rFonts w:ascii="Arial" w:cs="Arial" w:eastAsia="Arial" w:hAnsi="Arial"/>
                <w:sz w:val="14"/>
                <w:szCs w:val="14"/>
                <w:color w:val="auto"/>
              </w:rPr>
              <w:t>Transportation Costs ($ millions)</w:t>
            </w:r>
          </w:p>
        </w:tc>
        <w:tc>
          <w:tcPr>
            <w:tcW w:w="1320" w:type="dxa"/>
            <w:vAlign w:val="bottom"/>
          </w:tcPr>
          <w:p>
            <w:pPr>
              <w:jc w:val="right"/>
              <w:spacing w:after="0"/>
              <w:rPr>
                <w:sz w:val="20"/>
                <w:szCs w:val="20"/>
                <w:color w:val="auto"/>
              </w:rPr>
            </w:pPr>
            <w:r>
              <w:rPr>
                <w:rFonts w:ascii="Arial" w:cs="Arial" w:eastAsia="Arial" w:hAnsi="Arial"/>
                <w:sz w:val="14"/>
                <w:szCs w:val="14"/>
                <w:color w:val="auto"/>
              </w:rPr>
              <w:t>$22</w:t>
            </w:r>
          </w:p>
        </w:tc>
        <w:tc>
          <w:tcPr>
            <w:tcW w:w="800" w:type="dxa"/>
            <w:vAlign w:val="bottom"/>
          </w:tcPr>
          <w:p>
            <w:pPr>
              <w:ind w:left="20"/>
              <w:spacing w:after="0"/>
              <w:rPr>
                <w:sz w:val="20"/>
                <w:szCs w:val="20"/>
                <w:color w:val="auto"/>
              </w:rPr>
            </w:pPr>
            <w:r>
              <w:rPr>
                <w:rFonts w:ascii="Arial" w:cs="Arial" w:eastAsia="Arial" w:hAnsi="Arial"/>
                <w:sz w:val="14"/>
                <w:szCs w:val="14"/>
                <w:color w:val="auto"/>
              </w:rPr>
              <w:t>- $26</w:t>
            </w:r>
          </w:p>
        </w:tc>
        <w:tc>
          <w:tcPr>
            <w:tcW w:w="100" w:type="dxa"/>
            <w:vAlign w:val="bottom"/>
          </w:tcPr>
          <w:p>
            <w:pPr>
              <w:spacing w:after="0"/>
              <w:rPr>
                <w:sz w:val="16"/>
                <w:szCs w:val="16"/>
                <w:color w:val="auto"/>
              </w:rPr>
            </w:pPr>
          </w:p>
        </w:tc>
        <w:tc>
          <w:tcPr>
            <w:tcW w:w="1940" w:type="dxa"/>
            <w:vAlign w:val="bottom"/>
            <w:gridSpan w:val="2"/>
          </w:tcPr>
          <w:p>
            <w:pPr>
              <w:jc w:val="right"/>
              <w:ind w:right="629"/>
              <w:spacing w:after="0"/>
              <w:rPr>
                <w:sz w:val="20"/>
                <w:szCs w:val="20"/>
                <w:color w:val="auto"/>
              </w:rPr>
            </w:pPr>
            <w:r>
              <w:rPr>
                <w:rFonts w:ascii="Arial" w:cs="Arial" w:eastAsia="Arial" w:hAnsi="Arial"/>
                <w:sz w:val="14"/>
                <w:szCs w:val="14"/>
                <w:color w:val="auto"/>
              </w:rPr>
              <w:t>$6 - $10</w:t>
            </w:r>
          </w:p>
        </w:tc>
        <w:tc>
          <w:tcPr>
            <w:tcW w:w="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040" w:type="dxa"/>
            <w:vAlign w:val="bottom"/>
          </w:tcPr>
          <w:p>
            <w:pPr>
              <w:ind w:left="140"/>
              <w:spacing w:after="0"/>
              <w:rPr>
                <w:sz w:val="20"/>
                <w:szCs w:val="20"/>
                <w:color w:val="auto"/>
              </w:rPr>
            </w:pPr>
            <w:r>
              <w:rPr>
                <w:rFonts w:ascii="Arial" w:cs="Arial" w:eastAsia="Arial" w:hAnsi="Arial"/>
                <w:sz w:val="14"/>
                <w:szCs w:val="14"/>
                <w:color w:val="auto"/>
              </w:rPr>
              <w:t>Taxes Other Than on Income ($ millions)</w:t>
            </w:r>
          </w:p>
        </w:tc>
        <w:tc>
          <w:tcPr>
            <w:tcW w:w="1320" w:type="dxa"/>
            <w:vAlign w:val="bottom"/>
          </w:tcPr>
          <w:p>
            <w:pPr>
              <w:jc w:val="right"/>
              <w:spacing w:after="0"/>
              <w:rPr>
                <w:sz w:val="20"/>
                <w:szCs w:val="20"/>
                <w:color w:val="auto"/>
              </w:rPr>
            </w:pPr>
            <w:r>
              <w:rPr>
                <w:rFonts w:ascii="Arial" w:cs="Arial" w:eastAsia="Arial" w:hAnsi="Arial"/>
                <w:sz w:val="14"/>
                <w:szCs w:val="14"/>
                <w:color w:val="auto"/>
              </w:rPr>
              <w:t>$60</w:t>
            </w:r>
          </w:p>
        </w:tc>
        <w:tc>
          <w:tcPr>
            <w:tcW w:w="800" w:type="dxa"/>
            <w:vAlign w:val="bottom"/>
          </w:tcPr>
          <w:p>
            <w:pPr>
              <w:ind w:left="20"/>
              <w:spacing w:after="0"/>
              <w:rPr>
                <w:sz w:val="20"/>
                <w:szCs w:val="20"/>
                <w:color w:val="auto"/>
              </w:rPr>
            </w:pPr>
            <w:r>
              <w:rPr>
                <w:rFonts w:ascii="Arial" w:cs="Arial" w:eastAsia="Arial" w:hAnsi="Arial"/>
                <w:sz w:val="14"/>
                <w:szCs w:val="14"/>
                <w:color w:val="auto"/>
              </w:rPr>
              <w:t>- $65</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$50</w:t>
            </w:r>
          </w:p>
        </w:tc>
        <w:tc>
          <w:tcPr>
            <w:tcW w:w="1020" w:type="dxa"/>
            <w:vAlign w:val="bottom"/>
          </w:tcPr>
          <w:p>
            <w:pPr>
              <w:ind w:left="20"/>
              <w:spacing w:after="0"/>
              <w:rPr>
                <w:sz w:val="20"/>
                <w:szCs w:val="20"/>
                <w:color w:val="auto"/>
              </w:rPr>
            </w:pPr>
            <w:r>
              <w:rPr>
                <w:rFonts w:ascii="Arial" w:cs="Arial" w:eastAsia="Arial" w:hAnsi="Arial"/>
                <w:sz w:val="14"/>
                <w:szCs w:val="14"/>
                <w:color w:val="auto"/>
              </w:rPr>
              <w:t>- $55</w:t>
            </w:r>
          </w:p>
        </w:tc>
        <w:tc>
          <w:tcPr>
            <w:tcW w:w="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040" w:type="dxa"/>
            <w:vAlign w:val="bottom"/>
          </w:tcPr>
          <w:p>
            <w:pPr>
              <w:ind w:left="140"/>
              <w:spacing w:after="0"/>
              <w:rPr>
                <w:sz w:val="20"/>
                <w:szCs w:val="20"/>
                <w:color w:val="auto"/>
              </w:rPr>
            </w:pPr>
            <w:r>
              <w:rPr>
                <w:rFonts w:ascii="Arial" w:cs="Arial" w:eastAsia="Arial" w:hAnsi="Arial"/>
                <w:sz w:val="14"/>
                <w:szCs w:val="14"/>
                <w:color w:val="auto"/>
              </w:rPr>
              <w:t>Interest and Debt Expense ($ millions)</w:t>
            </w:r>
          </w:p>
        </w:tc>
        <w:tc>
          <w:tcPr>
            <w:tcW w:w="1320" w:type="dxa"/>
            <w:vAlign w:val="bottom"/>
          </w:tcPr>
          <w:p>
            <w:pPr>
              <w:jc w:val="right"/>
              <w:spacing w:after="0"/>
              <w:rPr>
                <w:sz w:val="20"/>
                <w:szCs w:val="20"/>
                <w:color w:val="auto"/>
              </w:rPr>
            </w:pPr>
            <w:r>
              <w:rPr>
                <w:rFonts w:ascii="Arial" w:cs="Arial" w:eastAsia="Arial" w:hAnsi="Arial"/>
                <w:sz w:val="14"/>
                <w:szCs w:val="14"/>
                <w:color w:val="auto"/>
              </w:rPr>
              <w:t>$26</w:t>
            </w:r>
          </w:p>
        </w:tc>
        <w:tc>
          <w:tcPr>
            <w:tcW w:w="800" w:type="dxa"/>
            <w:vAlign w:val="bottom"/>
          </w:tcPr>
          <w:p>
            <w:pPr>
              <w:ind w:left="20"/>
              <w:spacing w:after="0"/>
              <w:rPr>
                <w:sz w:val="20"/>
                <w:szCs w:val="20"/>
                <w:color w:val="auto"/>
              </w:rPr>
            </w:pPr>
            <w:r>
              <w:rPr>
                <w:rFonts w:ascii="Arial" w:cs="Arial" w:eastAsia="Arial" w:hAnsi="Arial"/>
                <w:sz w:val="14"/>
                <w:szCs w:val="14"/>
                <w:color w:val="auto"/>
              </w:rPr>
              <w:t>- $30</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5040" w:type="dxa"/>
            <w:vAlign w:val="bottom"/>
          </w:tcPr>
          <w:p>
            <w:pPr>
              <w:ind w:left="140"/>
              <w:spacing w:after="0"/>
              <w:rPr>
                <w:sz w:val="20"/>
                <w:szCs w:val="20"/>
                <w:color w:val="auto"/>
              </w:rPr>
            </w:pPr>
            <w:r>
              <w:rPr>
                <w:rFonts w:ascii="Arial" w:cs="Arial" w:eastAsia="Arial" w:hAnsi="Arial"/>
                <w:sz w:val="14"/>
                <w:szCs w:val="14"/>
                <w:color w:val="auto"/>
              </w:rPr>
              <w:t>Other Assumptions:</w:t>
            </w:r>
          </w:p>
        </w:tc>
        <w:tc>
          <w:tcPr>
            <w:tcW w:w="1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040" w:type="dxa"/>
            <w:vAlign w:val="bottom"/>
          </w:tcPr>
          <w:p>
            <w:pPr>
              <w:ind w:left="260"/>
              <w:spacing w:after="0"/>
              <w:rPr>
                <w:sz w:val="20"/>
                <w:szCs w:val="20"/>
                <w:color w:val="auto"/>
              </w:rPr>
            </w:pPr>
            <w:r>
              <w:rPr>
                <w:rFonts w:ascii="Arial" w:cs="Arial" w:eastAsia="Arial" w:hAnsi="Arial"/>
                <w:sz w:val="14"/>
                <w:szCs w:val="14"/>
                <w:color w:val="auto"/>
              </w:rPr>
              <w:t>Brent ($/Bbl)</w:t>
            </w:r>
          </w:p>
        </w:tc>
        <w:tc>
          <w:tcPr>
            <w:tcW w:w="2120" w:type="dxa"/>
            <w:vAlign w:val="bottom"/>
            <w:gridSpan w:val="2"/>
          </w:tcPr>
          <w:p>
            <w:pPr>
              <w:jc w:val="center"/>
              <w:ind w:left="549"/>
              <w:spacing w:after="0"/>
              <w:rPr>
                <w:sz w:val="20"/>
                <w:szCs w:val="20"/>
                <w:color w:val="auto"/>
              </w:rPr>
            </w:pPr>
            <w:r>
              <w:rPr>
                <w:rFonts w:ascii="Arial" w:cs="Arial" w:eastAsia="Arial" w:hAnsi="Arial"/>
                <w:sz w:val="14"/>
                <w:szCs w:val="14"/>
                <w:color w:val="auto"/>
                <w:w w:val="97"/>
              </w:rPr>
              <w:t>$63.00</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040" w:type="dxa"/>
            <w:vAlign w:val="bottom"/>
          </w:tcPr>
          <w:p>
            <w:pPr>
              <w:ind w:left="260"/>
              <w:spacing w:after="0"/>
              <w:rPr>
                <w:sz w:val="20"/>
                <w:szCs w:val="20"/>
                <w:color w:val="auto"/>
              </w:rPr>
            </w:pPr>
            <w:r>
              <w:rPr>
                <w:rFonts w:ascii="Arial" w:cs="Arial" w:eastAsia="Arial" w:hAnsi="Arial"/>
                <w:sz w:val="14"/>
                <w:szCs w:val="14"/>
                <w:color w:val="auto"/>
              </w:rPr>
              <w:t>NYMEX ($/Mcf)</w:t>
            </w:r>
          </w:p>
        </w:tc>
        <w:tc>
          <w:tcPr>
            <w:tcW w:w="2120" w:type="dxa"/>
            <w:vAlign w:val="bottom"/>
            <w:gridSpan w:val="2"/>
          </w:tcPr>
          <w:p>
            <w:pPr>
              <w:jc w:val="center"/>
              <w:ind w:left="549"/>
              <w:spacing w:after="0"/>
              <w:rPr>
                <w:sz w:val="20"/>
                <w:szCs w:val="20"/>
                <w:color w:val="auto"/>
              </w:rPr>
            </w:pPr>
            <w:r>
              <w:rPr>
                <w:rFonts w:ascii="Arial" w:cs="Arial" w:eastAsia="Arial" w:hAnsi="Arial"/>
                <w:sz w:val="14"/>
                <w:szCs w:val="14"/>
                <w:color w:val="auto"/>
                <w:w w:val="96"/>
              </w:rPr>
              <w:t>$4.11</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040" w:type="dxa"/>
            <w:vAlign w:val="bottom"/>
          </w:tcPr>
          <w:p>
            <w:pPr>
              <w:ind w:left="260"/>
              <w:spacing w:after="0"/>
              <w:rPr>
                <w:sz w:val="20"/>
                <w:szCs w:val="20"/>
                <w:color w:val="auto"/>
              </w:rPr>
            </w:pPr>
            <w:r>
              <w:rPr>
                <w:rFonts w:ascii="Arial" w:cs="Arial" w:eastAsia="Arial" w:hAnsi="Arial"/>
                <w:sz w:val="14"/>
                <w:szCs w:val="14"/>
                <w:color w:val="auto"/>
              </w:rPr>
              <w:t>Oil - % of Brent:</w:t>
            </w:r>
          </w:p>
        </w:tc>
        <w:tc>
          <w:tcPr>
            <w:tcW w:w="2220" w:type="dxa"/>
            <w:vAlign w:val="bottom"/>
            <w:gridSpan w:val="3"/>
          </w:tcPr>
          <w:p>
            <w:pPr>
              <w:jc w:val="center"/>
              <w:ind w:left="449"/>
              <w:spacing w:after="0"/>
              <w:rPr>
                <w:sz w:val="20"/>
                <w:szCs w:val="20"/>
                <w:color w:val="auto"/>
              </w:rPr>
            </w:pPr>
            <w:r>
              <w:rPr>
                <w:rFonts w:ascii="Arial" w:cs="Arial" w:eastAsia="Arial" w:hAnsi="Arial"/>
                <w:sz w:val="14"/>
                <w:szCs w:val="14"/>
                <w:color w:val="auto"/>
              </w:rPr>
              <w:t>96% to 100%</w:t>
            </w: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040" w:type="dxa"/>
            <w:vAlign w:val="bottom"/>
          </w:tcPr>
          <w:p>
            <w:pPr>
              <w:ind w:left="260"/>
              <w:spacing w:after="0"/>
              <w:rPr>
                <w:sz w:val="20"/>
                <w:szCs w:val="20"/>
                <w:color w:val="auto"/>
              </w:rPr>
            </w:pPr>
            <w:r>
              <w:rPr>
                <w:rFonts w:ascii="Arial" w:cs="Arial" w:eastAsia="Arial" w:hAnsi="Arial"/>
                <w:sz w:val="14"/>
                <w:szCs w:val="14"/>
                <w:color w:val="auto"/>
              </w:rPr>
              <w:t>NGL - % of Brent:</w:t>
            </w:r>
          </w:p>
        </w:tc>
        <w:tc>
          <w:tcPr>
            <w:tcW w:w="2220" w:type="dxa"/>
            <w:vAlign w:val="bottom"/>
            <w:gridSpan w:val="3"/>
          </w:tcPr>
          <w:p>
            <w:pPr>
              <w:jc w:val="center"/>
              <w:ind w:left="449"/>
              <w:spacing w:after="0"/>
              <w:rPr>
                <w:sz w:val="20"/>
                <w:szCs w:val="20"/>
                <w:color w:val="auto"/>
              </w:rPr>
            </w:pPr>
            <w:r>
              <w:rPr>
                <w:rFonts w:ascii="Arial" w:cs="Arial" w:eastAsia="Arial" w:hAnsi="Arial"/>
                <w:sz w:val="14"/>
                <w:szCs w:val="14"/>
                <w:color w:val="auto"/>
              </w:rPr>
              <w:t>55% to 60%</w:t>
            </w: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040" w:type="dxa"/>
            <w:vAlign w:val="bottom"/>
          </w:tcPr>
          <w:p>
            <w:pPr>
              <w:ind w:left="260"/>
              <w:spacing w:after="0"/>
              <w:rPr>
                <w:sz w:val="20"/>
                <w:szCs w:val="20"/>
                <w:color w:val="auto"/>
              </w:rPr>
            </w:pPr>
            <w:r>
              <w:rPr>
                <w:rFonts w:ascii="Arial" w:cs="Arial" w:eastAsia="Arial" w:hAnsi="Arial"/>
                <w:sz w:val="14"/>
                <w:szCs w:val="14"/>
                <w:color w:val="auto"/>
              </w:rPr>
              <w:t>Natural Gas - % of NYMEX:</w:t>
            </w:r>
          </w:p>
        </w:tc>
        <w:tc>
          <w:tcPr>
            <w:tcW w:w="2220" w:type="dxa"/>
            <w:vAlign w:val="bottom"/>
            <w:gridSpan w:val="3"/>
          </w:tcPr>
          <w:p>
            <w:pPr>
              <w:jc w:val="center"/>
              <w:ind w:left="449"/>
              <w:spacing w:after="0"/>
              <w:rPr>
                <w:sz w:val="20"/>
                <w:szCs w:val="20"/>
                <w:color w:val="auto"/>
              </w:rPr>
            </w:pPr>
            <w:r>
              <w:rPr>
                <w:rFonts w:ascii="Arial" w:cs="Arial" w:eastAsia="Arial" w:hAnsi="Arial"/>
                <w:sz w:val="14"/>
                <w:szCs w:val="14"/>
                <w:color w:val="auto"/>
              </w:rPr>
              <w:t>50% to 60%</w:t>
            </w: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5040" w:type="dxa"/>
            <w:vAlign w:val="bottom"/>
          </w:tcPr>
          <w:p>
            <w:pPr>
              <w:ind w:left="260"/>
              <w:spacing w:after="0"/>
              <w:rPr>
                <w:sz w:val="20"/>
                <w:szCs w:val="20"/>
                <w:color w:val="auto"/>
              </w:rPr>
            </w:pPr>
            <w:r>
              <w:rPr>
                <w:rFonts w:ascii="Arial" w:cs="Arial" w:eastAsia="Arial" w:hAnsi="Arial"/>
                <w:sz w:val="14"/>
                <w:szCs w:val="14"/>
                <w:color w:val="auto"/>
              </w:rPr>
              <w:t>Deferred Income Taxes</w:t>
            </w:r>
          </w:p>
        </w:tc>
        <w:tc>
          <w:tcPr>
            <w:tcW w:w="1320" w:type="dxa"/>
            <w:vAlign w:val="bottom"/>
          </w:tcPr>
          <w:p>
            <w:pPr>
              <w:jc w:val="right"/>
              <w:spacing w:after="0"/>
              <w:rPr>
                <w:sz w:val="20"/>
                <w:szCs w:val="20"/>
                <w:color w:val="auto"/>
              </w:rPr>
            </w:pPr>
            <w:r>
              <w:rPr>
                <w:rFonts w:ascii="Arial" w:cs="Arial" w:eastAsia="Arial" w:hAnsi="Arial"/>
                <w:sz w:val="14"/>
                <w:szCs w:val="14"/>
                <w:color w:val="auto"/>
              </w:rPr>
              <w:t>(68%)</w:t>
            </w:r>
          </w:p>
        </w:tc>
        <w:tc>
          <w:tcPr>
            <w:tcW w:w="800" w:type="dxa"/>
            <w:vAlign w:val="bottom"/>
          </w:tcPr>
          <w:p>
            <w:pPr>
              <w:ind w:left="20"/>
              <w:spacing w:after="0"/>
              <w:rPr>
                <w:sz w:val="20"/>
                <w:szCs w:val="20"/>
                <w:color w:val="auto"/>
              </w:rPr>
            </w:pPr>
            <w:r>
              <w:rPr>
                <w:rFonts w:ascii="Arial" w:cs="Arial" w:eastAsia="Arial" w:hAnsi="Arial"/>
                <w:sz w:val="14"/>
                <w:szCs w:val="14"/>
                <w:color w:val="auto"/>
              </w:rPr>
              <w:t>- (72%)</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5040" w:type="dxa"/>
            <w:vAlign w:val="bottom"/>
          </w:tcPr>
          <w:p>
            <w:pPr>
              <w:ind w:left="260"/>
              <w:spacing w:after="0"/>
              <w:rPr>
                <w:sz w:val="20"/>
                <w:szCs w:val="20"/>
                <w:color w:val="auto"/>
              </w:rPr>
            </w:pPr>
            <w:r>
              <w:rPr>
                <w:rFonts w:ascii="Arial" w:cs="Arial" w:eastAsia="Arial" w:hAnsi="Arial"/>
                <w:sz w:val="14"/>
                <w:szCs w:val="14"/>
                <w:color w:val="auto"/>
              </w:rPr>
              <w:t>Effective Tax Rate</w:t>
            </w:r>
          </w:p>
        </w:tc>
        <w:tc>
          <w:tcPr>
            <w:tcW w:w="2120" w:type="dxa"/>
            <w:vAlign w:val="bottom"/>
            <w:gridSpan w:val="2"/>
          </w:tcPr>
          <w:p>
            <w:pPr>
              <w:jc w:val="center"/>
              <w:ind w:left="549"/>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240"/>
          </w:cols>
          <w:pgMar w:left="320" w:top="1290"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4"/>
        </w:trPr>
        <w:tc>
          <w:tcPr>
            <w:tcW w:w="502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CRC GUIDANCE</w:t>
            </w:r>
          </w:p>
        </w:tc>
        <w:tc>
          <w:tcPr>
            <w:tcW w:w="2320" w:type="dxa"/>
            <w:vAlign w:val="bottom"/>
            <w:tcBorders>
              <w:top w:val="single" w:sz="8" w:color="auto"/>
            </w:tcBorders>
            <w:gridSpan w:val="3"/>
          </w:tcPr>
          <w:p>
            <w:pPr>
              <w:jc w:val="center"/>
              <w:ind w:left="389"/>
              <w:spacing w:after="0"/>
              <w:rPr>
                <w:sz w:val="20"/>
                <w:szCs w:val="20"/>
                <w:color w:val="auto"/>
              </w:rPr>
            </w:pPr>
            <w:r>
              <w:rPr>
                <w:rFonts w:ascii="Arial" w:cs="Arial" w:eastAsia="Arial" w:hAnsi="Arial"/>
                <w:sz w:val="14"/>
                <w:szCs w:val="14"/>
                <w:b w:val="1"/>
                <w:bCs w:val="1"/>
                <w:color w:val="auto"/>
              </w:rPr>
              <w:t>Consolidated</w:t>
            </w:r>
          </w:p>
        </w:tc>
        <w:tc>
          <w:tcPr>
            <w:tcW w:w="192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Oil and Natural Gas</w:t>
            </w:r>
          </w:p>
        </w:tc>
        <w:tc>
          <w:tcPr>
            <w:tcW w:w="1980" w:type="dxa"/>
            <w:vAlign w:val="bottom"/>
            <w:tcBorders>
              <w:top w:val="single" w:sz="8" w:color="auto"/>
            </w:tcBorders>
          </w:tcPr>
          <w:p>
            <w:pPr>
              <w:ind w:left="300"/>
              <w:spacing w:after="0"/>
              <w:rPr>
                <w:sz w:val="20"/>
                <w:szCs w:val="20"/>
                <w:color w:val="auto"/>
              </w:rPr>
            </w:pPr>
            <w:r>
              <w:rPr>
                <w:rFonts w:ascii="Arial" w:cs="Arial" w:eastAsia="Arial" w:hAnsi="Arial"/>
                <w:sz w:val="14"/>
                <w:szCs w:val="14"/>
                <w:b w:val="1"/>
                <w:bCs w:val="1"/>
                <w:color w:val="auto"/>
              </w:rPr>
              <w:t>Carbon Management</w:t>
            </w:r>
          </w:p>
        </w:tc>
        <w:tc>
          <w:tcPr>
            <w:tcW w:w="0" w:type="dxa"/>
            <w:vAlign w:val="bottom"/>
          </w:tcPr>
          <w:p>
            <w:pPr>
              <w:spacing w:after="0"/>
              <w:rPr>
                <w:sz w:val="1"/>
                <w:szCs w:val="1"/>
                <w:color w:val="auto"/>
              </w:rPr>
            </w:pPr>
          </w:p>
        </w:tc>
      </w:tr>
      <w:tr>
        <w:trPr>
          <w:trHeight w:val="183"/>
        </w:trPr>
        <w:tc>
          <w:tcPr>
            <w:tcW w:w="5020" w:type="dxa"/>
            <w:vAlign w:val="bottom"/>
            <w:vMerge w:val="continue"/>
          </w:tcPr>
          <w:p>
            <w:pPr>
              <w:spacing w:after="0"/>
              <w:rPr>
                <w:sz w:val="15"/>
                <w:szCs w:val="15"/>
                <w:color w:val="auto"/>
              </w:rPr>
            </w:pPr>
          </w:p>
        </w:tc>
        <w:tc>
          <w:tcPr>
            <w:tcW w:w="2320" w:type="dxa"/>
            <w:vAlign w:val="bottom"/>
            <w:gridSpan w:val="3"/>
          </w:tcPr>
          <w:p>
            <w:pPr>
              <w:jc w:val="center"/>
              <w:ind w:left="409"/>
              <w:spacing w:after="0"/>
              <w:rPr>
                <w:sz w:val="20"/>
                <w:szCs w:val="20"/>
                <w:color w:val="auto"/>
              </w:rPr>
            </w:pPr>
            <w:r>
              <w:rPr>
                <w:rFonts w:ascii="Arial" w:cs="Arial" w:eastAsia="Arial" w:hAnsi="Arial"/>
                <w:sz w:val="14"/>
                <w:szCs w:val="14"/>
                <w:b w:val="1"/>
                <w:bCs w:val="1"/>
                <w:color w:val="auto"/>
                <w:w w:val="98"/>
              </w:rPr>
              <w:t>2025E</w:t>
            </w:r>
          </w:p>
        </w:tc>
        <w:tc>
          <w:tcPr>
            <w:tcW w:w="1920" w:type="dxa"/>
            <w:vAlign w:val="bottom"/>
            <w:gridSpan w:val="2"/>
          </w:tcPr>
          <w:p>
            <w:pPr>
              <w:ind w:left="800"/>
              <w:spacing w:after="0"/>
              <w:rPr>
                <w:sz w:val="20"/>
                <w:szCs w:val="20"/>
                <w:color w:val="auto"/>
              </w:rPr>
            </w:pPr>
            <w:r>
              <w:rPr>
                <w:rFonts w:ascii="Arial" w:cs="Arial" w:eastAsia="Arial" w:hAnsi="Arial"/>
                <w:sz w:val="14"/>
                <w:szCs w:val="14"/>
                <w:b w:val="1"/>
                <w:bCs w:val="1"/>
                <w:color w:val="auto"/>
              </w:rPr>
              <w:t>2025E</w:t>
            </w: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rPr>
              <w:t>2025E</w:t>
            </w:r>
          </w:p>
        </w:tc>
        <w:tc>
          <w:tcPr>
            <w:tcW w:w="0" w:type="dxa"/>
            <w:vAlign w:val="bottom"/>
          </w:tcPr>
          <w:p>
            <w:pPr>
              <w:spacing w:after="0"/>
              <w:rPr>
                <w:sz w:val="1"/>
                <w:szCs w:val="1"/>
                <w:color w:val="auto"/>
              </w:rPr>
            </w:pPr>
          </w:p>
        </w:tc>
      </w:tr>
      <w:tr>
        <w:trPr>
          <w:trHeight w:val="186"/>
        </w:trPr>
        <w:tc>
          <w:tcPr>
            <w:tcW w:w="502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rPr>
              <w:t>Net Production (MBoe/d)</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132</w:t>
            </w:r>
          </w:p>
        </w:tc>
        <w:tc>
          <w:tcPr>
            <w:tcW w:w="7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- 138</w:t>
            </w:r>
          </w:p>
        </w:tc>
        <w:tc>
          <w:tcPr>
            <w:tcW w:w="18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9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020" w:type="dxa"/>
            <w:vAlign w:val="bottom"/>
          </w:tcPr>
          <w:p>
            <w:pPr>
              <w:ind w:left="140"/>
              <w:spacing w:after="0"/>
              <w:rPr>
                <w:sz w:val="20"/>
                <w:szCs w:val="20"/>
                <w:color w:val="auto"/>
              </w:rPr>
            </w:pPr>
            <w:r>
              <w:rPr>
                <w:rFonts w:ascii="Arial" w:cs="Arial" w:eastAsia="Arial" w:hAnsi="Arial"/>
                <w:sz w:val="14"/>
                <w:szCs w:val="14"/>
                <w:color w:val="auto"/>
              </w:rPr>
              <w:t>Net Oil Production (%)</w:t>
            </w:r>
          </w:p>
        </w:tc>
        <w:tc>
          <w:tcPr>
            <w:tcW w:w="2140" w:type="dxa"/>
            <w:vAlign w:val="bottom"/>
            <w:gridSpan w:val="2"/>
          </w:tcPr>
          <w:p>
            <w:pPr>
              <w:jc w:val="center"/>
              <w:ind w:left="589"/>
              <w:spacing w:after="0"/>
              <w:rPr>
                <w:sz w:val="20"/>
                <w:szCs w:val="20"/>
                <w:color w:val="auto"/>
              </w:rPr>
            </w:pPr>
            <w:r>
              <w:rPr>
                <w:rFonts w:ascii="Arial" w:cs="Arial" w:eastAsia="Arial" w:hAnsi="Arial"/>
                <w:sz w:val="14"/>
                <w:szCs w:val="14"/>
                <w:color w:val="auto"/>
                <w:w w:val="99"/>
              </w:rPr>
              <w:t>~79%</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020" w:type="dxa"/>
            <w:vAlign w:val="bottom"/>
          </w:tcPr>
          <w:p>
            <w:pPr>
              <w:ind w:left="140"/>
              <w:spacing w:after="0"/>
              <w:rPr>
                <w:sz w:val="20"/>
                <w:szCs w:val="20"/>
                <w:color w:val="auto"/>
              </w:rPr>
            </w:pPr>
            <w:r>
              <w:rPr>
                <w:rFonts w:ascii="Arial" w:cs="Arial" w:eastAsia="Arial" w:hAnsi="Arial"/>
                <w:sz w:val="14"/>
                <w:szCs w:val="14"/>
                <w:color w:val="auto"/>
              </w:rPr>
              <w:t>Operating Costs ($ millions)</w:t>
            </w:r>
          </w:p>
        </w:tc>
        <w:tc>
          <w:tcPr>
            <w:tcW w:w="1360" w:type="dxa"/>
            <w:vAlign w:val="bottom"/>
          </w:tcPr>
          <w:p>
            <w:pPr>
              <w:jc w:val="right"/>
              <w:spacing w:after="0"/>
              <w:rPr>
                <w:sz w:val="20"/>
                <w:szCs w:val="20"/>
                <w:color w:val="auto"/>
              </w:rPr>
            </w:pPr>
            <w:r>
              <w:rPr>
                <w:rFonts w:ascii="Arial" w:cs="Arial" w:eastAsia="Arial" w:hAnsi="Arial"/>
                <w:sz w:val="14"/>
                <w:szCs w:val="14"/>
                <w:color w:val="auto"/>
              </w:rPr>
              <w:t>$1,230</w:t>
            </w:r>
          </w:p>
        </w:tc>
        <w:tc>
          <w:tcPr>
            <w:tcW w:w="780" w:type="dxa"/>
            <w:vAlign w:val="bottom"/>
          </w:tcPr>
          <w:p>
            <w:pPr>
              <w:ind w:left="20"/>
              <w:spacing w:after="0"/>
              <w:rPr>
                <w:sz w:val="20"/>
                <w:szCs w:val="20"/>
                <w:color w:val="auto"/>
              </w:rPr>
            </w:pPr>
            <w:r>
              <w:rPr>
                <w:rFonts w:ascii="Arial" w:cs="Arial" w:eastAsia="Arial" w:hAnsi="Arial"/>
                <w:sz w:val="14"/>
                <w:szCs w:val="14"/>
                <w:color w:val="auto"/>
              </w:rPr>
              <w:t>- $1,300</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$1,230</w:t>
            </w:r>
          </w:p>
        </w:tc>
        <w:tc>
          <w:tcPr>
            <w:tcW w:w="980" w:type="dxa"/>
            <w:vAlign w:val="bottom"/>
          </w:tcPr>
          <w:p>
            <w:pPr>
              <w:ind w:left="20"/>
              <w:spacing w:after="0"/>
              <w:rPr>
                <w:sz w:val="20"/>
                <w:szCs w:val="20"/>
                <w:color w:val="auto"/>
              </w:rPr>
            </w:pPr>
            <w:r>
              <w:rPr>
                <w:rFonts w:ascii="Arial" w:cs="Arial" w:eastAsia="Arial" w:hAnsi="Arial"/>
                <w:sz w:val="14"/>
                <w:szCs w:val="14"/>
                <w:color w:val="auto"/>
              </w:rPr>
              <w:t>- $1,300</w:t>
            </w: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020" w:type="dxa"/>
            <w:vAlign w:val="bottom"/>
          </w:tcPr>
          <w:p>
            <w:pPr>
              <w:ind w:left="260"/>
              <w:spacing w:after="0"/>
              <w:rPr>
                <w:sz w:val="20"/>
                <w:szCs w:val="20"/>
                <w:color w:val="auto"/>
              </w:rPr>
            </w:pPr>
            <w:r>
              <w:rPr>
                <w:rFonts w:ascii="Arial" w:cs="Arial" w:eastAsia="Arial" w:hAnsi="Arial"/>
                <w:sz w:val="14"/>
                <w:szCs w:val="14"/>
                <w:i w:val="1"/>
                <w:iCs w:val="1"/>
                <w:color w:val="auto"/>
              </w:rPr>
              <w:t>Non-Energy Operating and Gas Processing Costs ($ millions)</w:t>
            </w:r>
          </w:p>
        </w:tc>
        <w:tc>
          <w:tcPr>
            <w:tcW w:w="1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i w:val="1"/>
                <w:iCs w:val="1"/>
                <w:color w:val="auto"/>
              </w:rPr>
              <w:t>$850</w:t>
            </w:r>
          </w:p>
        </w:tc>
        <w:tc>
          <w:tcPr>
            <w:tcW w:w="980" w:type="dxa"/>
            <w:vAlign w:val="bottom"/>
          </w:tcPr>
          <w:p>
            <w:pPr>
              <w:ind w:left="20"/>
              <w:spacing w:after="0"/>
              <w:rPr>
                <w:sz w:val="20"/>
                <w:szCs w:val="20"/>
                <w:color w:val="auto"/>
              </w:rPr>
            </w:pPr>
            <w:r>
              <w:rPr>
                <w:rFonts w:ascii="Arial" w:cs="Arial" w:eastAsia="Arial" w:hAnsi="Arial"/>
                <w:sz w:val="14"/>
                <w:szCs w:val="14"/>
                <w:i w:val="1"/>
                <w:iCs w:val="1"/>
                <w:color w:val="auto"/>
              </w:rPr>
              <w:t>- $890</w:t>
            </w: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020" w:type="dxa"/>
            <w:vAlign w:val="bottom"/>
          </w:tcPr>
          <w:p>
            <w:pPr>
              <w:ind w:left="140"/>
              <w:spacing w:after="0"/>
              <w:rPr>
                <w:sz w:val="20"/>
                <w:szCs w:val="20"/>
                <w:color w:val="auto"/>
              </w:rPr>
            </w:pPr>
            <w:r>
              <w:rPr>
                <w:rFonts w:ascii="Arial" w:cs="Arial" w:eastAsia="Arial" w:hAnsi="Arial"/>
                <w:sz w:val="14"/>
                <w:szCs w:val="14"/>
                <w:color w:val="auto"/>
              </w:rPr>
              <w:t>General and Administrative Expenses ($ millions)</w:t>
            </w:r>
          </w:p>
        </w:tc>
        <w:tc>
          <w:tcPr>
            <w:tcW w:w="1360" w:type="dxa"/>
            <w:vAlign w:val="bottom"/>
          </w:tcPr>
          <w:p>
            <w:pPr>
              <w:jc w:val="right"/>
              <w:spacing w:after="0"/>
              <w:rPr>
                <w:sz w:val="20"/>
                <w:szCs w:val="20"/>
                <w:color w:val="auto"/>
              </w:rPr>
            </w:pPr>
            <w:r>
              <w:rPr>
                <w:rFonts w:ascii="Arial" w:cs="Arial" w:eastAsia="Arial" w:hAnsi="Arial"/>
                <w:sz w:val="14"/>
                <w:szCs w:val="14"/>
                <w:color w:val="auto"/>
              </w:rPr>
              <w:t>$310</w:t>
            </w:r>
          </w:p>
        </w:tc>
        <w:tc>
          <w:tcPr>
            <w:tcW w:w="780" w:type="dxa"/>
            <w:vAlign w:val="bottom"/>
          </w:tcPr>
          <w:p>
            <w:pPr>
              <w:ind w:left="20"/>
              <w:spacing w:after="0"/>
              <w:rPr>
                <w:sz w:val="20"/>
                <w:szCs w:val="20"/>
                <w:color w:val="auto"/>
              </w:rPr>
            </w:pPr>
            <w:r>
              <w:rPr>
                <w:rFonts w:ascii="Arial" w:cs="Arial" w:eastAsia="Arial" w:hAnsi="Arial"/>
                <w:sz w:val="14"/>
                <w:szCs w:val="14"/>
                <w:color w:val="auto"/>
              </w:rPr>
              <w:t>- $335</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w:t>
            </w:r>
          </w:p>
        </w:tc>
        <w:tc>
          <w:tcPr>
            <w:tcW w:w="980" w:type="dxa"/>
            <w:vAlign w:val="bottom"/>
          </w:tcPr>
          <w:p>
            <w:pPr>
              <w:ind w:left="20"/>
              <w:spacing w:after="0"/>
              <w:rPr>
                <w:sz w:val="20"/>
                <w:szCs w:val="20"/>
                <w:color w:val="auto"/>
              </w:rPr>
            </w:pPr>
            <w:r>
              <w:rPr>
                <w:rFonts w:ascii="Arial" w:cs="Arial" w:eastAsia="Arial" w:hAnsi="Arial"/>
                <w:sz w:val="14"/>
                <w:szCs w:val="14"/>
                <w:color w:val="auto"/>
              </w:rPr>
              <w:t>- $50</w:t>
            </w:r>
          </w:p>
        </w:tc>
        <w:tc>
          <w:tcPr>
            <w:tcW w:w="1980" w:type="dxa"/>
            <w:vAlign w:val="bottom"/>
          </w:tcPr>
          <w:p>
            <w:pPr>
              <w:jc w:val="center"/>
              <w:spacing w:after="0"/>
              <w:rPr>
                <w:sz w:val="20"/>
                <w:szCs w:val="20"/>
                <w:color w:val="auto"/>
              </w:rPr>
            </w:pPr>
            <w:r>
              <w:rPr>
                <w:rFonts w:ascii="Arial" w:cs="Arial" w:eastAsia="Arial" w:hAnsi="Arial"/>
                <w:sz w:val="14"/>
                <w:szCs w:val="14"/>
                <w:color w:val="auto"/>
              </w:rPr>
              <w:t>$10 - $15</w:t>
            </w:r>
          </w:p>
        </w:tc>
        <w:tc>
          <w:tcPr>
            <w:tcW w:w="0" w:type="dxa"/>
            <w:vAlign w:val="bottom"/>
          </w:tcPr>
          <w:p>
            <w:pPr>
              <w:spacing w:after="0"/>
              <w:rPr>
                <w:sz w:val="1"/>
                <w:szCs w:val="1"/>
                <w:color w:val="auto"/>
              </w:rPr>
            </w:pPr>
          </w:p>
        </w:tc>
      </w:tr>
      <w:tr>
        <w:trPr>
          <w:trHeight w:val="200"/>
        </w:trPr>
        <w:tc>
          <w:tcPr>
            <w:tcW w:w="5020" w:type="dxa"/>
            <w:vAlign w:val="bottom"/>
          </w:tcPr>
          <w:p>
            <w:pPr>
              <w:ind w:left="260"/>
              <w:spacing w:after="0"/>
              <w:rPr>
                <w:sz w:val="20"/>
                <w:szCs w:val="20"/>
                <w:color w:val="auto"/>
              </w:rPr>
            </w:pPr>
            <w:r>
              <w:rPr>
                <w:rFonts w:ascii="Arial" w:cs="Arial" w:eastAsia="Arial" w:hAnsi="Arial"/>
                <w:sz w:val="14"/>
                <w:szCs w:val="14"/>
                <w:i w:val="1"/>
                <w:iCs w:val="1"/>
                <w:color w:val="auto"/>
              </w:rPr>
              <w:t>Adjusted General and Administrative Expenses ($ millions)</w:t>
            </w:r>
          </w:p>
        </w:tc>
        <w:tc>
          <w:tcPr>
            <w:tcW w:w="1360" w:type="dxa"/>
            <w:vAlign w:val="bottom"/>
          </w:tcPr>
          <w:p>
            <w:pPr>
              <w:jc w:val="right"/>
              <w:spacing w:after="0"/>
              <w:rPr>
                <w:sz w:val="20"/>
                <w:szCs w:val="20"/>
                <w:color w:val="auto"/>
              </w:rPr>
            </w:pPr>
            <w:r>
              <w:rPr>
                <w:rFonts w:ascii="Arial" w:cs="Arial" w:eastAsia="Arial" w:hAnsi="Arial"/>
                <w:sz w:val="14"/>
                <w:szCs w:val="14"/>
                <w:i w:val="1"/>
                <w:iCs w:val="1"/>
                <w:color w:val="auto"/>
              </w:rPr>
              <w:t>$289</w:t>
            </w:r>
          </w:p>
        </w:tc>
        <w:tc>
          <w:tcPr>
            <w:tcW w:w="780" w:type="dxa"/>
            <w:vAlign w:val="bottom"/>
          </w:tcPr>
          <w:p>
            <w:pPr>
              <w:ind w:left="20"/>
              <w:spacing w:after="0"/>
              <w:rPr>
                <w:sz w:val="20"/>
                <w:szCs w:val="20"/>
                <w:color w:val="auto"/>
              </w:rPr>
            </w:pPr>
            <w:r>
              <w:rPr>
                <w:rFonts w:ascii="Arial" w:cs="Arial" w:eastAsia="Arial" w:hAnsi="Arial"/>
                <w:sz w:val="14"/>
                <w:szCs w:val="14"/>
                <w:i w:val="1"/>
                <w:iCs w:val="1"/>
                <w:color w:val="auto"/>
              </w:rPr>
              <w:t>- $309</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i w:val="1"/>
                <w:iCs w:val="1"/>
                <w:color w:val="auto"/>
              </w:rPr>
              <w:t>$40</w:t>
            </w:r>
          </w:p>
        </w:tc>
        <w:tc>
          <w:tcPr>
            <w:tcW w:w="980" w:type="dxa"/>
            <w:vAlign w:val="bottom"/>
          </w:tcPr>
          <w:p>
            <w:pPr>
              <w:ind w:left="20"/>
              <w:spacing w:after="0"/>
              <w:rPr>
                <w:sz w:val="20"/>
                <w:szCs w:val="20"/>
                <w:color w:val="auto"/>
              </w:rPr>
            </w:pPr>
            <w:r>
              <w:rPr>
                <w:rFonts w:ascii="Arial" w:cs="Arial" w:eastAsia="Arial" w:hAnsi="Arial"/>
                <w:sz w:val="14"/>
                <w:szCs w:val="14"/>
                <w:i w:val="1"/>
                <w:iCs w:val="1"/>
                <w:color w:val="auto"/>
              </w:rPr>
              <w:t>- $50</w:t>
            </w:r>
          </w:p>
        </w:tc>
        <w:tc>
          <w:tcPr>
            <w:tcW w:w="1980" w:type="dxa"/>
            <w:vAlign w:val="bottom"/>
          </w:tcPr>
          <w:p>
            <w:pPr>
              <w:jc w:val="center"/>
              <w:spacing w:after="0"/>
              <w:rPr>
                <w:sz w:val="20"/>
                <w:szCs w:val="20"/>
                <w:color w:val="auto"/>
              </w:rPr>
            </w:pPr>
            <w:r>
              <w:rPr>
                <w:rFonts w:ascii="Arial" w:cs="Arial" w:eastAsia="Arial" w:hAnsi="Arial"/>
                <w:sz w:val="14"/>
                <w:szCs w:val="14"/>
                <w:i w:val="1"/>
                <w:iCs w:val="1"/>
                <w:color w:val="auto"/>
              </w:rPr>
              <w:t>$10 - $15</w:t>
            </w:r>
          </w:p>
        </w:tc>
        <w:tc>
          <w:tcPr>
            <w:tcW w:w="0" w:type="dxa"/>
            <w:vAlign w:val="bottom"/>
          </w:tcPr>
          <w:p>
            <w:pPr>
              <w:spacing w:after="0"/>
              <w:rPr>
                <w:sz w:val="1"/>
                <w:szCs w:val="1"/>
                <w:color w:val="auto"/>
              </w:rPr>
            </w:pPr>
          </w:p>
        </w:tc>
      </w:tr>
      <w:tr>
        <w:trPr>
          <w:trHeight w:val="200"/>
        </w:trPr>
        <w:tc>
          <w:tcPr>
            <w:tcW w:w="5020" w:type="dxa"/>
            <w:vAlign w:val="bottom"/>
          </w:tcPr>
          <w:p>
            <w:pPr>
              <w:ind w:left="140"/>
              <w:spacing w:after="0"/>
              <w:rPr>
                <w:sz w:val="20"/>
                <w:szCs w:val="20"/>
                <w:color w:val="auto"/>
              </w:rPr>
            </w:pPr>
            <w:r>
              <w:rPr>
                <w:rFonts w:ascii="Arial" w:cs="Arial" w:eastAsia="Arial" w:hAnsi="Arial"/>
                <w:sz w:val="14"/>
                <w:szCs w:val="14"/>
                <w:color w:val="auto"/>
              </w:rPr>
              <w:t>Depreciation, Depletion and Amortization ($ millions)</w:t>
            </w:r>
          </w:p>
        </w:tc>
        <w:tc>
          <w:tcPr>
            <w:tcW w:w="1360" w:type="dxa"/>
            <w:vAlign w:val="bottom"/>
          </w:tcPr>
          <w:p>
            <w:pPr>
              <w:jc w:val="right"/>
              <w:spacing w:after="0"/>
              <w:rPr>
                <w:sz w:val="20"/>
                <w:szCs w:val="20"/>
                <w:color w:val="auto"/>
              </w:rPr>
            </w:pPr>
            <w:r>
              <w:rPr>
                <w:rFonts w:ascii="Arial" w:cs="Arial" w:eastAsia="Arial" w:hAnsi="Arial"/>
                <w:sz w:val="14"/>
                <w:szCs w:val="14"/>
                <w:color w:val="auto"/>
              </w:rPr>
              <w:t>$500</w:t>
            </w:r>
          </w:p>
        </w:tc>
        <w:tc>
          <w:tcPr>
            <w:tcW w:w="780" w:type="dxa"/>
            <w:vAlign w:val="bottom"/>
          </w:tcPr>
          <w:p>
            <w:pPr>
              <w:ind w:left="20"/>
              <w:spacing w:after="0"/>
              <w:rPr>
                <w:sz w:val="20"/>
                <w:szCs w:val="20"/>
                <w:color w:val="auto"/>
              </w:rPr>
            </w:pPr>
            <w:r>
              <w:rPr>
                <w:rFonts w:ascii="Arial" w:cs="Arial" w:eastAsia="Arial" w:hAnsi="Arial"/>
                <w:sz w:val="14"/>
                <w:szCs w:val="14"/>
                <w:color w:val="auto"/>
              </w:rPr>
              <w:t>- $515</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$465</w:t>
            </w:r>
          </w:p>
        </w:tc>
        <w:tc>
          <w:tcPr>
            <w:tcW w:w="980" w:type="dxa"/>
            <w:vAlign w:val="bottom"/>
          </w:tcPr>
          <w:p>
            <w:pPr>
              <w:ind w:left="20"/>
              <w:spacing w:after="0"/>
              <w:rPr>
                <w:sz w:val="20"/>
                <w:szCs w:val="20"/>
                <w:color w:val="auto"/>
              </w:rPr>
            </w:pPr>
            <w:r>
              <w:rPr>
                <w:rFonts w:ascii="Arial" w:cs="Arial" w:eastAsia="Arial" w:hAnsi="Arial"/>
                <w:sz w:val="14"/>
                <w:szCs w:val="14"/>
                <w:color w:val="auto"/>
              </w:rPr>
              <w:t>- $480</w:t>
            </w: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020" w:type="dxa"/>
            <w:vAlign w:val="bottom"/>
          </w:tcPr>
          <w:p>
            <w:pPr>
              <w:ind w:left="140"/>
              <w:spacing w:after="0"/>
              <w:rPr>
                <w:sz w:val="20"/>
                <w:szCs w:val="20"/>
                <w:color w:val="auto"/>
              </w:rPr>
            </w:pPr>
            <w:r>
              <w:rPr>
                <w:rFonts w:ascii="Arial" w:cs="Arial" w:eastAsia="Arial" w:hAnsi="Arial"/>
                <w:sz w:val="14"/>
                <w:szCs w:val="14"/>
                <w:color w:val="auto"/>
              </w:rPr>
              <w:t>Capital ($ millions)</w:t>
            </w:r>
          </w:p>
        </w:tc>
        <w:tc>
          <w:tcPr>
            <w:tcW w:w="1360" w:type="dxa"/>
            <w:vAlign w:val="bottom"/>
          </w:tcPr>
          <w:p>
            <w:pPr>
              <w:jc w:val="right"/>
              <w:spacing w:after="0"/>
              <w:rPr>
                <w:sz w:val="20"/>
                <w:szCs w:val="20"/>
                <w:color w:val="auto"/>
              </w:rPr>
            </w:pPr>
            <w:r>
              <w:rPr>
                <w:rFonts w:ascii="Arial" w:cs="Arial" w:eastAsia="Arial" w:hAnsi="Arial"/>
                <w:sz w:val="14"/>
                <w:szCs w:val="14"/>
                <w:color w:val="auto"/>
              </w:rPr>
              <w:t>$285</w:t>
            </w:r>
          </w:p>
        </w:tc>
        <w:tc>
          <w:tcPr>
            <w:tcW w:w="780" w:type="dxa"/>
            <w:vAlign w:val="bottom"/>
          </w:tcPr>
          <w:p>
            <w:pPr>
              <w:ind w:left="20"/>
              <w:spacing w:after="0"/>
              <w:rPr>
                <w:sz w:val="20"/>
                <w:szCs w:val="20"/>
                <w:color w:val="auto"/>
              </w:rPr>
            </w:pPr>
            <w:r>
              <w:rPr>
                <w:rFonts w:ascii="Arial" w:cs="Arial" w:eastAsia="Arial" w:hAnsi="Arial"/>
                <w:sz w:val="14"/>
                <w:szCs w:val="14"/>
                <w:color w:val="auto"/>
              </w:rPr>
              <w:t>- $335</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$250</w:t>
            </w:r>
          </w:p>
        </w:tc>
        <w:tc>
          <w:tcPr>
            <w:tcW w:w="980" w:type="dxa"/>
            <w:vAlign w:val="bottom"/>
          </w:tcPr>
          <w:p>
            <w:pPr>
              <w:ind w:left="20"/>
              <w:spacing w:after="0"/>
              <w:rPr>
                <w:sz w:val="20"/>
                <w:szCs w:val="20"/>
                <w:color w:val="auto"/>
              </w:rPr>
            </w:pPr>
            <w:r>
              <w:rPr>
                <w:rFonts w:ascii="Arial" w:cs="Arial" w:eastAsia="Arial" w:hAnsi="Arial"/>
                <w:sz w:val="14"/>
                <w:szCs w:val="14"/>
                <w:color w:val="auto"/>
              </w:rPr>
              <w:t>- $280</w:t>
            </w:r>
          </w:p>
        </w:tc>
        <w:tc>
          <w:tcPr>
            <w:tcW w:w="1980" w:type="dxa"/>
            <w:vAlign w:val="bottom"/>
          </w:tcPr>
          <w:p>
            <w:pPr>
              <w:jc w:val="center"/>
              <w:spacing w:after="0"/>
              <w:rPr>
                <w:sz w:val="20"/>
                <w:szCs w:val="20"/>
                <w:color w:val="auto"/>
              </w:rPr>
            </w:pPr>
            <w:r>
              <w:rPr>
                <w:rFonts w:ascii="Arial" w:cs="Arial" w:eastAsia="Arial" w:hAnsi="Arial"/>
                <w:sz w:val="14"/>
                <w:szCs w:val="14"/>
                <w:color w:val="auto"/>
              </w:rPr>
              <w:t>$20 - $30</w:t>
            </w:r>
          </w:p>
        </w:tc>
        <w:tc>
          <w:tcPr>
            <w:tcW w:w="0" w:type="dxa"/>
            <w:vAlign w:val="bottom"/>
          </w:tcPr>
          <w:p>
            <w:pPr>
              <w:spacing w:after="0"/>
              <w:rPr>
                <w:sz w:val="1"/>
                <w:szCs w:val="1"/>
                <w:color w:val="auto"/>
              </w:rPr>
            </w:pPr>
          </w:p>
        </w:tc>
      </w:tr>
      <w:tr>
        <w:trPr>
          <w:trHeight w:val="213"/>
        </w:trPr>
        <w:tc>
          <w:tcPr>
            <w:tcW w:w="5020" w:type="dxa"/>
            <w:vAlign w:val="bottom"/>
          </w:tcPr>
          <w:p>
            <w:pPr>
              <w:ind w:left="260"/>
              <w:spacing w:after="0"/>
              <w:rPr>
                <w:sz w:val="20"/>
                <w:szCs w:val="20"/>
                <w:color w:val="auto"/>
              </w:rPr>
            </w:pPr>
            <w:r>
              <w:rPr>
                <w:rFonts w:ascii="Arial" w:cs="Arial" w:eastAsia="Arial" w:hAnsi="Arial"/>
                <w:sz w:val="14"/>
                <w:szCs w:val="14"/>
                <w:i w:val="1"/>
                <w:iCs w:val="1"/>
                <w:color w:val="auto"/>
              </w:rPr>
              <w:t>Drilling, Completions and Workovers ($ millions)</w:t>
            </w:r>
          </w:p>
        </w:tc>
        <w:tc>
          <w:tcPr>
            <w:tcW w:w="1360" w:type="dxa"/>
            <w:vAlign w:val="bottom"/>
          </w:tcPr>
          <w:p>
            <w:pPr>
              <w:jc w:val="right"/>
              <w:spacing w:after="0"/>
              <w:rPr>
                <w:sz w:val="20"/>
                <w:szCs w:val="20"/>
                <w:color w:val="auto"/>
              </w:rPr>
            </w:pPr>
            <w:r>
              <w:rPr>
                <w:rFonts w:ascii="Arial" w:cs="Arial" w:eastAsia="Arial" w:hAnsi="Arial"/>
                <w:sz w:val="14"/>
                <w:szCs w:val="14"/>
                <w:i w:val="1"/>
                <w:iCs w:val="1"/>
                <w:color w:val="auto"/>
              </w:rPr>
              <w:t>$165</w:t>
            </w:r>
          </w:p>
        </w:tc>
        <w:tc>
          <w:tcPr>
            <w:tcW w:w="780" w:type="dxa"/>
            <w:vAlign w:val="bottom"/>
          </w:tcPr>
          <w:p>
            <w:pPr>
              <w:ind w:left="20"/>
              <w:spacing w:after="0"/>
              <w:rPr>
                <w:sz w:val="20"/>
                <w:szCs w:val="20"/>
                <w:color w:val="auto"/>
              </w:rPr>
            </w:pPr>
            <w:r>
              <w:rPr>
                <w:rFonts w:ascii="Arial" w:cs="Arial" w:eastAsia="Arial" w:hAnsi="Arial"/>
                <w:sz w:val="14"/>
                <w:szCs w:val="14"/>
                <w:i w:val="1"/>
                <w:iCs w:val="1"/>
                <w:color w:val="auto"/>
              </w:rPr>
              <w:t>- $180</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i w:val="1"/>
                <w:iCs w:val="1"/>
                <w:color w:val="auto"/>
              </w:rPr>
              <w:t>$165</w:t>
            </w:r>
          </w:p>
        </w:tc>
        <w:tc>
          <w:tcPr>
            <w:tcW w:w="980" w:type="dxa"/>
            <w:vAlign w:val="bottom"/>
          </w:tcPr>
          <w:p>
            <w:pPr>
              <w:ind w:left="20"/>
              <w:spacing w:after="0"/>
              <w:rPr>
                <w:sz w:val="20"/>
                <w:szCs w:val="20"/>
                <w:color w:val="auto"/>
              </w:rPr>
            </w:pPr>
            <w:r>
              <w:rPr>
                <w:rFonts w:ascii="Arial" w:cs="Arial" w:eastAsia="Arial" w:hAnsi="Arial"/>
                <w:sz w:val="14"/>
                <w:szCs w:val="14"/>
                <w:i w:val="1"/>
                <w:iCs w:val="1"/>
                <w:color w:val="auto"/>
              </w:rPr>
              <w:t>- $180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60"/>
              <w:spacing w:after="0"/>
              <w:rPr>
                <w:sz w:val="20"/>
                <w:szCs w:val="20"/>
                <w:color w:val="auto"/>
              </w:rPr>
            </w:pPr>
            <w:r>
              <w:rPr>
                <w:rFonts w:ascii="Arial" w:cs="Arial" w:eastAsia="Arial" w:hAnsi="Arial"/>
                <w:sz w:val="14"/>
                <w:szCs w:val="14"/>
                <w:i w:val="1"/>
                <w:iCs w:val="1"/>
                <w:color w:val="auto"/>
              </w:rPr>
              <w:t>Facilities ($ millions)</w:t>
            </w:r>
          </w:p>
        </w:tc>
        <w:tc>
          <w:tcPr>
            <w:tcW w:w="2140" w:type="dxa"/>
            <w:vAlign w:val="bottom"/>
            <w:gridSpan w:val="2"/>
          </w:tcPr>
          <w:p>
            <w:pPr>
              <w:jc w:val="center"/>
              <w:ind w:left="589"/>
              <w:spacing w:after="0"/>
              <w:rPr>
                <w:sz w:val="20"/>
                <w:szCs w:val="20"/>
                <w:color w:val="auto"/>
              </w:rPr>
            </w:pPr>
            <w:r>
              <w:rPr>
                <w:rFonts w:ascii="Arial" w:cs="Arial" w:eastAsia="Arial" w:hAnsi="Arial"/>
                <w:sz w:val="14"/>
                <w:szCs w:val="14"/>
                <w:i w:val="1"/>
                <w:iCs w:val="1"/>
                <w:color w:val="auto"/>
              </w:rPr>
              <w:t>$85 - $100</w:t>
            </w:r>
          </w:p>
        </w:tc>
        <w:tc>
          <w:tcPr>
            <w:tcW w:w="180" w:type="dxa"/>
            <w:vAlign w:val="bottom"/>
          </w:tcPr>
          <w:p>
            <w:pPr>
              <w:spacing w:after="0"/>
              <w:rPr>
                <w:sz w:val="18"/>
                <w:szCs w:val="18"/>
                <w:color w:val="auto"/>
              </w:rPr>
            </w:pPr>
          </w:p>
        </w:tc>
        <w:tc>
          <w:tcPr>
            <w:tcW w:w="1920" w:type="dxa"/>
            <w:vAlign w:val="bottom"/>
            <w:gridSpan w:val="2"/>
          </w:tcPr>
          <w:p>
            <w:pPr>
              <w:jc w:val="right"/>
              <w:ind w:right="529"/>
              <w:spacing w:after="0"/>
              <w:rPr>
                <w:sz w:val="20"/>
                <w:szCs w:val="20"/>
                <w:color w:val="auto"/>
              </w:rPr>
            </w:pPr>
            <w:r>
              <w:rPr>
                <w:rFonts w:ascii="Arial" w:cs="Arial" w:eastAsia="Arial" w:hAnsi="Arial"/>
                <w:sz w:val="14"/>
                <w:szCs w:val="14"/>
                <w:i w:val="1"/>
                <w:iCs w:val="1"/>
                <w:color w:val="auto"/>
              </w:rPr>
              <w:t>$85 - $100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60"/>
              <w:spacing w:after="0"/>
              <w:rPr>
                <w:sz w:val="20"/>
                <w:szCs w:val="20"/>
                <w:color w:val="auto"/>
              </w:rPr>
            </w:pPr>
            <w:r>
              <w:rPr>
                <w:rFonts w:ascii="Arial" w:cs="Arial" w:eastAsia="Arial" w:hAnsi="Arial"/>
                <w:sz w:val="14"/>
                <w:szCs w:val="14"/>
                <w:i w:val="1"/>
                <w:iCs w:val="1"/>
                <w:color w:val="auto"/>
              </w:rPr>
              <w:t>Carbon Management Business ($ millions)</w:t>
            </w:r>
          </w:p>
        </w:tc>
        <w:tc>
          <w:tcPr>
            <w:tcW w:w="1360" w:type="dxa"/>
            <w:vAlign w:val="bottom"/>
          </w:tcPr>
          <w:p>
            <w:pPr>
              <w:jc w:val="right"/>
              <w:spacing w:after="0"/>
              <w:rPr>
                <w:sz w:val="20"/>
                <w:szCs w:val="20"/>
                <w:color w:val="auto"/>
              </w:rPr>
            </w:pPr>
            <w:r>
              <w:rPr>
                <w:rFonts w:ascii="Arial" w:cs="Arial" w:eastAsia="Arial" w:hAnsi="Arial"/>
                <w:sz w:val="14"/>
                <w:szCs w:val="14"/>
                <w:i w:val="1"/>
                <w:iCs w:val="1"/>
                <w:color w:val="auto"/>
              </w:rPr>
              <w:t>$20</w:t>
            </w:r>
          </w:p>
        </w:tc>
        <w:tc>
          <w:tcPr>
            <w:tcW w:w="780" w:type="dxa"/>
            <w:vAlign w:val="bottom"/>
          </w:tcPr>
          <w:p>
            <w:pPr>
              <w:ind w:left="20"/>
              <w:spacing w:after="0"/>
              <w:rPr>
                <w:sz w:val="20"/>
                <w:szCs w:val="20"/>
                <w:color w:val="auto"/>
              </w:rPr>
            </w:pPr>
            <w:r>
              <w:rPr>
                <w:rFonts w:ascii="Arial" w:cs="Arial" w:eastAsia="Arial" w:hAnsi="Arial"/>
                <w:sz w:val="14"/>
                <w:szCs w:val="14"/>
                <w:i w:val="1"/>
                <w:iCs w:val="1"/>
                <w:color w:val="auto"/>
              </w:rPr>
              <w:t>- $30</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4"/>
                <w:szCs w:val="14"/>
                <w:i w:val="1"/>
                <w:iCs w:val="1"/>
                <w:color w:val="auto"/>
              </w:rPr>
              <w:t>$20 - $30</w:t>
            </w:r>
          </w:p>
        </w:tc>
        <w:tc>
          <w:tcPr>
            <w:tcW w:w="0" w:type="dxa"/>
            <w:vAlign w:val="bottom"/>
          </w:tcPr>
          <w:p>
            <w:pPr>
              <w:spacing w:after="0"/>
              <w:rPr>
                <w:sz w:val="1"/>
                <w:szCs w:val="1"/>
                <w:color w:val="auto"/>
              </w:rPr>
            </w:pPr>
          </w:p>
        </w:tc>
      </w:tr>
      <w:tr>
        <w:trPr>
          <w:trHeight w:val="213"/>
        </w:trPr>
        <w:tc>
          <w:tcPr>
            <w:tcW w:w="5020" w:type="dxa"/>
            <w:vAlign w:val="bottom"/>
          </w:tcPr>
          <w:p>
            <w:pPr>
              <w:ind w:left="260"/>
              <w:spacing w:after="0"/>
              <w:rPr>
                <w:sz w:val="20"/>
                <w:szCs w:val="20"/>
                <w:color w:val="auto"/>
              </w:rPr>
            </w:pPr>
            <w:r>
              <w:rPr>
                <w:rFonts w:ascii="Arial" w:cs="Arial" w:eastAsia="Arial" w:hAnsi="Arial"/>
                <w:sz w:val="14"/>
                <w:szCs w:val="14"/>
                <w:i w:val="1"/>
                <w:iCs w:val="1"/>
                <w:color w:val="auto"/>
              </w:rPr>
              <w:t>Corporate and Other ($ millions)</w:t>
            </w:r>
          </w:p>
        </w:tc>
        <w:tc>
          <w:tcPr>
            <w:tcW w:w="1360" w:type="dxa"/>
            <w:vAlign w:val="bottom"/>
          </w:tcPr>
          <w:p>
            <w:pPr>
              <w:jc w:val="right"/>
              <w:spacing w:after="0"/>
              <w:rPr>
                <w:sz w:val="20"/>
                <w:szCs w:val="20"/>
                <w:color w:val="auto"/>
              </w:rPr>
            </w:pPr>
            <w:r>
              <w:rPr>
                <w:rFonts w:ascii="Arial" w:cs="Arial" w:eastAsia="Arial" w:hAnsi="Arial"/>
                <w:sz w:val="14"/>
                <w:szCs w:val="14"/>
                <w:i w:val="1"/>
                <w:iCs w:val="1"/>
                <w:color w:val="auto"/>
              </w:rPr>
              <w:t>$15</w:t>
            </w:r>
          </w:p>
        </w:tc>
        <w:tc>
          <w:tcPr>
            <w:tcW w:w="780" w:type="dxa"/>
            <w:vAlign w:val="bottom"/>
          </w:tcPr>
          <w:p>
            <w:pPr>
              <w:ind w:left="20"/>
              <w:spacing w:after="0"/>
              <w:rPr>
                <w:sz w:val="20"/>
                <w:szCs w:val="20"/>
                <w:color w:val="auto"/>
              </w:rPr>
            </w:pPr>
            <w:r>
              <w:rPr>
                <w:rFonts w:ascii="Arial" w:cs="Arial" w:eastAsia="Arial" w:hAnsi="Arial"/>
                <w:sz w:val="14"/>
                <w:szCs w:val="14"/>
                <w:i w:val="1"/>
                <w:iCs w:val="1"/>
                <w:color w:val="auto"/>
              </w:rPr>
              <w:t>- $25</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020" w:type="dxa"/>
            <w:vAlign w:val="bottom"/>
          </w:tcPr>
          <w:p>
            <w:pPr>
              <w:ind w:left="140"/>
              <w:spacing w:after="0"/>
              <w:rPr>
                <w:sz w:val="20"/>
                <w:szCs w:val="20"/>
                <w:color w:val="auto"/>
              </w:rPr>
            </w:pPr>
            <w:r>
              <w:rPr>
                <w:rFonts w:ascii="Arial" w:cs="Arial" w:eastAsia="Arial" w:hAnsi="Arial"/>
                <w:sz w:val="14"/>
                <w:szCs w:val="14"/>
                <w:color w:val="auto"/>
              </w:rPr>
              <w:t>Adjusted EBITDAX ($ millions)</w:t>
            </w:r>
          </w:p>
        </w:tc>
        <w:tc>
          <w:tcPr>
            <w:tcW w:w="1360" w:type="dxa"/>
            <w:vAlign w:val="bottom"/>
          </w:tcPr>
          <w:p>
            <w:pPr>
              <w:jc w:val="right"/>
              <w:spacing w:after="0"/>
              <w:rPr>
                <w:sz w:val="20"/>
                <w:szCs w:val="20"/>
                <w:color w:val="auto"/>
              </w:rPr>
            </w:pPr>
            <w:r>
              <w:rPr>
                <w:rFonts w:ascii="Arial" w:cs="Arial" w:eastAsia="Arial" w:hAnsi="Arial"/>
                <w:sz w:val="14"/>
                <w:szCs w:val="14"/>
                <w:color w:val="auto"/>
              </w:rPr>
              <w:t>$1,100</w:t>
            </w:r>
          </w:p>
        </w:tc>
        <w:tc>
          <w:tcPr>
            <w:tcW w:w="780" w:type="dxa"/>
            <w:vAlign w:val="bottom"/>
          </w:tcPr>
          <w:p>
            <w:pPr>
              <w:ind w:left="20"/>
              <w:spacing w:after="0"/>
              <w:rPr>
                <w:sz w:val="20"/>
                <w:szCs w:val="20"/>
                <w:color w:val="auto"/>
              </w:rPr>
            </w:pPr>
            <w:r>
              <w:rPr>
                <w:rFonts w:ascii="Arial" w:cs="Arial" w:eastAsia="Arial" w:hAnsi="Arial"/>
                <w:sz w:val="14"/>
                <w:szCs w:val="14"/>
                <w:color w:val="auto"/>
              </w:rPr>
              <w:t>- $1,200</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$1,205</w:t>
            </w:r>
          </w:p>
        </w:tc>
        <w:tc>
          <w:tcPr>
            <w:tcW w:w="980" w:type="dxa"/>
            <w:vAlign w:val="bottom"/>
          </w:tcPr>
          <w:p>
            <w:pPr>
              <w:ind w:left="20"/>
              <w:spacing w:after="0"/>
              <w:rPr>
                <w:sz w:val="20"/>
                <w:szCs w:val="20"/>
                <w:color w:val="auto"/>
              </w:rPr>
            </w:pPr>
            <w:r>
              <w:rPr>
                <w:rFonts w:ascii="Arial" w:cs="Arial" w:eastAsia="Arial" w:hAnsi="Arial"/>
                <w:sz w:val="14"/>
                <w:szCs w:val="14"/>
                <w:color w:val="auto"/>
              </w:rPr>
              <w:t>- $1,340</w:t>
            </w:r>
          </w:p>
        </w:tc>
        <w:tc>
          <w:tcPr>
            <w:tcW w:w="1980" w:type="dxa"/>
            <w:vAlign w:val="bottom"/>
          </w:tcPr>
          <w:p>
            <w:pPr>
              <w:jc w:val="center"/>
              <w:spacing w:after="0"/>
              <w:rPr>
                <w:sz w:val="20"/>
                <w:szCs w:val="20"/>
                <w:color w:val="auto"/>
              </w:rPr>
            </w:pPr>
            <w:r>
              <w:rPr>
                <w:rFonts w:ascii="Arial" w:cs="Arial" w:eastAsia="Arial" w:hAnsi="Arial"/>
                <w:sz w:val="14"/>
                <w:szCs w:val="14"/>
                <w:color w:val="auto"/>
              </w:rPr>
              <w:t>($80) - ($85)</w:t>
            </w:r>
          </w:p>
        </w:tc>
        <w:tc>
          <w:tcPr>
            <w:tcW w:w="0" w:type="dxa"/>
            <w:vAlign w:val="bottom"/>
          </w:tcPr>
          <w:p>
            <w:pPr>
              <w:spacing w:after="0"/>
              <w:rPr>
                <w:sz w:val="1"/>
                <w:szCs w:val="1"/>
                <w:color w:val="auto"/>
              </w:rPr>
            </w:pPr>
          </w:p>
        </w:tc>
      </w:tr>
      <w:tr>
        <w:trPr>
          <w:trHeight w:val="475"/>
        </w:trPr>
        <w:tc>
          <w:tcPr>
            <w:tcW w:w="5020" w:type="dxa"/>
            <w:vAlign w:val="bottom"/>
          </w:tcPr>
          <w:p>
            <w:pPr>
              <w:ind w:left="140"/>
              <w:spacing w:after="0"/>
              <w:rPr>
                <w:sz w:val="20"/>
                <w:szCs w:val="20"/>
                <w:color w:val="auto"/>
              </w:rPr>
            </w:pPr>
            <w:r>
              <w:rPr>
                <w:rFonts w:ascii="Arial" w:cs="Arial" w:eastAsia="Arial" w:hAnsi="Arial"/>
                <w:sz w:val="14"/>
                <w:szCs w:val="14"/>
                <w:color w:val="auto"/>
              </w:rPr>
              <w:t xml:space="preserve">Margin from Purchased Commodities ($ millions) </w:t>
            </w:r>
            <w:r>
              <w:rPr>
                <w:rFonts w:ascii="Arial" w:cs="Arial" w:eastAsia="Arial" w:hAnsi="Arial"/>
                <w:sz w:val="18"/>
                <w:szCs w:val="18"/>
                <w:color w:val="auto"/>
                <w:vertAlign w:val="superscript"/>
              </w:rPr>
              <w:t>(1)</w:t>
            </w:r>
          </w:p>
        </w:tc>
        <w:tc>
          <w:tcPr>
            <w:tcW w:w="1360" w:type="dxa"/>
            <w:vAlign w:val="bottom"/>
          </w:tcPr>
          <w:p>
            <w:pPr>
              <w:jc w:val="right"/>
              <w:spacing w:after="0"/>
              <w:rPr>
                <w:sz w:val="20"/>
                <w:szCs w:val="20"/>
                <w:color w:val="auto"/>
              </w:rPr>
            </w:pPr>
            <w:r>
              <w:rPr>
                <w:rFonts w:ascii="Arial" w:cs="Arial" w:eastAsia="Arial" w:hAnsi="Arial"/>
                <w:sz w:val="14"/>
                <w:szCs w:val="14"/>
                <w:color w:val="auto"/>
              </w:rPr>
              <w:t>$80</w:t>
            </w:r>
          </w:p>
        </w:tc>
        <w:tc>
          <w:tcPr>
            <w:tcW w:w="780" w:type="dxa"/>
            <w:vAlign w:val="bottom"/>
          </w:tcPr>
          <w:p>
            <w:pPr>
              <w:ind w:left="20"/>
              <w:spacing w:after="0"/>
              <w:rPr>
                <w:sz w:val="20"/>
                <w:szCs w:val="20"/>
                <w:color w:val="auto"/>
              </w:rPr>
            </w:pPr>
            <w:r>
              <w:rPr>
                <w:rFonts w:ascii="Arial" w:cs="Arial" w:eastAsia="Arial" w:hAnsi="Arial"/>
                <w:sz w:val="14"/>
                <w:szCs w:val="14"/>
                <w:color w:val="auto"/>
              </w:rPr>
              <w:t>- $95</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020" w:type="dxa"/>
            <w:vAlign w:val="bottom"/>
          </w:tcPr>
          <w:p>
            <w:pPr>
              <w:ind w:left="140"/>
              <w:spacing w:after="0" w:line="200" w:lineRule="exact"/>
              <w:rPr>
                <w:sz w:val="20"/>
                <w:szCs w:val="20"/>
                <w:color w:val="auto"/>
              </w:rPr>
            </w:pPr>
            <w:r>
              <w:rPr>
                <w:rFonts w:ascii="Arial" w:cs="Arial" w:eastAsia="Arial" w:hAnsi="Arial"/>
                <w:sz w:val="14"/>
                <w:szCs w:val="14"/>
                <w:color w:val="auto"/>
              </w:rPr>
              <w:t xml:space="preserve">Electricity Margin ($ millions) </w:t>
            </w:r>
            <w:r>
              <w:rPr>
                <w:rFonts w:ascii="Arial" w:cs="Arial" w:eastAsia="Arial" w:hAnsi="Arial"/>
                <w:sz w:val="18"/>
                <w:szCs w:val="18"/>
                <w:color w:val="auto"/>
                <w:vertAlign w:val="superscript"/>
              </w:rPr>
              <w:t>(2)</w:t>
            </w:r>
          </w:p>
        </w:tc>
        <w:tc>
          <w:tcPr>
            <w:tcW w:w="1360" w:type="dxa"/>
            <w:vAlign w:val="bottom"/>
          </w:tcPr>
          <w:p>
            <w:pPr>
              <w:jc w:val="right"/>
              <w:spacing w:after="0"/>
              <w:rPr>
                <w:sz w:val="20"/>
                <w:szCs w:val="20"/>
                <w:color w:val="auto"/>
              </w:rPr>
            </w:pPr>
            <w:r>
              <w:rPr>
                <w:rFonts w:ascii="Arial" w:cs="Arial" w:eastAsia="Arial" w:hAnsi="Arial"/>
                <w:sz w:val="14"/>
                <w:szCs w:val="14"/>
                <w:color w:val="auto"/>
              </w:rPr>
              <w:t>$175</w:t>
            </w:r>
          </w:p>
        </w:tc>
        <w:tc>
          <w:tcPr>
            <w:tcW w:w="780" w:type="dxa"/>
            <w:vAlign w:val="bottom"/>
          </w:tcPr>
          <w:p>
            <w:pPr>
              <w:ind w:left="20"/>
              <w:spacing w:after="0"/>
              <w:rPr>
                <w:sz w:val="20"/>
                <w:szCs w:val="20"/>
                <w:color w:val="auto"/>
              </w:rPr>
            </w:pPr>
            <w:r>
              <w:rPr>
                <w:rFonts w:ascii="Arial" w:cs="Arial" w:eastAsia="Arial" w:hAnsi="Arial"/>
                <w:sz w:val="14"/>
                <w:szCs w:val="14"/>
                <w:color w:val="auto"/>
              </w:rPr>
              <w:t>- $190</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020" w:type="dxa"/>
            <w:vAlign w:val="bottom"/>
          </w:tcPr>
          <w:p>
            <w:pPr>
              <w:ind w:left="140"/>
              <w:spacing w:after="0" w:line="202" w:lineRule="exact"/>
              <w:rPr>
                <w:sz w:val="20"/>
                <w:szCs w:val="20"/>
                <w:color w:val="auto"/>
              </w:rPr>
            </w:pPr>
            <w:r>
              <w:rPr>
                <w:rFonts w:ascii="Arial" w:cs="Arial" w:eastAsia="Arial" w:hAnsi="Arial"/>
                <w:sz w:val="14"/>
                <w:szCs w:val="14"/>
                <w:color w:val="auto"/>
              </w:rPr>
              <w:t xml:space="preserve">Other Operating Revenue and Expenses, net ($ millions) </w:t>
            </w:r>
            <w:r>
              <w:rPr>
                <w:rFonts w:ascii="Arial" w:cs="Arial" w:eastAsia="Arial" w:hAnsi="Arial"/>
                <w:sz w:val="18"/>
                <w:szCs w:val="18"/>
                <w:color w:val="auto"/>
                <w:vertAlign w:val="superscript"/>
              </w:rPr>
              <w:t>(3)</w:t>
            </w:r>
          </w:p>
        </w:tc>
        <w:tc>
          <w:tcPr>
            <w:tcW w:w="1360" w:type="dxa"/>
            <w:vAlign w:val="bottom"/>
          </w:tcPr>
          <w:p>
            <w:pPr>
              <w:jc w:val="right"/>
              <w:spacing w:after="0"/>
              <w:rPr>
                <w:sz w:val="20"/>
                <w:szCs w:val="20"/>
                <w:color w:val="auto"/>
              </w:rPr>
            </w:pPr>
            <w:r>
              <w:rPr>
                <w:rFonts w:ascii="Arial" w:cs="Arial" w:eastAsia="Arial" w:hAnsi="Arial"/>
                <w:sz w:val="14"/>
                <w:szCs w:val="14"/>
                <w:color w:val="auto"/>
              </w:rPr>
              <w:t>$35</w:t>
            </w:r>
          </w:p>
        </w:tc>
        <w:tc>
          <w:tcPr>
            <w:tcW w:w="780" w:type="dxa"/>
            <w:vAlign w:val="bottom"/>
          </w:tcPr>
          <w:p>
            <w:pPr>
              <w:ind w:left="20"/>
              <w:spacing w:after="0"/>
              <w:rPr>
                <w:sz w:val="20"/>
                <w:szCs w:val="20"/>
                <w:color w:val="auto"/>
              </w:rPr>
            </w:pPr>
            <w:r>
              <w:rPr>
                <w:rFonts w:ascii="Arial" w:cs="Arial" w:eastAsia="Arial" w:hAnsi="Arial"/>
                <w:sz w:val="14"/>
                <w:szCs w:val="14"/>
                <w:color w:val="auto"/>
              </w:rPr>
              <w:t>- $85</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Arial" w:cs="Arial" w:eastAsia="Arial" w:hAnsi="Arial"/>
                <w:sz w:val="14"/>
                <w:szCs w:val="14"/>
                <w:color w:val="auto"/>
              </w:rPr>
              <w:t>$60 - $90</w:t>
            </w:r>
          </w:p>
        </w:tc>
        <w:tc>
          <w:tcPr>
            <w:tcW w:w="0" w:type="dxa"/>
            <w:vAlign w:val="bottom"/>
          </w:tcPr>
          <w:p>
            <w:pPr>
              <w:spacing w:after="0"/>
              <w:rPr>
                <w:sz w:val="1"/>
                <w:szCs w:val="1"/>
                <w:color w:val="auto"/>
              </w:rPr>
            </w:pPr>
          </w:p>
        </w:tc>
      </w:tr>
      <w:tr>
        <w:trPr>
          <w:trHeight w:val="189"/>
        </w:trPr>
        <w:tc>
          <w:tcPr>
            <w:tcW w:w="5020" w:type="dxa"/>
            <w:vAlign w:val="bottom"/>
          </w:tcPr>
          <w:p>
            <w:pPr>
              <w:ind w:left="140"/>
              <w:spacing w:after="0"/>
              <w:rPr>
                <w:sz w:val="20"/>
                <w:szCs w:val="20"/>
                <w:color w:val="auto"/>
              </w:rPr>
            </w:pPr>
            <w:r>
              <w:rPr>
                <w:rFonts w:ascii="Arial" w:cs="Arial" w:eastAsia="Arial" w:hAnsi="Arial"/>
                <w:sz w:val="14"/>
                <w:szCs w:val="14"/>
                <w:color w:val="auto"/>
              </w:rPr>
              <w:t>Transportation Costs ($ millions)</w:t>
            </w:r>
          </w:p>
        </w:tc>
        <w:tc>
          <w:tcPr>
            <w:tcW w:w="1360" w:type="dxa"/>
            <w:vAlign w:val="bottom"/>
          </w:tcPr>
          <w:p>
            <w:pPr>
              <w:jc w:val="right"/>
              <w:spacing w:after="0"/>
              <w:rPr>
                <w:sz w:val="20"/>
                <w:szCs w:val="20"/>
                <w:color w:val="auto"/>
              </w:rPr>
            </w:pPr>
            <w:r>
              <w:rPr>
                <w:rFonts w:ascii="Arial" w:cs="Arial" w:eastAsia="Arial" w:hAnsi="Arial"/>
                <w:sz w:val="14"/>
                <w:szCs w:val="14"/>
                <w:color w:val="auto"/>
              </w:rPr>
              <w:t>$90</w:t>
            </w:r>
          </w:p>
        </w:tc>
        <w:tc>
          <w:tcPr>
            <w:tcW w:w="780" w:type="dxa"/>
            <w:vAlign w:val="bottom"/>
          </w:tcPr>
          <w:p>
            <w:pPr>
              <w:ind w:left="20"/>
              <w:spacing w:after="0"/>
              <w:rPr>
                <w:sz w:val="20"/>
                <w:szCs w:val="20"/>
                <w:color w:val="auto"/>
              </w:rPr>
            </w:pPr>
            <w:r>
              <w:rPr>
                <w:rFonts w:ascii="Arial" w:cs="Arial" w:eastAsia="Arial" w:hAnsi="Arial"/>
                <w:sz w:val="14"/>
                <w:szCs w:val="14"/>
                <w:color w:val="auto"/>
              </w:rPr>
              <w:t>- $98</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w:t>
            </w:r>
          </w:p>
        </w:tc>
        <w:tc>
          <w:tcPr>
            <w:tcW w:w="980" w:type="dxa"/>
            <w:vAlign w:val="bottom"/>
          </w:tcPr>
          <w:p>
            <w:pPr>
              <w:ind w:left="20"/>
              <w:spacing w:after="0"/>
              <w:rPr>
                <w:sz w:val="20"/>
                <w:szCs w:val="20"/>
                <w:color w:val="auto"/>
              </w:rPr>
            </w:pPr>
            <w:r>
              <w:rPr>
                <w:rFonts w:ascii="Arial" w:cs="Arial" w:eastAsia="Arial" w:hAnsi="Arial"/>
                <w:sz w:val="14"/>
                <w:szCs w:val="14"/>
                <w:color w:val="auto"/>
              </w:rPr>
              <w:t>- $32</w:t>
            </w: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020" w:type="dxa"/>
            <w:vAlign w:val="bottom"/>
          </w:tcPr>
          <w:p>
            <w:pPr>
              <w:ind w:left="140"/>
              <w:spacing w:after="0"/>
              <w:rPr>
                <w:sz w:val="20"/>
                <w:szCs w:val="20"/>
                <w:color w:val="auto"/>
              </w:rPr>
            </w:pPr>
            <w:r>
              <w:rPr>
                <w:rFonts w:ascii="Arial" w:cs="Arial" w:eastAsia="Arial" w:hAnsi="Arial"/>
                <w:sz w:val="14"/>
                <w:szCs w:val="14"/>
                <w:color w:val="auto"/>
              </w:rPr>
              <w:t>Taxes Other Than on Income ($ millions)</w:t>
            </w:r>
          </w:p>
        </w:tc>
        <w:tc>
          <w:tcPr>
            <w:tcW w:w="1360" w:type="dxa"/>
            <w:vAlign w:val="bottom"/>
          </w:tcPr>
          <w:p>
            <w:pPr>
              <w:jc w:val="right"/>
              <w:spacing w:after="0"/>
              <w:rPr>
                <w:sz w:val="20"/>
                <w:szCs w:val="20"/>
                <w:color w:val="auto"/>
              </w:rPr>
            </w:pPr>
            <w:r>
              <w:rPr>
                <w:rFonts w:ascii="Arial" w:cs="Arial" w:eastAsia="Arial" w:hAnsi="Arial"/>
                <w:sz w:val="14"/>
                <w:szCs w:val="14"/>
                <w:color w:val="auto"/>
              </w:rPr>
              <w:t>$265</w:t>
            </w:r>
          </w:p>
        </w:tc>
        <w:tc>
          <w:tcPr>
            <w:tcW w:w="780" w:type="dxa"/>
            <w:vAlign w:val="bottom"/>
          </w:tcPr>
          <w:p>
            <w:pPr>
              <w:ind w:left="20"/>
              <w:spacing w:after="0"/>
              <w:rPr>
                <w:sz w:val="20"/>
                <w:szCs w:val="20"/>
                <w:color w:val="auto"/>
              </w:rPr>
            </w:pPr>
            <w:r>
              <w:rPr>
                <w:rFonts w:ascii="Arial" w:cs="Arial" w:eastAsia="Arial" w:hAnsi="Arial"/>
                <w:sz w:val="14"/>
                <w:szCs w:val="14"/>
                <w:color w:val="auto"/>
              </w:rPr>
              <w:t>- $285</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$220</w:t>
            </w:r>
          </w:p>
        </w:tc>
        <w:tc>
          <w:tcPr>
            <w:tcW w:w="980" w:type="dxa"/>
            <w:vAlign w:val="bottom"/>
          </w:tcPr>
          <w:p>
            <w:pPr>
              <w:ind w:left="20"/>
              <w:spacing w:after="0"/>
              <w:rPr>
                <w:sz w:val="20"/>
                <w:szCs w:val="20"/>
                <w:color w:val="auto"/>
              </w:rPr>
            </w:pPr>
            <w:r>
              <w:rPr>
                <w:rFonts w:ascii="Arial" w:cs="Arial" w:eastAsia="Arial" w:hAnsi="Arial"/>
                <w:sz w:val="14"/>
                <w:szCs w:val="14"/>
                <w:color w:val="auto"/>
              </w:rPr>
              <w:t>- $230</w:t>
            </w: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020" w:type="dxa"/>
            <w:vAlign w:val="bottom"/>
          </w:tcPr>
          <w:p>
            <w:pPr>
              <w:ind w:left="140"/>
              <w:spacing w:after="0"/>
              <w:rPr>
                <w:sz w:val="20"/>
                <w:szCs w:val="20"/>
                <w:color w:val="auto"/>
              </w:rPr>
            </w:pPr>
            <w:r>
              <w:rPr>
                <w:rFonts w:ascii="Arial" w:cs="Arial" w:eastAsia="Arial" w:hAnsi="Arial"/>
                <w:sz w:val="14"/>
                <w:szCs w:val="14"/>
                <w:color w:val="auto"/>
              </w:rPr>
              <w:t>Interest and Debt Expense ($ millions)</w:t>
            </w:r>
          </w:p>
        </w:tc>
        <w:tc>
          <w:tcPr>
            <w:tcW w:w="2140" w:type="dxa"/>
            <w:vAlign w:val="bottom"/>
            <w:gridSpan w:val="2"/>
          </w:tcPr>
          <w:p>
            <w:pPr>
              <w:jc w:val="center"/>
              <w:ind w:left="589"/>
              <w:spacing w:after="0"/>
              <w:rPr>
                <w:sz w:val="20"/>
                <w:szCs w:val="20"/>
                <w:color w:val="auto"/>
              </w:rPr>
            </w:pPr>
            <w:r>
              <w:rPr>
                <w:rFonts w:ascii="Arial" w:cs="Arial" w:eastAsia="Arial" w:hAnsi="Arial"/>
                <w:sz w:val="14"/>
                <w:szCs w:val="14"/>
                <w:color w:val="auto"/>
              </w:rPr>
              <w:t>$100 - $113</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5020" w:type="dxa"/>
            <w:vAlign w:val="bottom"/>
          </w:tcPr>
          <w:p>
            <w:pPr>
              <w:ind w:left="140"/>
              <w:spacing w:after="0"/>
              <w:rPr>
                <w:sz w:val="20"/>
                <w:szCs w:val="20"/>
                <w:color w:val="auto"/>
              </w:rPr>
            </w:pPr>
            <w:r>
              <w:rPr>
                <w:rFonts w:ascii="Arial" w:cs="Arial" w:eastAsia="Arial" w:hAnsi="Arial"/>
                <w:sz w:val="14"/>
                <w:szCs w:val="14"/>
                <w:color w:val="auto"/>
              </w:rPr>
              <w:t>Commodity Assumptions:</w:t>
            </w:r>
          </w:p>
        </w:tc>
        <w:tc>
          <w:tcPr>
            <w:tcW w:w="1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020" w:type="dxa"/>
            <w:vAlign w:val="bottom"/>
          </w:tcPr>
          <w:p>
            <w:pPr>
              <w:ind w:left="260"/>
              <w:spacing w:after="0"/>
              <w:rPr>
                <w:sz w:val="20"/>
                <w:szCs w:val="20"/>
                <w:color w:val="auto"/>
              </w:rPr>
            </w:pPr>
            <w:r>
              <w:rPr>
                <w:rFonts w:ascii="Arial" w:cs="Arial" w:eastAsia="Arial" w:hAnsi="Arial"/>
                <w:sz w:val="14"/>
                <w:szCs w:val="14"/>
                <w:color w:val="auto"/>
              </w:rPr>
              <w:t>Brent ($/Bbl)</w:t>
            </w:r>
          </w:p>
        </w:tc>
        <w:tc>
          <w:tcPr>
            <w:tcW w:w="2140" w:type="dxa"/>
            <w:vAlign w:val="bottom"/>
            <w:gridSpan w:val="2"/>
          </w:tcPr>
          <w:p>
            <w:pPr>
              <w:jc w:val="center"/>
              <w:ind w:left="589"/>
              <w:spacing w:after="0"/>
              <w:rPr>
                <w:sz w:val="20"/>
                <w:szCs w:val="20"/>
                <w:color w:val="auto"/>
              </w:rPr>
            </w:pPr>
            <w:r>
              <w:rPr>
                <w:rFonts w:ascii="Arial" w:cs="Arial" w:eastAsia="Arial" w:hAnsi="Arial"/>
                <w:sz w:val="14"/>
                <w:szCs w:val="14"/>
                <w:color w:val="auto"/>
              </w:rPr>
              <w:t>$63.00</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020" w:type="dxa"/>
            <w:vAlign w:val="bottom"/>
          </w:tcPr>
          <w:p>
            <w:pPr>
              <w:ind w:left="260"/>
              <w:spacing w:after="0"/>
              <w:rPr>
                <w:sz w:val="20"/>
                <w:szCs w:val="20"/>
                <w:color w:val="auto"/>
              </w:rPr>
            </w:pPr>
            <w:r>
              <w:rPr>
                <w:rFonts w:ascii="Arial" w:cs="Arial" w:eastAsia="Arial" w:hAnsi="Arial"/>
                <w:sz w:val="14"/>
                <w:szCs w:val="14"/>
                <w:color w:val="auto"/>
              </w:rPr>
              <w:t>NYMEX ($/Mcf)</w:t>
            </w:r>
          </w:p>
        </w:tc>
        <w:tc>
          <w:tcPr>
            <w:tcW w:w="2140" w:type="dxa"/>
            <w:vAlign w:val="bottom"/>
            <w:gridSpan w:val="2"/>
          </w:tcPr>
          <w:p>
            <w:pPr>
              <w:jc w:val="center"/>
              <w:ind w:left="589"/>
              <w:spacing w:after="0"/>
              <w:rPr>
                <w:sz w:val="20"/>
                <w:szCs w:val="20"/>
                <w:color w:val="auto"/>
              </w:rPr>
            </w:pPr>
            <w:r>
              <w:rPr>
                <w:rFonts w:ascii="Arial" w:cs="Arial" w:eastAsia="Arial" w:hAnsi="Arial"/>
                <w:sz w:val="14"/>
                <w:szCs w:val="14"/>
                <w:color w:val="auto"/>
              </w:rPr>
              <w:t>$4.28</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020" w:type="dxa"/>
            <w:vAlign w:val="bottom"/>
          </w:tcPr>
          <w:p>
            <w:pPr>
              <w:ind w:left="260"/>
              <w:spacing w:after="0"/>
              <w:rPr>
                <w:sz w:val="20"/>
                <w:szCs w:val="20"/>
                <w:color w:val="auto"/>
              </w:rPr>
            </w:pPr>
            <w:r>
              <w:rPr>
                <w:rFonts w:ascii="Arial" w:cs="Arial" w:eastAsia="Arial" w:hAnsi="Arial"/>
                <w:sz w:val="14"/>
                <w:szCs w:val="14"/>
                <w:color w:val="auto"/>
              </w:rPr>
              <w:t>Oil - % of Brent:</w:t>
            </w:r>
          </w:p>
        </w:tc>
        <w:tc>
          <w:tcPr>
            <w:tcW w:w="2320" w:type="dxa"/>
            <w:vAlign w:val="bottom"/>
            <w:gridSpan w:val="3"/>
          </w:tcPr>
          <w:p>
            <w:pPr>
              <w:jc w:val="center"/>
              <w:ind w:left="409"/>
              <w:spacing w:after="0"/>
              <w:rPr>
                <w:sz w:val="20"/>
                <w:szCs w:val="20"/>
                <w:color w:val="auto"/>
              </w:rPr>
            </w:pPr>
            <w:r>
              <w:rPr>
                <w:rFonts w:ascii="Arial" w:cs="Arial" w:eastAsia="Arial" w:hAnsi="Arial"/>
                <w:sz w:val="14"/>
                <w:szCs w:val="14"/>
                <w:color w:val="auto"/>
              </w:rPr>
              <w:t>96% to 100%</w:t>
            </w: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020" w:type="dxa"/>
            <w:vAlign w:val="bottom"/>
          </w:tcPr>
          <w:p>
            <w:pPr>
              <w:ind w:left="260"/>
              <w:spacing w:after="0"/>
              <w:rPr>
                <w:sz w:val="20"/>
                <w:szCs w:val="20"/>
                <w:color w:val="auto"/>
              </w:rPr>
            </w:pPr>
            <w:r>
              <w:rPr>
                <w:rFonts w:ascii="Arial" w:cs="Arial" w:eastAsia="Arial" w:hAnsi="Arial"/>
                <w:sz w:val="14"/>
                <w:szCs w:val="14"/>
                <w:color w:val="auto"/>
              </w:rPr>
              <w:t>NGL - % of Brent:</w:t>
            </w:r>
          </w:p>
        </w:tc>
        <w:tc>
          <w:tcPr>
            <w:tcW w:w="2320" w:type="dxa"/>
            <w:vAlign w:val="bottom"/>
            <w:gridSpan w:val="3"/>
          </w:tcPr>
          <w:p>
            <w:pPr>
              <w:jc w:val="center"/>
              <w:ind w:left="409"/>
              <w:spacing w:after="0"/>
              <w:rPr>
                <w:sz w:val="20"/>
                <w:szCs w:val="20"/>
                <w:color w:val="auto"/>
              </w:rPr>
            </w:pPr>
            <w:r>
              <w:rPr>
                <w:rFonts w:ascii="Arial" w:cs="Arial" w:eastAsia="Arial" w:hAnsi="Arial"/>
                <w:sz w:val="14"/>
                <w:szCs w:val="14"/>
                <w:color w:val="auto"/>
              </w:rPr>
              <w:t>60% to 68%</w:t>
            </w: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020" w:type="dxa"/>
            <w:vAlign w:val="bottom"/>
          </w:tcPr>
          <w:p>
            <w:pPr>
              <w:ind w:left="260"/>
              <w:spacing w:after="0"/>
              <w:rPr>
                <w:sz w:val="20"/>
                <w:szCs w:val="20"/>
                <w:color w:val="auto"/>
              </w:rPr>
            </w:pPr>
            <w:r>
              <w:rPr>
                <w:rFonts w:ascii="Arial" w:cs="Arial" w:eastAsia="Arial" w:hAnsi="Arial"/>
                <w:sz w:val="14"/>
                <w:szCs w:val="14"/>
                <w:color w:val="auto"/>
              </w:rPr>
              <w:t>Natural Gas - % of NYMEX:</w:t>
            </w:r>
          </w:p>
        </w:tc>
        <w:tc>
          <w:tcPr>
            <w:tcW w:w="2320" w:type="dxa"/>
            <w:vAlign w:val="bottom"/>
            <w:gridSpan w:val="3"/>
          </w:tcPr>
          <w:p>
            <w:pPr>
              <w:jc w:val="center"/>
              <w:ind w:left="409"/>
              <w:spacing w:after="0"/>
              <w:rPr>
                <w:sz w:val="20"/>
                <w:szCs w:val="20"/>
                <w:color w:val="auto"/>
              </w:rPr>
            </w:pPr>
            <w:r>
              <w:rPr>
                <w:rFonts w:ascii="Arial" w:cs="Arial" w:eastAsia="Arial" w:hAnsi="Arial"/>
                <w:sz w:val="14"/>
                <w:szCs w:val="14"/>
                <w:color w:val="auto"/>
              </w:rPr>
              <w:t>80% to 90%</w:t>
            </w: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5020" w:type="dxa"/>
            <w:vAlign w:val="bottom"/>
          </w:tcPr>
          <w:p>
            <w:pPr>
              <w:ind w:left="260"/>
              <w:spacing w:after="0"/>
              <w:rPr>
                <w:sz w:val="20"/>
                <w:szCs w:val="20"/>
                <w:color w:val="auto"/>
              </w:rPr>
            </w:pPr>
            <w:r>
              <w:rPr>
                <w:rFonts w:ascii="Arial" w:cs="Arial" w:eastAsia="Arial" w:hAnsi="Arial"/>
                <w:sz w:val="14"/>
                <w:szCs w:val="14"/>
                <w:color w:val="auto"/>
              </w:rPr>
              <w:t>Deferred Income Taxes</w:t>
            </w:r>
          </w:p>
        </w:tc>
        <w:tc>
          <w:tcPr>
            <w:tcW w:w="2140" w:type="dxa"/>
            <w:vAlign w:val="bottom"/>
            <w:gridSpan w:val="2"/>
          </w:tcPr>
          <w:p>
            <w:pPr>
              <w:jc w:val="center"/>
              <w:ind w:left="569"/>
              <w:spacing w:after="0"/>
              <w:rPr>
                <w:sz w:val="20"/>
                <w:szCs w:val="20"/>
                <w:color w:val="auto"/>
              </w:rPr>
            </w:pPr>
            <w:r>
              <w:rPr>
                <w:rFonts w:ascii="Arial" w:cs="Arial" w:eastAsia="Arial" w:hAnsi="Arial"/>
                <w:sz w:val="14"/>
                <w:szCs w:val="14"/>
                <w:color w:val="auto"/>
              </w:rPr>
              <w:t>5% - 10%</w:t>
            </w: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5020" w:type="dxa"/>
            <w:vAlign w:val="bottom"/>
          </w:tcPr>
          <w:p>
            <w:pPr>
              <w:ind w:left="260"/>
              <w:spacing w:after="0"/>
              <w:rPr>
                <w:sz w:val="20"/>
                <w:szCs w:val="20"/>
                <w:color w:val="auto"/>
              </w:rPr>
            </w:pPr>
            <w:r>
              <w:rPr>
                <w:rFonts w:ascii="Arial" w:cs="Arial" w:eastAsia="Arial" w:hAnsi="Arial"/>
                <w:sz w:val="14"/>
                <w:szCs w:val="14"/>
                <w:color w:val="auto"/>
              </w:rPr>
              <w:t>Effective Tax Rate</w:t>
            </w:r>
          </w:p>
        </w:tc>
        <w:tc>
          <w:tcPr>
            <w:tcW w:w="2140" w:type="dxa"/>
            <w:vAlign w:val="bottom"/>
            <w:gridSpan w:val="2"/>
          </w:tcPr>
          <w:p>
            <w:pPr>
              <w:jc w:val="center"/>
              <w:ind w:left="589"/>
              <w:spacing w:after="0"/>
              <w:rPr>
                <w:sz w:val="20"/>
                <w:szCs w:val="20"/>
                <w:color w:val="auto"/>
              </w:rPr>
            </w:pPr>
            <w:r>
              <w:rPr>
                <w:rFonts w:ascii="Arial" w:cs="Arial" w:eastAsia="Arial" w:hAnsi="Arial"/>
                <w:sz w:val="14"/>
                <w:szCs w:val="14"/>
                <w:color w:val="auto"/>
                <w:w w:val="99"/>
              </w:rPr>
              <w:t>29%</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664210</wp:posOffset>
            </wp:positionV>
            <wp:extent cx="7134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ind w:firstLine="7"/>
        <w:spacing w:after="0"/>
        <w:tabs>
          <w:tab w:leader="none" w:pos="138" w:val="left"/>
        </w:tabs>
        <w:numPr>
          <w:ilvl w:val="0"/>
          <w:numId w:val="8"/>
        </w:numPr>
        <w:rPr>
          <w:rFonts w:ascii="Arial" w:cs="Arial" w:eastAsia="Arial" w:hAnsi="Arial"/>
          <w:sz w:val="16"/>
          <w:szCs w:val="16"/>
          <w:color w:val="auto"/>
          <w:vertAlign w:val="superscript"/>
        </w:rPr>
      </w:pPr>
      <w:r>
        <w:rPr>
          <w:rFonts w:ascii="Arial" w:cs="Arial" w:eastAsia="Arial" w:hAnsi="Arial"/>
          <w:sz w:val="13"/>
          <w:szCs w:val="13"/>
          <w:color w:val="auto"/>
        </w:rPr>
        <w:t>Margin from purchased commodities is calculated as the difference between revenue from marketing of purchased commodities and costs related to marketing of purchased commodities, and excludes costs of transportation.</w:t>
      </w:r>
    </w:p>
    <w:p>
      <w:pPr>
        <w:ind w:left="140" w:hanging="133"/>
        <w:spacing w:after="0" w:line="191" w:lineRule="auto"/>
        <w:tabs>
          <w:tab w:leader="none" w:pos="140" w:val="left"/>
        </w:tabs>
        <w:numPr>
          <w:ilvl w:val="0"/>
          <w:numId w:val="8"/>
        </w:numPr>
        <w:rPr>
          <w:rFonts w:ascii="Arial" w:cs="Arial" w:eastAsia="Arial" w:hAnsi="Arial"/>
          <w:sz w:val="16"/>
          <w:szCs w:val="16"/>
          <w:color w:val="auto"/>
          <w:vertAlign w:val="superscript"/>
        </w:rPr>
      </w:pPr>
      <w:r>
        <w:rPr>
          <w:rFonts w:ascii="Arial" w:cs="Arial" w:eastAsia="Arial" w:hAnsi="Arial"/>
          <w:sz w:val="13"/>
          <w:szCs w:val="13"/>
          <w:color w:val="auto"/>
        </w:rPr>
        <w:t>Electricity margin is calculated as the difference between electricity sales and electricity generation expenses.</w:t>
      </w:r>
    </w:p>
    <w:p>
      <w:pPr>
        <w:ind w:firstLine="7"/>
        <w:spacing w:after="0" w:line="238" w:lineRule="auto"/>
        <w:tabs>
          <w:tab w:leader="none" w:pos="152" w:val="left"/>
        </w:tabs>
        <w:numPr>
          <w:ilvl w:val="0"/>
          <w:numId w:val="8"/>
        </w:numPr>
        <w:rPr>
          <w:rFonts w:ascii="Arial" w:cs="Arial" w:eastAsia="Arial" w:hAnsi="Arial"/>
          <w:sz w:val="9"/>
          <w:szCs w:val="9"/>
          <w:color w:val="auto"/>
        </w:rPr>
      </w:pPr>
      <w:r>
        <w:rPr>
          <w:rFonts w:ascii="Arial" w:cs="Arial" w:eastAsia="Arial" w:hAnsi="Arial"/>
          <w:sz w:val="14"/>
          <w:szCs w:val="14"/>
          <w:color w:val="auto"/>
        </w:rPr>
        <w:t>Other operating revenue and expenses, net is calculated as the difference between other revenue and other operating expenses, net and includes exploration expense and CMB expenses. CMB expenses includes lease cost for sequestration easements, advocacy, and other startup related costs.</w:t>
      </w:r>
    </w:p>
    <w:p>
      <w:pPr>
        <w:spacing w:after="0" w:line="258" w:lineRule="auto"/>
        <w:rPr>
          <w:rFonts w:ascii="Arial" w:cs="Arial" w:eastAsia="Arial" w:hAnsi="Arial"/>
          <w:sz w:val="9"/>
          <w:szCs w:val="9"/>
          <w:color w:val="auto"/>
        </w:rPr>
      </w:pPr>
      <w:r>
        <w:rPr>
          <w:rFonts w:ascii="Arial" w:cs="Arial" w:eastAsia="Arial" w:hAnsi="Arial"/>
          <w:sz w:val="14"/>
          <w:szCs w:val="14"/>
          <w:color w:val="auto"/>
        </w:rPr>
        <w:t>See Attachment 3 for management's disclosure of its use of these non-GAAP measures and how these measures provide useful information to investors about CRC's results of operations and financial condition.</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240"/>
          </w:cols>
          <w:pgMar w:left="320" w:top="1066"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5"/>
        </w:trPr>
        <w:tc>
          <w:tcPr>
            <w:tcW w:w="5720" w:type="dxa"/>
            <w:vAlign w:val="bottom"/>
            <w:gridSpan w:val="4"/>
          </w:tcPr>
          <w:p>
            <w:pPr>
              <w:spacing w:after="0"/>
              <w:rPr>
                <w:sz w:val="20"/>
                <w:szCs w:val="20"/>
                <w:color w:val="auto"/>
              </w:rPr>
            </w:pPr>
            <w:r>
              <w:rPr>
                <w:rFonts w:ascii="Arial" w:cs="Arial" w:eastAsia="Arial" w:hAnsi="Arial"/>
                <w:sz w:val="14"/>
                <w:szCs w:val="14"/>
                <w:b w:val="1"/>
                <w:bCs w:val="1"/>
                <w:color w:val="auto"/>
              </w:rPr>
              <w:t>ADJUSTED GENERAL AND ADMINISTRATIVE EXPENSES RECONCILIATION</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454"/>
        </w:trPr>
        <w:tc>
          <w:tcPr>
            <w:tcW w:w="46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6"/>
              </w:rPr>
              <w:t>2Q25E</w:t>
            </w: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193"/>
        </w:trPr>
        <w:tc>
          <w:tcPr>
            <w:tcW w:w="4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489"/>
              <w:spacing w:after="0"/>
              <w:rPr>
                <w:sz w:val="20"/>
                <w:szCs w:val="20"/>
                <w:color w:val="auto"/>
              </w:rPr>
            </w:pPr>
            <w:r>
              <w:rPr>
                <w:rFonts w:ascii="Arial" w:cs="Arial" w:eastAsia="Arial" w:hAnsi="Arial"/>
                <w:sz w:val="14"/>
                <w:szCs w:val="14"/>
                <w:b w:val="1"/>
                <w:bCs w:val="1"/>
                <w:color w:val="auto"/>
              </w:rPr>
              <w:t>Consolidated</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jc w:val="right"/>
              <w:ind w:right="389"/>
              <w:spacing w:after="0"/>
              <w:rPr>
                <w:sz w:val="20"/>
                <w:szCs w:val="20"/>
                <w:color w:val="auto"/>
              </w:rPr>
            </w:pPr>
            <w:r>
              <w:rPr>
                <w:rFonts w:ascii="Arial" w:cs="Arial" w:eastAsia="Arial" w:hAnsi="Arial"/>
                <w:sz w:val="14"/>
                <w:szCs w:val="14"/>
                <w:b w:val="1"/>
                <w:bCs w:val="1"/>
                <w:color w:val="auto"/>
              </w:rPr>
              <w:t>Oil and Natural Gas</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249"/>
              <w:spacing w:after="0"/>
              <w:rPr>
                <w:sz w:val="20"/>
                <w:szCs w:val="20"/>
                <w:color w:val="auto"/>
              </w:rPr>
            </w:pPr>
            <w:r>
              <w:rPr>
                <w:rFonts w:ascii="Arial" w:cs="Arial" w:eastAsia="Arial" w:hAnsi="Arial"/>
                <w:sz w:val="14"/>
                <w:szCs w:val="14"/>
                <w:b w:val="1"/>
                <w:bCs w:val="1"/>
                <w:color w:val="auto"/>
              </w:rPr>
              <w:t>Carbon Management</w:t>
            </w:r>
          </w:p>
        </w:tc>
      </w:tr>
      <w:tr>
        <w:trPr>
          <w:trHeight w:val="187"/>
        </w:trPr>
        <w:tc>
          <w:tcPr>
            <w:tcW w:w="4640" w:type="dxa"/>
            <w:vAlign w:val="bottom"/>
          </w:tcPr>
          <w:p>
            <w:pPr>
              <w:ind w:left="20"/>
              <w:spacing w:after="0"/>
              <w:rPr>
                <w:sz w:val="20"/>
                <w:szCs w:val="20"/>
                <w:color w:val="auto"/>
              </w:rPr>
            </w:pPr>
            <w:r>
              <w:rPr>
                <w:rFonts w:ascii="Arial" w:cs="Arial" w:eastAsia="Arial" w:hAnsi="Arial"/>
                <w:sz w:val="12"/>
                <w:szCs w:val="12"/>
                <w:i w:val="1"/>
                <w:iCs w:val="1"/>
                <w:color w:val="auto"/>
              </w:rPr>
              <w:t>($ millions)</w:t>
            </w:r>
          </w:p>
        </w:tc>
        <w:tc>
          <w:tcPr>
            <w:tcW w:w="240" w:type="dxa"/>
            <w:vAlign w:val="bottom"/>
          </w:tcPr>
          <w:p>
            <w:pPr>
              <w:spacing w:after="0"/>
              <w:rPr>
                <w:sz w:val="16"/>
                <w:szCs w:val="16"/>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color w:val="auto"/>
              </w:rPr>
              <w:t>Low</w:t>
            </w:r>
          </w:p>
        </w:tc>
        <w:tc>
          <w:tcPr>
            <w:tcW w:w="200" w:type="dxa"/>
            <w:vAlign w:val="bottom"/>
          </w:tcPr>
          <w:p>
            <w:pPr>
              <w:spacing w:after="0"/>
              <w:rPr>
                <w:sz w:val="16"/>
                <w:szCs w:val="16"/>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color w:val="auto"/>
              </w:rPr>
              <w:t>High</w:t>
            </w:r>
          </w:p>
        </w:tc>
        <w:tc>
          <w:tcPr>
            <w:tcW w:w="220" w:type="dxa"/>
            <w:vAlign w:val="bottom"/>
          </w:tcPr>
          <w:p>
            <w:pPr>
              <w:spacing w:after="0"/>
              <w:rPr>
                <w:sz w:val="16"/>
                <w:szCs w:val="16"/>
                <w:color w:val="auto"/>
              </w:rPr>
            </w:pPr>
          </w:p>
        </w:tc>
        <w:tc>
          <w:tcPr>
            <w:tcW w:w="680" w:type="dxa"/>
            <w:vAlign w:val="bottom"/>
          </w:tcPr>
          <w:p>
            <w:pPr>
              <w:jc w:val="right"/>
              <w:ind w:right="229"/>
              <w:spacing w:after="0"/>
              <w:rPr>
                <w:sz w:val="20"/>
                <w:szCs w:val="20"/>
                <w:color w:val="auto"/>
              </w:rPr>
            </w:pPr>
            <w:r>
              <w:rPr>
                <w:rFonts w:ascii="Arial" w:cs="Arial" w:eastAsia="Arial" w:hAnsi="Arial"/>
                <w:sz w:val="14"/>
                <w:szCs w:val="14"/>
                <w:color w:val="auto"/>
              </w:rPr>
              <w:t>Low</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color w:val="auto"/>
              </w:rPr>
              <w:t>High</w:t>
            </w:r>
          </w:p>
        </w:tc>
        <w:tc>
          <w:tcPr>
            <w:tcW w:w="200" w:type="dxa"/>
            <w:vAlign w:val="bottom"/>
          </w:tcPr>
          <w:p>
            <w:pPr>
              <w:spacing w:after="0"/>
              <w:rPr>
                <w:sz w:val="16"/>
                <w:szCs w:val="16"/>
                <w:color w:val="auto"/>
              </w:rPr>
            </w:pPr>
          </w:p>
        </w:tc>
        <w:tc>
          <w:tcPr>
            <w:tcW w:w="860" w:type="dxa"/>
            <w:vAlign w:val="bottom"/>
            <w:gridSpan w:val="2"/>
          </w:tcPr>
          <w:p>
            <w:pPr>
              <w:ind w:left="160"/>
              <w:spacing w:after="0"/>
              <w:rPr>
                <w:sz w:val="20"/>
                <w:szCs w:val="20"/>
                <w:color w:val="auto"/>
              </w:rPr>
            </w:pPr>
            <w:r>
              <w:rPr>
                <w:rFonts w:ascii="Arial" w:cs="Arial" w:eastAsia="Arial" w:hAnsi="Arial"/>
                <w:sz w:val="14"/>
                <w:szCs w:val="14"/>
                <w:color w:val="auto"/>
              </w:rPr>
              <w:t>Low</w:t>
            </w:r>
          </w:p>
        </w:tc>
        <w:tc>
          <w:tcPr>
            <w:tcW w:w="220" w:type="dxa"/>
            <w:vAlign w:val="bottom"/>
          </w:tcPr>
          <w:p>
            <w:pPr>
              <w:spacing w:after="0"/>
              <w:rPr>
                <w:sz w:val="16"/>
                <w:szCs w:val="16"/>
                <w:color w:val="auto"/>
              </w:rPr>
            </w:pPr>
          </w:p>
        </w:tc>
        <w:tc>
          <w:tcPr>
            <w:tcW w:w="760" w:type="dxa"/>
            <w:vAlign w:val="bottom"/>
          </w:tcPr>
          <w:p>
            <w:pPr>
              <w:jc w:val="right"/>
              <w:ind w:right="269"/>
              <w:spacing w:after="0"/>
              <w:rPr>
                <w:sz w:val="20"/>
                <w:szCs w:val="20"/>
                <w:color w:val="auto"/>
              </w:rPr>
            </w:pPr>
            <w:r>
              <w:rPr>
                <w:rFonts w:ascii="Arial" w:cs="Arial" w:eastAsia="Arial" w:hAnsi="Arial"/>
                <w:sz w:val="14"/>
                <w:szCs w:val="14"/>
                <w:color w:val="auto"/>
              </w:rPr>
              <w:t>High</w:t>
            </w:r>
          </w:p>
        </w:tc>
      </w:tr>
      <w:tr>
        <w:trPr>
          <w:trHeight w:val="193"/>
        </w:trPr>
        <w:tc>
          <w:tcPr>
            <w:tcW w:w="4640" w:type="dxa"/>
            <w:vAlign w:val="bottom"/>
          </w:tcPr>
          <w:p>
            <w:pPr>
              <w:ind w:left="20"/>
              <w:spacing w:after="0"/>
              <w:rPr>
                <w:sz w:val="20"/>
                <w:szCs w:val="20"/>
                <w:color w:val="auto"/>
              </w:rPr>
            </w:pPr>
            <w:r>
              <w:rPr>
                <w:rFonts w:ascii="Arial" w:cs="Arial" w:eastAsia="Arial" w:hAnsi="Arial"/>
                <w:sz w:val="14"/>
                <w:szCs w:val="14"/>
                <w:color w:val="auto"/>
              </w:rPr>
              <w:t>General and administrative expenses</w:t>
            </w:r>
          </w:p>
        </w:tc>
        <w:tc>
          <w:tcPr>
            <w:tcW w:w="24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80</w:t>
            </w:r>
          </w:p>
        </w:tc>
        <w:tc>
          <w:tcPr>
            <w:tcW w:w="140" w:type="dxa"/>
            <w:vAlign w:val="bottom"/>
          </w:tcPr>
          <w:p>
            <w:pPr>
              <w:spacing w:after="0"/>
              <w:rPr>
                <w:sz w:val="16"/>
                <w:szCs w:val="16"/>
                <w:color w:val="auto"/>
              </w:rPr>
            </w:pPr>
          </w:p>
        </w:tc>
        <w:tc>
          <w:tcPr>
            <w:tcW w:w="2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60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4"/>
                <w:szCs w:val="14"/>
                <w:color w:val="auto"/>
              </w:rPr>
              <w:t>$10 $</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40" w:type="dxa"/>
            <w:vAlign w:val="bottom"/>
          </w:tcPr>
          <w:p>
            <w:pPr>
              <w:spacing w:after="0"/>
              <w:rPr>
                <w:sz w:val="16"/>
                <w:szCs w:val="16"/>
                <w:color w:val="auto"/>
              </w:rPr>
            </w:pPr>
          </w:p>
        </w:tc>
        <w:tc>
          <w:tcPr>
            <w:tcW w:w="2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w:t>
            </w:r>
          </w:p>
        </w:tc>
      </w:tr>
      <w:tr>
        <w:trPr>
          <w:trHeight w:val="200"/>
        </w:trPr>
        <w:tc>
          <w:tcPr>
            <w:tcW w:w="4640" w:type="dxa"/>
            <w:vAlign w:val="bottom"/>
          </w:tcPr>
          <w:p>
            <w:pPr>
              <w:ind w:left="20"/>
              <w:spacing w:after="0"/>
              <w:rPr>
                <w:sz w:val="20"/>
                <w:szCs w:val="20"/>
                <w:color w:val="auto"/>
              </w:rPr>
            </w:pPr>
            <w:r>
              <w:rPr>
                <w:rFonts w:ascii="Arial" w:cs="Arial" w:eastAsia="Arial" w:hAnsi="Arial"/>
                <w:sz w:val="14"/>
                <w:szCs w:val="14"/>
                <w:color w:val="auto"/>
              </w:rPr>
              <w:t>Equity-settled stock-based compensation</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4"/>
        </w:trPr>
        <w:tc>
          <w:tcPr>
            <w:tcW w:w="4640" w:type="dxa"/>
            <w:vAlign w:val="bottom"/>
          </w:tcPr>
          <w:p>
            <w:pPr>
              <w:ind w:left="2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4640" w:type="dxa"/>
            <w:vAlign w:val="bottom"/>
          </w:tcPr>
          <w:p>
            <w:pPr>
              <w:ind w:left="20"/>
              <w:spacing w:after="0"/>
              <w:rPr>
                <w:sz w:val="20"/>
                <w:szCs w:val="20"/>
                <w:color w:val="auto"/>
              </w:rPr>
            </w:pPr>
            <w:r>
              <w:rPr>
                <w:rFonts w:ascii="Arial" w:cs="Arial" w:eastAsia="Arial" w:hAnsi="Arial"/>
                <w:sz w:val="14"/>
                <w:szCs w:val="14"/>
                <w:b w:val="1"/>
                <w:bCs w:val="1"/>
                <w:color w:val="auto"/>
              </w:rPr>
              <w:t>Estimated adjusted general and administrative expenses</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7"/>
                <w:szCs w:val="17"/>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74</w:t>
            </w:r>
          </w:p>
        </w:tc>
        <w:tc>
          <w:tcPr>
            <w:tcW w:w="14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10</w:t>
            </w:r>
          </w:p>
        </w:tc>
        <w:tc>
          <w:tcPr>
            <w:tcW w:w="6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14</w:t>
            </w:r>
          </w:p>
        </w:tc>
        <w:tc>
          <w:tcPr>
            <w:tcW w:w="14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0"/>
        </w:trPr>
        <w:tc>
          <w:tcPr>
            <w:tcW w:w="4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816610</wp:posOffset>
            </wp:positionV>
            <wp:extent cx="70916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1680"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842010</wp:posOffset>
            </wp:positionV>
            <wp:extent cx="70916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1680" cy="8255"/>
                    </a:xfrm>
                    <a:prstGeom prst="rect">
                      <a:avLst/>
                    </a:prstGeom>
                    <a:noFill/>
                  </pic:spPr>
                </pic:pic>
              </a:graphicData>
            </a:graphic>
          </wp:anchor>
        </w:drawing>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Total Year 2025E</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193"/>
        </w:trPr>
        <w:tc>
          <w:tcPr>
            <w:tcW w:w="4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529"/>
              <w:spacing w:after="0"/>
              <w:rPr>
                <w:sz w:val="20"/>
                <w:szCs w:val="20"/>
                <w:color w:val="auto"/>
              </w:rPr>
            </w:pPr>
            <w:r>
              <w:rPr>
                <w:rFonts w:ascii="Arial" w:cs="Arial" w:eastAsia="Arial" w:hAnsi="Arial"/>
                <w:sz w:val="14"/>
                <w:szCs w:val="14"/>
                <w:b w:val="1"/>
                <w:bCs w:val="1"/>
                <w:color w:val="auto"/>
              </w:rPr>
              <w:t>Consolidated</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Oil and Natural Gas</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269"/>
              <w:spacing w:after="0"/>
              <w:rPr>
                <w:sz w:val="20"/>
                <w:szCs w:val="20"/>
                <w:color w:val="auto"/>
              </w:rPr>
            </w:pPr>
            <w:r>
              <w:rPr>
                <w:rFonts w:ascii="Arial" w:cs="Arial" w:eastAsia="Arial" w:hAnsi="Arial"/>
                <w:sz w:val="14"/>
                <w:szCs w:val="14"/>
                <w:b w:val="1"/>
                <w:bCs w:val="1"/>
                <w:color w:val="auto"/>
              </w:rPr>
              <w:t>Carbon Management</w:t>
            </w:r>
          </w:p>
        </w:tc>
      </w:tr>
      <w:tr>
        <w:trPr>
          <w:trHeight w:val="187"/>
        </w:trPr>
        <w:tc>
          <w:tcPr>
            <w:tcW w:w="4740" w:type="dxa"/>
            <w:vAlign w:val="bottom"/>
          </w:tcPr>
          <w:p>
            <w:pPr>
              <w:spacing w:after="0"/>
              <w:rPr>
                <w:sz w:val="20"/>
                <w:szCs w:val="20"/>
                <w:color w:val="auto"/>
              </w:rPr>
            </w:pPr>
            <w:r>
              <w:rPr>
                <w:rFonts w:ascii="Arial" w:cs="Arial" w:eastAsia="Arial" w:hAnsi="Arial"/>
                <w:sz w:val="12"/>
                <w:szCs w:val="12"/>
                <w:i w:val="1"/>
                <w:iCs w:val="1"/>
                <w:color w:val="auto"/>
              </w:rPr>
              <w:t>($ millions)</w:t>
            </w:r>
          </w:p>
        </w:tc>
        <w:tc>
          <w:tcPr>
            <w:tcW w:w="240" w:type="dxa"/>
            <w:vAlign w:val="bottom"/>
          </w:tcPr>
          <w:p>
            <w:pPr>
              <w:spacing w:after="0"/>
              <w:rPr>
                <w:sz w:val="16"/>
                <w:szCs w:val="16"/>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color w:val="auto"/>
              </w:rPr>
              <w:t>Low</w:t>
            </w:r>
          </w:p>
        </w:tc>
        <w:tc>
          <w:tcPr>
            <w:tcW w:w="220" w:type="dxa"/>
            <w:vAlign w:val="bottom"/>
          </w:tcPr>
          <w:p>
            <w:pPr>
              <w:spacing w:after="0"/>
              <w:rPr>
                <w:sz w:val="16"/>
                <w:szCs w:val="16"/>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color w:val="auto"/>
              </w:rPr>
              <w:t>High</w:t>
            </w:r>
          </w:p>
        </w:tc>
        <w:tc>
          <w:tcPr>
            <w:tcW w:w="240" w:type="dxa"/>
            <w:vAlign w:val="bottom"/>
          </w:tcPr>
          <w:p>
            <w:pPr>
              <w:spacing w:after="0"/>
              <w:rPr>
                <w:sz w:val="16"/>
                <w:szCs w:val="16"/>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color w:val="auto"/>
              </w:rPr>
              <w:t>Low</w:t>
            </w:r>
          </w:p>
        </w:tc>
        <w:tc>
          <w:tcPr>
            <w:tcW w:w="220" w:type="dxa"/>
            <w:vAlign w:val="bottom"/>
          </w:tcPr>
          <w:p>
            <w:pPr>
              <w:spacing w:after="0"/>
              <w:rPr>
                <w:sz w:val="16"/>
                <w:szCs w:val="16"/>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color w:val="auto"/>
              </w:rPr>
              <w:t>High</w:t>
            </w:r>
          </w:p>
        </w:tc>
        <w:tc>
          <w:tcPr>
            <w:tcW w:w="220" w:type="dxa"/>
            <w:vAlign w:val="bottom"/>
          </w:tcPr>
          <w:p>
            <w:pPr>
              <w:spacing w:after="0"/>
              <w:rPr>
                <w:sz w:val="16"/>
                <w:szCs w:val="16"/>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color w:val="auto"/>
              </w:rPr>
              <w:t>Low</w:t>
            </w:r>
          </w:p>
        </w:tc>
        <w:tc>
          <w:tcPr>
            <w:tcW w:w="220" w:type="dxa"/>
            <w:vAlign w:val="bottom"/>
          </w:tcPr>
          <w:p>
            <w:pPr>
              <w:spacing w:after="0"/>
              <w:rPr>
                <w:sz w:val="16"/>
                <w:szCs w:val="16"/>
                <w:color w:val="auto"/>
              </w:rPr>
            </w:pPr>
          </w:p>
        </w:tc>
        <w:tc>
          <w:tcPr>
            <w:tcW w:w="780" w:type="dxa"/>
            <w:vAlign w:val="bottom"/>
          </w:tcPr>
          <w:p>
            <w:pPr>
              <w:jc w:val="right"/>
              <w:ind w:right="289"/>
              <w:spacing w:after="0"/>
              <w:rPr>
                <w:sz w:val="20"/>
                <w:szCs w:val="20"/>
                <w:color w:val="auto"/>
              </w:rPr>
            </w:pPr>
            <w:r>
              <w:rPr>
                <w:rFonts w:ascii="Arial" w:cs="Arial" w:eastAsia="Arial" w:hAnsi="Arial"/>
                <w:sz w:val="14"/>
                <w:szCs w:val="14"/>
                <w:color w:val="auto"/>
              </w:rPr>
              <w:t>High</w:t>
            </w:r>
          </w:p>
        </w:tc>
      </w:tr>
      <w:tr>
        <w:trPr>
          <w:trHeight w:val="193"/>
        </w:trPr>
        <w:tc>
          <w:tcPr>
            <w:tcW w:w="4740" w:type="dxa"/>
            <w:vAlign w:val="bottom"/>
          </w:tcPr>
          <w:p>
            <w:pPr>
              <w:spacing w:after="0"/>
              <w:rPr>
                <w:sz w:val="20"/>
                <w:szCs w:val="20"/>
                <w:color w:val="auto"/>
              </w:rPr>
            </w:pPr>
            <w:r>
              <w:rPr>
                <w:rFonts w:ascii="Arial" w:cs="Arial" w:eastAsia="Arial" w:hAnsi="Arial"/>
                <w:sz w:val="14"/>
                <w:szCs w:val="14"/>
                <w:color w:val="auto"/>
              </w:rPr>
              <w:t>General and administrative expenses</w:t>
            </w:r>
          </w:p>
        </w:tc>
        <w:tc>
          <w:tcPr>
            <w:tcW w:w="24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310</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335</w:t>
            </w:r>
          </w:p>
        </w:tc>
        <w:tc>
          <w:tcPr>
            <w:tcW w:w="120" w:type="dxa"/>
            <w:vAlign w:val="bottom"/>
          </w:tcPr>
          <w:p>
            <w:pPr>
              <w:spacing w:after="0"/>
              <w:rPr>
                <w:sz w:val="16"/>
                <w:szCs w:val="16"/>
                <w:color w:val="auto"/>
              </w:rPr>
            </w:pPr>
          </w:p>
        </w:tc>
        <w:tc>
          <w:tcPr>
            <w:tcW w:w="24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140" w:type="dxa"/>
            <w:vAlign w:val="bottom"/>
          </w:tcPr>
          <w:p>
            <w:pPr>
              <w:spacing w:after="0"/>
              <w:rPr>
                <w:sz w:val="16"/>
                <w:szCs w:val="16"/>
                <w:color w:val="auto"/>
              </w:rPr>
            </w:pPr>
          </w:p>
        </w:tc>
        <w:tc>
          <w:tcPr>
            <w:tcW w:w="2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2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w:t>
            </w:r>
          </w:p>
        </w:tc>
      </w:tr>
      <w:tr>
        <w:trPr>
          <w:trHeight w:val="200"/>
        </w:trPr>
        <w:tc>
          <w:tcPr>
            <w:tcW w:w="4740" w:type="dxa"/>
            <w:vAlign w:val="bottom"/>
          </w:tcPr>
          <w:p>
            <w:pPr>
              <w:spacing w:after="0"/>
              <w:rPr>
                <w:sz w:val="20"/>
                <w:szCs w:val="20"/>
                <w:color w:val="auto"/>
              </w:rPr>
            </w:pPr>
            <w:r>
              <w:rPr>
                <w:rFonts w:ascii="Arial" w:cs="Arial" w:eastAsia="Arial" w:hAnsi="Arial"/>
                <w:sz w:val="14"/>
                <w:szCs w:val="14"/>
                <w:color w:val="auto"/>
              </w:rPr>
              <w:t>Equity-settled stock-based compensation</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4"/>
        </w:trPr>
        <w:tc>
          <w:tcPr>
            <w:tcW w:w="4740" w:type="dxa"/>
            <w:vAlign w:val="bottom"/>
          </w:tcPr>
          <w:p>
            <w:pPr>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4740" w:type="dxa"/>
            <w:vAlign w:val="bottom"/>
          </w:tcPr>
          <w:p>
            <w:pPr>
              <w:spacing w:after="0"/>
              <w:rPr>
                <w:sz w:val="20"/>
                <w:szCs w:val="20"/>
                <w:color w:val="auto"/>
              </w:rPr>
            </w:pPr>
            <w:r>
              <w:rPr>
                <w:rFonts w:ascii="Arial" w:cs="Arial" w:eastAsia="Arial" w:hAnsi="Arial"/>
                <w:sz w:val="14"/>
                <w:szCs w:val="14"/>
                <w:b w:val="1"/>
                <w:bCs w:val="1"/>
                <w:color w:val="auto"/>
              </w:rPr>
              <w:t>Estimated adjusted general and administrative expenses</w:t>
            </w: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289</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309</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1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w:t>
            </w:r>
          </w:p>
        </w:tc>
      </w:tr>
      <w:tr>
        <w:trPr>
          <w:trHeight w:val="20"/>
        </w:trPr>
        <w:tc>
          <w:tcPr>
            <w:tcW w:w="4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240"/>
          </w:cols>
          <w:pgMar w:left="320" w:top="1410"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5"/>
        </w:trPr>
        <w:tc>
          <w:tcPr>
            <w:tcW w:w="5440" w:type="dxa"/>
            <w:vAlign w:val="bottom"/>
          </w:tcPr>
          <w:p>
            <w:pPr>
              <w:spacing w:after="0"/>
              <w:rPr>
                <w:sz w:val="20"/>
                <w:szCs w:val="20"/>
                <w:color w:val="auto"/>
              </w:rPr>
            </w:pPr>
            <w:r>
              <w:rPr>
                <w:rFonts w:ascii="Arial" w:cs="Arial" w:eastAsia="Arial" w:hAnsi="Arial"/>
                <w:sz w:val="14"/>
                <w:szCs w:val="14"/>
                <w:b w:val="1"/>
                <w:bCs w:val="1"/>
                <w:color w:val="auto"/>
              </w:rPr>
              <w:t>ESTIMATED ADJUSTED EBITDAX RECONCILIATION</w:t>
            </w: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15"/>
        </w:trPr>
        <w:tc>
          <w:tcPr>
            <w:tcW w:w="54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5"/>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r>
      <w:tr>
        <w:trPr>
          <w:trHeight w:val="193"/>
        </w:trPr>
        <w:tc>
          <w:tcPr>
            <w:tcW w:w="5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rPr>
              <w:t>Consolidated</w:t>
            </w:r>
          </w:p>
        </w:tc>
        <w:tc>
          <w:tcPr>
            <w:tcW w:w="2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r>
      <w:tr>
        <w:trPr>
          <w:trHeight w:val="193"/>
        </w:trPr>
        <w:tc>
          <w:tcPr>
            <w:tcW w:w="5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2Q25E</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2025E</w:t>
            </w:r>
          </w:p>
        </w:tc>
        <w:tc>
          <w:tcPr>
            <w:tcW w:w="560" w:type="dxa"/>
            <w:vAlign w:val="bottom"/>
            <w:tcBorders>
              <w:bottom w:val="single" w:sz="8" w:color="auto"/>
            </w:tcBorders>
          </w:tcPr>
          <w:p>
            <w:pPr>
              <w:spacing w:after="0"/>
              <w:rPr>
                <w:sz w:val="16"/>
                <w:szCs w:val="16"/>
                <w:color w:val="auto"/>
              </w:rPr>
            </w:pPr>
          </w:p>
        </w:tc>
      </w:tr>
      <w:tr>
        <w:trPr>
          <w:trHeight w:val="188"/>
        </w:trPr>
        <w:tc>
          <w:tcPr>
            <w:tcW w:w="5440" w:type="dxa"/>
            <w:vAlign w:val="bottom"/>
          </w:tcPr>
          <w:p>
            <w:pPr>
              <w:ind w:left="20"/>
              <w:spacing w:after="0"/>
              <w:rPr>
                <w:sz w:val="20"/>
                <w:szCs w:val="20"/>
                <w:color w:val="auto"/>
              </w:rPr>
            </w:pPr>
            <w:r>
              <w:rPr>
                <w:rFonts w:ascii="Arial" w:cs="Arial" w:eastAsia="Arial" w:hAnsi="Arial"/>
                <w:sz w:val="14"/>
                <w:szCs w:val="14"/>
                <w:i w:val="1"/>
                <w:iCs w:val="1"/>
                <w:color w:val="auto"/>
              </w:rPr>
              <w:t>($ millions)</w:t>
            </w:r>
          </w:p>
        </w:tc>
        <w:tc>
          <w:tcPr>
            <w:tcW w:w="180" w:type="dxa"/>
            <w:vAlign w:val="bottom"/>
          </w:tcPr>
          <w:p>
            <w:pPr>
              <w:spacing w:after="0"/>
              <w:rPr>
                <w:sz w:val="16"/>
                <w:szCs w:val="16"/>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color w:val="auto"/>
              </w:rPr>
              <w:t>Low</w:t>
            </w:r>
          </w:p>
        </w:tc>
        <w:tc>
          <w:tcPr>
            <w:tcW w:w="200" w:type="dxa"/>
            <w:vAlign w:val="bottom"/>
          </w:tcPr>
          <w:p>
            <w:pPr>
              <w:spacing w:after="0"/>
              <w:rPr>
                <w:sz w:val="16"/>
                <w:szCs w:val="16"/>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color w:val="auto"/>
              </w:rPr>
              <w:t>High</w:t>
            </w:r>
          </w:p>
        </w:tc>
        <w:tc>
          <w:tcPr>
            <w:tcW w:w="180" w:type="dxa"/>
            <w:vAlign w:val="bottom"/>
          </w:tcPr>
          <w:p>
            <w:pPr>
              <w:spacing w:after="0"/>
              <w:rPr>
                <w:sz w:val="16"/>
                <w:szCs w:val="16"/>
                <w:color w:val="auto"/>
              </w:rPr>
            </w:pPr>
          </w:p>
        </w:tc>
        <w:tc>
          <w:tcPr>
            <w:tcW w:w="660" w:type="dxa"/>
            <w:vAlign w:val="bottom"/>
            <w:gridSpan w:val="2"/>
          </w:tcPr>
          <w:p>
            <w:pPr>
              <w:ind w:left="80"/>
              <w:spacing w:after="0"/>
              <w:rPr>
                <w:sz w:val="20"/>
                <w:szCs w:val="20"/>
                <w:color w:val="auto"/>
              </w:rPr>
            </w:pPr>
            <w:r>
              <w:rPr>
                <w:rFonts w:ascii="Arial" w:cs="Arial" w:eastAsia="Arial" w:hAnsi="Arial"/>
                <w:sz w:val="14"/>
                <w:szCs w:val="14"/>
                <w:color w:val="auto"/>
              </w:rPr>
              <w:t>Low</w:t>
            </w:r>
          </w:p>
        </w:tc>
        <w:tc>
          <w:tcPr>
            <w:tcW w:w="220" w:type="dxa"/>
            <w:vAlign w:val="bottom"/>
          </w:tcPr>
          <w:p>
            <w:pPr>
              <w:spacing w:after="0"/>
              <w:rPr>
                <w:sz w:val="16"/>
                <w:szCs w:val="16"/>
                <w:color w:val="auto"/>
              </w:rPr>
            </w:pPr>
          </w:p>
        </w:tc>
        <w:tc>
          <w:tcPr>
            <w:tcW w:w="560" w:type="dxa"/>
            <w:vAlign w:val="bottom"/>
          </w:tcPr>
          <w:p>
            <w:pPr>
              <w:jc w:val="right"/>
              <w:ind w:right="169"/>
              <w:spacing w:after="0"/>
              <w:rPr>
                <w:sz w:val="20"/>
                <w:szCs w:val="20"/>
                <w:color w:val="auto"/>
              </w:rPr>
            </w:pPr>
            <w:r>
              <w:rPr>
                <w:rFonts w:ascii="Arial" w:cs="Arial" w:eastAsia="Arial" w:hAnsi="Arial"/>
                <w:sz w:val="14"/>
                <w:szCs w:val="14"/>
                <w:color w:val="auto"/>
              </w:rPr>
              <w:t>High</w:t>
            </w:r>
          </w:p>
        </w:tc>
      </w:tr>
      <w:tr>
        <w:trPr>
          <w:trHeight w:val="193"/>
        </w:trPr>
        <w:tc>
          <w:tcPr>
            <w:tcW w:w="54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16"/>
                <w:szCs w:val="16"/>
                <w:color w:val="auto"/>
              </w:rPr>
            </w:pPr>
          </w:p>
        </w:tc>
        <w:tc>
          <w:tcPr>
            <w:tcW w:w="1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278</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292</w:t>
            </w:r>
          </w:p>
        </w:tc>
      </w:tr>
      <w:tr>
        <w:trPr>
          <w:trHeight w:val="200"/>
        </w:trPr>
        <w:tc>
          <w:tcPr>
            <w:tcW w:w="5440" w:type="dxa"/>
            <w:vAlign w:val="bottom"/>
          </w:tcPr>
          <w:p>
            <w:pPr>
              <w:ind w:left="140"/>
              <w:spacing w:after="0"/>
              <w:rPr>
                <w:sz w:val="20"/>
                <w:szCs w:val="20"/>
                <w:color w:val="auto"/>
              </w:rPr>
            </w:pPr>
            <w:r>
              <w:rPr>
                <w:rFonts w:ascii="Arial" w:cs="Arial" w:eastAsia="Arial" w:hAnsi="Arial"/>
                <w:sz w:val="14"/>
                <w:szCs w:val="14"/>
                <w:color w:val="auto"/>
              </w:rPr>
              <w:t>Interest and debt expense, net</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113</w:t>
            </w:r>
          </w:p>
        </w:tc>
      </w:tr>
      <w:tr>
        <w:trPr>
          <w:trHeight w:val="200"/>
        </w:trPr>
        <w:tc>
          <w:tcPr>
            <w:tcW w:w="5440" w:type="dxa"/>
            <w:vAlign w:val="bottom"/>
          </w:tcPr>
          <w:p>
            <w:pPr>
              <w:ind w:left="140"/>
              <w:spacing w:after="0"/>
              <w:rPr>
                <w:sz w:val="20"/>
                <w:szCs w:val="20"/>
                <w:color w:val="auto"/>
              </w:rPr>
            </w:pPr>
            <w:r>
              <w:rPr>
                <w:rFonts w:ascii="Arial" w:cs="Arial" w:eastAsia="Arial" w:hAnsi="Arial"/>
                <w:sz w:val="14"/>
                <w:szCs w:val="14"/>
                <w:color w:val="auto"/>
              </w:rPr>
              <w:t>Depreciation, depletion and amortization</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500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515</w:t>
            </w:r>
          </w:p>
        </w:tc>
      </w:tr>
      <w:tr>
        <w:trPr>
          <w:trHeight w:val="200"/>
        </w:trPr>
        <w:tc>
          <w:tcPr>
            <w:tcW w:w="5440" w:type="dxa"/>
            <w:vAlign w:val="bottom"/>
          </w:tcPr>
          <w:p>
            <w:pPr>
              <w:ind w:left="140"/>
              <w:spacing w:after="0"/>
              <w:rPr>
                <w:sz w:val="20"/>
                <w:szCs w:val="20"/>
                <w:color w:val="auto"/>
              </w:rPr>
            </w:pPr>
            <w:r>
              <w:rPr>
                <w:rFonts w:ascii="Arial" w:cs="Arial" w:eastAsia="Arial" w:hAnsi="Arial"/>
                <w:sz w:val="14"/>
                <w:szCs w:val="14"/>
                <w:color w:val="auto"/>
              </w:rPr>
              <w:t>Income taxes</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102</w:t>
            </w:r>
          </w:p>
        </w:tc>
      </w:tr>
      <w:tr>
        <w:trPr>
          <w:trHeight w:val="200"/>
        </w:trPr>
        <w:tc>
          <w:tcPr>
            <w:tcW w:w="5440" w:type="dxa"/>
            <w:vAlign w:val="bottom"/>
          </w:tcPr>
          <w:p>
            <w:pPr>
              <w:ind w:left="140"/>
              <w:spacing w:after="0"/>
              <w:rPr>
                <w:sz w:val="20"/>
                <w:szCs w:val="20"/>
                <w:color w:val="auto"/>
              </w:rPr>
            </w:pPr>
            <w:r>
              <w:rPr>
                <w:rFonts w:ascii="Arial" w:cs="Arial" w:eastAsia="Arial" w:hAnsi="Arial"/>
                <w:sz w:val="14"/>
                <w:szCs w:val="14"/>
                <w:color w:val="auto"/>
              </w:rPr>
              <w:t>Unusual, infrequent and other items</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00"/>
        </w:trPr>
        <w:tc>
          <w:tcPr>
            <w:tcW w:w="5440" w:type="dxa"/>
            <w:vAlign w:val="bottom"/>
          </w:tcPr>
          <w:p>
            <w:pPr>
              <w:ind w:left="140"/>
              <w:spacing w:after="0"/>
              <w:rPr>
                <w:sz w:val="20"/>
                <w:szCs w:val="20"/>
                <w:color w:val="auto"/>
              </w:rPr>
            </w:pPr>
            <w:r>
              <w:rPr>
                <w:rFonts w:ascii="Arial" w:cs="Arial" w:eastAsia="Arial" w:hAnsi="Arial"/>
                <w:sz w:val="14"/>
                <w:szCs w:val="14"/>
                <w:color w:val="auto"/>
              </w:rPr>
              <w:t>Other non-cash items</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0"/>
        </w:trPr>
        <w:tc>
          <w:tcPr>
            <w:tcW w:w="5440" w:type="dxa"/>
            <w:vAlign w:val="bottom"/>
          </w:tcPr>
          <w:p>
            <w:pPr>
              <w:ind w:left="240"/>
              <w:spacing w:after="0"/>
              <w:rPr>
                <w:sz w:val="20"/>
                <w:szCs w:val="20"/>
                <w:color w:val="auto"/>
              </w:rPr>
            </w:pPr>
            <w:r>
              <w:rPr>
                <w:rFonts w:ascii="Arial" w:cs="Arial" w:eastAsia="Arial" w:hAnsi="Arial"/>
                <w:sz w:val="14"/>
                <w:szCs w:val="14"/>
                <w:color w:val="auto"/>
              </w:rPr>
              <w:t>Accretion expense</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124</w:t>
            </w:r>
          </w:p>
        </w:tc>
      </w:tr>
      <w:tr>
        <w:trPr>
          <w:trHeight w:val="204"/>
        </w:trPr>
        <w:tc>
          <w:tcPr>
            <w:tcW w:w="5440" w:type="dxa"/>
            <w:vAlign w:val="bottom"/>
          </w:tcPr>
          <w:p>
            <w:pPr>
              <w:ind w:left="240"/>
              <w:spacing w:after="0"/>
              <w:rPr>
                <w:sz w:val="20"/>
                <w:szCs w:val="20"/>
                <w:color w:val="auto"/>
              </w:rPr>
            </w:pPr>
            <w:r>
              <w:rPr>
                <w:rFonts w:ascii="Arial" w:cs="Arial" w:eastAsia="Arial" w:hAnsi="Arial"/>
                <w:sz w:val="14"/>
                <w:szCs w:val="14"/>
                <w:color w:val="auto"/>
              </w:rPr>
              <w:t>Stock-settled compensation</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r>
      <w:tr>
        <w:trPr>
          <w:trHeight w:val="197"/>
        </w:trPr>
        <w:tc>
          <w:tcPr>
            <w:tcW w:w="5440" w:type="dxa"/>
            <w:vAlign w:val="bottom"/>
          </w:tcPr>
          <w:p>
            <w:pPr>
              <w:ind w:left="20"/>
              <w:spacing w:after="0"/>
              <w:rPr>
                <w:sz w:val="20"/>
                <w:szCs w:val="20"/>
                <w:color w:val="auto"/>
              </w:rPr>
            </w:pPr>
            <w:r>
              <w:rPr>
                <w:rFonts w:ascii="Arial" w:cs="Arial" w:eastAsia="Arial" w:hAnsi="Arial"/>
                <w:sz w:val="14"/>
                <w:szCs w:val="14"/>
                <w:b w:val="1"/>
                <w:bCs w:val="1"/>
                <w:color w:val="auto"/>
              </w:rPr>
              <w:t>Estimated adjusted EBITDAX</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1,100</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1,200</w:t>
            </w:r>
          </w:p>
        </w:tc>
      </w:tr>
      <w:tr>
        <w:trPr>
          <w:trHeight w:val="20"/>
        </w:trPr>
        <w:tc>
          <w:tcPr>
            <w:tcW w:w="5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359"/>
        </w:trPr>
        <w:tc>
          <w:tcPr>
            <w:tcW w:w="544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115</w:t>
            </w:r>
          </w:p>
        </w:tc>
        <w:tc>
          <w:tcPr>
            <w:tcW w:w="80" w:type="dxa"/>
            <w:vAlign w:val="bottom"/>
          </w:tcPr>
          <w:p>
            <w:pPr>
              <w:spacing w:after="0"/>
              <w:rPr>
                <w:sz w:val="24"/>
                <w:szCs w:val="24"/>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752</w:t>
            </w:r>
          </w:p>
        </w:tc>
        <w:tc>
          <w:tcPr>
            <w:tcW w:w="80" w:type="dxa"/>
            <w:vAlign w:val="bottom"/>
          </w:tcPr>
          <w:p>
            <w:pPr>
              <w:spacing w:after="0"/>
              <w:rPr>
                <w:sz w:val="24"/>
                <w:szCs w:val="24"/>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772</w:t>
            </w:r>
          </w:p>
        </w:tc>
      </w:tr>
      <w:tr>
        <w:trPr>
          <w:trHeight w:val="200"/>
        </w:trPr>
        <w:tc>
          <w:tcPr>
            <w:tcW w:w="5440" w:type="dxa"/>
            <w:vAlign w:val="bottom"/>
          </w:tcPr>
          <w:p>
            <w:pPr>
              <w:ind w:left="140"/>
              <w:spacing w:after="0"/>
              <w:rPr>
                <w:sz w:val="20"/>
                <w:szCs w:val="20"/>
                <w:color w:val="auto"/>
              </w:rPr>
            </w:pPr>
            <w:r>
              <w:rPr>
                <w:rFonts w:ascii="Arial" w:cs="Arial" w:eastAsia="Arial" w:hAnsi="Arial"/>
                <w:sz w:val="14"/>
                <w:szCs w:val="14"/>
                <w:color w:val="auto"/>
              </w:rPr>
              <w:t>Cash interest</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00"/>
        </w:trPr>
        <w:tc>
          <w:tcPr>
            <w:tcW w:w="5440" w:type="dxa"/>
            <w:vAlign w:val="bottom"/>
          </w:tcPr>
          <w:p>
            <w:pPr>
              <w:ind w:left="140"/>
              <w:spacing w:after="0"/>
              <w:rPr>
                <w:sz w:val="20"/>
                <w:szCs w:val="20"/>
                <w:color w:val="auto"/>
              </w:rPr>
            </w:pPr>
            <w:r>
              <w:rPr>
                <w:rFonts w:ascii="Arial" w:cs="Arial" w:eastAsia="Arial" w:hAnsi="Arial"/>
                <w:sz w:val="14"/>
                <w:szCs w:val="14"/>
                <w:color w:val="auto"/>
              </w:rPr>
              <w:t>Cash income taxes</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94</w:t>
            </w:r>
          </w:p>
        </w:tc>
      </w:tr>
      <w:tr>
        <w:trPr>
          <w:trHeight w:val="204"/>
        </w:trPr>
        <w:tc>
          <w:tcPr>
            <w:tcW w:w="5440" w:type="dxa"/>
            <w:vAlign w:val="bottom"/>
          </w:tcPr>
          <w:p>
            <w:pPr>
              <w:ind w:left="140"/>
              <w:spacing w:after="0"/>
              <w:rPr>
                <w:sz w:val="20"/>
                <w:szCs w:val="20"/>
                <w:color w:val="auto"/>
              </w:rPr>
            </w:pPr>
            <w:r>
              <w:rPr>
                <w:rFonts w:ascii="Arial" w:cs="Arial" w:eastAsia="Arial" w:hAnsi="Arial"/>
                <w:sz w:val="14"/>
                <w:szCs w:val="14"/>
                <w:color w:val="auto"/>
              </w:rPr>
              <w:t>Working capital changes</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w:t>
            </w:r>
          </w:p>
        </w:tc>
      </w:tr>
      <w:tr>
        <w:trPr>
          <w:trHeight w:val="197"/>
        </w:trPr>
        <w:tc>
          <w:tcPr>
            <w:tcW w:w="5440" w:type="dxa"/>
            <w:vAlign w:val="bottom"/>
          </w:tcPr>
          <w:p>
            <w:pPr>
              <w:ind w:left="20"/>
              <w:spacing w:after="0"/>
              <w:rPr>
                <w:sz w:val="20"/>
                <w:szCs w:val="20"/>
                <w:color w:val="auto"/>
              </w:rPr>
            </w:pPr>
            <w:r>
              <w:rPr>
                <w:rFonts w:ascii="Arial" w:cs="Arial" w:eastAsia="Arial" w:hAnsi="Arial"/>
                <w:sz w:val="14"/>
                <w:szCs w:val="14"/>
                <w:b w:val="1"/>
                <w:bCs w:val="1"/>
                <w:color w:val="auto"/>
              </w:rPr>
              <w:t>Estimated adjusted EBITDAX</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1,100</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1,200</w:t>
            </w:r>
          </w:p>
        </w:tc>
      </w:tr>
      <w:tr>
        <w:trPr>
          <w:trHeight w:val="20"/>
        </w:trPr>
        <w:tc>
          <w:tcPr>
            <w:tcW w:w="5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93"/>
        </w:trPr>
        <w:tc>
          <w:tcPr>
            <w:tcW w:w="5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6"/>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r>
      <w:tr>
        <w:trPr>
          <w:trHeight w:val="193"/>
        </w:trPr>
        <w:tc>
          <w:tcPr>
            <w:tcW w:w="5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4"/>
                <w:szCs w:val="14"/>
                <w:b w:val="1"/>
                <w:bCs w:val="1"/>
                <w:color w:val="auto"/>
              </w:rPr>
              <w:t>Oil and Natural Gas</w:t>
            </w:r>
            <w:r>
              <w:rPr>
                <w:rFonts w:ascii="Arial" w:cs="Arial" w:eastAsia="Arial" w:hAnsi="Arial"/>
                <w:sz w:val="9"/>
                <w:szCs w:val="9"/>
                <w:b w:val="1"/>
                <w:bCs w:val="1"/>
                <w:color w:val="auto"/>
              </w:rPr>
              <w:t>1</w:t>
            </w:r>
          </w:p>
        </w:tc>
        <w:tc>
          <w:tcPr>
            <w:tcW w:w="2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r>
      <w:tr>
        <w:trPr>
          <w:trHeight w:val="193"/>
        </w:trPr>
        <w:tc>
          <w:tcPr>
            <w:tcW w:w="5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2Q25E</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2025E</w:t>
            </w:r>
          </w:p>
        </w:tc>
        <w:tc>
          <w:tcPr>
            <w:tcW w:w="560" w:type="dxa"/>
            <w:vAlign w:val="bottom"/>
            <w:tcBorders>
              <w:bottom w:val="single" w:sz="8" w:color="auto"/>
            </w:tcBorders>
          </w:tcPr>
          <w:p>
            <w:pPr>
              <w:spacing w:after="0"/>
              <w:rPr>
                <w:sz w:val="16"/>
                <w:szCs w:val="16"/>
                <w:color w:val="auto"/>
              </w:rPr>
            </w:pPr>
          </w:p>
        </w:tc>
      </w:tr>
      <w:tr>
        <w:trPr>
          <w:trHeight w:val="188"/>
        </w:trPr>
        <w:tc>
          <w:tcPr>
            <w:tcW w:w="5440" w:type="dxa"/>
            <w:vAlign w:val="bottom"/>
          </w:tcPr>
          <w:p>
            <w:pPr>
              <w:ind w:left="20"/>
              <w:spacing w:after="0"/>
              <w:rPr>
                <w:sz w:val="20"/>
                <w:szCs w:val="20"/>
                <w:color w:val="auto"/>
              </w:rPr>
            </w:pPr>
            <w:r>
              <w:rPr>
                <w:rFonts w:ascii="Arial" w:cs="Arial" w:eastAsia="Arial" w:hAnsi="Arial"/>
                <w:sz w:val="14"/>
                <w:szCs w:val="14"/>
                <w:i w:val="1"/>
                <w:iCs w:val="1"/>
                <w:color w:val="auto"/>
              </w:rPr>
              <w:t>($ millions)</w:t>
            </w:r>
          </w:p>
        </w:tc>
        <w:tc>
          <w:tcPr>
            <w:tcW w:w="180" w:type="dxa"/>
            <w:vAlign w:val="bottom"/>
          </w:tcPr>
          <w:p>
            <w:pPr>
              <w:spacing w:after="0"/>
              <w:rPr>
                <w:sz w:val="16"/>
                <w:szCs w:val="16"/>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color w:val="auto"/>
              </w:rPr>
              <w:t>Low</w:t>
            </w:r>
          </w:p>
        </w:tc>
        <w:tc>
          <w:tcPr>
            <w:tcW w:w="200" w:type="dxa"/>
            <w:vAlign w:val="bottom"/>
          </w:tcPr>
          <w:p>
            <w:pPr>
              <w:spacing w:after="0"/>
              <w:rPr>
                <w:sz w:val="16"/>
                <w:szCs w:val="16"/>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color w:val="auto"/>
              </w:rPr>
              <w:t>High</w:t>
            </w:r>
          </w:p>
        </w:tc>
        <w:tc>
          <w:tcPr>
            <w:tcW w:w="180" w:type="dxa"/>
            <w:vAlign w:val="bottom"/>
          </w:tcPr>
          <w:p>
            <w:pPr>
              <w:spacing w:after="0"/>
              <w:rPr>
                <w:sz w:val="16"/>
                <w:szCs w:val="16"/>
                <w:color w:val="auto"/>
              </w:rPr>
            </w:pPr>
          </w:p>
        </w:tc>
        <w:tc>
          <w:tcPr>
            <w:tcW w:w="660" w:type="dxa"/>
            <w:vAlign w:val="bottom"/>
            <w:gridSpan w:val="2"/>
          </w:tcPr>
          <w:p>
            <w:pPr>
              <w:ind w:left="80"/>
              <w:spacing w:after="0"/>
              <w:rPr>
                <w:sz w:val="20"/>
                <w:szCs w:val="20"/>
                <w:color w:val="auto"/>
              </w:rPr>
            </w:pPr>
            <w:r>
              <w:rPr>
                <w:rFonts w:ascii="Arial" w:cs="Arial" w:eastAsia="Arial" w:hAnsi="Arial"/>
                <w:sz w:val="14"/>
                <w:szCs w:val="14"/>
                <w:color w:val="auto"/>
              </w:rPr>
              <w:t>Low</w:t>
            </w:r>
          </w:p>
        </w:tc>
        <w:tc>
          <w:tcPr>
            <w:tcW w:w="220" w:type="dxa"/>
            <w:vAlign w:val="bottom"/>
          </w:tcPr>
          <w:p>
            <w:pPr>
              <w:spacing w:after="0"/>
              <w:rPr>
                <w:sz w:val="16"/>
                <w:szCs w:val="16"/>
                <w:color w:val="auto"/>
              </w:rPr>
            </w:pPr>
          </w:p>
        </w:tc>
        <w:tc>
          <w:tcPr>
            <w:tcW w:w="560" w:type="dxa"/>
            <w:vAlign w:val="bottom"/>
          </w:tcPr>
          <w:p>
            <w:pPr>
              <w:jc w:val="right"/>
              <w:ind w:right="169"/>
              <w:spacing w:after="0"/>
              <w:rPr>
                <w:sz w:val="20"/>
                <w:szCs w:val="20"/>
                <w:color w:val="auto"/>
              </w:rPr>
            </w:pPr>
            <w:r>
              <w:rPr>
                <w:rFonts w:ascii="Arial" w:cs="Arial" w:eastAsia="Arial" w:hAnsi="Arial"/>
                <w:sz w:val="14"/>
                <w:szCs w:val="14"/>
                <w:color w:val="auto"/>
              </w:rPr>
              <w:t>High</w:t>
            </w:r>
          </w:p>
        </w:tc>
      </w:tr>
      <w:tr>
        <w:trPr>
          <w:trHeight w:val="193"/>
        </w:trPr>
        <w:tc>
          <w:tcPr>
            <w:tcW w:w="5440" w:type="dxa"/>
            <w:vAlign w:val="bottom"/>
          </w:tcPr>
          <w:p>
            <w:pPr>
              <w:ind w:left="20"/>
              <w:spacing w:after="0"/>
              <w:rPr>
                <w:sz w:val="20"/>
                <w:szCs w:val="20"/>
                <w:color w:val="auto"/>
              </w:rPr>
            </w:pPr>
            <w:r>
              <w:rPr>
                <w:rFonts w:ascii="Arial" w:cs="Arial" w:eastAsia="Arial" w:hAnsi="Arial"/>
                <w:sz w:val="14"/>
                <w:szCs w:val="14"/>
                <w:color w:val="auto"/>
              </w:rPr>
              <w:t>Segment profit</w:t>
            </w:r>
          </w:p>
        </w:tc>
        <w:tc>
          <w:tcPr>
            <w:tcW w:w="1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155</w:t>
            </w: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165</w:t>
            </w:r>
          </w:p>
        </w:tc>
        <w:tc>
          <w:tcPr>
            <w:tcW w:w="120" w:type="dxa"/>
            <w:vAlign w:val="bottom"/>
          </w:tcPr>
          <w:p>
            <w:pPr>
              <w:spacing w:after="0"/>
              <w:rPr>
                <w:sz w:val="16"/>
                <w:szCs w:val="16"/>
                <w:color w:val="auto"/>
              </w:rPr>
            </w:pPr>
          </w:p>
        </w:tc>
        <w:tc>
          <w:tcPr>
            <w:tcW w:w="1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660</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760</w:t>
            </w:r>
          </w:p>
        </w:tc>
      </w:tr>
      <w:tr>
        <w:trPr>
          <w:trHeight w:val="200"/>
        </w:trPr>
        <w:tc>
          <w:tcPr>
            <w:tcW w:w="5440" w:type="dxa"/>
            <w:vAlign w:val="bottom"/>
          </w:tcPr>
          <w:p>
            <w:pPr>
              <w:ind w:left="140"/>
              <w:spacing w:after="0"/>
              <w:rPr>
                <w:sz w:val="20"/>
                <w:szCs w:val="20"/>
                <w:color w:val="auto"/>
              </w:rPr>
            </w:pPr>
            <w:r>
              <w:rPr>
                <w:rFonts w:ascii="Arial" w:cs="Arial" w:eastAsia="Arial" w:hAnsi="Arial"/>
                <w:sz w:val="14"/>
                <w:szCs w:val="14"/>
                <w:color w:val="auto"/>
              </w:rPr>
              <w:t>Depreciation, depletion and amortization</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465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480</w:t>
            </w:r>
          </w:p>
        </w:tc>
      </w:tr>
      <w:tr>
        <w:trPr>
          <w:trHeight w:val="200"/>
        </w:trPr>
        <w:tc>
          <w:tcPr>
            <w:tcW w:w="5440" w:type="dxa"/>
            <w:vAlign w:val="bottom"/>
          </w:tcPr>
          <w:p>
            <w:pPr>
              <w:ind w:left="140"/>
              <w:spacing w:after="0"/>
              <w:rPr>
                <w:sz w:val="20"/>
                <w:szCs w:val="20"/>
                <w:color w:val="auto"/>
              </w:rPr>
            </w:pPr>
            <w:r>
              <w:rPr>
                <w:rFonts w:ascii="Arial" w:cs="Arial" w:eastAsia="Arial" w:hAnsi="Arial"/>
                <w:sz w:val="14"/>
                <w:szCs w:val="14"/>
                <w:color w:val="auto"/>
              </w:rPr>
              <w:t>Unusual, infrequent and other items</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00"/>
        </w:trPr>
        <w:tc>
          <w:tcPr>
            <w:tcW w:w="5440" w:type="dxa"/>
            <w:vAlign w:val="bottom"/>
          </w:tcPr>
          <w:p>
            <w:pPr>
              <w:ind w:left="140"/>
              <w:spacing w:after="0"/>
              <w:rPr>
                <w:sz w:val="20"/>
                <w:szCs w:val="20"/>
                <w:color w:val="auto"/>
              </w:rPr>
            </w:pPr>
            <w:r>
              <w:rPr>
                <w:rFonts w:ascii="Arial" w:cs="Arial" w:eastAsia="Arial" w:hAnsi="Arial"/>
                <w:sz w:val="14"/>
                <w:szCs w:val="14"/>
                <w:color w:val="auto"/>
              </w:rPr>
              <w:t>Other non-cash items</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4"/>
        </w:trPr>
        <w:tc>
          <w:tcPr>
            <w:tcW w:w="5440" w:type="dxa"/>
            <w:vAlign w:val="bottom"/>
          </w:tcPr>
          <w:p>
            <w:pPr>
              <w:ind w:left="240"/>
              <w:spacing w:after="0"/>
              <w:rPr>
                <w:sz w:val="20"/>
                <w:szCs w:val="20"/>
                <w:color w:val="auto"/>
              </w:rPr>
            </w:pPr>
            <w:r>
              <w:rPr>
                <w:rFonts w:ascii="Arial" w:cs="Arial" w:eastAsia="Arial" w:hAnsi="Arial"/>
                <w:sz w:val="14"/>
                <w:szCs w:val="14"/>
                <w:color w:val="auto"/>
              </w:rPr>
              <w:t>Accretion expense</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w:t>
            </w:r>
          </w:p>
        </w:tc>
      </w:tr>
      <w:tr>
        <w:trPr>
          <w:trHeight w:val="197"/>
        </w:trPr>
        <w:tc>
          <w:tcPr>
            <w:tcW w:w="5440" w:type="dxa"/>
            <w:vAlign w:val="bottom"/>
          </w:tcPr>
          <w:p>
            <w:pPr>
              <w:ind w:left="20"/>
              <w:spacing w:after="0"/>
              <w:rPr>
                <w:sz w:val="20"/>
                <w:szCs w:val="20"/>
                <w:color w:val="auto"/>
              </w:rPr>
            </w:pPr>
            <w:r>
              <w:rPr>
                <w:rFonts w:ascii="Arial" w:cs="Arial" w:eastAsia="Arial" w:hAnsi="Arial"/>
                <w:sz w:val="14"/>
                <w:szCs w:val="14"/>
                <w:b w:val="1"/>
                <w:bCs w:val="1"/>
                <w:color w:val="auto"/>
              </w:rPr>
              <w:t>Estimated adjusted EBITDAX</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1,205</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1,340</w:t>
            </w:r>
          </w:p>
        </w:tc>
      </w:tr>
      <w:tr>
        <w:trPr>
          <w:trHeight w:val="20"/>
        </w:trPr>
        <w:tc>
          <w:tcPr>
            <w:tcW w:w="5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07"/>
        </w:trPr>
        <w:tc>
          <w:tcPr>
            <w:tcW w:w="54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6"/>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r>
      <w:tr>
        <w:trPr>
          <w:trHeight w:val="193"/>
        </w:trPr>
        <w:tc>
          <w:tcPr>
            <w:tcW w:w="5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6"/>
          </w:tcPr>
          <w:p>
            <w:pPr>
              <w:jc w:val="center"/>
              <w:ind w:right="60"/>
              <w:spacing w:after="0" w:line="194" w:lineRule="exact"/>
              <w:rPr>
                <w:sz w:val="20"/>
                <w:szCs w:val="20"/>
                <w:color w:val="auto"/>
              </w:rPr>
            </w:pPr>
            <w:r>
              <w:rPr>
                <w:rFonts w:ascii="Arial" w:cs="Arial" w:eastAsia="Arial" w:hAnsi="Arial"/>
                <w:sz w:val="14"/>
                <w:szCs w:val="14"/>
                <w:b w:val="1"/>
                <w:bCs w:val="1"/>
                <w:color w:val="auto"/>
              </w:rPr>
              <w:t>Carbon Management</w:t>
            </w:r>
            <w:r>
              <w:rPr>
                <w:rFonts w:ascii="Arial" w:cs="Arial" w:eastAsia="Arial" w:hAnsi="Arial"/>
                <w:sz w:val="18"/>
                <w:szCs w:val="18"/>
                <w:b w:val="1"/>
                <w:bCs w:val="1"/>
                <w:color w:val="auto"/>
                <w:vertAlign w:val="superscript"/>
              </w:rPr>
              <w:t>1</w:t>
            </w:r>
          </w:p>
        </w:tc>
        <w:tc>
          <w:tcPr>
            <w:tcW w:w="2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r>
      <w:tr>
        <w:trPr>
          <w:trHeight w:val="192"/>
        </w:trPr>
        <w:tc>
          <w:tcPr>
            <w:tcW w:w="5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2Q25E</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2025E</w:t>
            </w:r>
          </w:p>
        </w:tc>
        <w:tc>
          <w:tcPr>
            <w:tcW w:w="560" w:type="dxa"/>
            <w:vAlign w:val="bottom"/>
            <w:tcBorders>
              <w:bottom w:val="single" w:sz="8" w:color="auto"/>
            </w:tcBorders>
          </w:tcPr>
          <w:p>
            <w:pPr>
              <w:spacing w:after="0"/>
              <w:rPr>
                <w:sz w:val="16"/>
                <w:szCs w:val="16"/>
                <w:color w:val="auto"/>
              </w:rPr>
            </w:pPr>
          </w:p>
        </w:tc>
      </w:tr>
      <w:tr>
        <w:trPr>
          <w:trHeight w:val="188"/>
        </w:trPr>
        <w:tc>
          <w:tcPr>
            <w:tcW w:w="5440" w:type="dxa"/>
            <w:vAlign w:val="bottom"/>
          </w:tcPr>
          <w:p>
            <w:pPr>
              <w:ind w:left="20"/>
              <w:spacing w:after="0"/>
              <w:rPr>
                <w:sz w:val="20"/>
                <w:szCs w:val="20"/>
                <w:color w:val="auto"/>
              </w:rPr>
            </w:pPr>
            <w:r>
              <w:rPr>
                <w:rFonts w:ascii="Arial" w:cs="Arial" w:eastAsia="Arial" w:hAnsi="Arial"/>
                <w:sz w:val="14"/>
                <w:szCs w:val="14"/>
                <w:i w:val="1"/>
                <w:iCs w:val="1"/>
                <w:color w:val="auto"/>
              </w:rPr>
              <w:t>($ millions)</w:t>
            </w:r>
          </w:p>
        </w:tc>
        <w:tc>
          <w:tcPr>
            <w:tcW w:w="180" w:type="dxa"/>
            <w:vAlign w:val="bottom"/>
          </w:tcPr>
          <w:p>
            <w:pPr>
              <w:spacing w:after="0"/>
              <w:rPr>
                <w:sz w:val="16"/>
                <w:szCs w:val="16"/>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color w:val="auto"/>
              </w:rPr>
              <w:t>Low</w:t>
            </w:r>
          </w:p>
        </w:tc>
        <w:tc>
          <w:tcPr>
            <w:tcW w:w="200" w:type="dxa"/>
            <w:vAlign w:val="bottom"/>
          </w:tcPr>
          <w:p>
            <w:pPr>
              <w:spacing w:after="0"/>
              <w:rPr>
                <w:sz w:val="16"/>
                <w:szCs w:val="16"/>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color w:val="auto"/>
              </w:rPr>
              <w:t>High</w:t>
            </w:r>
          </w:p>
        </w:tc>
        <w:tc>
          <w:tcPr>
            <w:tcW w:w="180" w:type="dxa"/>
            <w:vAlign w:val="bottom"/>
          </w:tcPr>
          <w:p>
            <w:pPr>
              <w:spacing w:after="0"/>
              <w:rPr>
                <w:sz w:val="16"/>
                <w:szCs w:val="16"/>
                <w:color w:val="auto"/>
              </w:rPr>
            </w:pPr>
          </w:p>
        </w:tc>
        <w:tc>
          <w:tcPr>
            <w:tcW w:w="660" w:type="dxa"/>
            <w:vAlign w:val="bottom"/>
            <w:gridSpan w:val="2"/>
          </w:tcPr>
          <w:p>
            <w:pPr>
              <w:ind w:left="80"/>
              <w:spacing w:after="0"/>
              <w:rPr>
                <w:sz w:val="20"/>
                <w:szCs w:val="20"/>
                <w:color w:val="auto"/>
              </w:rPr>
            </w:pPr>
            <w:r>
              <w:rPr>
                <w:rFonts w:ascii="Arial" w:cs="Arial" w:eastAsia="Arial" w:hAnsi="Arial"/>
                <w:sz w:val="14"/>
                <w:szCs w:val="14"/>
                <w:color w:val="auto"/>
              </w:rPr>
              <w:t>Low</w:t>
            </w:r>
          </w:p>
        </w:tc>
        <w:tc>
          <w:tcPr>
            <w:tcW w:w="220" w:type="dxa"/>
            <w:vAlign w:val="bottom"/>
          </w:tcPr>
          <w:p>
            <w:pPr>
              <w:spacing w:after="0"/>
              <w:rPr>
                <w:sz w:val="16"/>
                <w:szCs w:val="16"/>
                <w:color w:val="auto"/>
              </w:rPr>
            </w:pPr>
          </w:p>
        </w:tc>
        <w:tc>
          <w:tcPr>
            <w:tcW w:w="560" w:type="dxa"/>
            <w:vAlign w:val="bottom"/>
          </w:tcPr>
          <w:p>
            <w:pPr>
              <w:jc w:val="right"/>
              <w:ind w:right="169"/>
              <w:spacing w:after="0"/>
              <w:rPr>
                <w:sz w:val="20"/>
                <w:szCs w:val="20"/>
                <w:color w:val="auto"/>
              </w:rPr>
            </w:pPr>
            <w:r>
              <w:rPr>
                <w:rFonts w:ascii="Arial" w:cs="Arial" w:eastAsia="Arial" w:hAnsi="Arial"/>
                <w:sz w:val="14"/>
                <w:szCs w:val="14"/>
                <w:color w:val="auto"/>
              </w:rPr>
              <w:t>High</w:t>
            </w:r>
          </w:p>
        </w:tc>
      </w:tr>
      <w:tr>
        <w:trPr>
          <w:trHeight w:val="193"/>
        </w:trPr>
        <w:tc>
          <w:tcPr>
            <w:tcW w:w="5440" w:type="dxa"/>
            <w:vAlign w:val="bottom"/>
          </w:tcPr>
          <w:p>
            <w:pPr>
              <w:ind w:left="20"/>
              <w:spacing w:after="0"/>
              <w:rPr>
                <w:sz w:val="20"/>
                <w:szCs w:val="20"/>
                <w:color w:val="auto"/>
              </w:rPr>
            </w:pPr>
            <w:r>
              <w:rPr>
                <w:rFonts w:ascii="Arial" w:cs="Arial" w:eastAsia="Arial" w:hAnsi="Arial"/>
                <w:sz w:val="14"/>
                <w:szCs w:val="14"/>
                <w:color w:val="auto"/>
              </w:rPr>
              <w:t>Segment loss</w:t>
            </w:r>
          </w:p>
        </w:tc>
        <w:tc>
          <w:tcPr>
            <w:tcW w:w="1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6"/>
                <w:szCs w:val="16"/>
                <w:color w:val="auto"/>
              </w:rPr>
            </w:pPr>
          </w:p>
        </w:tc>
        <w:tc>
          <w:tcPr>
            <w:tcW w:w="1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(90)</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(110)</w:t>
            </w:r>
          </w:p>
        </w:tc>
      </w:tr>
      <w:tr>
        <w:trPr>
          <w:trHeight w:val="200"/>
        </w:trPr>
        <w:tc>
          <w:tcPr>
            <w:tcW w:w="5440" w:type="dxa"/>
            <w:vAlign w:val="bottom"/>
          </w:tcPr>
          <w:p>
            <w:pPr>
              <w:ind w:left="140"/>
              <w:spacing w:after="0"/>
              <w:rPr>
                <w:sz w:val="20"/>
                <w:szCs w:val="20"/>
                <w:color w:val="auto"/>
              </w:rPr>
            </w:pPr>
            <w:r>
              <w:rPr>
                <w:rFonts w:ascii="Arial" w:cs="Arial" w:eastAsia="Arial" w:hAnsi="Arial"/>
                <w:sz w:val="14"/>
                <w:szCs w:val="14"/>
                <w:color w:val="auto"/>
              </w:rPr>
              <w:t>Interest and debt expense, net</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00"/>
        </w:trPr>
        <w:tc>
          <w:tcPr>
            <w:tcW w:w="5440" w:type="dxa"/>
            <w:vAlign w:val="bottom"/>
          </w:tcPr>
          <w:p>
            <w:pPr>
              <w:ind w:left="140"/>
              <w:spacing w:after="0"/>
              <w:rPr>
                <w:sz w:val="20"/>
                <w:szCs w:val="20"/>
                <w:color w:val="auto"/>
              </w:rPr>
            </w:pPr>
            <w:r>
              <w:rPr>
                <w:rFonts w:ascii="Arial" w:cs="Arial" w:eastAsia="Arial" w:hAnsi="Arial"/>
                <w:sz w:val="14"/>
                <w:szCs w:val="14"/>
                <w:color w:val="auto"/>
              </w:rPr>
              <w:t>Loss from investment on unconsolidated subsidiary</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00"/>
        </w:trPr>
        <w:tc>
          <w:tcPr>
            <w:tcW w:w="5440" w:type="dxa"/>
            <w:vAlign w:val="bottom"/>
          </w:tcPr>
          <w:p>
            <w:pPr>
              <w:ind w:left="140"/>
              <w:spacing w:after="0"/>
              <w:rPr>
                <w:sz w:val="20"/>
                <w:szCs w:val="20"/>
                <w:color w:val="auto"/>
              </w:rPr>
            </w:pPr>
            <w:r>
              <w:rPr>
                <w:rFonts w:ascii="Arial" w:cs="Arial" w:eastAsia="Arial" w:hAnsi="Arial"/>
                <w:sz w:val="14"/>
                <w:szCs w:val="14"/>
                <w:color w:val="auto"/>
              </w:rPr>
              <w:t>Other non-cash items</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4"/>
        </w:trPr>
        <w:tc>
          <w:tcPr>
            <w:tcW w:w="5440" w:type="dxa"/>
            <w:vAlign w:val="bottom"/>
          </w:tcPr>
          <w:p>
            <w:pPr>
              <w:ind w:left="140"/>
              <w:spacing w:after="0"/>
              <w:rPr>
                <w:sz w:val="20"/>
                <w:szCs w:val="20"/>
                <w:color w:val="auto"/>
              </w:rPr>
            </w:pPr>
            <w:r>
              <w:rPr>
                <w:rFonts w:ascii="Arial" w:cs="Arial" w:eastAsia="Arial" w:hAnsi="Arial"/>
                <w:sz w:val="14"/>
                <w:szCs w:val="14"/>
                <w:color w:val="auto"/>
              </w:rPr>
              <w:t>Stock-settled compensation</w:t>
            </w:r>
          </w:p>
        </w:tc>
        <w:tc>
          <w:tcPr>
            <w:tcW w:w="18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5440" w:type="dxa"/>
            <w:vAlign w:val="bottom"/>
          </w:tcPr>
          <w:p>
            <w:pPr>
              <w:ind w:left="20"/>
              <w:spacing w:after="0"/>
              <w:rPr>
                <w:sz w:val="20"/>
                <w:szCs w:val="20"/>
                <w:color w:val="auto"/>
              </w:rPr>
            </w:pPr>
            <w:r>
              <w:rPr>
                <w:rFonts w:ascii="Arial" w:cs="Arial" w:eastAsia="Arial" w:hAnsi="Arial"/>
                <w:sz w:val="14"/>
                <w:szCs w:val="14"/>
                <w:b w:val="1"/>
                <w:bCs w:val="1"/>
                <w:color w:val="auto"/>
              </w:rPr>
              <w:t>Estimated adjusted EBITDAX</w:t>
            </w: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(85)</w:t>
            </w:r>
          </w:p>
        </w:tc>
      </w:tr>
      <w:tr>
        <w:trPr>
          <w:trHeight w:val="20"/>
        </w:trPr>
        <w:tc>
          <w:tcPr>
            <w:tcW w:w="5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816610</wp:posOffset>
            </wp:positionV>
            <wp:extent cx="70916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1680"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842010</wp:posOffset>
            </wp:positionV>
            <wp:extent cx="70916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1680" cy="8255"/>
                    </a:xfrm>
                    <a:prstGeom prst="rect">
                      <a:avLst/>
                    </a:prstGeom>
                    <a:noFill/>
                  </pic:spPr>
                </pic:pic>
              </a:graphicData>
            </a:graphic>
          </wp:anchor>
        </w:drawing>
      </w:r>
    </w:p>
    <w:p>
      <w:pPr>
        <w:ind w:left="20" w:right="1419" w:firstLine="4"/>
        <w:spacing w:after="0" w:line="219" w:lineRule="auto"/>
        <w:tabs>
          <w:tab w:leader="none" w:pos="153" w:val="left"/>
        </w:tabs>
        <w:numPr>
          <w:ilvl w:val="0"/>
          <w:numId w:val="9"/>
        </w:numPr>
        <w:rPr>
          <w:rFonts w:ascii="Arial" w:cs="Arial" w:eastAsia="Arial" w:hAnsi="Arial"/>
          <w:sz w:val="15"/>
          <w:szCs w:val="15"/>
          <w:color w:val="auto"/>
          <w:vertAlign w:val="superscript"/>
        </w:rPr>
      </w:pPr>
      <w:r>
        <w:rPr>
          <w:rFonts w:ascii="Arial" w:cs="Arial" w:eastAsia="Arial" w:hAnsi="Arial"/>
          <w:sz w:val="12"/>
          <w:szCs w:val="12"/>
          <w:color w:val="auto"/>
        </w:rPr>
        <w:t>A reconciliation of the non-GAAP measure of segment adjusted EBITDAX cannot be reconciled to the comparable measure of operating cash flow prepared in accordance with GAAP without unreasonable effort.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0139"/>
          </w:cols>
          <w:pgMar w:left="320" w:top="1410" w:right="1440" w:bottom="1440" w:gutter="0" w:footer="0" w:header="0"/>
        </w:sectPr>
      </w:pPr>
    </w:p>
    <w:bookmarkStart w:id="15" w:name="page16"/>
    <w:bookmarkEnd w:id="15"/>
    <w:p>
      <w:pPr>
        <w:ind w:left="10300"/>
        <w:spacing w:after="0"/>
        <w:rPr>
          <w:sz w:val="20"/>
          <w:szCs w:val="20"/>
          <w:color w:val="auto"/>
        </w:rPr>
      </w:pPr>
      <w:r>
        <w:rPr>
          <w:rFonts w:ascii="Arial" w:cs="Arial" w:eastAsia="Arial" w:hAnsi="Arial"/>
          <w:sz w:val="14"/>
          <w:szCs w:val="14"/>
          <w:b w:val="1"/>
          <w:bCs w:val="1"/>
          <w:color w:val="auto"/>
        </w:rPr>
        <w:t>Attachment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22225</wp:posOffset>
            </wp:positionV>
            <wp:extent cx="71342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47625</wp:posOffset>
            </wp:positionV>
            <wp:extent cx="71342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NON-GAAP FINANCIAL MEASURES AND RECONCILIATIONS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To supplement the presentation of its financial results prepared in accordance with U.S generally accepted accounting principles (GAAP), management uses certain non-GAAP</w:t>
      </w:r>
    </w:p>
    <w:p>
      <w:pPr>
        <w:spacing w:after="0" w:line="208" w:lineRule="auto"/>
        <w:rPr>
          <w:sz w:val="20"/>
          <w:szCs w:val="20"/>
          <w:color w:val="auto"/>
        </w:rPr>
      </w:pPr>
      <w:r>
        <w:rPr>
          <w:rFonts w:ascii="Arial" w:cs="Arial" w:eastAsia="Arial" w:hAnsi="Arial"/>
          <w:sz w:val="14"/>
          <w:szCs w:val="14"/>
          <w:color w:val="auto"/>
        </w:rPr>
        <w:t>measures to assess its financial condition, results of operations and cash flows. The non-GAAP measures include adjusted net income (loss), adjusted EBITDAX, adjusted EBITDAX for the oil and natural gas segment, adjusted EBITDAX for the carbon management business, net cash provided by operating activities before net changes in operating</w:t>
      </w:r>
    </w:p>
    <w:p>
      <w:pPr>
        <w:jc w:val="center"/>
        <w:spacing w:after="0" w:line="219" w:lineRule="auto"/>
        <w:rPr>
          <w:sz w:val="20"/>
          <w:szCs w:val="20"/>
          <w:color w:val="auto"/>
        </w:rPr>
      </w:pPr>
      <w:r>
        <w:rPr>
          <w:rFonts w:ascii="Arial" w:cs="Arial" w:eastAsia="Arial" w:hAnsi="Arial"/>
          <w:sz w:val="14"/>
          <w:szCs w:val="14"/>
          <w:color w:val="auto"/>
        </w:rPr>
        <w:t>assets and liabilities, free cash flow, adjusted general and administrative expenses, and operating costs per BOE. These measures are also widely used by the industry, the</w:t>
      </w:r>
    </w:p>
    <w:p>
      <w:pPr>
        <w:spacing w:after="0" w:line="1" w:lineRule="exact"/>
        <w:rPr>
          <w:sz w:val="20"/>
          <w:szCs w:val="20"/>
          <w:color w:val="auto"/>
        </w:rPr>
      </w:pPr>
    </w:p>
    <w:p>
      <w:pPr>
        <w:spacing w:after="0" w:line="208" w:lineRule="auto"/>
        <w:rPr>
          <w:sz w:val="20"/>
          <w:szCs w:val="20"/>
          <w:color w:val="auto"/>
        </w:rPr>
      </w:pPr>
      <w:r>
        <w:rPr>
          <w:rFonts w:ascii="Arial" w:cs="Arial" w:eastAsia="Arial" w:hAnsi="Arial"/>
          <w:sz w:val="14"/>
          <w:szCs w:val="14"/>
          <w:color w:val="auto"/>
        </w:rPr>
        <w:t>investment community and CRC's lenders. Although these are non-GAAP measures, the amounts included in the calculations were computed in accordance with GAAP. Certain items excluded from these non-GAAP measures are significant components in understanding and assessing CRC's financial performance, such as CRC's cost of capital and tax</w:t>
      </w:r>
    </w:p>
    <w:p>
      <w:pPr>
        <w:spacing w:after="0" w:line="219" w:lineRule="auto"/>
        <w:rPr>
          <w:sz w:val="20"/>
          <w:szCs w:val="20"/>
          <w:color w:val="auto"/>
        </w:rPr>
      </w:pPr>
      <w:r>
        <w:rPr>
          <w:rFonts w:ascii="Arial" w:cs="Arial" w:eastAsia="Arial" w:hAnsi="Arial"/>
          <w:sz w:val="14"/>
          <w:szCs w:val="14"/>
          <w:color w:val="auto"/>
        </w:rPr>
        <w:t>structure, as well as the effect of acquisition and development costs of CRC's assets. Management believes that the non-GAAP measures presented, when viewed in combination</w:t>
      </w:r>
    </w:p>
    <w:p>
      <w:pPr>
        <w:spacing w:after="0" w:line="1" w:lineRule="exact"/>
        <w:rPr>
          <w:sz w:val="20"/>
          <w:szCs w:val="20"/>
          <w:color w:val="auto"/>
        </w:rPr>
      </w:pPr>
    </w:p>
    <w:p>
      <w:pPr>
        <w:spacing w:after="0" w:line="208" w:lineRule="auto"/>
        <w:rPr>
          <w:sz w:val="20"/>
          <w:szCs w:val="20"/>
          <w:color w:val="auto"/>
        </w:rPr>
      </w:pPr>
      <w:r>
        <w:rPr>
          <w:rFonts w:ascii="Arial" w:cs="Arial" w:eastAsia="Arial" w:hAnsi="Arial"/>
          <w:sz w:val="14"/>
          <w:szCs w:val="14"/>
          <w:color w:val="auto"/>
        </w:rPr>
        <w:t>with CRC's financial and operating results prepared in accordance with GAAP, provide a more complete understanding of the factors and trends affecting the Company's performance. The non-GAAP measures presented herein may not be comparable to other similarly titled measures of other companies. Below are additional disclosures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regarding each of the non-GAAP measures reported in this earnings release, including reconciliations to their most directly comparable GAAP measure where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258445</wp:posOffset>
            </wp:positionV>
            <wp:extent cx="71170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70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283845</wp:posOffset>
            </wp:positionV>
            <wp:extent cx="71170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7080"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ADJUSTED NET INCOME (LOSS)</w:t>
      </w:r>
    </w:p>
    <w:p>
      <w:pPr>
        <w:spacing w:after="0" w:line="92" w:lineRule="exact"/>
        <w:rPr>
          <w:sz w:val="20"/>
          <w:szCs w:val="20"/>
          <w:color w:val="auto"/>
        </w:rPr>
      </w:pPr>
    </w:p>
    <w:p>
      <w:pPr>
        <w:ind w:left="20" w:right="20"/>
        <w:spacing w:after="0" w:line="219" w:lineRule="auto"/>
        <w:rPr>
          <w:sz w:val="20"/>
          <w:szCs w:val="20"/>
          <w:color w:val="auto"/>
        </w:rPr>
      </w:pPr>
      <w:r>
        <w:rPr>
          <w:rFonts w:ascii="Arial" w:cs="Arial" w:eastAsia="Arial" w:hAnsi="Arial"/>
          <w:sz w:val="14"/>
          <w:szCs w:val="14"/>
          <w:color w:val="auto"/>
        </w:rPr>
        <w:t>Adjusted net income (loss) and adjusted net income (loss) per share are non-GAAP measures. CRC defines adjusted net income as net income excluding the effects of significant transactions and events that affect earnings but vary widely and unpredictably in nature, timing and amount. These events may recur, even across successive reporting</w:t>
      </w:r>
    </w:p>
    <w:p>
      <w:pPr>
        <w:ind w:left="20"/>
        <w:spacing w:after="0" w:line="218" w:lineRule="auto"/>
        <w:rPr>
          <w:sz w:val="20"/>
          <w:szCs w:val="20"/>
          <w:color w:val="auto"/>
        </w:rPr>
      </w:pPr>
      <w:r>
        <w:rPr>
          <w:rFonts w:ascii="Arial" w:cs="Arial" w:eastAsia="Arial" w:hAnsi="Arial"/>
          <w:sz w:val="14"/>
          <w:szCs w:val="14"/>
          <w:color w:val="auto"/>
        </w:rPr>
        <w:t>periods. Management believes these non-GAAP measures provide useful information to the industry and the investment community interested in comparing CRC's financial</w:t>
      </w:r>
    </w:p>
    <w:p>
      <w:pPr>
        <w:ind w:left="20" w:right="20"/>
        <w:spacing w:after="0" w:line="208" w:lineRule="auto"/>
        <w:rPr>
          <w:sz w:val="20"/>
          <w:szCs w:val="20"/>
          <w:color w:val="auto"/>
        </w:rPr>
      </w:pPr>
      <w:r>
        <w:rPr>
          <w:rFonts w:ascii="Arial" w:cs="Arial" w:eastAsia="Arial" w:hAnsi="Arial"/>
          <w:sz w:val="14"/>
          <w:szCs w:val="14"/>
          <w:color w:val="auto"/>
        </w:rPr>
        <w:t>performance between periods. Reported earnings are considered representative of management's performance over the long term. Adjusted net income (loss) is not considered to be an alternative to net income (loss) reported in accordance with GAAP. The following table presents a reconciliation of the GAAP financial measure of net income and net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income attributable to common stock per share to the non-GAAP financial measure of adjusted net income and adjusted net income per share.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1st Quarter</w:t>
            </w:r>
          </w:p>
        </w:tc>
        <w:tc>
          <w:tcPr>
            <w:tcW w:w="16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4th Quarter</w:t>
            </w:r>
          </w:p>
        </w:tc>
        <w:tc>
          <w:tcPr>
            <w:tcW w:w="140" w:type="dxa"/>
            <w:vAlign w:val="bottom"/>
          </w:tcPr>
          <w:p>
            <w:pPr>
              <w:spacing w:after="0"/>
              <w:rPr>
                <w:sz w:val="16"/>
                <w:szCs w:val="16"/>
                <w:color w:val="auto"/>
              </w:rPr>
            </w:pPr>
          </w:p>
        </w:tc>
        <w:tc>
          <w:tcPr>
            <w:tcW w:w="1020" w:type="dxa"/>
            <w:vAlign w:val="bottom"/>
          </w:tcPr>
          <w:p>
            <w:pPr>
              <w:jc w:val="right"/>
              <w:ind w:right="129"/>
              <w:spacing w:after="0"/>
              <w:rPr>
                <w:sz w:val="20"/>
                <w:szCs w:val="20"/>
                <w:color w:val="auto"/>
              </w:rPr>
            </w:pPr>
            <w:r>
              <w:rPr>
                <w:rFonts w:ascii="Arial" w:cs="Arial" w:eastAsia="Arial" w:hAnsi="Arial"/>
                <w:sz w:val="14"/>
                <w:szCs w:val="14"/>
                <w:b w:val="1"/>
                <w:bCs w:val="1"/>
                <w:color w:val="auto"/>
              </w:rPr>
              <w:t>1st Quarter</w:t>
            </w:r>
          </w:p>
        </w:tc>
      </w:tr>
      <w:tr>
        <w:trPr>
          <w:trHeight w:val="201"/>
        </w:trPr>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 except per share amounts)</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2024</w:t>
            </w:r>
          </w:p>
        </w:tc>
      </w:tr>
      <w:tr>
        <w:trPr>
          <w:trHeight w:val="193"/>
        </w:trPr>
        <w:tc>
          <w:tcPr>
            <w:tcW w:w="750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115</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(10)</w:t>
            </w:r>
          </w:p>
        </w:tc>
      </w:tr>
      <w:tr>
        <w:trPr>
          <w:trHeight w:val="194"/>
        </w:trPr>
        <w:tc>
          <w:tcPr>
            <w:tcW w:w="7500" w:type="dxa"/>
            <w:vAlign w:val="bottom"/>
            <w:gridSpan w:val="2"/>
          </w:tcPr>
          <w:p>
            <w:pPr>
              <w:ind w:left="20"/>
              <w:spacing w:after="0"/>
              <w:rPr>
                <w:sz w:val="20"/>
                <w:szCs w:val="20"/>
                <w:color w:val="auto"/>
              </w:rPr>
            </w:pPr>
            <w:r>
              <w:rPr>
                <w:rFonts w:ascii="Arial" w:cs="Arial" w:eastAsia="Arial" w:hAnsi="Arial"/>
                <w:sz w:val="14"/>
                <w:szCs w:val="14"/>
                <w:color w:val="auto"/>
              </w:rPr>
              <w:t>Unusual, infrequent and other items:</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6"/>
        </w:trPr>
        <w:tc>
          <w:tcPr>
            <w:tcW w:w="7500" w:type="dxa"/>
            <w:vAlign w:val="bottom"/>
            <w:gridSpan w:val="2"/>
          </w:tcPr>
          <w:p>
            <w:pPr>
              <w:ind w:left="140"/>
              <w:spacing w:after="0"/>
              <w:rPr>
                <w:sz w:val="20"/>
                <w:szCs w:val="20"/>
                <w:color w:val="auto"/>
              </w:rPr>
            </w:pPr>
            <w:r>
              <w:rPr>
                <w:rFonts w:ascii="Arial" w:cs="Arial" w:eastAsia="Arial" w:hAnsi="Arial"/>
                <w:sz w:val="14"/>
                <w:szCs w:val="14"/>
                <w:color w:val="auto"/>
              </w:rPr>
              <w:t>Non-cash derivative loss (gain)</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51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59</w:t>
            </w:r>
          </w:p>
        </w:tc>
      </w:tr>
      <w:tr>
        <w:trPr>
          <w:trHeight w:val="200"/>
        </w:trPr>
        <w:tc>
          <w:tcPr>
            <w:tcW w:w="7500" w:type="dxa"/>
            <w:vAlign w:val="bottom"/>
            <w:gridSpan w:val="2"/>
          </w:tcPr>
          <w:p>
            <w:pPr>
              <w:ind w:left="140"/>
              <w:spacing w:after="0"/>
              <w:rPr>
                <w:sz w:val="20"/>
                <w:szCs w:val="20"/>
                <w:color w:val="auto"/>
              </w:rPr>
            </w:pPr>
            <w:r>
              <w:rPr>
                <w:rFonts w:ascii="Arial" w:cs="Arial" w:eastAsia="Arial" w:hAnsi="Arial"/>
                <w:sz w:val="14"/>
                <w:szCs w:val="14"/>
                <w:color w:val="auto"/>
              </w:rPr>
              <w:t>Asset impairment</w:t>
            </w:r>
          </w:p>
        </w:tc>
        <w:tc>
          <w:tcPr>
            <w:tcW w:w="1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00"/>
        </w:trPr>
        <w:tc>
          <w:tcPr>
            <w:tcW w:w="7500" w:type="dxa"/>
            <w:vAlign w:val="bottom"/>
            <w:gridSpan w:val="2"/>
          </w:tcPr>
          <w:p>
            <w:pPr>
              <w:ind w:left="140"/>
              <w:spacing w:after="0"/>
              <w:rPr>
                <w:sz w:val="20"/>
                <w:szCs w:val="20"/>
                <w:color w:val="auto"/>
              </w:rPr>
            </w:pPr>
            <w:r>
              <w:rPr>
                <w:rFonts w:ascii="Arial" w:cs="Arial" w:eastAsia="Arial" w:hAnsi="Arial"/>
                <w:sz w:val="14"/>
                <w:szCs w:val="14"/>
                <w:color w:val="auto"/>
              </w:rPr>
              <w:t>Severance and termination costs</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00"/>
        </w:trPr>
        <w:tc>
          <w:tcPr>
            <w:tcW w:w="7500" w:type="dxa"/>
            <w:vAlign w:val="bottom"/>
            <w:gridSpan w:val="2"/>
          </w:tcPr>
          <w:p>
            <w:pPr>
              <w:ind w:left="140"/>
              <w:spacing w:after="0"/>
              <w:rPr>
                <w:sz w:val="20"/>
                <w:szCs w:val="20"/>
                <w:color w:val="auto"/>
              </w:rPr>
            </w:pPr>
            <w:r>
              <w:rPr>
                <w:rFonts w:ascii="Arial" w:cs="Arial" w:eastAsia="Arial" w:hAnsi="Arial"/>
                <w:sz w:val="14"/>
                <w:szCs w:val="14"/>
                <w:color w:val="auto"/>
              </w:rPr>
              <w:t>Aera merger related costs</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13</w:t>
            </w:r>
          </w:p>
        </w:tc>
      </w:tr>
      <w:tr>
        <w:trPr>
          <w:trHeight w:val="200"/>
        </w:trPr>
        <w:tc>
          <w:tcPr>
            <w:tcW w:w="7500" w:type="dxa"/>
            <w:vAlign w:val="bottom"/>
            <w:gridSpan w:val="2"/>
          </w:tcPr>
          <w:p>
            <w:pPr>
              <w:ind w:left="140"/>
              <w:spacing w:after="0"/>
              <w:rPr>
                <w:sz w:val="20"/>
                <w:szCs w:val="20"/>
                <w:color w:val="auto"/>
              </w:rPr>
            </w:pPr>
            <w:r>
              <w:rPr>
                <w:rFonts w:ascii="Arial" w:cs="Arial" w:eastAsia="Arial" w:hAnsi="Arial"/>
                <w:sz w:val="14"/>
                <w:szCs w:val="14"/>
                <w:color w:val="auto"/>
              </w:rPr>
              <w:t>Increased power and fuel costs due to power plant maintenance</w:t>
            </w:r>
          </w:p>
        </w:tc>
        <w:tc>
          <w:tcPr>
            <w:tcW w:w="1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21</w:t>
            </w:r>
          </w:p>
        </w:tc>
      </w:tr>
      <w:tr>
        <w:trPr>
          <w:trHeight w:val="200"/>
        </w:trPr>
        <w:tc>
          <w:tcPr>
            <w:tcW w:w="7500" w:type="dxa"/>
            <w:vAlign w:val="bottom"/>
            <w:gridSpan w:val="2"/>
          </w:tcPr>
          <w:p>
            <w:pPr>
              <w:ind w:left="140"/>
              <w:spacing w:after="0"/>
              <w:rPr>
                <w:sz w:val="20"/>
                <w:szCs w:val="20"/>
                <w:color w:val="auto"/>
              </w:rPr>
            </w:pPr>
            <w:r>
              <w:rPr>
                <w:rFonts w:ascii="Arial" w:cs="Arial" w:eastAsia="Arial" w:hAnsi="Arial"/>
                <w:sz w:val="14"/>
                <w:szCs w:val="14"/>
                <w:color w:val="auto"/>
              </w:rPr>
              <w:t>Net gain on asset divestitures</w:t>
            </w:r>
          </w:p>
        </w:tc>
        <w:tc>
          <w:tcPr>
            <w:tcW w:w="1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(6)</w:t>
            </w:r>
          </w:p>
        </w:tc>
      </w:tr>
      <w:tr>
        <w:trPr>
          <w:trHeight w:val="200"/>
        </w:trPr>
        <w:tc>
          <w:tcPr>
            <w:tcW w:w="7500" w:type="dxa"/>
            <w:vAlign w:val="bottom"/>
            <w:gridSpan w:val="2"/>
          </w:tcPr>
          <w:p>
            <w:pPr>
              <w:ind w:left="140"/>
              <w:spacing w:after="0"/>
              <w:rPr>
                <w:sz w:val="20"/>
                <w:szCs w:val="20"/>
                <w:color w:val="auto"/>
              </w:rPr>
            </w:pPr>
            <w:r>
              <w:rPr>
                <w:rFonts w:ascii="Arial" w:cs="Arial" w:eastAsia="Arial" w:hAnsi="Arial"/>
                <w:sz w:val="14"/>
                <w:szCs w:val="14"/>
                <w:color w:val="auto"/>
              </w:rPr>
              <w:t>Loss on early extinguishment of debt</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00"/>
        </w:trPr>
        <w:tc>
          <w:tcPr>
            <w:tcW w:w="7500" w:type="dxa"/>
            <w:vAlign w:val="bottom"/>
            <w:gridSpan w:val="2"/>
          </w:tcPr>
          <w:p>
            <w:pPr>
              <w:ind w:left="140"/>
              <w:spacing w:after="0"/>
              <w:rPr>
                <w:sz w:val="20"/>
                <w:szCs w:val="20"/>
                <w:color w:val="auto"/>
              </w:rPr>
            </w:pPr>
            <w:r>
              <w:rPr>
                <w:rFonts w:ascii="Arial" w:cs="Arial" w:eastAsia="Arial" w:hAnsi="Arial"/>
                <w:sz w:val="14"/>
                <w:szCs w:val="14"/>
                <w:color w:val="auto"/>
              </w:rPr>
              <w:t>Measurement period adjustments</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00"/>
        </w:trPr>
        <w:tc>
          <w:tcPr>
            <w:tcW w:w="7500" w:type="dxa"/>
            <w:vAlign w:val="bottom"/>
            <w:gridSpan w:val="2"/>
          </w:tcPr>
          <w:p>
            <w:pPr>
              <w:ind w:left="140"/>
              <w:spacing w:after="0"/>
              <w:rPr>
                <w:sz w:val="20"/>
                <w:szCs w:val="20"/>
                <w:color w:val="auto"/>
              </w:rPr>
            </w:pPr>
            <w:r>
              <w:rPr>
                <w:rFonts w:ascii="Arial" w:cs="Arial" w:eastAsia="Arial" w:hAnsi="Arial"/>
                <w:sz w:val="14"/>
                <w:szCs w:val="14"/>
                <w:color w:val="auto"/>
              </w:rPr>
              <w:t>Other, net</w:t>
            </w: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r>
      <w:tr>
        <w:trPr>
          <w:trHeight w:val="193"/>
        </w:trPr>
        <w:tc>
          <w:tcPr>
            <w:tcW w:w="7500" w:type="dxa"/>
            <w:vAlign w:val="bottom"/>
            <w:gridSpan w:val="2"/>
          </w:tcPr>
          <w:p>
            <w:pPr>
              <w:ind w:left="220"/>
              <w:spacing w:after="0"/>
              <w:rPr>
                <w:sz w:val="20"/>
                <w:szCs w:val="20"/>
                <w:color w:val="auto"/>
              </w:rPr>
            </w:pPr>
            <w:r>
              <w:rPr>
                <w:rFonts w:ascii="Arial" w:cs="Arial" w:eastAsia="Arial" w:hAnsi="Arial"/>
                <w:sz w:val="14"/>
                <w:szCs w:val="14"/>
                <w:color w:val="auto"/>
              </w:rPr>
              <w:t>Total unusual, infrequent and other items</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70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89</w:t>
            </w:r>
          </w:p>
        </w:tc>
      </w:tr>
      <w:tr>
        <w:trPr>
          <w:trHeight w:val="200"/>
        </w:trPr>
        <w:tc>
          <w:tcPr>
            <w:tcW w:w="7500" w:type="dxa"/>
            <w:vAlign w:val="bottom"/>
            <w:gridSpan w:val="2"/>
          </w:tcPr>
          <w:p>
            <w:pPr>
              <w:ind w:left="140"/>
              <w:spacing w:after="0"/>
              <w:rPr>
                <w:sz w:val="20"/>
                <w:szCs w:val="20"/>
                <w:color w:val="auto"/>
              </w:rPr>
            </w:pPr>
            <w:r>
              <w:rPr>
                <w:rFonts w:ascii="Arial" w:cs="Arial" w:eastAsia="Arial" w:hAnsi="Arial"/>
                <w:sz w:val="14"/>
                <w:szCs w:val="14"/>
                <w:color w:val="auto"/>
              </w:rPr>
              <w:t>Income tax (benefit) provision of adjustments at effective tax rate</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(25)</w:t>
            </w:r>
          </w:p>
        </w:tc>
      </w:tr>
      <w:tr>
        <w:trPr>
          <w:trHeight w:val="200"/>
        </w:trPr>
        <w:tc>
          <w:tcPr>
            <w:tcW w:w="7500" w:type="dxa"/>
            <w:vAlign w:val="bottom"/>
            <w:gridSpan w:val="2"/>
          </w:tcPr>
          <w:p>
            <w:pPr>
              <w:ind w:left="140"/>
              <w:spacing w:after="0"/>
              <w:rPr>
                <w:sz w:val="20"/>
                <w:szCs w:val="20"/>
                <w:color w:val="auto"/>
              </w:rPr>
            </w:pPr>
            <w:r>
              <w:rPr>
                <w:rFonts w:ascii="Arial" w:cs="Arial" w:eastAsia="Arial" w:hAnsi="Arial"/>
                <w:sz w:val="14"/>
                <w:szCs w:val="14"/>
                <w:color w:val="auto"/>
              </w:rPr>
              <w:t>Income tax benefit - out of period</w:t>
            </w:r>
          </w:p>
        </w:tc>
        <w:tc>
          <w:tcPr>
            <w:tcW w:w="1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55"/>
        </w:trPr>
        <w:tc>
          <w:tcPr>
            <w:tcW w:w="7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193"/>
        </w:trPr>
        <w:tc>
          <w:tcPr>
            <w:tcW w:w="7500" w:type="dxa"/>
            <w:vAlign w:val="bottom"/>
            <w:gridSpan w:val="2"/>
          </w:tcPr>
          <w:p>
            <w:pPr>
              <w:ind w:left="20"/>
              <w:spacing w:after="0"/>
              <w:rPr>
                <w:sz w:val="20"/>
                <w:szCs w:val="20"/>
                <w:color w:val="auto"/>
              </w:rPr>
            </w:pPr>
            <w:r>
              <w:rPr>
                <w:rFonts w:ascii="Arial" w:cs="Arial" w:eastAsia="Arial" w:hAnsi="Arial"/>
                <w:sz w:val="14"/>
                <w:szCs w:val="14"/>
                <w:color w:val="auto"/>
              </w:rPr>
              <w:t>Adjusted net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98</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84</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54</w:t>
            </w:r>
          </w:p>
        </w:tc>
      </w:tr>
      <w:tr>
        <w:trPr>
          <w:trHeight w:val="20"/>
        </w:trPr>
        <w:tc>
          <w:tcPr>
            <w:tcW w:w="7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18"/>
        </w:trPr>
        <w:tc>
          <w:tcPr>
            <w:tcW w:w="7500" w:type="dxa"/>
            <w:vAlign w:val="bottom"/>
            <w:gridSpan w:val="2"/>
          </w:tcPr>
          <w:p>
            <w:pPr>
              <w:ind w:left="20"/>
              <w:spacing w:after="0"/>
              <w:rPr>
                <w:sz w:val="20"/>
                <w:szCs w:val="20"/>
                <w:color w:val="auto"/>
              </w:rPr>
            </w:pPr>
            <w:r>
              <w:rPr>
                <w:rFonts w:ascii="Arial" w:cs="Arial" w:eastAsia="Arial" w:hAnsi="Arial"/>
                <w:sz w:val="14"/>
                <w:szCs w:val="14"/>
                <w:color w:val="auto"/>
              </w:rPr>
              <w:t>Net income per share - basic</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1.27</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0.36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(0.14)</w:t>
            </w:r>
          </w:p>
        </w:tc>
      </w:tr>
      <w:tr>
        <w:trPr>
          <w:trHeight w:val="200"/>
        </w:trPr>
        <w:tc>
          <w:tcPr>
            <w:tcW w:w="7500" w:type="dxa"/>
            <w:vAlign w:val="bottom"/>
            <w:gridSpan w:val="2"/>
          </w:tcPr>
          <w:p>
            <w:pPr>
              <w:ind w:left="20"/>
              <w:spacing w:after="0"/>
              <w:rPr>
                <w:sz w:val="20"/>
                <w:szCs w:val="20"/>
                <w:color w:val="auto"/>
              </w:rPr>
            </w:pPr>
            <w:r>
              <w:rPr>
                <w:rFonts w:ascii="Arial" w:cs="Arial" w:eastAsia="Arial" w:hAnsi="Arial"/>
                <w:sz w:val="14"/>
                <w:szCs w:val="14"/>
                <w:color w:val="auto"/>
              </w:rPr>
              <w:t>Net income per share - diluted</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1.26</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0.36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(0.14)</w:t>
            </w:r>
          </w:p>
        </w:tc>
      </w:tr>
      <w:tr>
        <w:trPr>
          <w:trHeight w:val="200"/>
        </w:trPr>
        <w:tc>
          <w:tcPr>
            <w:tcW w:w="7500" w:type="dxa"/>
            <w:vAlign w:val="bottom"/>
            <w:gridSpan w:val="2"/>
          </w:tcPr>
          <w:p>
            <w:pPr>
              <w:ind w:left="20"/>
              <w:spacing w:after="0"/>
              <w:rPr>
                <w:sz w:val="20"/>
                <w:szCs w:val="20"/>
                <w:color w:val="auto"/>
              </w:rPr>
            </w:pPr>
            <w:r>
              <w:rPr>
                <w:rFonts w:ascii="Arial" w:cs="Arial" w:eastAsia="Arial" w:hAnsi="Arial"/>
                <w:sz w:val="14"/>
                <w:szCs w:val="14"/>
                <w:color w:val="auto"/>
              </w:rPr>
              <w:t>Adjusted net income per share - basic</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1.08</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0.93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0.78</w:t>
            </w:r>
          </w:p>
        </w:tc>
      </w:tr>
      <w:tr>
        <w:trPr>
          <w:trHeight w:val="200"/>
        </w:trPr>
        <w:tc>
          <w:tcPr>
            <w:tcW w:w="7500" w:type="dxa"/>
            <w:vAlign w:val="bottom"/>
            <w:gridSpan w:val="2"/>
          </w:tcPr>
          <w:p>
            <w:pPr>
              <w:ind w:left="20"/>
              <w:spacing w:after="0"/>
              <w:rPr>
                <w:sz w:val="20"/>
                <w:szCs w:val="20"/>
                <w:color w:val="auto"/>
              </w:rPr>
            </w:pPr>
            <w:r>
              <w:rPr>
                <w:rFonts w:ascii="Arial" w:cs="Arial" w:eastAsia="Arial" w:hAnsi="Arial"/>
                <w:sz w:val="14"/>
                <w:szCs w:val="14"/>
                <w:color w:val="auto"/>
              </w:rPr>
              <w:t>Adjusted net income per share - diluted</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1.07</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0.91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0.75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200"/>
          </w:cols>
          <w:pgMar w:left="340" w:top="1050" w:right="359" w:bottom="1440" w:gutter="0" w:footer="0" w:header="0"/>
        </w:sectPr>
      </w:pPr>
    </w:p>
    <w:bookmarkStart w:id="16" w:name="page17"/>
    <w:bookmarkEnd w:id="16"/>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215900</wp:posOffset>
            </wp:positionH>
            <wp:positionV relativeFrom="page">
              <wp:posOffset>664210</wp:posOffset>
            </wp:positionV>
            <wp:extent cx="71170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7080" cy="8255"/>
                    </a:xfrm>
                    <a:prstGeom prst="rect">
                      <a:avLst/>
                    </a:prstGeom>
                    <a:noFill/>
                  </pic:spPr>
                </pic:pic>
              </a:graphicData>
            </a:graphic>
          </wp:anchor>
        </w:drawing>
        <w:drawing>
          <wp:anchor simplePos="0" relativeHeight="251657728" behindDoc="1" locked="0" layoutInCell="0" allowOverlap="1">
            <wp:simplePos x="0" y="0"/>
            <wp:positionH relativeFrom="page">
              <wp:posOffset>215900</wp:posOffset>
            </wp:positionH>
            <wp:positionV relativeFrom="page">
              <wp:posOffset>689610</wp:posOffset>
            </wp:positionV>
            <wp:extent cx="71170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7080" cy="8255"/>
                    </a:xfrm>
                    <a:prstGeom prst="rect">
                      <a:avLst/>
                    </a:prstGeom>
                    <a:noFill/>
                  </pic:spPr>
                </pic:pic>
              </a:graphicData>
            </a:graphic>
          </wp:anchor>
        </w:drawing>
        <w:t>ADJUSTED EBITDAX</w:t>
      </w:r>
    </w:p>
    <w:p>
      <w:pPr>
        <w:spacing w:after="0" w:line="132" w:lineRule="exact"/>
        <w:rPr>
          <w:sz w:val="20"/>
          <w:szCs w:val="20"/>
          <w:color w:val="auto"/>
        </w:rPr>
      </w:pPr>
    </w:p>
    <w:p>
      <w:pPr>
        <w:jc w:val="both"/>
        <w:ind w:left="20"/>
        <w:spacing w:after="0" w:line="245" w:lineRule="auto"/>
        <w:rPr>
          <w:sz w:val="20"/>
          <w:szCs w:val="20"/>
          <w:color w:val="auto"/>
        </w:rPr>
      </w:pPr>
      <w:r>
        <w:rPr>
          <w:rFonts w:ascii="Arial" w:cs="Arial" w:eastAsia="Arial" w:hAnsi="Arial"/>
          <w:sz w:val="14"/>
          <w:szCs w:val="14"/>
          <w:color w:val="auto"/>
        </w:rPr>
        <w:t>CRC defines adjusted EBITDAX as earnings before interest expense; income taxes; depreciation, depletion and amortization; exploration expense; other unusual, infrequent and out-of-period items; and other non-cash items. CRC believes this measure provides useful information in assessing its financial condition, results of operations and cash flows and is widely used by the industry, the investment community and its lenders. Although this is a non-GAAP measure, the amounts included in the calculation were computed in accordance with GAAP. Certain items excluded from this non-GAAP measure are significant components in understanding and assessing CRC’s financial performance, such as its cost of capital and tax structure, as well as depreciation, depletion and amortization of CRC's assets. This measure should be read in conjunction with the information contained in CRC’s financial statements prepared in accordance with GAAP. A version of adjusted EBITDAX is a material component of certain of its financial covenants under CRC's Revolving Credit Facility and is provided in addition to, and not as an alternative for, income and liquidity measures calculated in accordance with GAAP.</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following table represents a reconciliation of the GAAP financial measures of net income and net cash provided by operating activities to the non-GAAP financial measure of</w:t>
      </w:r>
    </w:p>
    <w:p>
      <w:pPr>
        <w:spacing w:after="0" w:line="13" w:lineRule="exact"/>
        <w:rPr>
          <w:sz w:val="20"/>
          <w:szCs w:val="20"/>
          <w:color w:val="auto"/>
        </w:rPr>
      </w:pPr>
    </w:p>
    <w:p>
      <w:pPr>
        <w:jc w:val="both"/>
        <w:ind w:left="20" w:right="20"/>
        <w:spacing w:after="0" w:line="228" w:lineRule="auto"/>
        <w:rPr>
          <w:sz w:val="20"/>
          <w:szCs w:val="20"/>
          <w:color w:val="auto"/>
        </w:rPr>
      </w:pPr>
      <w:r>
        <w:rPr>
          <w:rFonts w:ascii="Arial" w:cs="Arial" w:eastAsia="Arial" w:hAnsi="Arial"/>
          <w:sz w:val="14"/>
          <w:szCs w:val="14"/>
          <w:color w:val="auto"/>
        </w:rPr>
        <w:t>adjusted EBITDAX. CRC has supplemented its non-GAAP measures of consolidated adjusted EBITDAX with adjusted EBITDAX for its oil and gas segment (E&amp;P adjusted EBITDAX) and its carbon management segment (CMB adjusted EBITDAX). Management believes these supplemental measures are useful for investors to understand the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results of the core oil and gas business and its investment in developing the carbon management business.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1st Quarter</w:t>
            </w:r>
          </w:p>
        </w:tc>
        <w:tc>
          <w:tcPr>
            <w:tcW w:w="200" w:type="dxa"/>
            <w:vAlign w:val="bottom"/>
          </w:tcPr>
          <w:p>
            <w:pPr>
              <w:spacing w:after="0"/>
              <w:rPr>
                <w:sz w:val="16"/>
                <w:szCs w:val="16"/>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4th Quarter</w:t>
            </w:r>
          </w:p>
        </w:tc>
        <w:tc>
          <w:tcPr>
            <w:tcW w:w="160" w:type="dxa"/>
            <w:vAlign w:val="bottom"/>
          </w:tcPr>
          <w:p>
            <w:pPr>
              <w:spacing w:after="0"/>
              <w:rPr>
                <w:sz w:val="16"/>
                <w:szCs w:val="16"/>
                <w:color w:val="auto"/>
              </w:rPr>
            </w:pPr>
          </w:p>
        </w:tc>
        <w:tc>
          <w:tcPr>
            <w:tcW w:w="1080" w:type="dxa"/>
            <w:vAlign w:val="bottom"/>
          </w:tcPr>
          <w:p>
            <w:pPr>
              <w:jc w:val="right"/>
              <w:ind w:right="169"/>
              <w:spacing w:after="0"/>
              <w:rPr>
                <w:sz w:val="20"/>
                <w:szCs w:val="20"/>
                <w:color w:val="auto"/>
              </w:rPr>
            </w:pPr>
            <w:r>
              <w:rPr>
                <w:rFonts w:ascii="Arial" w:cs="Arial" w:eastAsia="Arial" w:hAnsi="Arial"/>
                <w:sz w:val="14"/>
                <w:szCs w:val="14"/>
                <w:b w:val="1"/>
                <w:bCs w:val="1"/>
                <w:color w:val="auto"/>
              </w:rPr>
              <w:t>1st Quarter</w:t>
            </w:r>
          </w:p>
        </w:tc>
      </w:tr>
      <w:tr>
        <w:trPr>
          <w:trHeight w:val="201"/>
        </w:trPr>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 except per BOE amounts)</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2024</w:t>
            </w:r>
          </w:p>
        </w:tc>
      </w:tr>
      <w:tr>
        <w:trPr>
          <w:trHeight w:val="193"/>
        </w:trPr>
        <w:tc>
          <w:tcPr>
            <w:tcW w:w="710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115</w:t>
            </w:r>
          </w:p>
        </w:tc>
        <w:tc>
          <w:tcPr>
            <w:tcW w:w="10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33</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(10)</w:t>
            </w:r>
          </w:p>
        </w:tc>
      </w:tr>
      <w:tr>
        <w:trPr>
          <w:trHeight w:val="200"/>
        </w:trPr>
        <w:tc>
          <w:tcPr>
            <w:tcW w:w="7100" w:type="dxa"/>
            <w:vAlign w:val="bottom"/>
            <w:gridSpan w:val="2"/>
          </w:tcPr>
          <w:p>
            <w:pPr>
              <w:ind w:left="140"/>
              <w:spacing w:after="0"/>
              <w:rPr>
                <w:sz w:val="20"/>
                <w:szCs w:val="20"/>
                <w:color w:val="auto"/>
              </w:rPr>
            </w:pPr>
            <w:r>
              <w:rPr>
                <w:rFonts w:ascii="Arial" w:cs="Arial" w:eastAsia="Arial" w:hAnsi="Arial"/>
                <w:sz w:val="14"/>
                <w:szCs w:val="14"/>
                <w:color w:val="auto"/>
              </w:rPr>
              <w:t>Interest and debt expense</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13</w:t>
            </w:r>
          </w:p>
        </w:tc>
      </w:tr>
      <w:tr>
        <w:trPr>
          <w:trHeight w:val="200"/>
        </w:trPr>
        <w:tc>
          <w:tcPr>
            <w:tcW w:w="7100" w:type="dxa"/>
            <w:vAlign w:val="bottom"/>
            <w:gridSpan w:val="2"/>
          </w:tcPr>
          <w:p>
            <w:pPr>
              <w:ind w:left="140"/>
              <w:spacing w:after="0"/>
              <w:rPr>
                <w:sz w:val="20"/>
                <w:szCs w:val="20"/>
                <w:color w:val="auto"/>
              </w:rPr>
            </w:pPr>
            <w:r>
              <w:rPr>
                <w:rFonts w:ascii="Arial" w:cs="Arial" w:eastAsia="Arial" w:hAnsi="Arial"/>
                <w:sz w:val="14"/>
                <w:szCs w:val="14"/>
                <w:color w:val="auto"/>
              </w:rPr>
              <w:t>Depreciation, depletion and amortization</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131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142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53</w:t>
            </w:r>
          </w:p>
        </w:tc>
      </w:tr>
      <w:tr>
        <w:trPr>
          <w:trHeight w:val="200"/>
        </w:trPr>
        <w:tc>
          <w:tcPr>
            <w:tcW w:w="7100" w:type="dxa"/>
            <w:vAlign w:val="bottom"/>
            <w:gridSpan w:val="2"/>
          </w:tcPr>
          <w:p>
            <w:pPr>
              <w:ind w:left="140"/>
              <w:spacing w:after="0"/>
              <w:rPr>
                <w:sz w:val="20"/>
                <w:szCs w:val="20"/>
                <w:color w:val="auto"/>
              </w:rPr>
            </w:pPr>
            <w:r>
              <w:rPr>
                <w:rFonts w:ascii="Arial" w:cs="Arial" w:eastAsia="Arial" w:hAnsi="Arial"/>
                <w:sz w:val="14"/>
                <w:szCs w:val="14"/>
                <w:color w:val="auto"/>
              </w:rPr>
              <w:t>Income tax provision</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(9)</w:t>
            </w:r>
          </w:p>
        </w:tc>
      </w:tr>
      <w:tr>
        <w:trPr>
          <w:trHeight w:val="200"/>
        </w:trPr>
        <w:tc>
          <w:tcPr>
            <w:tcW w:w="7100" w:type="dxa"/>
            <w:vAlign w:val="bottom"/>
            <w:gridSpan w:val="2"/>
          </w:tcPr>
          <w:p>
            <w:pPr>
              <w:ind w:left="140"/>
              <w:spacing w:after="0"/>
              <w:rPr>
                <w:sz w:val="20"/>
                <w:szCs w:val="20"/>
                <w:color w:val="auto"/>
              </w:rPr>
            </w:pPr>
            <w:r>
              <w:rPr>
                <w:rFonts w:ascii="Arial" w:cs="Arial" w:eastAsia="Arial" w:hAnsi="Arial"/>
                <w:sz w:val="14"/>
                <w:szCs w:val="14"/>
                <w:color w:val="auto"/>
              </w:rPr>
              <w:t>Exploration expense</w:t>
            </w:r>
          </w:p>
        </w:tc>
        <w:tc>
          <w:tcPr>
            <w:tcW w:w="2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r>
        <w:trPr>
          <w:trHeight w:val="200"/>
        </w:trPr>
        <w:tc>
          <w:tcPr>
            <w:tcW w:w="7100" w:type="dxa"/>
            <w:vAlign w:val="bottom"/>
            <w:gridSpan w:val="2"/>
          </w:tcPr>
          <w:p>
            <w:pPr>
              <w:ind w:left="140"/>
              <w:spacing w:after="0"/>
              <w:rPr>
                <w:sz w:val="20"/>
                <w:szCs w:val="20"/>
                <w:color w:val="auto"/>
              </w:rPr>
            </w:pPr>
            <w:r>
              <w:rPr>
                <w:rFonts w:ascii="Arial" w:cs="Arial" w:eastAsia="Arial" w:hAnsi="Arial"/>
                <w:sz w:val="14"/>
                <w:szCs w:val="14"/>
                <w:color w:val="auto"/>
              </w:rPr>
              <w:t>Interest income</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(6)</w:t>
            </w:r>
          </w:p>
        </w:tc>
      </w:tr>
      <w:tr>
        <w:trPr>
          <w:trHeight w:val="200"/>
        </w:trPr>
        <w:tc>
          <w:tcPr>
            <w:tcW w:w="7100" w:type="dxa"/>
            <w:vAlign w:val="bottom"/>
            <w:gridSpan w:val="2"/>
          </w:tcPr>
          <w:p>
            <w:pPr>
              <w:ind w:left="140"/>
              <w:spacing w:after="0"/>
              <w:rPr>
                <w:sz w:val="20"/>
                <w:szCs w:val="20"/>
                <w:color w:val="auto"/>
              </w:rPr>
            </w:pPr>
            <w:r>
              <w:rPr>
                <w:rFonts w:ascii="Arial" w:cs="Arial" w:eastAsia="Arial" w:hAnsi="Arial"/>
                <w:sz w:val="14"/>
                <w:szCs w:val="14"/>
                <w:color w:val="auto"/>
              </w:rPr>
              <w:t>Loss from investment in unconsolidated subsidiaries</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05"/>
        </w:trPr>
        <w:tc>
          <w:tcPr>
            <w:tcW w:w="7100" w:type="dxa"/>
            <w:vAlign w:val="bottom"/>
            <w:gridSpan w:val="2"/>
          </w:tcPr>
          <w:p>
            <w:pPr>
              <w:ind w:left="140"/>
              <w:spacing w:after="0" w:line="205" w:lineRule="exact"/>
              <w:rPr>
                <w:sz w:val="20"/>
                <w:szCs w:val="20"/>
                <w:color w:val="auto"/>
              </w:rPr>
            </w:pPr>
            <w:r>
              <w:rPr>
                <w:rFonts w:ascii="Arial" w:cs="Arial" w:eastAsia="Arial" w:hAnsi="Arial"/>
                <w:sz w:val="14"/>
                <w:szCs w:val="14"/>
                <w:color w:val="auto"/>
              </w:rPr>
              <w:t xml:space="preserve">Unusual, infrequent and other items </w:t>
            </w:r>
            <w:r>
              <w:rPr>
                <w:rFonts w:ascii="Arial" w:cs="Arial" w:eastAsia="Arial" w:hAnsi="Arial"/>
                <w:sz w:val="18"/>
                <w:szCs w:val="18"/>
                <w:color w:val="auto"/>
                <w:vertAlign w:val="superscript"/>
              </w:rPr>
              <w:t>(1)</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70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89</w:t>
            </w:r>
          </w:p>
        </w:tc>
      </w:tr>
      <w:tr>
        <w:trPr>
          <w:trHeight w:val="189"/>
        </w:trPr>
        <w:tc>
          <w:tcPr>
            <w:tcW w:w="7100" w:type="dxa"/>
            <w:vAlign w:val="bottom"/>
            <w:gridSpan w:val="2"/>
          </w:tcPr>
          <w:p>
            <w:pPr>
              <w:ind w:left="140"/>
              <w:spacing w:after="0"/>
              <w:rPr>
                <w:sz w:val="20"/>
                <w:szCs w:val="20"/>
                <w:color w:val="auto"/>
              </w:rPr>
            </w:pPr>
            <w:r>
              <w:rPr>
                <w:rFonts w:ascii="Arial" w:cs="Arial" w:eastAsia="Arial" w:hAnsi="Arial"/>
                <w:sz w:val="14"/>
                <w:szCs w:val="14"/>
                <w:color w:val="auto"/>
              </w:rPr>
              <w:t>Non-cash items</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6"/>
        </w:trPr>
        <w:tc>
          <w:tcPr>
            <w:tcW w:w="7100" w:type="dxa"/>
            <w:vAlign w:val="bottom"/>
            <w:gridSpan w:val="2"/>
          </w:tcPr>
          <w:p>
            <w:pPr>
              <w:ind w:left="240"/>
              <w:spacing w:after="0"/>
              <w:rPr>
                <w:sz w:val="20"/>
                <w:szCs w:val="20"/>
                <w:color w:val="auto"/>
              </w:rPr>
            </w:pPr>
            <w:r>
              <w:rPr>
                <w:rFonts w:ascii="Arial" w:cs="Arial" w:eastAsia="Arial" w:hAnsi="Arial"/>
                <w:sz w:val="14"/>
                <w:szCs w:val="14"/>
                <w:color w:val="auto"/>
              </w:rPr>
              <w:t>Accretion expense</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12</w:t>
            </w:r>
          </w:p>
        </w:tc>
      </w:tr>
      <w:tr>
        <w:trPr>
          <w:trHeight w:val="200"/>
        </w:trPr>
        <w:tc>
          <w:tcPr>
            <w:tcW w:w="7100" w:type="dxa"/>
            <w:vAlign w:val="bottom"/>
            <w:gridSpan w:val="2"/>
          </w:tcPr>
          <w:p>
            <w:pPr>
              <w:ind w:left="260"/>
              <w:spacing w:after="0"/>
              <w:rPr>
                <w:sz w:val="20"/>
                <w:szCs w:val="20"/>
                <w:color w:val="auto"/>
              </w:rPr>
            </w:pPr>
            <w:r>
              <w:rPr>
                <w:rFonts w:ascii="Arial" w:cs="Arial" w:eastAsia="Arial" w:hAnsi="Arial"/>
                <w:sz w:val="14"/>
                <w:szCs w:val="14"/>
                <w:color w:val="auto"/>
              </w:rPr>
              <w:t>Stock-based compensation</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5</w:t>
            </w:r>
          </w:p>
        </w:tc>
      </w:tr>
      <w:tr>
        <w:trPr>
          <w:trHeight w:val="200"/>
        </w:trPr>
        <w:tc>
          <w:tcPr>
            <w:tcW w:w="7100" w:type="dxa"/>
            <w:vAlign w:val="bottom"/>
            <w:gridSpan w:val="2"/>
          </w:tcPr>
          <w:p>
            <w:pPr>
              <w:ind w:left="260"/>
              <w:spacing w:after="0"/>
              <w:rPr>
                <w:sz w:val="20"/>
                <w:szCs w:val="20"/>
                <w:color w:val="auto"/>
              </w:rPr>
            </w:pPr>
            <w:r>
              <w:rPr>
                <w:rFonts w:ascii="Arial" w:cs="Arial" w:eastAsia="Arial" w:hAnsi="Arial"/>
                <w:sz w:val="14"/>
                <w:szCs w:val="14"/>
                <w:color w:val="auto"/>
              </w:rPr>
              <w:t>Taxes related to acquisition accounting and other</w:t>
            </w:r>
          </w:p>
        </w:tc>
        <w:tc>
          <w:tcPr>
            <w:tcW w:w="2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01"/>
        </w:trPr>
        <w:tc>
          <w:tcPr>
            <w:tcW w:w="7100" w:type="dxa"/>
            <w:vAlign w:val="bottom"/>
            <w:gridSpan w:val="2"/>
          </w:tcPr>
          <w:p>
            <w:pPr>
              <w:ind w:left="260"/>
              <w:spacing w:after="0"/>
              <w:rPr>
                <w:sz w:val="20"/>
                <w:szCs w:val="20"/>
                <w:color w:val="auto"/>
              </w:rPr>
            </w:pPr>
            <w:r>
              <w:rPr>
                <w:rFonts w:ascii="Arial" w:cs="Arial" w:eastAsia="Arial" w:hAnsi="Arial"/>
                <w:sz w:val="14"/>
                <w:szCs w:val="14"/>
                <w:color w:val="auto"/>
              </w:rPr>
              <w:t>Pension and post-retirement benefits</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r>
        <w:trPr>
          <w:trHeight w:val="194"/>
        </w:trPr>
        <w:tc>
          <w:tcPr>
            <w:tcW w:w="710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EBITDAX</w:t>
            </w: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328</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316</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149</w:t>
            </w: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78"/>
        </w:trPr>
        <w:tc>
          <w:tcPr>
            <w:tcW w:w="7100" w:type="dxa"/>
            <w:vAlign w:val="bottom"/>
            <w:gridSpan w:val="2"/>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186</w:t>
            </w:r>
          </w:p>
        </w:tc>
        <w:tc>
          <w:tcPr>
            <w:tcW w:w="100" w:type="dxa"/>
            <w:vAlign w:val="bottom"/>
          </w:tcPr>
          <w:p>
            <w:pPr>
              <w:spacing w:after="0"/>
              <w:rPr>
                <w:sz w:val="24"/>
                <w:szCs w:val="24"/>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206</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87</w:t>
            </w:r>
          </w:p>
        </w:tc>
      </w:tr>
      <w:tr>
        <w:trPr>
          <w:trHeight w:val="200"/>
        </w:trPr>
        <w:tc>
          <w:tcPr>
            <w:tcW w:w="7100" w:type="dxa"/>
            <w:vAlign w:val="bottom"/>
            <w:gridSpan w:val="2"/>
          </w:tcPr>
          <w:p>
            <w:pPr>
              <w:ind w:left="140"/>
              <w:spacing w:after="0"/>
              <w:rPr>
                <w:sz w:val="20"/>
                <w:szCs w:val="20"/>
                <w:color w:val="auto"/>
              </w:rPr>
            </w:pPr>
            <w:r>
              <w:rPr>
                <w:rFonts w:ascii="Arial" w:cs="Arial" w:eastAsia="Arial" w:hAnsi="Arial"/>
                <w:sz w:val="14"/>
                <w:szCs w:val="14"/>
                <w:color w:val="auto"/>
              </w:rPr>
              <w:t>Cash interest payments</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21</w:t>
            </w:r>
          </w:p>
        </w:tc>
      </w:tr>
      <w:tr>
        <w:trPr>
          <w:trHeight w:val="200"/>
        </w:trPr>
        <w:tc>
          <w:tcPr>
            <w:tcW w:w="7100" w:type="dxa"/>
            <w:vAlign w:val="bottom"/>
            <w:gridSpan w:val="2"/>
          </w:tcPr>
          <w:p>
            <w:pPr>
              <w:ind w:left="140"/>
              <w:spacing w:after="0"/>
              <w:rPr>
                <w:sz w:val="20"/>
                <w:szCs w:val="20"/>
                <w:color w:val="auto"/>
              </w:rPr>
            </w:pPr>
            <w:r>
              <w:rPr>
                <w:rFonts w:ascii="Arial" w:cs="Arial" w:eastAsia="Arial" w:hAnsi="Arial"/>
                <w:sz w:val="14"/>
                <w:szCs w:val="14"/>
                <w:color w:val="auto"/>
              </w:rPr>
              <w:t>Cash interest received</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(6)</w:t>
            </w:r>
          </w:p>
        </w:tc>
      </w:tr>
      <w:tr>
        <w:trPr>
          <w:trHeight w:val="200"/>
        </w:trPr>
        <w:tc>
          <w:tcPr>
            <w:tcW w:w="7100" w:type="dxa"/>
            <w:vAlign w:val="bottom"/>
            <w:gridSpan w:val="2"/>
          </w:tcPr>
          <w:p>
            <w:pPr>
              <w:ind w:left="140"/>
              <w:spacing w:after="0"/>
              <w:rPr>
                <w:sz w:val="20"/>
                <w:szCs w:val="20"/>
                <w:color w:val="auto"/>
              </w:rPr>
            </w:pPr>
            <w:r>
              <w:rPr>
                <w:rFonts w:ascii="Arial" w:cs="Arial" w:eastAsia="Arial" w:hAnsi="Arial"/>
                <w:sz w:val="14"/>
                <w:szCs w:val="14"/>
                <w:color w:val="auto"/>
              </w:rPr>
              <w:t>Cash income taxes</w:t>
            </w:r>
          </w:p>
        </w:tc>
        <w:tc>
          <w:tcPr>
            <w:tcW w:w="2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50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22</w:t>
            </w:r>
          </w:p>
        </w:tc>
      </w:tr>
      <w:tr>
        <w:trPr>
          <w:trHeight w:val="200"/>
        </w:trPr>
        <w:tc>
          <w:tcPr>
            <w:tcW w:w="7100" w:type="dxa"/>
            <w:vAlign w:val="bottom"/>
            <w:gridSpan w:val="2"/>
          </w:tcPr>
          <w:p>
            <w:pPr>
              <w:ind w:left="140"/>
              <w:spacing w:after="0"/>
              <w:rPr>
                <w:sz w:val="20"/>
                <w:szCs w:val="20"/>
                <w:color w:val="auto"/>
              </w:rPr>
            </w:pPr>
            <w:r>
              <w:rPr>
                <w:rFonts w:ascii="Arial" w:cs="Arial" w:eastAsia="Arial" w:hAnsi="Arial"/>
                <w:sz w:val="14"/>
                <w:szCs w:val="14"/>
                <w:color w:val="auto"/>
              </w:rPr>
              <w:t>Exploration expenditures</w:t>
            </w:r>
          </w:p>
        </w:tc>
        <w:tc>
          <w:tcPr>
            <w:tcW w:w="2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r>
        <w:trPr>
          <w:trHeight w:val="201"/>
        </w:trPr>
        <w:tc>
          <w:tcPr>
            <w:tcW w:w="7100" w:type="dxa"/>
            <w:vAlign w:val="bottom"/>
            <w:gridSpan w:val="2"/>
          </w:tcPr>
          <w:p>
            <w:pPr>
              <w:ind w:left="140"/>
              <w:spacing w:after="0"/>
              <w:rPr>
                <w:sz w:val="20"/>
                <w:szCs w:val="20"/>
                <w:color w:val="auto"/>
              </w:rPr>
            </w:pPr>
            <w:r>
              <w:rPr>
                <w:rFonts w:ascii="Arial" w:cs="Arial" w:eastAsia="Arial" w:hAnsi="Arial"/>
                <w:sz w:val="14"/>
                <w:szCs w:val="14"/>
                <w:color w:val="auto"/>
              </w:rPr>
              <w:t>Adjustments to working capital changes</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134</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w:t>
            </w:r>
          </w:p>
        </w:tc>
      </w:tr>
      <w:tr>
        <w:trPr>
          <w:trHeight w:val="194"/>
        </w:trPr>
        <w:tc>
          <w:tcPr>
            <w:tcW w:w="710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EBITDAX</w:t>
            </w: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328</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316</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149</w:t>
            </w: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72"/>
        </w:trPr>
        <w:tc>
          <w:tcPr>
            <w:tcW w:w="710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EBITDAX per Boe</w:t>
            </w: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25.92</w:t>
            </w:r>
          </w:p>
        </w:tc>
        <w:tc>
          <w:tcPr>
            <w:tcW w:w="100" w:type="dxa"/>
            <w:vAlign w:val="bottom"/>
          </w:tcPr>
          <w:p>
            <w:pPr>
              <w:spacing w:after="0"/>
              <w:rPr>
                <w:sz w:val="23"/>
                <w:szCs w:val="23"/>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24.35</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21.47</w:t>
            </w:r>
          </w:p>
        </w:tc>
      </w:tr>
    </w:tbl>
    <w:p>
      <w:pPr>
        <w:spacing w:after="0" w:line="216" w:lineRule="exact"/>
        <w:rPr>
          <w:sz w:val="20"/>
          <w:szCs w:val="20"/>
          <w:color w:val="auto"/>
        </w:rPr>
      </w:pPr>
    </w:p>
    <w:p>
      <w:pPr>
        <w:ind w:left="20"/>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 xml:space="preserve"> See Adjusted Net Income (Loss) reconciliation.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200"/>
          </w:cols>
          <w:pgMar w:left="340" w:top="1103" w:right="359" w:bottom="1440" w:gutter="0" w:footer="0" w:header="0"/>
        </w:sectPr>
      </w:pPr>
    </w:p>
    <w:bookmarkStart w:id="17" w:name="page18"/>
    <w:bookmarkEnd w:id="17"/>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224155</wp:posOffset>
            </wp:positionH>
            <wp:positionV relativeFrom="page">
              <wp:posOffset>664210</wp:posOffset>
            </wp:positionV>
            <wp:extent cx="71088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8825" cy="8255"/>
                    </a:xfrm>
                    <a:prstGeom prst="rect">
                      <a:avLst/>
                    </a:prstGeom>
                    <a:noFill/>
                  </pic:spPr>
                </pic:pic>
              </a:graphicData>
            </a:graphic>
          </wp:anchor>
        </w:drawing>
        <w:drawing>
          <wp:anchor simplePos="0" relativeHeight="251657728" behindDoc="1" locked="0" layoutInCell="0" allowOverlap="1">
            <wp:simplePos x="0" y="0"/>
            <wp:positionH relativeFrom="page">
              <wp:posOffset>224155</wp:posOffset>
            </wp:positionH>
            <wp:positionV relativeFrom="page">
              <wp:posOffset>689610</wp:posOffset>
            </wp:positionV>
            <wp:extent cx="71088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8825" cy="8255"/>
                    </a:xfrm>
                    <a:prstGeom prst="rect">
                      <a:avLst/>
                    </a:prstGeom>
                    <a:noFill/>
                  </pic:spPr>
                </pic:pic>
              </a:graphicData>
            </a:graphic>
          </wp:anchor>
        </w:drawing>
        <w:t>SEGMENT ADJUSTED EBITDAX</w:t>
      </w:r>
    </w:p>
    <w:p>
      <w:pPr>
        <w:spacing w:after="0" w:line="132" w:lineRule="exact"/>
        <w:rPr>
          <w:sz w:val="20"/>
          <w:szCs w:val="20"/>
          <w:color w:val="auto"/>
        </w:rPr>
      </w:pPr>
    </w:p>
    <w:p>
      <w:pPr>
        <w:jc w:val="both"/>
        <w:ind w:left="20" w:right="20"/>
        <w:spacing w:after="0" w:line="252" w:lineRule="auto"/>
        <w:rPr>
          <w:sz w:val="20"/>
          <w:szCs w:val="20"/>
          <w:color w:val="auto"/>
        </w:rPr>
      </w:pPr>
      <w:r>
        <w:rPr>
          <w:rFonts w:ascii="Arial" w:cs="Arial" w:eastAsia="Arial" w:hAnsi="Arial"/>
          <w:sz w:val="14"/>
          <w:szCs w:val="14"/>
          <w:color w:val="auto"/>
        </w:rPr>
        <w:t xml:space="preserve">CRC defines segments adjusted EBITDAX as earnings before interest expense; income taxes; depreciation, depletion and amortization; exploration expense; other unusual, infrequent and out-of-period items; and other non-cash items. CRC believes this segment measure provides useful information in assessing the financial results of each segment. Although this is a non-GAAP measure, the amounts included in the calculation were computed in accordance with GAAP. This measure should be read in conjunction with Note 16 </w:t>
      </w:r>
      <w:r>
        <w:rPr>
          <w:rFonts w:ascii="Arial" w:cs="Arial" w:eastAsia="Arial" w:hAnsi="Arial"/>
          <w:sz w:val="14"/>
          <w:szCs w:val="14"/>
          <w:i w:val="1"/>
          <w:iCs w:val="1"/>
          <w:color w:val="auto"/>
        </w:rPr>
        <w:t>Segment Information</w:t>
      </w:r>
      <w:r>
        <w:rPr>
          <w:rFonts w:ascii="Arial" w:cs="Arial" w:eastAsia="Arial" w:hAnsi="Arial"/>
          <w:sz w:val="14"/>
          <w:szCs w:val="14"/>
          <w:color w:val="auto"/>
        </w:rPr>
        <w:t xml:space="preserve"> in CRC’s 2024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080" w:type="dxa"/>
            <w:vAlign w:val="bottom"/>
            <w:gridSpan w:val="2"/>
          </w:tcPr>
          <w:p>
            <w:pPr>
              <w:spacing w:after="0"/>
              <w:rPr>
                <w:sz w:val="20"/>
                <w:szCs w:val="20"/>
                <w:color w:val="auto"/>
              </w:rPr>
            </w:pPr>
            <w:r>
              <w:rPr>
                <w:rFonts w:ascii="Arial" w:cs="Arial" w:eastAsia="Arial" w:hAnsi="Arial"/>
                <w:sz w:val="14"/>
                <w:szCs w:val="14"/>
                <w:b w:val="1"/>
                <w:bCs w:val="1"/>
                <w:color w:val="auto"/>
              </w:rPr>
              <w:t>Oil &amp; Natural Gas Segment</w:t>
            </w:r>
            <w:r>
              <w:rPr>
                <w:rFonts w:ascii="Arial" w:cs="Arial" w:eastAsia="Arial" w:hAnsi="Arial"/>
                <w:sz w:val="18"/>
                <w:szCs w:val="18"/>
                <w:b w:val="1"/>
                <w:bCs w:val="1"/>
                <w:color w:val="auto"/>
                <w:vertAlign w:val="superscript"/>
              </w:rPr>
              <w:t>2</w:t>
            </w:r>
          </w:p>
        </w:tc>
        <w:tc>
          <w:tcPr>
            <w:tcW w:w="180" w:type="dxa"/>
            <w:vAlign w:val="bottom"/>
          </w:tcPr>
          <w:p>
            <w:pPr>
              <w:spacing w:after="0"/>
              <w:rPr>
                <w:sz w:val="17"/>
                <w:szCs w:val="17"/>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1st Quarter</w:t>
            </w:r>
          </w:p>
        </w:tc>
        <w:tc>
          <w:tcPr>
            <w:tcW w:w="180" w:type="dxa"/>
            <w:vAlign w:val="bottom"/>
          </w:tcPr>
          <w:p>
            <w:pPr>
              <w:spacing w:after="0"/>
              <w:rPr>
                <w:sz w:val="17"/>
                <w:szCs w:val="17"/>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4th Quarter</w:t>
            </w:r>
          </w:p>
        </w:tc>
        <w:tc>
          <w:tcPr>
            <w:tcW w:w="160" w:type="dxa"/>
            <w:vAlign w:val="bottom"/>
          </w:tcPr>
          <w:p>
            <w:pPr>
              <w:spacing w:after="0"/>
              <w:rPr>
                <w:sz w:val="17"/>
                <w:szCs w:val="17"/>
                <w:color w:val="auto"/>
              </w:rPr>
            </w:pPr>
          </w:p>
        </w:tc>
        <w:tc>
          <w:tcPr>
            <w:tcW w:w="1080" w:type="dxa"/>
            <w:vAlign w:val="bottom"/>
          </w:tcPr>
          <w:p>
            <w:pPr>
              <w:jc w:val="right"/>
              <w:ind w:right="169"/>
              <w:spacing w:after="0"/>
              <w:rPr>
                <w:sz w:val="20"/>
                <w:szCs w:val="20"/>
                <w:color w:val="auto"/>
              </w:rPr>
            </w:pPr>
            <w:r>
              <w:rPr>
                <w:rFonts w:ascii="Arial" w:cs="Arial" w:eastAsia="Arial" w:hAnsi="Arial"/>
                <w:sz w:val="14"/>
                <w:szCs w:val="14"/>
                <w:b w:val="1"/>
                <w:bCs w:val="1"/>
                <w:color w:val="auto"/>
              </w:rPr>
              <w:t>1st Quarter</w:t>
            </w:r>
          </w:p>
        </w:tc>
        <w:tc>
          <w:tcPr>
            <w:tcW w:w="0" w:type="dxa"/>
            <w:vAlign w:val="bottom"/>
          </w:tcPr>
          <w:p>
            <w:pPr>
              <w:spacing w:after="0"/>
              <w:rPr>
                <w:sz w:val="1"/>
                <w:szCs w:val="1"/>
                <w:color w:val="auto"/>
              </w:rPr>
            </w:pPr>
          </w:p>
        </w:tc>
      </w:tr>
      <w:tr>
        <w:trPr>
          <w:trHeight w:val="198"/>
        </w:trPr>
        <w:tc>
          <w:tcPr>
            <w:tcW w:w="6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 millions, except per BOE amounts)</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49"/>
              <w:spacing w:after="0" w:line="198" w:lineRule="exact"/>
              <w:rPr>
                <w:sz w:val="20"/>
                <w:szCs w:val="20"/>
                <w:color w:val="auto"/>
              </w:rPr>
            </w:pPr>
            <w:r>
              <w:rPr>
                <w:rFonts w:ascii="Arial" w:cs="Arial" w:eastAsia="Arial" w:hAnsi="Arial"/>
                <w:sz w:val="14"/>
                <w:szCs w:val="14"/>
                <w:b w:val="1"/>
                <w:bCs w:val="1"/>
                <w:color w:val="auto"/>
              </w:rPr>
              <w:t xml:space="preserve">2024 </w:t>
            </w:r>
            <w:r>
              <w:rPr>
                <w:rFonts w:ascii="Arial" w:cs="Arial" w:eastAsia="Arial" w:hAnsi="Arial"/>
                <w:sz w:val="18"/>
                <w:szCs w:val="18"/>
                <w:b w:val="1"/>
                <w:bCs w:val="1"/>
                <w:color w:val="auto"/>
                <w:vertAlign w:val="superscript"/>
              </w:rPr>
              <w:t>(1)</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2"/>
        </w:trPr>
        <w:tc>
          <w:tcPr>
            <w:tcW w:w="7080" w:type="dxa"/>
            <w:vAlign w:val="bottom"/>
            <w:gridSpan w:val="2"/>
          </w:tcPr>
          <w:p>
            <w:pPr>
              <w:spacing w:after="0"/>
              <w:rPr>
                <w:sz w:val="20"/>
                <w:szCs w:val="20"/>
                <w:color w:val="auto"/>
              </w:rPr>
            </w:pPr>
            <w:r>
              <w:rPr>
                <w:rFonts w:ascii="Arial" w:cs="Arial" w:eastAsia="Arial" w:hAnsi="Arial"/>
                <w:sz w:val="14"/>
                <w:szCs w:val="14"/>
                <w:color w:val="auto"/>
              </w:rPr>
              <w:t>Segment profit</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266</w:t>
            </w:r>
          </w:p>
        </w:tc>
        <w:tc>
          <w:tcPr>
            <w:tcW w:w="10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268</w:t>
            </w:r>
          </w:p>
        </w:tc>
        <w:tc>
          <w:tcPr>
            <w:tcW w:w="12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132</w:t>
            </w:r>
          </w:p>
        </w:tc>
        <w:tc>
          <w:tcPr>
            <w:tcW w:w="0" w:type="dxa"/>
            <w:vAlign w:val="bottom"/>
          </w:tcPr>
          <w:p>
            <w:pPr>
              <w:spacing w:after="0"/>
              <w:rPr>
                <w:sz w:val="1"/>
                <w:szCs w:val="1"/>
                <w:color w:val="auto"/>
              </w:rPr>
            </w:pPr>
          </w:p>
        </w:tc>
      </w:tr>
      <w:tr>
        <w:trPr>
          <w:trHeight w:val="200"/>
        </w:trPr>
        <w:tc>
          <w:tcPr>
            <w:tcW w:w="7080" w:type="dxa"/>
            <w:vAlign w:val="bottom"/>
            <w:gridSpan w:val="2"/>
          </w:tcPr>
          <w:p>
            <w:pPr>
              <w:ind w:left="120"/>
              <w:spacing w:after="0"/>
              <w:rPr>
                <w:sz w:val="20"/>
                <w:szCs w:val="20"/>
                <w:color w:val="auto"/>
              </w:rPr>
            </w:pPr>
            <w:r>
              <w:rPr>
                <w:rFonts w:ascii="Arial" w:cs="Arial" w:eastAsia="Arial" w:hAnsi="Arial"/>
                <w:sz w:val="14"/>
                <w:szCs w:val="14"/>
                <w:color w:val="auto"/>
              </w:rPr>
              <w:t>Depreciation, depletion and amortization</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129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49</w:t>
            </w:r>
          </w:p>
        </w:tc>
        <w:tc>
          <w:tcPr>
            <w:tcW w:w="0" w:type="dxa"/>
            <w:vAlign w:val="bottom"/>
          </w:tcPr>
          <w:p>
            <w:pPr>
              <w:spacing w:after="0"/>
              <w:rPr>
                <w:sz w:val="1"/>
                <w:szCs w:val="1"/>
                <w:color w:val="auto"/>
              </w:rPr>
            </w:pPr>
          </w:p>
        </w:tc>
      </w:tr>
      <w:tr>
        <w:trPr>
          <w:trHeight w:val="200"/>
        </w:trPr>
        <w:tc>
          <w:tcPr>
            <w:tcW w:w="7080" w:type="dxa"/>
            <w:vAlign w:val="bottom"/>
            <w:gridSpan w:val="2"/>
          </w:tcPr>
          <w:p>
            <w:pPr>
              <w:ind w:left="120"/>
              <w:spacing w:after="0"/>
              <w:rPr>
                <w:sz w:val="20"/>
                <w:szCs w:val="20"/>
                <w:color w:val="auto"/>
              </w:rPr>
            </w:pPr>
            <w:r>
              <w:rPr>
                <w:rFonts w:ascii="Arial" w:cs="Arial" w:eastAsia="Arial" w:hAnsi="Arial"/>
                <w:sz w:val="14"/>
                <w:szCs w:val="14"/>
                <w:color w:val="auto"/>
              </w:rPr>
              <w:t>Exploration expense</w:t>
            </w:r>
          </w:p>
        </w:tc>
        <w:tc>
          <w:tcPr>
            <w:tcW w:w="18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00"/>
        </w:trPr>
        <w:tc>
          <w:tcPr>
            <w:tcW w:w="7080" w:type="dxa"/>
            <w:vAlign w:val="bottom"/>
            <w:gridSpan w:val="2"/>
          </w:tcPr>
          <w:p>
            <w:pPr>
              <w:ind w:left="120"/>
              <w:spacing w:after="0"/>
              <w:rPr>
                <w:sz w:val="20"/>
                <w:szCs w:val="20"/>
                <w:color w:val="auto"/>
              </w:rPr>
            </w:pPr>
            <w:r>
              <w:rPr>
                <w:rFonts w:ascii="Arial" w:cs="Arial" w:eastAsia="Arial" w:hAnsi="Arial"/>
                <w:sz w:val="14"/>
                <w:szCs w:val="14"/>
                <w:color w:val="auto"/>
              </w:rPr>
              <w:t>Accretion expense</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0" w:type="dxa"/>
            <w:vAlign w:val="bottom"/>
          </w:tcPr>
          <w:p>
            <w:pPr>
              <w:spacing w:after="0"/>
              <w:rPr>
                <w:sz w:val="1"/>
                <w:szCs w:val="1"/>
                <w:color w:val="auto"/>
              </w:rPr>
            </w:pPr>
          </w:p>
        </w:tc>
      </w:tr>
      <w:tr>
        <w:trPr>
          <w:trHeight w:val="201"/>
        </w:trPr>
        <w:tc>
          <w:tcPr>
            <w:tcW w:w="7080" w:type="dxa"/>
            <w:vAlign w:val="bottom"/>
            <w:gridSpan w:val="2"/>
          </w:tcPr>
          <w:p>
            <w:pPr>
              <w:ind w:left="120"/>
              <w:spacing w:after="0"/>
              <w:rPr>
                <w:sz w:val="20"/>
                <w:szCs w:val="20"/>
                <w:color w:val="auto"/>
              </w:rPr>
            </w:pPr>
            <w:r>
              <w:rPr>
                <w:rFonts w:ascii="Arial" w:cs="Arial" w:eastAsia="Arial" w:hAnsi="Arial"/>
                <w:sz w:val="14"/>
                <w:szCs w:val="14"/>
                <w:color w:val="auto"/>
              </w:rPr>
              <w:t>Adjusted income items</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w:t>
            </w:r>
          </w:p>
        </w:tc>
        <w:tc>
          <w:tcPr>
            <w:tcW w:w="0" w:type="dxa"/>
            <w:vAlign w:val="bottom"/>
          </w:tcPr>
          <w:p>
            <w:pPr>
              <w:spacing w:after="0"/>
              <w:rPr>
                <w:sz w:val="1"/>
                <w:szCs w:val="1"/>
                <w:color w:val="auto"/>
              </w:rPr>
            </w:pPr>
          </w:p>
        </w:tc>
      </w:tr>
      <w:tr>
        <w:trPr>
          <w:trHeight w:val="194"/>
        </w:trPr>
        <w:tc>
          <w:tcPr>
            <w:tcW w:w="7080" w:type="dxa"/>
            <w:vAlign w:val="bottom"/>
            <w:gridSpan w:val="2"/>
          </w:tcPr>
          <w:p>
            <w:pPr>
              <w:spacing w:after="0"/>
              <w:rPr>
                <w:sz w:val="20"/>
                <w:szCs w:val="20"/>
                <w:color w:val="auto"/>
              </w:rPr>
            </w:pPr>
            <w:r>
              <w:rPr>
                <w:rFonts w:ascii="Arial" w:cs="Arial" w:eastAsia="Arial" w:hAnsi="Arial"/>
                <w:sz w:val="14"/>
                <w:szCs w:val="14"/>
                <w:b w:val="1"/>
                <w:bCs w:val="1"/>
                <w:color w:val="auto"/>
              </w:rPr>
              <w:t>Adjusted EBITDAX - Oil and Natural Gas</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422</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425</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208</w:t>
            </w: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Carbon Management Segment</w:t>
            </w:r>
            <w:r>
              <w:rPr>
                <w:rFonts w:ascii="Arial" w:cs="Arial" w:eastAsia="Arial" w:hAnsi="Arial"/>
                <w:sz w:val="18"/>
                <w:szCs w:val="18"/>
                <w:b w:val="1"/>
                <w:bCs w:val="1"/>
                <w:color w:val="auto"/>
                <w:vertAlign w:val="superscript"/>
              </w:rPr>
              <w:t>2</w:t>
            </w: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70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080" w:type="dxa"/>
            <w:vAlign w:val="bottom"/>
            <w:gridSpan w:val="2"/>
          </w:tcPr>
          <w:p>
            <w:pPr>
              <w:spacing w:after="0"/>
              <w:rPr>
                <w:sz w:val="20"/>
                <w:szCs w:val="20"/>
                <w:color w:val="auto"/>
              </w:rPr>
            </w:pPr>
            <w:r>
              <w:rPr>
                <w:rFonts w:ascii="Arial" w:cs="Arial" w:eastAsia="Arial" w:hAnsi="Arial"/>
                <w:sz w:val="14"/>
                <w:szCs w:val="14"/>
                <w:color w:val="auto"/>
              </w:rPr>
              <w:t>Segment loss</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(25)</w:t>
            </w:r>
          </w:p>
        </w:tc>
        <w:tc>
          <w:tcPr>
            <w:tcW w:w="10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(31)</w:t>
            </w:r>
          </w:p>
        </w:tc>
        <w:tc>
          <w:tcPr>
            <w:tcW w:w="12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0" w:type="dxa"/>
            <w:vAlign w:val="bottom"/>
          </w:tcPr>
          <w:p>
            <w:pPr>
              <w:spacing w:after="0"/>
              <w:rPr>
                <w:sz w:val="1"/>
                <w:szCs w:val="1"/>
                <w:color w:val="auto"/>
              </w:rPr>
            </w:pPr>
          </w:p>
        </w:tc>
      </w:tr>
      <w:tr>
        <w:trPr>
          <w:trHeight w:val="200"/>
        </w:trPr>
        <w:tc>
          <w:tcPr>
            <w:tcW w:w="7080" w:type="dxa"/>
            <w:vAlign w:val="bottom"/>
            <w:gridSpan w:val="2"/>
          </w:tcPr>
          <w:p>
            <w:pPr>
              <w:ind w:left="120"/>
              <w:spacing w:after="0"/>
              <w:rPr>
                <w:sz w:val="20"/>
                <w:szCs w:val="20"/>
                <w:color w:val="auto"/>
              </w:rPr>
            </w:pPr>
            <w:r>
              <w:rPr>
                <w:rFonts w:ascii="Arial" w:cs="Arial" w:eastAsia="Arial" w:hAnsi="Arial"/>
                <w:sz w:val="14"/>
                <w:szCs w:val="14"/>
                <w:color w:val="auto"/>
              </w:rPr>
              <w:t>Interest on contingent liability (related to Carbon TerraVault JV)</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00"/>
        </w:trPr>
        <w:tc>
          <w:tcPr>
            <w:tcW w:w="7080" w:type="dxa"/>
            <w:vAlign w:val="bottom"/>
            <w:gridSpan w:val="2"/>
          </w:tcPr>
          <w:p>
            <w:pPr>
              <w:ind w:left="120"/>
              <w:spacing w:after="0"/>
              <w:rPr>
                <w:sz w:val="20"/>
                <w:szCs w:val="20"/>
                <w:color w:val="auto"/>
              </w:rPr>
            </w:pPr>
            <w:r>
              <w:rPr>
                <w:rFonts w:ascii="Arial" w:cs="Arial" w:eastAsia="Arial" w:hAnsi="Arial"/>
                <w:sz w:val="14"/>
                <w:szCs w:val="14"/>
                <w:color w:val="auto"/>
              </w:rPr>
              <w:t>Loss from investment in unconsolidated subsidiaries</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1"/>
        </w:trPr>
        <w:tc>
          <w:tcPr>
            <w:tcW w:w="7080" w:type="dxa"/>
            <w:vAlign w:val="bottom"/>
            <w:gridSpan w:val="2"/>
          </w:tcPr>
          <w:p>
            <w:pPr>
              <w:ind w:left="120"/>
              <w:spacing w:after="0"/>
              <w:rPr>
                <w:sz w:val="20"/>
                <w:szCs w:val="20"/>
                <w:color w:val="auto"/>
              </w:rPr>
            </w:pPr>
            <w:r>
              <w:rPr>
                <w:rFonts w:ascii="Arial" w:cs="Arial" w:eastAsia="Arial" w:hAnsi="Arial"/>
                <w:sz w:val="14"/>
                <w:szCs w:val="14"/>
                <w:color w:val="auto"/>
              </w:rPr>
              <w:t>Adjusted income items</w:t>
            </w:r>
          </w:p>
        </w:tc>
        <w:tc>
          <w:tcPr>
            <w:tcW w:w="18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4"/>
        </w:trPr>
        <w:tc>
          <w:tcPr>
            <w:tcW w:w="7080" w:type="dxa"/>
            <w:vAlign w:val="bottom"/>
            <w:gridSpan w:val="2"/>
          </w:tcPr>
          <w:p>
            <w:pPr>
              <w:spacing w:after="0"/>
              <w:rPr>
                <w:sz w:val="20"/>
                <w:szCs w:val="20"/>
                <w:color w:val="auto"/>
              </w:rPr>
            </w:pPr>
            <w:r>
              <w:rPr>
                <w:rFonts w:ascii="Arial" w:cs="Arial" w:eastAsia="Arial" w:hAnsi="Arial"/>
                <w:sz w:val="14"/>
                <w:szCs w:val="14"/>
                <w:b w:val="1"/>
                <w:bCs w:val="1"/>
                <w:color w:val="auto"/>
              </w:rPr>
              <w:t>Adjusted EBITDAX - Carbon Management</w:t>
            </w: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ind w:left="20" w:right="520" w:firstLine="4"/>
        <w:spacing w:after="0" w:line="221" w:lineRule="auto"/>
        <w:tabs>
          <w:tab w:leader="none" w:pos="158" w:val="left"/>
        </w:tabs>
        <w:numPr>
          <w:ilvl w:val="0"/>
          <w:numId w:val="10"/>
        </w:numPr>
        <w:rPr>
          <w:rFonts w:ascii="Arial" w:cs="Arial" w:eastAsia="Arial" w:hAnsi="Arial"/>
          <w:sz w:val="16"/>
          <w:szCs w:val="16"/>
          <w:color w:val="auto"/>
          <w:vertAlign w:val="superscript"/>
        </w:rPr>
      </w:pPr>
      <w:r>
        <w:rPr>
          <w:rFonts w:ascii="Arial" w:cs="Arial" w:eastAsia="Arial" w:hAnsi="Arial"/>
          <w:sz w:val="13"/>
          <w:szCs w:val="13"/>
          <w:color w:val="auto"/>
        </w:rPr>
        <w:t>Certain amounts related to the fourth quarter of 2024 previously reported in the company's Q4 2024 earnings release have been corrected. These corrections related to segment classification errors and have no material impact on the company's overall financial position.</w:t>
      </w:r>
    </w:p>
    <w:p>
      <w:pPr>
        <w:ind w:left="20" w:right="20" w:firstLine="4"/>
        <w:spacing w:after="0" w:line="209" w:lineRule="auto"/>
        <w:tabs>
          <w:tab w:leader="none" w:pos="172"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A reconciliation of the non-GAAP measure of segment adjusted EBITDAX cannot be reconciled to the comparable measure of operating cash flow prepared in accordance with GAAP without unreasonable effort.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225425</wp:posOffset>
            </wp:positionV>
            <wp:extent cx="71170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70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250825</wp:posOffset>
            </wp:positionV>
            <wp:extent cx="71170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7080" cy="8255"/>
                    </a:xfrm>
                    <a:prstGeom prst="rect">
                      <a:avLst/>
                    </a:prstGeom>
                    <a:noFill/>
                  </pic:spPr>
                </pic:pic>
              </a:graphicData>
            </a:graphic>
          </wp:anchor>
        </w:drawing>
      </w:r>
    </w:p>
    <w:p>
      <w:pPr>
        <w:spacing w:after="0" w:line="39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FREE CASH FLOW</w:t>
      </w:r>
    </w:p>
    <w:p>
      <w:pPr>
        <w:spacing w:after="0" w:line="132" w:lineRule="exact"/>
        <w:rPr>
          <w:sz w:val="20"/>
          <w:szCs w:val="20"/>
          <w:color w:val="auto"/>
        </w:rPr>
      </w:pPr>
    </w:p>
    <w:p>
      <w:pPr>
        <w:ind w:left="20" w:right="20"/>
        <w:spacing w:after="0" w:line="219" w:lineRule="auto"/>
        <w:rPr>
          <w:sz w:val="20"/>
          <w:szCs w:val="20"/>
          <w:color w:val="auto"/>
        </w:rPr>
      </w:pPr>
      <w:r>
        <w:rPr>
          <w:rFonts w:ascii="Arial" w:cs="Arial" w:eastAsia="Arial" w:hAnsi="Arial"/>
          <w:sz w:val="14"/>
          <w:szCs w:val="14"/>
          <w:color w:val="auto"/>
        </w:rPr>
        <w:t>Management uses free cash flow, which is defined by CRC as net cash provided by operating activities less capital investments, as a measure of liquidity. The following table presents a reconciliation of CRC's net cash provided by operating activities to free cash flow. CRC supplemented its non-GAAP measure of free cash flow with net cash provided</w:t>
      </w:r>
    </w:p>
    <w:p>
      <w:pPr>
        <w:ind w:left="20"/>
        <w:spacing w:after="0" w:line="218" w:lineRule="auto"/>
        <w:rPr>
          <w:sz w:val="20"/>
          <w:szCs w:val="20"/>
          <w:color w:val="auto"/>
        </w:rPr>
      </w:pPr>
      <w:r>
        <w:rPr>
          <w:rFonts w:ascii="Arial" w:cs="Arial" w:eastAsia="Arial" w:hAnsi="Arial"/>
          <w:sz w:val="14"/>
          <w:szCs w:val="14"/>
          <w:color w:val="auto"/>
        </w:rPr>
        <w:t>by operating activities before net changes in operating assets and liabilities, which it believes is a useful measure for investors to understand the predictability of CRC's cash flow</w:t>
      </w:r>
    </w:p>
    <w:p>
      <w:pPr>
        <w:ind w:left="20" w:right="20"/>
        <w:spacing w:after="0" w:line="229" w:lineRule="auto"/>
        <w:rPr>
          <w:sz w:val="20"/>
          <w:szCs w:val="20"/>
          <w:color w:val="auto"/>
        </w:rPr>
      </w:pPr>
      <w:r>
        <w:rPr>
          <w:rFonts w:ascii="Arial" w:cs="Arial" w:eastAsia="Arial" w:hAnsi="Arial"/>
          <w:sz w:val="14"/>
          <w:szCs w:val="14"/>
          <w:color w:val="auto"/>
        </w:rPr>
        <w:t>by removing fluctuations related to the timing of payments between periods. CRC defines adjusted free cash flow after special items as free cash flow before transaction and integration costs from the Aera Merger.</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1st Quarter</w:t>
            </w:r>
          </w:p>
        </w:tc>
        <w:tc>
          <w:tcPr>
            <w:tcW w:w="180" w:type="dxa"/>
            <w:vAlign w:val="bottom"/>
          </w:tcPr>
          <w:p>
            <w:pPr>
              <w:spacing w:after="0"/>
              <w:rPr>
                <w:sz w:val="16"/>
                <w:szCs w:val="16"/>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4th Quarter</w:t>
            </w:r>
          </w:p>
        </w:tc>
        <w:tc>
          <w:tcPr>
            <w:tcW w:w="180" w:type="dxa"/>
            <w:vAlign w:val="bottom"/>
          </w:tcPr>
          <w:p>
            <w:pPr>
              <w:spacing w:after="0"/>
              <w:rPr>
                <w:sz w:val="16"/>
                <w:szCs w:val="16"/>
                <w:color w:val="auto"/>
              </w:rPr>
            </w:pPr>
          </w:p>
        </w:tc>
        <w:tc>
          <w:tcPr>
            <w:tcW w:w="1060" w:type="dxa"/>
            <w:vAlign w:val="bottom"/>
          </w:tcPr>
          <w:p>
            <w:pPr>
              <w:jc w:val="right"/>
              <w:ind w:right="169"/>
              <w:spacing w:after="0"/>
              <w:rPr>
                <w:sz w:val="20"/>
                <w:szCs w:val="20"/>
                <w:color w:val="auto"/>
              </w:rPr>
            </w:pPr>
            <w:r>
              <w:rPr>
                <w:rFonts w:ascii="Arial" w:cs="Arial" w:eastAsia="Arial" w:hAnsi="Arial"/>
                <w:sz w:val="14"/>
                <w:szCs w:val="14"/>
                <w:b w:val="1"/>
                <w:bCs w:val="1"/>
                <w:color w:val="auto"/>
              </w:rPr>
              <w:t>1st Quarter</w:t>
            </w:r>
          </w:p>
        </w:tc>
      </w:tr>
      <w:tr>
        <w:trPr>
          <w:trHeight w:val="201"/>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2024</w:t>
            </w:r>
          </w:p>
        </w:tc>
      </w:tr>
      <w:tr>
        <w:trPr>
          <w:trHeight w:val="286"/>
        </w:trPr>
        <w:tc>
          <w:tcPr>
            <w:tcW w:w="7140" w:type="dxa"/>
            <w:vAlign w:val="bottom"/>
            <w:gridSpan w:val="2"/>
          </w:tcPr>
          <w:p>
            <w:pPr>
              <w:ind w:left="20"/>
              <w:spacing w:after="0"/>
              <w:rPr>
                <w:sz w:val="20"/>
                <w:szCs w:val="20"/>
                <w:color w:val="auto"/>
              </w:rPr>
            </w:pPr>
            <w:r>
              <w:rPr>
                <w:rFonts w:ascii="Arial" w:cs="Arial" w:eastAsia="Arial" w:hAnsi="Arial"/>
                <w:sz w:val="14"/>
                <w:szCs w:val="14"/>
                <w:color w:val="auto"/>
              </w:rPr>
              <w:t>Net cash provided by operating activities before net changes in operating assets and liabilities</w:t>
            </w: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252</w:t>
            </w:r>
          </w:p>
        </w:tc>
        <w:tc>
          <w:tcPr>
            <w:tcW w:w="10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258</w:t>
            </w:r>
          </w:p>
        </w:tc>
        <w:tc>
          <w:tcPr>
            <w:tcW w:w="8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92</w:t>
            </w:r>
          </w:p>
        </w:tc>
      </w:tr>
      <w:tr>
        <w:trPr>
          <w:trHeight w:val="200"/>
        </w:trPr>
        <w:tc>
          <w:tcPr>
            <w:tcW w:w="7140" w:type="dxa"/>
            <w:vAlign w:val="bottom"/>
            <w:gridSpan w:val="2"/>
          </w:tcPr>
          <w:p>
            <w:pPr>
              <w:ind w:left="20"/>
              <w:spacing w:after="0"/>
              <w:rPr>
                <w:sz w:val="20"/>
                <w:szCs w:val="20"/>
                <w:color w:val="auto"/>
              </w:rPr>
            </w:pPr>
            <w:r>
              <w:rPr>
                <w:rFonts w:ascii="Arial" w:cs="Arial" w:eastAsia="Arial" w:hAnsi="Arial"/>
                <w:sz w:val="14"/>
                <w:szCs w:val="14"/>
                <w:color w:val="auto"/>
              </w:rPr>
              <w:t>Net changes in operating assets and liabilities</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w:t>
            </w:r>
          </w:p>
        </w:tc>
      </w:tr>
      <w:tr>
        <w:trPr>
          <w:trHeight w:val="193"/>
        </w:trPr>
        <w:tc>
          <w:tcPr>
            <w:tcW w:w="7140" w:type="dxa"/>
            <w:vAlign w:val="bottom"/>
            <w:gridSpan w:val="2"/>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186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206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87</w:t>
            </w:r>
          </w:p>
        </w:tc>
      </w:tr>
      <w:tr>
        <w:trPr>
          <w:trHeight w:val="200"/>
        </w:trPr>
        <w:tc>
          <w:tcPr>
            <w:tcW w:w="7140" w:type="dxa"/>
            <w:vAlign w:val="bottom"/>
            <w:gridSpan w:val="2"/>
          </w:tcPr>
          <w:p>
            <w:pPr>
              <w:ind w:left="20"/>
              <w:spacing w:after="0"/>
              <w:rPr>
                <w:sz w:val="20"/>
                <w:szCs w:val="20"/>
                <w:color w:val="auto"/>
              </w:rPr>
            </w:pPr>
            <w:r>
              <w:rPr>
                <w:rFonts w:ascii="Arial" w:cs="Arial" w:eastAsia="Arial" w:hAnsi="Arial"/>
                <w:sz w:val="14"/>
                <w:szCs w:val="14"/>
                <w:color w:val="auto"/>
              </w:rPr>
              <w:t>Capital investments</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(55)</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(88)</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(54)</w:t>
            </w:r>
          </w:p>
        </w:tc>
      </w:tr>
      <w:tr>
        <w:trPr>
          <w:trHeight w:val="193"/>
        </w:trPr>
        <w:tc>
          <w:tcPr>
            <w:tcW w:w="7140" w:type="dxa"/>
            <w:vAlign w:val="bottom"/>
            <w:gridSpan w:val="2"/>
          </w:tcPr>
          <w:p>
            <w:pPr>
              <w:ind w:left="20"/>
              <w:spacing w:after="0"/>
              <w:rPr>
                <w:sz w:val="20"/>
                <w:szCs w:val="20"/>
                <w:color w:val="auto"/>
              </w:rPr>
            </w:pPr>
            <w:r>
              <w:rPr>
                <w:rFonts w:ascii="Arial" w:cs="Arial" w:eastAsia="Arial" w:hAnsi="Arial"/>
                <w:sz w:val="14"/>
                <w:szCs w:val="14"/>
                <w:color w:val="auto"/>
              </w:rPr>
              <w:t>Free cash flow</w:t>
            </w: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131</w:t>
            </w:r>
          </w:p>
        </w:tc>
        <w:tc>
          <w:tcPr>
            <w:tcW w:w="10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118</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33</w:t>
            </w:r>
          </w:p>
        </w:tc>
      </w:tr>
      <w:tr>
        <w:trPr>
          <w:trHeight w:val="201"/>
        </w:trPr>
        <w:tc>
          <w:tcPr>
            <w:tcW w:w="7140" w:type="dxa"/>
            <w:vAlign w:val="bottom"/>
            <w:gridSpan w:val="2"/>
          </w:tcPr>
          <w:p>
            <w:pPr>
              <w:ind w:left="20"/>
              <w:spacing w:after="0"/>
              <w:rPr>
                <w:sz w:val="20"/>
                <w:szCs w:val="20"/>
                <w:color w:val="auto"/>
              </w:rPr>
            </w:pPr>
            <w:r>
              <w:rPr>
                <w:rFonts w:ascii="Arial" w:cs="Arial" w:eastAsia="Arial" w:hAnsi="Arial"/>
                <w:sz w:val="14"/>
                <w:szCs w:val="14"/>
                <w:color w:val="auto"/>
              </w:rPr>
              <w:t>Add: Aera merger related costs</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w:t>
            </w:r>
          </w:p>
        </w:tc>
      </w:tr>
      <w:tr>
        <w:trPr>
          <w:trHeight w:val="194"/>
        </w:trPr>
        <w:tc>
          <w:tcPr>
            <w:tcW w:w="7140" w:type="dxa"/>
            <w:vAlign w:val="bottom"/>
            <w:gridSpan w:val="2"/>
          </w:tcPr>
          <w:p>
            <w:pPr>
              <w:ind w:left="20"/>
              <w:spacing w:after="0"/>
              <w:rPr>
                <w:sz w:val="20"/>
                <w:szCs w:val="20"/>
                <w:color w:val="auto"/>
              </w:rPr>
            </w:pPr>
            <w:r>
              <w:rPr>
                <w:rFonts w:ascii="Arial" w:cs="Arial" w:eastAsia="Arial" w:hAnsi="Arial"/>
                <w:sz w:val="14"/>
                <w:szCs w:val="14"/>
                <w:b w:val="1"/>
                <w:bCs w:val="1"/>
                <w:color w:val="auto"/>
              </w:rPr>
              <w:t>Free cash flow after special items</w:t>
            </w: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134</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119</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w:t>
            </w:r>
          </w:p>
        </w:tc>
      </w:tr>
      <w:tr>
        <w:trPr>
          <w:trHeight w:val="20"/>
        </w:trPr>
        <w:tc>
          <w:tcPr>
            <w:tcW w:w="7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200"/>
          </w:cols>
          <w:pgMar w:left="340" w:top="1103" w:right="359"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224155</wp:posOffset>
            </wp:positionH>
            <wp:positionV relativeFrom="page">
              <wp:posOffset>664210</wp:posOffset>
            </wp:positionV>
            <wp:extent cx="71088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8825" cy="8255"/>
                    </a:xfrm>
                    <a:prstGeom prst="rect">
                      <a:avLst/>
                    </a:prstGeom>
                    <a:noFill/>
                  </pic:spPr>
                </pic:pic>
              </a:graphicData>
            </a:graphic>
          </wp:anchor>
        </w:drawing>
        <w:drawing>
          <wp:anchor simplePos="0" relativeHeight="251657728" behindDoc="1" locked="0" layoutInCell="0" allowOverlap="1">
            <wp:simplePos x="0" y="0"/>
            <wp:positionH relativeFrom="page">
              <wp:posOffset>224155</wp:posOffset>
            </wp:positionH>
            <wp:positionV relativeFrom="page">
              <wp:posOffset>689610</wp:posOffset>
            </wp:positionV>
            <wp:extent cx="71088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8825" cy="8255"/>
                    </a:xfrm>
                    <a:prstGeom prst="rect">
                      <a:avLst/>
                    </a:prstGeom>
                    <a:noFill/>
                  </pic:spPr>
                </pic:pic>
              </a:graphicData>
            </a:graphic>
          </wp:anchor>
        </w:drawing>
        <w:t>ADJUSTED GENERAL &amp; ADMINISTRATIVE EXPENSES</w:t>
      </w:r>
    </w:p>
    <w:p>
      <w:pPr>
        <w:spacing w:after="0" w:line="132" w:lineRule="exact"/>
        <w:rPr>
          <w:sz w:val="20"/>
          <w:szCs w:val="20"/>
          <w:color w:val="auto"/>
        </w:rPr>
      </w:pPr>
    </w:p>
    <w:p>
      <w:pPr>
        <w:ind w:right="20"/>
        <w:spacing w:after="0" w:line="279" w:lineRule="auto"/>
        <w:rPr>
          <w:sz w:val="20"/>
          <w:szCs w:val="20"/>
          <w:color w:val="auto"/>
        </w:rPr>
      </w:pPr>
      <w:r>
        <w:rPr>
          <w:rFonts w:ascii="Arial" w:cs="Arial" w:eastAsia="Arial" w:hAnsi="Arial"/>
          <w:sz w:val="14"/>
          <w:szCs w:val="14"/>
          <w:color w:val="auto"/>
        </w:rPr>
        <w:t>Management uses a measure called adjusted general and administrative (G&amp;A) expenses and adjusted G&amp;A per BOE to provide useful information to investors interested in comparing CRC's costs between periods and performance to its peers.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1st Quarter</w:t>
            </w:r>
          </w:p>
        </w:tc>
        <w:tc>
          <w:tcPr>
            <w:tcW w:w="16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4th Quarter</w:t>
            </w:r>
          </w:p>
        </w:tc>
        <w:tc>
          <w:tcPr>
            <w:tcW w:w="180" w:type="dxa"/>
            <w:vAlign w:val="bottom"/>
          </w:tcPr>
          <w:p>
            <w:pPr>
              <w:spacing w:after="0"/>
              <w:rPr>
                <w:sz w:val="16"/>
                <w:szCs w:val="16"/>
                <w:color w:val="auto"/>
              </w:rPr>
            </w:pPr>
          </w:p>
        </w:tc>
        <w:tc>
          <w:tcPr>
            <w:tcW w:w="1060" w:type="dxa"/>
            <w:vAlign w:val="bottom"/>
          </w:tcPr>
          <w:p>
            <w:pPr>
              <w:jc w:val="right"/>
              <w:ind w:right="169"/>
              <w:spacing w:after="0"/>
              <w:rPr>
                <w:sz w:val="20"/>
                <w:szCs w:val="20"/>
                <w:color w:val="auto"/>
              </w:rPr>
            </w:pPr>
            <w:r>
              <w:rPr>
                <w:rFonts w:ascii="Arial" w:cs="Arial" w:eastAsia="Arial" w:hAnsi="Arial"/>
                <w:sz w:val="14"/>
                <w:szCs w:val="14"/>
                <w:b w:val="1"/>
                <w:bCs w:val="1"/>
                <w:color w:val="auto"/>
              </w:rPr>
              <w:t>1st Quarter</w:t>
            </w:r>
          </w:p>
        </w:tc>
      </w:tr>
      <w:tr>
        <w:trPr>
          <w:trHeight w:val="201"/>
        </w:trPr>
        <w:tc>
          <w:tcPr>
            <w:tcW w:w="7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 millions)</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2024</w:t>
            </w:r>
          </w:p>
        </w:tc>
      </w:tr>
      <w:tr>
        <w:trPr>
          <w:trHeight w:val="193"/>
        </w:trPr>
        <w:tc>
          <w:tcPr>
            <w:tcW w:w="7200" w:type="dxa"/>
            <w:vAlign w:val="bottom"/>
            <w:gridSpan w:val="2"/>
          </w:tcPr>
          <w:p>
            <w:pPr>
              <w:spacing w:after="0"/>
              <w:rPr>
                <w:sz w:val="20"/>
                <w:szCs w:val="20"/>
                <w:color w:val="auto"/>
              </w:rPr>
            </w:pPr>
            <w:r>
              <w:rPr>
                <w:rFonts w:ascii="Arial" w:cs="Arial" w:eastAsia="Arial" w:hAnsi="Arial"/>
                <w:sz w:val="14"/>
                <w:szCs w:val="14"/>
                <w:color w:val="auto"/>
              </w:rPr>
              <w:t>General and administrative expenses</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72</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Pr>
          <w:p>
            <w:pPr>
              <w:jc w:val="right"/>
              <w:ind w:right="9"/>
              <w:spacing w:after="0"/>
              <w:rPr>
                <w:sz w:val="20"/>
                <w:szCs w:val="20"/>
                <w:color w:val="auto"/>
              </w:rPr>
            </w:pPr>
            <w:r>
              <w:rPr>
                <w:rFonts w:ascii="Arial" w:cs="Arial" w:eastAsia="Arial" w:hAnsi="Arial"/>
                <w:sz w:val="14"/>
                <w:szCs w:val="14"/>
                <w:b w:val="1"/>
                <w:bCs w:val="1"/>
                <w:color w:val="auto"/>
              </w:rPr>
              <w:t>95</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57</w:t>
            </w:r>
          </w:p>
        </w:tc>
      </w:tr>
      <w:tr>
        <w:trPr>
          <w:trHeight w:val="200"/>
        </w:trPr>
        <w:tc>
          <w:tcPr>
            <w:tcW w:w="7200" w:type="dxa"/>
            <w:vAlign w:val="bottom"/>
            <w:gridSpan w:val="2"/>
          </w:tcPr>
          <w:p>
            <w:pPr>
              <w:spacing w:after="0"/>
              <w:rPr>
                <w:sz w:val="20"/>
                <w:szCs w:val="20"/>
                <w:color w:val="auto"/>
              </w:rPr>
            </w:pPr>
            <w:r>
              <w:rPr>
                <w:rFonts w:ascii="Arial" w:cs="Arial" w:eastAsia="Arial" w:hAnsi="Arial"/>
                <w:sz w:val="14"/>
                <w:szCs w:val="14"/>
                <w:color w:val="auto"/>
              </w:rPr>
              <w:t>Stock-based compensation</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w:t>
            </w:r>
          </w:p>
        </w:tc>
      </w:tr>
      <w:tr>
        <w:trPr>
          <w:trHeight w:val="200"/>
        </w:trPr>
        <w:tc>
          <w:tcPr>
            <w:tcW w:w="7200" w:type="dxa"/>
            <w:vAlign w:val="bottom"/>
            <w:gridSpan w:val="2"/>
          </w:tcPr>
          <w:p>
            <w:pPr>
              <w:spacing w:after="0"/>
              <w:rPr>
                <w:sz w:val="20"/>
                <w:szCs w:val="20"/>
                <w:color w:val="auto"/>
              </w:rPr>
            </w:pPr>
            <w:r>
              <w:rPr>
                <w:rFonts w:ascii="Arial" w:cs="Arial" w:eastAsia="Arial" w:hAnsi="Arial"/>
                <w:sz w:val="14"/>
                <w:szCs w:val="14"/>
                <w:color w:val="auto"/>
              </w:rPr>
              <w:t>Accelerated vesting</w:t>
            </w:r>
          </w:p>
        </w:tc>
        <w:tc>
          <w:tcPr>
            <w:tcW w:w="18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01"/>
        </w:trPr>
        <w:tc>
          <w:tcPr>
            <w:tcW w:w="7200" w:type="dxa"/>
            <w:vAlign w:val="bottom"/>
            <w:gridSpan w:val="2"/>
          </w:tcPr>
          <w:p>
            <w:pPr>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r>
        <w:trPr>
          <w:trHeight w:val="194"/>
        </w:trPr>
        <w:tc>
          <w:tcPr>
            <w:tcW w:w="7200" w:type="dxa"/>
            <w:vAlign w:val="bottom"/>
            <w:gridSpan w:val="2"/>
          </w:tcPr>
          <w:p>
            <w:pPr>
              <w:spacing w:after="0"/>
              <w:rPr>
                <w:sz w:val="20"/>
                <w:szCs w:val="20"/>
                <w:color w:val="auto"/>
              </w:rPr>
            </w:pPr>
            <w:r>
              <w:rPr>
                <w:rFonts w:ascii="Arial" w:cs="Arial" w:eastAsia="Arial" w:hAnsi="Arial"/>
                <w:sz w:val="14"/>
                <w:szCs w:val="14"/>
                <w:color w:val="auto"/>
              </w:rPr>
              <w:t>Adjusted G&amp;A expenses</w:t>
            </w: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85</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51</w:t>
            </w:r>
          </w:p>
        </w:tc>
      </w:tr>
      <w:tr>
        <w:trPr>
          <w:trHeight w:val="20"/>
        </w:trPr>
        <w:tc>
          <w:tcPr>
            <w:tcW w:w="7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78"/>
        </w:trPr>
        <w:tc>
          <w:tcPr>
            <w:tcW w:w="7200" w:type="dxa"/>
            <w:vAlign w:val="bottom"/>
            <w:gridSpan w:val="2"/>
          </w:tcPr>
          <w:p>
            <w:pPr>
              <w:spacing w:after="0"/>
              <w:rPr>
                <w:sz w:val="20"/>
                <w:szCs w:val="20"/>
                <w:color w:val="auto"/>
              </w:rPr>
            </w:pPr>
            <w:r>
              <w:rPr>
                <w:rFonts w:ascii="Arial" w:cs="Arial" w:eastAsia="Arial" w:hAnsi="Arial"/>
                <w:sz w:val="14"/>
                <w:szCs w:val="14"/>
                <w:color w:val="auto"/>
              </w:rPr>
              <w:t>Adjusted G&amp;A per BOE</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5.22</w:t>
            </w:r>
          </w:p>
        </w:tc>
        <w:tc>
          <w:tcPr>
            <w:tcW w:w="100" w:type="dxa"/>
            <w:vAlign w:val="bottom"/>
          </w:tcPr>
          <w:p>
            <w:pPr>
              <w:spacing w:after="0"/>
              <w:rPr>
                <w:sz w:val="24"/>
                <w:szCs w:val="24"/>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Pr>
          <w:p>
            <w:pPr>
              <w:jc w:val="right"/>
              <w:ind w:right="9"/>
              <w:spacing w:after="0"/>
              <w:rPr>
                <w:sz w:val="20"/>
                <w:szCs w:val="20"/>
                <w:color w:val="auto"/>
              </w:rPr>
            </w:pPr>
            <w:r>
              <w:rPr>
                <w:rFonts w:ascii="Arial" w:cs="Arial" w:eastAsia="Arial" w:hAnsi="Arial"/>
                <w:sz w:val="14"/>
                <w:szCs w:val="14"/>
                <w:b w:val="1"/>
                <w:bCs w:val="1"/>
                <w:color w:val="auto"/>
              </w:rPr>
              <w:t>6.55</w:t>
            </w:r>
          </w:p>
        </w:tc>
        <w:tc>
          <w:tcPr>
            <w:tcW w:w="8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7.35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119380</wp:posOffset>
            </wp:positionV>
            <wp:extent cx="71088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882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144780</wp:posOffset>
            </wp:positionV>
            <wp:extent cx="71088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8825" cy="825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OPERATING COSTS PER BOE, EXCLUDING EFFECTS OF PSCs</w:t>
      </w:r>
    </w:p>
    <w:p>
      <w:pPr>
        <w:spacing w:after="0" w:line="132" w:lineRule="exact"/>
        <w:rPr>
          <w:sz w:val="20"/>
          <w:szCs w:val="20"/>
          <w:color w:val="auto"/>
        </w:rPr>
      </w:pPr>
    </w:p>
    <w:p>
      <w:pPr>
        <w:jc w:val="both"/>
        <w:ind w:right="20"/>
        <w:spacing w:after="0" w:line="259" w:lineRule="auto"/>
        <w:rPr>
          <w:sz w:val="20"/>
          <w:szCs w:val="20"/>
          <w:color w:val="auto"/>
        </w:rPr>
      </w:pPr>
      <w:r>
        <w:rPr>
          <w:rFonts w:ascii="Arial" w:cs="Arial" w:eastAsia="Arial" w:hAnsi="Arial"/>
          <w:sz w:val="14"/>
          <w:szCs w:val="14"/>
          <w:color w:val="auto"/>
        </w:rPr>
        <w:t>The reporting of PSC-type contracts creates a difference between reported operating costs, which are for the full field, and reported volumes, which are only CRC's net share, inflating the per barrel operating costs. The following table presents operating costs after adjusting for the excess costs attributable to PSCs.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1st Quarter</w:t>
            </w:r>
          </w:p>
        </w:tc>
        <w:tc>
          <w:tcPr>
            <w:tcW w:w="16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4th Quarter</w:t>
            </w:r>
          </w:p>
        </w:tc>
        <w:tc>
          <w:tcPr>
            <w:tcW w:w="180" w:type="dxa"/>
            <w:vAlign w:val="bottom"/>
          </w:tcPr>
          <w:p>
            <w:pPr>
              <w:spacing w:after="0"/>
              <w:rPr>
                <w:sz w:val="16"/>
                <w:szCs w:val="16"/>
                <w:color w:val="auto"/>
              </w:rPr>
            </w:pPr>
          </w:p>
        </w:tc>
        <w:tc>
          <w:tcPr>
            <w:tcW w:w="1060" w:type="dxa"/>
            <w:vAlign w:val="bottom"/>
          </w:tcPr>
          <w:p>
            <w:pPr>
              <w:jc w:val="right"/>
              <w:ind w:right="169"/>
              <w:spacing w:after="0"/>
              <w:rPr>
                <w:sz w:val="20"/>
                <w:szCs w:val="20"/>
                <w:color w:val="auto"/>
              </w:rPr>
            </w:pPr>
            <w:r>
              <w:rPr>
                <w:rFonts w:ascii="Arial" w:cs="Arial" w:eastAsia="Arial" w:hAnsi="Arial"/>
                <w:sz w:val="14"/>
                <w:szCs w:val="14"/>
                <w:b w:val="1"/>
                <w:bCs w:val="1"/>
                <w:color w:val="auto"/>
              </w:rPr>
              <w:t>1st Quarter</w:t>
            </w:r>
          </w:p>
        </w:tc>
      </w:tr>
      <w:tr>
        <w:trPr>
          <w:trHeight w:val="201"/>
        </w:trPr>
        <w:tc>
          <w:tcPr>
            <w:tcW w:w="7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 per BOE)</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2024</w:t>
            </w:r>
          </w:p>
        </w:tc>
      </w:tr>
      <w:tr>
        <w:trPr>
          <w:trHeight w:val="196"/>
        </w:trPr>
        <w:tc>
          <w:tcPr>
            <w:tcW w:w="7200" w:type="dxa"/>
            <w:vAlign w:val="bottom"/>
            <w:gridSpan w:val="2"/>
          </w:tcPr>
          <w:p>
            <w:pPr>
              <w:spacing w:after="0" w:line="195" w:lineRule="exact"/>
              <w:rPr>
                <w:sz w:val="20"/>
                <w:szCs w:val="20"/>
                <w:color w:val="auto"/>
              </w:rPr>
            </w:pPr>
            <w:r>
              <w:rPr>
                <w:rFonts w:ascii="Arial" w:cs="Arial" w:eastAsia="Arial" w:hAnsi="Arial"/>
                <w:sz w:val="14"/>
                <w:szCs w:val="14"/>
                <w:color w:val="auto"/>
              </w:rPr>
              <w:t xml:space="preserve">Energy operating costs </w:t>
            </w:r>
            <w:r>
              <w:rPr>
                <w:rFonts w:ascii="Arial" w:cs="Arial" w:eastAsia="Arial" w:hAnsi="Arial"/>
                <w:sz w:val="18"/>
                <w:szCs w:val="18"/>
                <w:color w:val="auto"/>
                <w:vertAlign w:val="superscript"/>
              </w:rPr>
              <w:t>(1)</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8.76</w:t>
            </w:r>
          </w:p>
        </w:tc>
        <w:tc>
          <w:tcPr>
            <w:tcW w:w="10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Pr>
          <w:p>
            <w:pPr>
              <w:jc w:val="right"/>
              <w:ind w:right="9"/>
              <w:spacing w:after="0"/>
              <w:rPr>
                <w:sz w:val="20"/>
                <w:szCs w:val="20"/>
                <w:color w:val="auto"/>
              </w:rPr>
            </w:pPr>
            <w:r>
              <w:rPr>
                <w:rFonts w:ascii="Arial" w:cs="Arial" w:eastAsia="Arial" w:hAnsi="Arial"/>
                <w:sz w:val="14"/>
                <w:szCs w:val="14"/>
                <w:b w:val="1"/>
                <w:bCs w:val="1"/>
                <w:color w:val="auto"/>
              </w:rPr>
              <w:t>7.70</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8.07</w:t>
            </w:r>
          </w:p>
        </w:tc>
      </w:tr>
      <w:tr>
        <w:trPr>
          <w:trHeight w:val="200"/>
        </w:trPr>
        <w:tc>
          <w:tcPr>
            <w:tcW w:w="7200" w:type="dxa"/>
            <w:vAlign w:val="bottom"/>
            <w:gridSpan w:val="2"/>
          </w:tcPr>
          <w:p>
            <w:pPr>
              <w:spacing w:after="0" w:line="200" w:lineRule="exact"/>
              <w:rPr>
                <w:sz w:val="20"/>
                <w:szCs w:val="20"/>
                <w:color w:val="auto"/>
              </w:rPr>
            </w:pPr>
            <w:r>
              <w:rPr>
                <w:rFonts w:ascii="Arial" w:cs="Arial" w:eastAsia="Arial" w:hAnsi="Arial"/>
                <w:sz w:val="14"/>
                <w:szCs w:val="14"/>
                <w:color w:val="auto"/>
              </w:rPr>
              <w:t xml:space="preserve">Gas processing costs </w:t>
            </w:r>
            <w:r>
              <w:rPr>
                <w:rFonts w:ascii="Arial" w:cs="Arial" w:eastAsia="Arial" w:hAnsi="Arial"/>
                <w:sz w:val="18"/>
                <w:szCs w:val="18"/>
                <w:color w:val="auto"/>
                <w:vertAlign w:val="superscript"/>
              </w:rPr>
              <w:t>(2)</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0.32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9"/>
              <w:spacing w:after="0"/>
              <w:rPr>
                <w:sz w:val="20"/>
                <w:szCs w:val="20"/>
                <w:color w:val="auto"/>
              </w:rPr>
            </w:pPr>
            <w:r>
              <w:rPr>
                <w:rFonts w:ascii="Arial" w:cs="Arial" w:eastAsia="Arial" w:hAnsi="Arial"/>
                <w:sz w:val="14"/>
                <w:szCs w:val="14"/>
                <w:b w:val="1"/>
                <w:bCs w:val="1"/>
                <w:color w:val="auto"/>
              </w:rPr>
              <w:t>0.31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0.58</w:t>
            </w:r>
          </w:p>
        </w:tc>
      </w:tr>
      <w:tr>
        <w:trPr>
          <w:trHeight w:val="198"/>
        </w:trPr>
        <w:tc>
          <w:tcPr>
            <w:tcW w:w="7200" w:type="dxa"/>
            <w:vAlign w:val="bottom"/>
            <w:gridSpan w:val="2"/>
          </w:tcPr>
          <w:p>
            <w:pPr>
              <w:spacing w:after="0" w:line="198" w:lineRule="exact"/>
              <w:rPr>
                <w:sz w:val="20"/>
                <w:szCs w:val="20"/>
                <w:color w:val="auto"/>
              </w:rPr>
            </w:pPr>
            <w:r>
              <w:rPr>
                <w:rFonts w:ascii="Arial" w:cs="Arial" w:eastAsia="Arial" w:hAnsi="Arial"/>
                <w:sz w:val="14"/>
                <w:szCs w:val="14"/>
                <w:color w:val="auto"/>
              </w:rPr>
              <w:t xml:space="preserve">Non-energy operating costs </w:t>
            </w:r>
            <w:r>
              <w:rPr>
                <w:rFonts w:ascii="Arial" w:cs="Arial" w:eastAsia="Arial" w:hAnsi="Arial"/>
                <w:sz w:val="18"/>
                <w:szCs w:val="18"/>
                <w:color w:val="auto"/>
                <w:vertAlign w:val="superscript"/>
              </w:rPr>
              <w:t>(3)</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16.52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17.34</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17.15</w:t>
            </w:r>
          </w:p>
        </w:tc>
      </w:tr>
      <w:tr>
        <w:trPr>
          <w:trHeight w:val="192"/>
        </w:trPr>
        <w:tc>
          <w:tcPr>
            <w:tcW w:w="7200" w:type="dxa"/>
            <w:vAlign w:val="bottom"/>
            <w:gridSpan w:val="2"/>
          </w:tcPr>
          <w:p>
            <w:pPr>
              <w:ind w:left="120"/>
              <w:spacing w:after="0"/>
              <w:rPr>
                <w:sz w:val="20"/>
                <w:szCs w:val="20"/>
                <w:color w:val="auto"/>
              </w:rPr>
            </w:pPr>
            <w:r>
              <w:rPr>
                <w:rFonts w:ascii="Arial" w:cs="Arial" w:eastAsia="Arial" w:hAnsi="Arial"/>
                <w:sz w:val="14"/>
                <w:szCs w:val="14"/>
                <w:color w:val="auto"/>
              </w:rPr>
              <w:t>Operating costs</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25.60</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25.35</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25.80</w:t>
            </w:r>
          </w:p>
        </w:tc>
      </w:tr>
      <w:tr>
        <w:trPr>
          <w:trHeight w:val="194"/>
        </w:trPr>
        <w:tc>
          <w:tcPr>
            <w:tcW w:w="7200" w:type="dxa"/>
            <w:vAlign w:val="bottom"/>
            <w:gridSpan w:val="2"/>
          </w:tcPr>
          <w:p>
            <w:pPr>
              <w:ind w:left="120"/>
              <w:spacing w:after="0"/>
              <w:rPr>
                <w:sz w:val="20"/>
                <w:szCs w:val="20"/>
                <w:color w:val="auto"/>
              </w:rPr>
            </w:pPr>
            <w:r>
              <w:rPr>
                <w:rFonts w:ascii="Arial" w:cs="Arial" w:eastAsia="Arial" w:hAnsi="Arial"/>
                <w:sz w:val="14"/>
                <w:szCs w:val="14"/>
                <w:color w:val="auto"/>
              </w:rPr>
              <w:t>Operating costs, after hedges</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26.55</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26.40</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26.09</w:t>
            </w:r>
          </w:p>
        </w:tc>
      </w:tr>
    </w:tbl>
    <w:p>
      <w:pPr>
        <w:spacing w:after="0" w:line="195" w:lineRule="exact"/>
        <w:rPr>
          <w:sz w:val="20"/>
          <w:szCs w:val="20"/>
          <w:color w:val="auto"/>
        </w:rPr>
      </w:pPr>
    </w:p>
    <w:p>
      <w:pPr>
        <w:ind w:right="440" w:firstLine="4"/>
        <w:spacing w:after="0" w:line="219" w:lineRule="auto"/>
        <w:tabs>
          <w:tab w:leader="none" w:pos="133" w:val="left"/>
        </w:tabs>
        <w:numPr>
          <w:ilvl w:val="0"/>
          <w:numId w:val="11"/>
        </w:numPr>
        <w:rPr>
          <w:rFonts w:ascii="Arial" w:cs="Arial" w:eastAsia="Arial" w:hAnsi="Arial"/>
          <w:sz w:val="15"/>
          <w:szCs w:val="15"/>
          <w:color w:val="auto"/>
          <w:vertAlign w:val="superscript"/>
        </w:rPr>
      </w:pPr>
      <w:r>
        <w:rPr>
          <w:rFonts w:ascii="Arial" w:cs="Arial" w:eastAsia="Arial" w:hAnsi="Arial"/>
          <w:sz w:val="12"/>
          <w:szCs w:val="12"/>
          <w:color w:val="auto"/>
        </w:rPr>
        <w:t>Energy operating costs consist of purchased natural gas used to generate electricity for operations and steamfloods, purchased electricity and internal costs to generate electricity used in CRC's operations.</w:t>
      </w:r>
    </w:p>
    <w:p>
      <w:pPr>
        <w:spacing w:after="0" w:line="23" w:lineRule="exact"/>
        <w:rPr>
          <w:rFonts w:ascii="Arial" w:cs="Arial" w:eastAsia="Arial" w:hAnsi="Arial"/>
          <w:sz w:val="15"/>
          <w:szCs w:val="15"/>
          <w:color w:val="auto"/>
          <w:vertAlign w:val="superscript"/>
        </w:rPr>
      </w:pPr>
    </w:p>
    <w:p>
      <w:pPr>
        <w:ind w:left="120" w:hanging="116"/>
        <w:spacing w:after="0"/>
        <w:tabs>
          <w:tab w:leader="none" w:pos="120" w:val="left"/>
        </w:tabs>
        <w:numPr>
          <w:ilvl w:val="0"/>
          <w:numId w:val="11"/>
        </w:numPr>
        <w:rPr>
          <w:rFonts w:ascii="Arial" w:cs="Arial" w:eastAsia="Arial" w:hAnsi="Arial"/>
          <w:sz w:val="14"/>
          <w:szCs w:val="14"/>
          <w:color w:val="auto"/>
          <w:vertAlign w:val="superscript"/>
        </w:rPr>
      </w:pPr>
      <w:r>
        <w:rPr>
          <w:rFonts w:ascii="Arial" w:cs="Arial" w:eastAsia="Arial" w:hAnsi="Arial"/>
          <w:sz w:val="11"/>
          <w:szCs w:val="11"/>
          <w:color w:val="auto"/>
        </w:rPr>
        <w:t>Gas processing costs include costs associated with compression, maintenance and other activities needed to run CRC's gas processing facilities at Elk Hills.</w:t>
      </w:r>
    </w:p>
    <w:p>
      <w:pPr>
        <w:spacing w:after="0" w:line="24" w:lineRule="exact"/>
        <w:rPr>
          <w:rFonts w:ascii="Arial" w:cs="Arial" w:eastAsia="Arial" w:hAnsi="Arial"/>
          <w:sz w:val="14"/>
          <w:szCs w:val="14"/>
          <w:color w:val="auto"/>
          <w:vertAlign w:val="superscript"/>
        </w:rPr>
      </w:pPr>
    </w:p>
    <w:p>
      <w:pPr>
        <w:ind w:left="120" w:hanging="116"/>
        <w:spacing w:after="0" w:line="227" w:lineRule="auto"/>
        <w:tabs>
          <w:tab w:leader="none" w:pos="120" w:val="left"/>
        </w:tabs>
        <w:numPr>
          <w:ilvl w:val="0"/>
          <w:numId w:val="11"/>
        </w:numPr>
        <w:rPr>
          <w:rFonts w:ascii="Arial" w:cs="Arial" w:eastAsia="Arial" w:hAnsi="Arial"/>
          <w:sz w:val="14"/>
          <w:szCs w:val="14"/>
          <w:color w:val="auto"/>
          <w:vertAlign w:val="superscript"/>
        </w:rPr>
      </w:pPr>
      <w:r>
        <w:rPr>
          <w:rFonts w:ascii="Arial" w:cs="Arial" w:eastAsia="Arial" w:hAnsi="Arial"/>
          <w:sz w:val="11"/>
          <w:szCs w:val="11"/>
          <w:color w:val="auto"/>
        </w:rPr>
        <w:t>Non-energy operating costs equal total operating costs less energy operating costs and gas processing costs.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180"/>
          </w:cols>
          <w:pgMar w:left="360" w:top="1103" w:right="35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95"/>
        </w:trPr>
        <w:tc>
          <w:tcPr>
            <w:tcW w:w="6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Attachment 4</w:t>
            </w:r>
          </w:p>
        </w:tc>
      </w:tr>
      <w:tr>
        <w:trPr>
          <w:trHeight w:val="21"/>
        </w:trPr>
        <w:tc>
          <w:tcPr>
            <w:tcW w:w="6980" w:type="dxa"/>
            <w:vAlign w:val="bottom"/>
            <w:tcBorders>
              <w:bottom w:val="single" w:sz="8" w:color="auto"/>
            </w:tcBorders>
            <w:gridSpan w:val="2"/>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2"/>
        </w:trPr>
        <w:tc>
          <w:tcPr>
            <w:tcW w:w="6980" w:type="dxa"/>
            <w:vAlign w:val="bottom"/>
            <w:gridSpan w:val="2"/>
          </w:tcPr>
          <w:p>
            <w:pPr>
              <w:ind w:left="20"/>
              <w:spacing w:after="0"/>
              <w:rPr>
                <w:sz w:val="20"/>
                <w:szCs w:val="20"/>
                <w:color w:val="auto"/>
              </w:rPr>
            </w:pPr>
            <w:r>
              <w:rPr>
                <w:rFonts w:ascii="Arial" w:cs="Arial" w:eastAsia="Arial" w:hAnsi="Arial"/>
                <w:sz w:val="14"/>
                <w:szCs w:val="14"/>
                <w:b w:val="1"/>
                <w:bCs w:val="1"/>
                <w:color w:val="auto"/>
              </w:rPr>
              <w:t>PRODUCTION STATISTICS</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53"/>
        </w:trPr>
        <w:tc>
          <w:tcPr>
            <w:tcW w:w="6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1st Quarter</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4th Quarter</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1st Quarter</w:t>
            </w:r>
          </w:p>
        </w:tc>
      </w:tr>
      <w:tr>
        <w:trPr>
          <w:trHeight w:val="201"/>
        </w:trPr>
        <w:tc>
          <w:tcPr>
            <w:tcW w:w="6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Net Production Per Day</w:t>
            </w:r>
          </w:p>
        </w:tc>
        <w:tc>
          <w:tcPr>
            <w:tcW w:w="12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2024</w:t>
            </w:r>
          </w:p>
        </w:tc>
      </w:tr>
      <w:tr>
        <w:trPr>
          <w:trHeight w:val="193"/>
        </w:trPr>
        <w:tc>
          <w:tcPr>
            <w:tcW w:w="6980" w:type="dxa"/>
            <w:vAlign w:val="bottom"/>
            <w:gridSpan w:val="2"/>
          </w:tcPr>
          <w:p>
            <w:pPr>
              <w:ind w:left="20"/>
              <w:spacing w:after="0"/>
              <w:rPr>
                <w:sz w:val="20"/>
                <w:szCs w:val="20"/>
                <w:color w:val="auto"/>
              </w:rPr>
            </w:pPr>
            <w:r>
              <w:rPr>
                <w:rFonts w:ascii="Arial" w:cs="Arial" w:eastAsia="Arial" w:hAnsi="Arial"/>
                <w:sz w:val="14"/>
                <w:szCs w:val="14"/>
                <w:b w:val="1"/>
                <w:bCs w:val="1"/>
                <w:color w:val="auto"/>
              </w:rPr>
              <w:t>Oil (MBbl/d)</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0"/>
        </w:trPr>
        <w:tc>
          <w:tcPr>
            <w:tcW w:w="6980" w:type="dxa"/>
            <w:vAlign w:val="bottom"/>
            <w:gridSpan w:val="2"/>
          </w:tcPr>
          <w:p>
            <w:pPr>
              <w:ind w:left="60"/>
              <w:spacing w:after="0"/>
              <w:rPr>
                <w:sz w:val="20"/>
                <w:szCs w:val="20"/>
                <w:color w:val="auto"/>
              </w:rPr>
            </w:pPr>
            <w:r>
              <w:rPr>
                <w:rFonts w:ascii="Arial" w:cs="Arial" w:eastAsia="Arial" w:hAnsi="Arial"/>
                <w:sz w:val="14"/>
                <w:szCs w:val="14"/>
                <w:color w:val="auto"/>
              </w:rPr>
              <w:t>San Joaquin Basin</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84</w:t>
            </w:r>
          </w:p>
        </w:tc>
        <w:tc>
          <w:tcPr>
            <w:tcW w:w="10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86</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30</w:t>
            </w:r>
          </w:p>
        </w:tc>
      </w:tr>
      <w:tr>
        <w:trPr>
          <w:trHeight w:val="200"/>
        </w:trPr>
        <w:tc>
          <w:tcPr>
            <w:tcW w:w="6980" w:type="dxa"/>
            <w:vAlign w:val="bottom"/>
            <w:gridSpan w:val="2"/>
          </w:tcPr>
          <w:p>
            <w:pPr>
              <w:ind w:left="60"/>
              <w:spacing w:after="0"/>
              <w:rPr>
                <w:sz w:val="20"/>
                <w:szCs w:val="20"/>
                <w:color w:val="auto"/>
              </w:rPr>
            </w:pPr>
            <w:r>
              <w:rPr>
                <w:rFonts w:ascii="Arial" w:cs="Arial" w:eastAsia="Arial" w:hAnsi="Arial"/>
                <w:sz w:val="14"/>
                <w:szCs w:val="14"/>
                <w:color w:val="auto"/>
              </w:rPr>
              <w:t>Los Angeles Basin</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10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17</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18</w:t>
            </w:r>
          </w:p>
        </w:tc>
      </w:tr>
      <w:tr>
        <w:trPr>
          <w:trHeight w:val="200"/>
        </w:trPr>
        <w:tc>
          <w:tcPr>
            <w:tcW w:w="6980" w:type="dxa"/>
            <w:vAlign w:val="bottom"/>
            <w:gridSpan w:val="2"/>
          </w:tcPr>
          <w:p>
            <w:pPr>
              <w:ind w:left="60"/>
              <w:spacing w:after="0"/>
              <w:rPr>
                <w:sz w:val="20"/>
                <w:szCs w:val="20"/>
                <w:color w:val="auto"/>
              </w:rPr>
            </w:pPr>
            <w:r>
              <w:rPr>
                <w:rFonts w:ascii="Arial" w:cs="Arial" w:eastAsia="Arial" w:hAnsi="Arial"/>
                <w:sz w:val="14"/>
                <w:szCs w:val="14"/>
                <w:color w:val="auto"/>
              </w:rPr>
              <w:t>Other Basins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9</w:t>
            </w:r>
          </w:p>
        </w:tc>
        <w:tc>
          <w:tcPr>
            <w:tcW w:w="8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193"/>
        </w:trPr>
        <w:tc>
          <w:tcPr>
            <w:tcW w:w="698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111</w:t>
            </w:r>
          </w:p>
        </w:tc>
        <w:tc>
          <w:tcPr>
            <w:tcW w:w="100" w:type="dxa"/>
            <w:vAlign w:val="bottom"/>
          </w:tcPr>
          <w:p>
            <w:pPr>
              <w:spacing w:after="0"/>
              <w:rPr>
                <w:sz w:val="16"/>
                <w:szCs w:val="16"/>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112</w:t>
            </w: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48</w:t>
            </w:r>
          </w:p>
        </w:tc>
      </w:tr>
      <w:tr>
        <w:trPr>
          <w:trHeight w:val="360"/>
        </w:trPr>
        <w:tc>
          <w:tcPr>
            <w:tcW w:w="6980" w:type="dxa"/>
            <w:vAlign w:val="bottom"/>
            <w:gridSpan w:val="2"/>
          </w:tcPr>
          <w:p>
            <w:pPr>
              <w:ind w:left="20"/>
              <w:spacing w:after="0"/>
              <w:rPr>
                <w:sz w:val="20"/>
                <w:szCs w:val="20"/>
                <w:color w:val="auto"/>
              </w:rPr>
            </w:pPr>
            <w:r>
              <w:rPr>
                <w:rFonts w:ascii="Arial" w:cs="Arial" w:eastAsia="Arial" w:hAnsi="Arial"/>
                <w:sz w:val="14"/>
                <w:szCs w:val="14"/>
                <w:b w:val="1"/>
                <w:bCs w:val="1"/>
                <w:color w:val="auto"/>
              </w:rPr>
              <w:t>NGLs (MBbl/d)</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00"/>
        </w:trPr>
        <w:tc>
          <w:tcPr>
            <w:tcW w:w="6980" w:type="dxa"/>
            <w:vAlign w:val="bottom"/>
            <w:gridSpan w:val="2"/>
          </w:tcPr>
          <w:p>
            <w:pPr>
              <w:ind w:left="60"/>
              <w:spacing w:after="0"/>
              <w:rPr>
                <w:sz w:val="20"/>
                <w:szCs w:val="20"/>
                <w:color w:val="auto"/>
              </w:rPr>
            </w:pPr>
            <w:r>
              <w:rPr>
                <w:rFonts w:ascii="Arial" w:cs="Arial" w:eastAsia="Arial" w:hAnsi="Arial"/>
                <w:sz w:val="14"/>
                <w:szCs w:val="14"/>
                <w:color w:val="auto"/>
              </w:rPr>
              <w:t>San Joaquin Basin</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10</w:t>
            </w:r>
          </w:p>
        </w:tc>
        <w:tc>
          <w:tcPr>
            <w:tcW w:w="8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r>
      <w:tr>
        <w:trPr>
          <w:trHeight w:val="193"/>
        </w:trPr>
        <w:tc>
          <w:tcPr>
            <w:tcW w:w="698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6"/>
                <w:szCs w:val="16"/>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10</w:t>
            </w: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11</w:t>
            </w:r>
          </w:p>
        </w:tc>
      </w:tr>
      <w:tr>
        <w:trPr>
          <w:trHeight w:val="360"/>
        </w:trPr>
        <w:tc>
          <w:tcPr>
            <w:tcW w:w="6980" w:type="dxa"/>
            <w:vAlign w:val="bottom"/>
            <w:gridSpan w:val="2"/>
          </w:tcPr>
          <w:p>
            <w:pPr>
              <w:ind w:left="20"/>
              <w:spacing w:after="0"/>
              <w:rPr>
                <w:sz w:val="20"/>
                <w:szCs w:val="20"/>
                <w:color w:val="auto"/>
              </w:rPr>
            </w:pPr>
            <w:r>
              <w:rPr>
                <w:rFonts w:ascii="Arial" w:cs="Arial" w:eastAsia="Arial" w:hAnsi="Arial"/>
                <w:sz w:val="14"/>
                <w:szCs w:val="14"/>
                <w:b w:val="1"/>
                <w:bCs w:val="1"/>
                <w:color w:val="auto"/>
              </w:rPr>
              <w:t>Natural Gas (MMcf/d)</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00"/>
        </w:trPr>
        <w:tc>
          <w:tcPr>
            <w:tcW w:w="6980" w:type="dxa"/>
            <w:vAlign w:val="bottom"/>
            <w:gridSpan w:val="2"/>
          </w:tcPr>
          <w:p>
            <w:pPr>
              <w:ind w:left="60"/>
              <w:spacing w:after="0"/>
              <w:rPr>
                <w:sz w:val="20"/>
                <w:szCs w:val="20"/>
                <w:color w:val="auto"/>
              </w:rPr>
            </w:pPr>
            <w:r>
              <w:rPr>
                <w:rFonts w:ascii="Arial" w:cs="Arial" w:eastAsia="Arial" w:hAnsi="Arial"/>
                <w:sz w:val="14"/>
                <w:szCs w:val="14"/>
                <w:color w:val="auto"/>
              </w:rPr>
              <w:t>San Joaquin Basin</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101</w:t>
            </w:r>
          </w:p>
        </w:tc>
        <w:tc>
          <w:tcPr>
            <w:tcW w:w="10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98</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90</w:t>
            </w:r>
          </w:p>
        </w:tc>
      </w:tr>
      <w:tr>
        <w:trPr>
          <w:trHeight w:val="200"/>
        </w:trPr>
        <w:tc>
          <w:tcPr>
            <w:tcW w:w="6980" w:type="dxa"/>
            <w:vAlign w:val="bottom"/>
            <w:gridSpan w:val="2"/>
          </w:tcPr>
          <w:p>
            <w:pPr>
              <w:ind w:left="60"/>
              <w:spacing w:after="0"/>
              <w:rPr>
                <w:sz w:val="20"/>
                <w:szCs w:val="20"/>
                <w:color w:val="auto"/>
              </w:rPr>
            </w:pPr>
            <w:r>
              <w:rPr>
                <w:rFonts w:ascii="Arial" w:cs="Arial" w:eastAsia="Arial" w:hAnsi="Arial"/>
                <w:sz w:val="14"/>
                <w:szCs w:val="14"/>
                <w:color w:val="auto"/>
              </w:rPr>
              <w:t>Los Angeles Basin</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r>
        <w:trPr>
          <w:trHeight w:val="200"/>
        </w:trPr>
        <w:tc>
          <w:tcPr>
            <w:tcW w:w="6980" w:type="dxa"/>
            <w:vAlign w:val="bottom"/>
            <w:gridSpan w:val="2"/>
          </w:tcPr>
          <w:p>
            <w:pPr>
              <w:ind w:left="60"/>
              <w:spacing w:after="0"/>
              <w:rPr>
                <w:sz w:val="20"/>
                <w:szCs w:val="20"/>
                <w:color w:val="auto"/>
              </w:rPr>
            </w:pPr>
            <w:r>
              <w:rPr>
                <w:rFonts w:ascii="Arial" w:cs="Arial" w:eastAsia="Arial" w:hAnsi="Arial"/>
                <w:sz w:val="14"/>
                <w:szCs w:val="14"/>
                <w:color w:val="auto"/>
              </w:rPr>
              <w:t>Sacramento Basin</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13</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00"/>
        </w:trPr>
        <w:tc>
          <w:tcPr>
            <w:tcW w:w="6980" w:type="dxa"/>
            <w:vAlign w:val="bottom"/>
            <w:gridSpan w:val="2"/>
          </w:tcPr>
          <w:p>
            <w:pPr>
              <w:ind w:left="60"/>
              <w:spacing w:after="0"/>
              <w:rPr>
                <w:sz w:val="20"/>
                <w:szCs w:val="20"/>
                <w:color w:val="auto"/>
              </w:rPr>
            </w:pPr>
            <w:r>
              <w:rPr>
                <w:rFonts w:ascii="Arial" w:cs="Arial" w:eastAsia="Arial" w:hAnsi="Arial"/>
                <w:sz w:val="14"/>
                <w:szCs w:val="14"/>
                <w:color w:val="auto"/>
              </w:rPr>
              <w:t>Other Basins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w:t>
            </w:r>
          </w:p>
        </w:tc>
      </w:tr>
      <w:tr>
        <w:trPr>
          <w:trHeight w:val="193"/>
        </w:trPr>
        <w:tc>
          <w:tcPr>
            <w:tcW w:w="698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117</w:t>
            </w:r>
          </w:p>
        </w:tc>
        <w:tc>
          <w:tcPr>
            <w:tcW w:w="100" w:type="dxa"/>
            <w:vAlign w:val="bottom"/>
          </w:tcPr>
          <w:p>
            <w:pPr>
              <w:spacing w:after="0"/>
              <w:rPr>
                <w:sz w:val="16"/>
                <w:szCs w:val="16"/>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115</w:t>
            </w: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105</w:t>
            </w:r>
          </w:p>
        </w:tc>
      </w:tr>
      <w:tr>
        <w:trPr>
          <w:trHeight w:val="161"/>
        </w:trPr>
        <w:tc>
          <w:tcPr>
            <w:tcW w:w="6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r>
      <w:tr>
        <w:trPr>
          <w:trHeight w:val="193"/>
        </w:trPr>
        <w:tc>
          <w:tcPr>
            <w:tcW w:w="698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Net Production (MBoe/d)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141</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141</w:t>
            </w:r>
          </w:p>
        </w:tc>
        <w:tc>
          <w:tcPr>
            <w:tcW w:w="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76</w:t>
            </w: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645"/>
        </w:trPr>
        <w:tc>
          <w:tcPr>
            <w:tcW w:w="6980" w:type="dxa"/>
            <w:vAlign w:val="bottom"/>
            <w:gridSpan w:val="2"/>
          </w:tcPr>
          <w:p>
            <w:pPr>
              <w:ind w:left="20"/>
              <w:spacing w:after="0"/>
              <w:rPr>
                <w:sz w:val="20"/>
                <w:szCs w:val="20"/>
                <w:color w:val="auto"/>
              </w:rPr>
            </w:pPr>
            <w:r>
              <w:rPr>
                <w:rFonts w:ascii="Arial" w:cs="Arial" w:eastAsia="Arial" w:hAnsi="Arial"/>
                <w:sz w:val="14"/>
                <w:szCs w:val="14"/>
                <w:b w:val="1"/>
                <w:bCs w:val="1"/>
                <w:color w:val="auto"/>
              </w:rPr>
              <w:t>Gross Operated and Net Non-Operated</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1st Quarter</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4th Quarter</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1st Quarter</w:t>
            </w:r>
          </w:p>
        </w:tc>
      </w:tr>
      <w:tr>
        <w:trPr>
          <w:trHeight w:val="201"/>
        </w:trPr>
        <w:tc>
          <w:tcPr>
            <w:tcW w:w="6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Production Per Day</w:t>
            </w:r>
          </w:p>
        </w:tc>
        <w:tc>
          <w:tcPr>
            <w:tcW w:w="12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2024</w:t>
            </w:r>
          </w:p>
        </w:tc>
      </w:tr>
      <w:tr>
        <w:trPr>
          <w:trHeight w:val="193"/>
        </w:trPr>
        <w:tc>
          <w:tcPr>
            <w:tcW w:w="6980" w:type="dxa"/>
            <w:vAlign w:val="bottom"/>
            <w:gridSpan w:val="2"/>
          </w:tcPr>
          <w:p>
            <w:pPr>
              <w:ind w:left="20"/>
              <w:spacing w:after="0"/>
              <w:rPr>
                <w:sz w:val="20"/>
                <w:szCs w:val="20"/>
                <w:color w:val="auto"/>
              </w:rPr>
            </w:pPr>
            <w:r>
              <w:rPr>
                <w:rFonts w:ascii="Arial" w:cs="Arial" w:eastAsia="Arial" w:hAnsi="Arial"/>
                <w:sz w:val="14"/>
                <w:szCs w:val="14"/>
                <w:b w:val="1"/>
                <w:bCs w:val="1"/>
                <w:color w:val="auto"/>
              </w:rPr>
              <w:t>Oil (MBbl/d)</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0"/>
        </w:trPr>
        <w:tc>
          <w:tcPr>
            <w:tcW w:w="6980" w:type="dxa"/>
            <w:vAlign w:val="bottom"/>
            <w:gridSpan w:val="2"/>
          </w:tcPr>
          <w:p>
            <w:pPr>
              <w:ind w:left="60"/>
              <w:spacing w:after="0"/>
              <w:rPr>
                <w:sz w:val="20"/>
                <w:szCs w:val="20"/>
                <w:color w:val="auto"/>
              </w:rPr>
            </w:pPr>
            <w:r>
              <w:rPr>
                <w:rFonts w:ascii="Arial" w:cs="Arial" w:eastAsia="Arial" w:hAnsi="Arial"/>
                <w:sz w:val="14"/>
                <w:szCs w:val="14"/>
                <w:color w:val="auto"/>
              </w:rPr>
              <w:t>San Joaquin Basin</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90</w:t>
            </w:r>
          </w:p>
        </w:tc>
        <w:tc>
          <w:tcPr>
            <w:tcW w:w="10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93</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34</w:t>
            </w:r>
          </w:p>
        </w:tc>
      </w:tr>
      <w:tr>
        <w:trPr>
          <w:trHeight w:val="200"/>
        </w:trPr>
        <w:tc>
          <w:tcPr>
            <w:tcW w:w="6980" w:type="dxa"/>
            <w:vAlign w:val="bottom"/>
            <w:gridSpan w:val="2"/>
          </w:tcPr>
          <w:p>
            <w:pPr>
              <w:ind w:left="60"/>
              <w:spacing w:after="0"/>
              <w:rPr>
                <w:sz w:val="20"/>
                <w:szCs w:val="20"/>
                <w:color w:val="auto"/>
              </w:rPr>
            </w:pPr>
            <w:r>
              <w:rPr>
                <w:rFonts w:ascii="Arial" w:cs="Arial" w:eastAsia="Arial" w:hAnsi="Arial"/>
                <w:sz w:val="14"/>
                <w:szCs w:val="14"/>
                <w:color w:val="auto"/>
              </w:rPr>
              <w:t>Los Angeles Basin</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22</w:t>
            </w:r>
          </w:p>
        </w:tc>
        <w:tc>
          <w:tcPr>
            <w:tcW w:w="10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23</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24</w:t>
            </w:r>
          </w:p>
        </w:tc>
      </w:tr>
      <w:tr>
        <w:trPr>
          <w:trHeight w:val="200"/>
        </w:trPr>
        <w:tc>
          <w:tcPr>
            <w:tcW w:w="6980" w:type="dxa"/>
            <w:vAlign w:val="bottom"/>
            <w:gridSpan w:val="2"/>
          </w:tcPr>
          <w:p>
            <w:pPr>
              <w:ind w:left="60"/>
              <w:spacing w:after="0"/>
              <w:rPr>
                <w:sz w:val="20"/>
                <w:szCs w:val="20"/>
                <w:color w:val="auto"/>
              </w:rPr>
            </w:pPr>
            <w:r>
              <w:rPr>
                <w:rFonts w:ascii="Arial" w:cs="Arial" w:eastAsia="Arial" w:hAnsi="Arial"/>
                <w:sz w:val="14"/>
                <w:szCs w:val="14"/>
                <w:color w:val="auto"/>
              </w:rPr>
              <w:t>Other Basins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11</w:t>
            </w:r>
          </w:p>
        </w:tc>
        <w:tc>
          <w:tcPr>
            <w:tcW w:w="8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193"/>
        </w:trPr>
        <w:tc>
          <w:tcPr>
            <w:tcW w:w="698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123</w:t>
            </w:r>
          </w:p>
        </w:tc>
        <w:tc>
          <w:tcPr>
            <w:tcW w:w="100" w:type="dxa"/>
            <w:vAlign w:val="bottom"/>
          </w:tcPr>
          <w:p>
            <w:pPr>
              <w:spacing w:after="0"/>
              <w:rPr>
                <w:sz w:val="16"/>
                <w:szCs w:val="16"/>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127</w:t>
            </w: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58</w:t>
            </w:r>
          </w:p>
        </w:tc>
      </w:tr>
      <w:tr>
        <w:trPr>
          <w:trHeight w:val="360"/>
        </w:trPr>
        <w:tc>
          <w:tcPr>
            <w:tcW w:w="6980" w:type="dxa"/>
            <w:vAlign w:val="bottom"/>
            <w:gridSpan w:val="2"/>
          </w:tcPr>
          <w:p>
            <w:pPr>
              <w:ind w:left="20"/>
              <w:spacing w:after="0"/>
              <w:rPr>
                <w:sz w:val="20"/>
                <w:szCs w:val="20"/>
                <w:color w:val="auto"/>
              </w:rPr>
            </w:pPr>
            <w:r>
              <w:rPr>
                <w:rFonts w:ascii="Arial" w:cs="Arial" w:eastAsia="Arial" w:hAnsi="Arial"/>
                <w:sz w:val="14"/>
                <w:szCs w:val="14"/>
                <w:b w:val="1"/>
                <w:bCs w:val="1"/>
                <w:color w:val="auto"/>
              </w:rPr>
              <w:t>NGLs (MBbl/d)</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00"/>
        </w:trPr>
        <w:tc>
          <w:tcPr>
            <w:tcW w:w="6980" w:type="dxa"/>
            <w:vAlign w:val="bottom"/>
            <w:gridSpan w:val="2"/>
          </w:tcPr>
          <w:p>
            <w:pPr>
              <w:ind w:left="60"/>
              <w:spacing w:after="0"/>
              <w:rPr>
                <w:sz w:val="20"/>
                <w:szCs w:val="20"/>
                <w:color w:val="auto"/>
              </w:rPr>
            </w:pPr>
            <w:r>
              <w:rPr>
                <w:rFonts w:ascii="Arial" w:cs="Arial" w:eastAsia="Arial" w:hAnsi="Arial"/>
                <w:sz w:val="14"/>
                <w:szCs w:val="14"/>
                <w:color w:val="auto"/>
              </w:rPr>
              <w:t>San Joaquin Basin</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10</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11</w:t>
            </w:r>
          </w:p>
        </w:tc>
      </w:tr>
      <w:tr>
        <w:trPr>
          <w:trHeight w:val="200"/>
        </w:trPr>
        <w:tc>
          <w:tcPr>
            <w:tcW w:w="6980" w:type="dxa"/>
            <w:vAlign w:val="bottom"/>
            <w:gridSpan w:val="2"/>
          </w:tcPr>
          <w:p>
            <w:pPr>
              <w:ind w:left="60"/>
              <w:spacing w:after="0"/>
              <w:rPr>
                <w:sz w:val="20"/>
                <w:szCs w:val="20"/>
                <w:color w:val="auto"/>
              </w:rPr>
            </w:pPr>
            <w:r>
              <w:rPr>
                <w:rFonts w:ascii="Arial" w:cs="Arial" w:eastAsia="Arial" w:hAnsi="Arial"/>
                <w:sz w:val="14"/>
                <w:szCs w:val="14"/>
                <w:color w:val="auto"/>
              </w:rPr>
              <w:t>Other Basins</w:t>
            </w:r>
          </w:p>
        </w:tc>
        <w:tc>
          <w:tcPr>
            <w:tcW w:w="14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193"/>
        </w:trPr>
        <w:tc>
          <w:tcPr>
            <w:tcW w:w="698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6"/>
                <w:szCs w:val="16"/>
                <w:color w:val="auto"/>
              </w:rPr>
            </w:pPr>
          </w:p>
        </w:tc>
        <w:tc>
          <w:tcPr>
            <w:tcW w:w="13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11</w:t>
            </w:r>
          </w:p>
        </w:tc>
        <w:tc>
          <w:tcPr>
            <w:tcW w:w="80" w:type="dxa"/>
            <w:vAlign w:val="bottom"/>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r>
      <w:tr>
        <w:trPr>
          <w:trHeight w:val="360"/>
        </w:trPr>
        <w:tc>
          <w:tcPr>
            <w:tcW w:w="6980" w:type="dxa"/>
            <w:vAlign w:val="bottom"/>
            <w:gridSpan w:val="2"/>
          </w:tcPr>
          <w:p>
            <w:pPr>
              <w:ind w:left="20"/>
              <w:spacing w:after="0"/>
              <w:rPr>
                <w:sz w:val="20"/>
                <w:szCs w:val="20"/>
                <w:color w:val="auto"/>
              </w:rPr>
            </w:pPr>
            <w:r>
              <w:rPr>
                <w:rFonts w:ascii="Arial" w:cs="Arial" w:eastAsia="Arial" w:hAnsi="Arial"/>
                <w:sz w:val="14"/>
                <w:szCs w:val="14"/>
                <w:b w:val="1"/>
                <w:bCs w:val="1"/>
                <w:color w:val="auto"/>
              </w:rPr>
              <w:t>Natural Gas (MMcf/d)</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00"/>
        </w:trPr>
        <w:tc>
          <w:tcPr>
            <w:tcW w:w="6980" w:type="dxa"/>
            <w:vAlign w:val="bottom"/>
            <w:gridSpan w:val="2"/>
          </w:tcPr>
          <w:p>
            <w:pPr>
              <w:ind w:left="60"/>
              <w:spacing w:after="0"/>
              <w:rPr>
                <w:sz w:val="20"/>
                <w:szCs w:val="20"/>
                <w:color w:val="auto"/>
              </w:rPr>
            </w:pPr>
            <w:r>
              <w:rPr>
                <w:rFonts w:ascii="Arial" w:cs="Arial" w:eastAsia="Arial" w:hAnsi="Arial"/>
                <w:sz w:val="14"/>
                <w:szCs w:val="14"/>
                <w:color w:val="auto"/>
              </w:rPr>
              <w:t>San Joaquin Basin</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134</w:t>
            </w:r>
          </w:p>
        </w:tc>
        <w:tc>
          <w:tcPr>
            <w:tcW w:w="10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135</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128</w:t>
            </w:r>
          </w:p>
        </w:tc>
      </w:tr>
      <w:tr>
        <w:trPr>
          <w:trHeight w:val="200"/>
        </w:trPr>
        <w:tc>
          <w:tcPr>
            <w:tcW w:w="6980" w:type="dxa"/>
            <w:vAlign w:val="bottom"/>
            <w:gridSpan w:val="2"/>
          </w:tcPr>
          <w:p>
            <w:pPr>
              <w:ind w:left="60"/>
              <w:spacing w:after="0"/>
              <w:rPr>
                <w:sz w:val="20"/>
                <w:szCs w:val="20"/>
                <w:color w:val="auto"/>
              </w:rPr>
            </w:pPr>
            <w:r>
              <w:rPr>
                <w:rFonts w:ascii="Arial" w:cs="Arial" w:eastAsia="Arial" w:hAnsi="Arial"/>
                <w:sz w:val="14"/>
                <w:szCs w:val="14"/>
                <w:color w:val="auto"/>
              </w:rPr>
              <w:t>Los Angeles Basin</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6</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7</w:t>
            </w:r>
          </w:p>
        </w:tc>
      </w:tr>
      <w:tr>
        <w:trPr>
          <w:trHeight w:val="200"/>
        </w:trPr>
        <w:tc>
          <w:tcPr>
            <w:tcW w:w="6980" w:type="dxa"/>
            <w:vAlign w:val="bottom"/>
            <w:gridSpan w:val="2"/>
          </w:tcPr>
          <w:p>
            <w:pPr>
              <w:ind w:left="60"/>
              <w:spacing w:after="0"/>
              <w:rPr>
                <w:sz w:val="20"/>
                <w:szCs w:val="20"/>
                <w:color w:val="auto"/>
              </w:rPr>
            </w:pPr>
            <w:r>
              <w:rPr>
                <w:rFonts w:ascii="Arial" w:cs="Arial" w:eastAsia="Arial" w:hAnsi="Arial"/>
                <w:sz w:val="14"/>
                <w:szCs w:val="14"/>
                <w:color w:val="auto"/>
              </w:rPr>
              <w:t>Sacramento Basin</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10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17</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17</w:t>
            </w:r>
          </w:p>
        </w:tc>
      </w:tr>
      <w:tr>
        <w:trPr>
          <w:trHeight w:val="200"/>
        </w:trPr>
        <w:tc>
          <w:tcPr>
            <w:tcW w:w="6980" w:type="dxa"/>
            <w:vAlign w:val="bottom"/>
            <w:gridSpan w:val="2"/>
          </w:tcPr>
          <w:p>
            <w:pPr>
              <w:ind w:left="60"/>
              <w:spacing w:after="0"/>
              <w:rPr>
                <w:sz w:val="20"/>
                <w:szCs w:val="20"/>
                <w:color w:val="auto"/>
              </w:rPr>
            </w:pPr>
            <w:r>
              <w:rPr>
                <w:rFonts w:ascii="Arial" w:cs="Arial" w:eastAsia="Arial" w:hAnsi="Arial"/>
                <w:sz w:val="14"/>
                <w:szCs w:val="14"/>
                <w:color w:val="auto"/>
              </w:rPr>
              <w:t>Other Basins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193"/>
        </w:trPr>
        <w:tc>
          <w:tcPr>
            <w:tcW w:w="698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159</w:t>
            </w:r>
          </w:p>
        </w:tc>
        <w:tc>
          <w:tcPr>
            <w:tcW w:w="100" w:type="dxa"/>
            <w:vAlign w:val="bottom"/>
          </w:tcPr>
          <w:p>
            <w:pPr>
              <w:spacing w:after="0"/>
              <w:rPr>
                <w:sz w:val="16"/>
                <w:szCs w:val="16"/>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161</w:t>
            </w: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152</w:t>
            </w:r>
          </w:p>
        </w:tc>
      </w:tr>
      <w:tr>
        <w:trPr>
          <w:trHeight w:val="161"/>
        </w:trPr>
        <w:tc>
          <w:tcPr>
            <w:tcW w:w="6980" w:type="dxa"/>
            <w:vAlign w:val="bottom"/>
            <w:gridSpan w:val="2"/>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r>
      <w:tr>
        <w:trPr>
          <w:trHeight w:val="193"/>
        </w:trPr>
        <w:tc>
          <w:tcPr>
            <w:tcW w:w="698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Gross Production (MBoe/d)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160</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165</w:t>
            </w:r>
          </w:p>
        </w:tc>
        <w:tc>
          <w:tcPr>
            <w:tcW w:w="8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94</w:t>
            </w: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200"/>
          </w:cols>
          <w:pgMar w:left="340" w:top="1050" w:right="35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95"/>
        </w:trPr>
        <w:tc>
          <w:tcPr>
            <w:tcW w:w="64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Attachment 5</w:t>
            </w:r>
          </w:p>
        </w:tc>
      </w:tr>
      <w:tr>
        <w:trPr>
          <w:trHeight w:val="21"/>
        </w:trPr>
        <w:tc>
          <w:tcPr>
            <w:tcW w:w="6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2"/>
        </w:trPr>
        <w:tc>
          <w:tcPr>
            <w:tcW w:w="6440" w:type="dxa"/>
            <w:vAlign w:val="bottom"/>
          </w:tcPr>
          <w:p>
            <w:pPr>
              <w:ind w:left="20"/>
              <w:spacing w:after="0"/>
              <w:rPr>
                <w:sz w:val="20"/>
                <w:szCs w:val="20"/>
                <w:color w:val="auto"/>
              </w:rPr>
            </w:pPr>
            <w:r>
              <w:rPr>
                <w:rFonts w:ascii="Arial" w:cs="Arial" w:eastAsia="Arial" w:hAnsi="Arial"/>
                <w:sz w:val="14"/>
                <w:szCs w:val="14"/>
                <w:b w:val="1"/>
                <w:bCs w:val="1"/>
                <w:color w:val="auto"/>
              </w:rPr>
              <w:t>PRICE STATISTICS</w:t>
            </w: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0"/>
        </w:trPr>
        <w:tc>
          <w:tcPr>
            <w:tcW w:w="6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1st Quarter</w:t>
            </w:r>
          </w:p>
        </w:tc>
        <w:tc>
          <w:tcPr>
            <w:tcW w:w="220" w:type="dxa"/>
            <w:vAlign w:val="bottom"/>
          </w:tcPr>
          <w:p>
            <w:pPr>
              <w:spacing w:after="0"/>
              <w:rPr>
                <w:sz w:val="17"/>
                <w:szCs w:val="17"/>
                <w:color w:val="auto"/>
              </w:rPr>
            </w:pPr>
          </w:p>
        </w:tc>
        <w:tc>
          <w:tcPr>
            <w:tcW w:w="1380" w:type="dxa"/>
            <w:vAlign w:val="bottom"/>
            <w:gridSpan w:val="2"/>
          </w:tcPr>
          <w:p>
            <w:pPr>
              <w:ind w:left="140"/>
              <w:spacing w:after="0"/>
              <w:rPr>
                <w:sz w:val="20"/>
                <w:szCs w:val="20"/>
                <w:color w:val="auto"/>
              </w:rPr>
            </w:pPr>
            <w:r>
              <w:rPr>
                <w:rFonts w:ascii="Arial" w:cs="Arial" w:eastAsia="Arial" w:hAnsi="Arial"/>
                <w:sz w:val="14"/>
                <w:szCs w:val="14"/>
                <w:b w:val="1"/>
                <w:bCs w:val="1"/>
                <w:color w:val="auto"/>
              </w:rPr>
              <w:t>4th Quarter</w:t>
            </w:r>
          </w:p>
        </w:tc>
        <w:tc>
          <w:tcPr>
            <w:tcW w:w="240" w:type="dxa"/>
            <w:vAlign w:val="bottom"/>
          </w:tcPr>
          <w:p>
            <w:pPr>
              <w:spacing w:after="0"/>
              <w:rPr>
                <w:sz w:val="17"/>
                <w:szCs w:val="17"/>
                <w:color w:val="auto"/>
              </w:rPr>
            </w:pPr>
          </w:p>
        </w:tc>
        <w:tc>
          <w:tcPr>
            <w:tcW w:w="1320" w:type="dxa"/>
            <w:vAlign w:val="bottom"/>
          </w:tcPr>
          <w:p>
            <w:pPr>
              <w:jc w:val="right"/>
              <w:ind w:right="329"/>
              <w:spacing w:after="0"/>
              <w:rPr>
                <w:sz w:val="20"/>
                <w:szCs w:val="20"/>
                <w:color w:val="auto"/>
              </w:rPr>
            </w:pPr>
            <w:r>
              <w:rPr>
                <w:rFonts w:ascii="Arial" w:cs="Arial" w:eastAsia="Arial" w:hAnsi="Arial"/>
                <w:sz w:val="14"/>
                <w:szCs w:val="14"/>
                <w:b w:val="1"/>
                <w:bCs w:val="1"/>
                <w:color w:val="auto"/>
              </w:rPr>
              <w:t>1st Quarter</w:t>
            </w:r>
          </w:p>
        </w:tc>
      </w:tr>
      <w:tr>
        <w:trPr>
          <w:trHeight w:val="200"/>
        </w:trPr>
        <w:tc>
          <w:tcPr>
            <w:tcW w:w="64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2024</w:t>
            </w:r>
          </w:p>
        </w:tc>
      </w:tr>
      <w:tr>
        <w:trPr>
          <w:trHeight w:val="180"/>
        </w:trPr>
        <w:tc>
          <w:tcPr>
            <w:tcW w:w="6440" w:type="dxa"/>
            <w:vAlign w:val="bottom"/>
          </w:tcPr>
          <w:p>
            <w:pPr>
              <w:ind w:left="20"/>
              <w:spacing w:after="0"/>
              <w:rPr>
                <w:sz w:val="20"/>
                <w:szCs w:val="20"/>
                <w:color w:val="auto"/>
              </w:rPr>
            </w:pPr>
            <w:r>
              <w:rPr>
                <w:rFonts w:ascii="Arial" w:cs="Arial" w:eastAsia="Arial" w:hAnsi="Arial"/>
                <w:sz w:val="14"/>
                <w:szCs w:val="14"/>
                <w:b w:val="1"/>
                <w:bCs w:val="1"/>
                <w:color w:val="auto"/>
              </w:rPr>
              <w:t>Oil ($ per Bbl)</w:t>
            </w: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00"/>
        </w:trPr>
        <w:tc>
          <w:tcPr>
            <w:tcW w:w="6440" w:type="dxa"/>
            <w:vAlign w:val="bottom"/>
          </w:tcPr>
          <w:p>
            <w:pPr>
              <w:ind w:left="20"/>
              <w:spacing w:after="0"/>
              <w:rPr>
                <w:sz w:val="20"/>
                <w:szCs w:val="20"/>
                <w:color w:val="auto"/>
              </w:rPr>
            </w:pPr>
            <w:r>
              <w:rPr>
                <w:rFonts w:ascii="Arial" w:cs="Arial" w:eastAsia="Arial" w:hAnsi="Arial"/>
                <w:sz w:val="14"/>
                <w:szCs w:val="14"/>
                <w:color w:val="auto"/>
              </w:rPr>
              <w:t>Realized price with derivative settlements</w:t>
            </w: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109"/>
              <w:spacing w:after="0"/>
              <w:rPr>
                <w:sz w:val="20"/>
                <w:szCs w:val="20"/>
                <w:color w:val="auto"/>
              </w:rPr>
            </w:pPr>
            <w:r>
              <w:rPr>
                <w:rFonts w:ascii="Arial" w:cs="Arial" w:eastAsia="Arial" w:hAnsi="Arial"/>
                <w:sz w:val="14"/>
                <w:szCs w:val="14"/>
                <w:b w:val="1"/>
                <w:bCs w:val="1"/>
                <w:color w:val="auto"/>
              </w:rPr>
              <w:t>72.01</w:t>
            </w:r>
          </w:p>
        </w:tc>
        <w:tc>
          <w:tcPr>
            <w:tcW w:w="10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73.00</w:t>
            </w:r>
          </w:p>
        </w:tc>
        <w:tc>
          <w:tcPr>
            <w:tcW w:w="10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109"/>
              <w:spacing w:after="0"/>
              <w:rPr>
                <w:sz w:val="20"/>
                <w:szCs w:val="20"/>
                <w:color w:val="auto"/>
              </w:rPr>
            </w:pPr>
            <w:r>
              <w:rPr>
                <w:rFonts w:ascii="Arial" w:cs="Arial" w:eastAsia="Arial" w:hAnsi="Arial"/>
                <w:sz w:val="14"/>
                <w:szCs w:val="14"/>
                <w:b w:val="1"/>
                <w:bCs w:val="1"/>
                <w:color w:val="auto"/>
              </w:rPr>
              <w:t>77.17</w:t>
            </w:r>
          </w:p>
        </w:tc>
      </w:tr>
      <w:tr>
        <w:trPr>
          <w:trHeight w:val="200"/>
        </w:trPr>
        <w:tc>
          <w:tcPr>
            <w:tcW w:w="6440" w:type="dxa"/>
            <w:vAlign w:val="bottom"/>
          </w:tcPr>
          <w:p>
            <w:pPr>
              <w:ind w:left="20"/>
              <w:spacing w:after="0"/>
              <w:rPr>
                <w:sz w:val="20"/>
                <w:szCs w:val="20"/>
                <w:color w:val="auto"/>
              </w:rPr>
            </w:pPr>
            <w:r>
              <w:rPr>
                <w:rFonts w:ascii="Arial" w:cs="Arial" w:eastAsia="Arial" w:hAnsi="Arial"/>
                <w:sz w:val="14"/>
                <w:szCs w:val="14"/>
                <w:color w:val="auto"/>
              </w:rPr>
              <w:t>Realized price without derivative settlements</w:t>
            </w: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109"/>
              <w:spacing w:after="0"/>
              <w:rPr>
                <w:sz w:val="20"/>
                <w:szCs w:val="20"/>
                <w:color w:val="auto"/>
              </w:rPr>
            </w:pPr>
            <w:r>
              <w:rPr>
                <w:rFonts w:ascii="Arial" w:cs="Arial" w:eastAsia="Arial" w:hAnsi="Arial"/>
                <w:sz w:val="14"/>
                <w:szCs w:val="14"/>
                <w:b w:val="1"/>
                <w:bCs w:val="1"/>
                <w:color w:val="auto"/>
              </w:rPr>
              <w:t>73.57</w:t>
            </w:r>
          </w:p>
        </w:tc>
        <w:tc>
          <w:tcPr>
            <w:tcW w:w="10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72.82</w:t>
            </w:r>
          </w:p>
        </w:tc>
        <w:tc>
          <w:tcPr>
            <w:tcW w:w="10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109"/>
              <w:spacing w:after="0"/>
              <w:rPr>
                <w:sz w:val="20"/>
                <w:szCs w:val="20"/>
                <w:color w:val="auto"/>
              </w:rPr>
            </w:pPr>
            <w:r>
              <w:rPr>
                <w:rFonts w:ascii="Arial" w:cs="Arial" w:eastAsia="Arial" w:hAnsi="Arial"/>
                <w:sz w:val="14"/>
                <w:szCs w:val="14"/>
                <w:b w:val="1"/>
                <w:bCs w:val="1"/>
                <w:color w:val="auto"/>
              </w:rPr>
              <w:t>80.16</w:t>
            </w:r>
          </w:p>
        </w:tc>
      </w:tr>
      <w:tr>
        <w:trPr>
          <w:trHeight w:val="253"/>
        </w:trPr>
        <w:tc>
          <w:tcPr>
            <w:tcW w:w="6440" w:type="dxa"/>
            <w:vAlign w:val="bottom"/>
          </w:tcPr>
          <w:p>
            <w:pPr>
              <w:ind w:left="20"/>
              <w:spacing w:after="0"/>
              <w:rPr>
                <w:sz w:val="20"/>
                <w:szCs w:val="20"/>
                <w:color w:val="auto"/>
              </w:rPr>
            </w:pPr>
            <w:r>
              <w:rPr>
                <w:rFonts w:ascii="Arial" w:cs="Arial" w:eastAsia="Arial" w:hAnsi="Arial"/>
                <w:sz w:val="14"/>
                <w:szCs w:val="14"/>
                <w:color w:val="auto"/>
              </w:rPr>
              <w:t>NGLs ($/Bbl)</w:t>
            </w: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109"/>
              <w:spacing w:after="0"/>
              <w:rPr>
                <w:sz w:val="20"/>
                <w:szCs w:val="20"/>
                <w:color w:val="auto"/>
              </w:rPr>
            </w:pPr>
            <w:r>
              <w:rPr>
                <w:rFonts w:ascii="Arial" w:cs="Arial" w:eastAsia="Arial" w:hAnsi="Arial"/>
                <w:sz w:val="14"/>
                <w:szCs w:val="14"/>
                <w:b w:val="1"/>
                <w:bCs w:val="1"/>
                <w:color w:val="auto"/>
              </w:rPr>
              <w:t>54.64</w:t>
            </w:r>
          </w:p>
        </w:tc>
        <w:tc>
          <w:tcPr>
            <w:tcW w:w="100" w:type="dxa"/>
            <w:vAlign w:val="bottom"/>
          </w:tcPr>
          <w:p>
            <w:pPr>
              <w:spacing w:after="0"/>
              <w:rPr>
                <w:sz w:val="22"/>
                <w:szCs w:val="22"/>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52.62</w:t>
            </w:r>
          </w:p>
        </w:tc>
        <w:tc>
          <w:tcPr>
            <w:tcW w:w="100" w:type="dxa"/>
            <w:vAlign w:val="bottom"/>
          </w:tcPr>
          <w:p>
            <w:pPr>
              <w:spacing w:after="0"/>
              <w:rPr>
                <w:sz w:val="22"/>
                <w:szCs w:val="22"/>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109"/>
              <w:spacing w:after="0"/>
              <w:rPr>
                <w:sz w:val="20"/>
                <w:szCs w:val="20"/>
                <w:color w:val="auto"/>
              </w:rPr>
            </w:pPr>
            <w:r>
              <w:rPr>
                <w:rFonts w:ascii="Arial" w:cs="Arial" w:eastAsia="Arial" w:hAnsi="Arial"/>
                <w:sz w:val="14"/>
                <w:szCs w:val="14"/>
                <w:b w:val="1"/>
                <w:bCs w:val="1"/>
                <w:color w:val="auto"/>
              </w:rPr>
              <w:t>50.50</w:t>
            </w:r>
          </w:p>
        </w:tc>
      </w:tr>
      <w:tr>
        <w:trPr>
          <w:trHeight w:val="247"/>
        </w:trPr>
        <w:tc>
          <w:tcPr>
            <w:tcW w:w="6440" w:type="dxa"/>
            <w:vAlign w:val="bottom"/>
          </w:tcPr>
          <w:p>
            <w:pPr>
              <w:ind w:left="20"/>
              <w:spacing w:after="0"/>
              <w:rPr>
                <w:sz w:val="20"/>
                <w:szCs w:val="20"/>
                <w:color w:val="auto"/>
              </w:rPr>
            </w:pPr>
            <w:r>
              <w:rPr>
                <w:rFonts w:ascii="Arial" w:cs="Arial" w:eastAsia="Arial" w:hAnsi="Arial"/>
                <w:sz w:val="14"/>
                <w:szCs w:val="14"/>
                <w:color w:val="auto"/>
              </w:rPr>
              <w:t>Natural gas ($/Mcf)</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06"/>
        </w:trPr>
        <w:tc>
          <w:tcPr>
            <w:tcW w:w="6440" w:type="dxa"/>
            <w:vAlign w:val="bottom"/>
          </w:tcPr>
          <w:p>
            <w:pPr>
              <w:ind w:left="20"/>
              <w:spacing w:after="0"/>
              <w:rPr>
                <w:sz w:val="20"/>
                <w:szCs w:val="20"/>
                <w:color w:val="auto"/>
              </w:rPr>
            </w:pPr>
            <w:r>
              <w:rPr>
                <w:rFonts w:ascii="Arial" w:cs="Arial" w:eastAsia="Arial" w:hAnsi="Arial"/>
                <w:sz w:val="14"/>
                <w:szCs w:val="14"/>
                <w:color w:val="auto"/>
              </w:rPr>
              <w:t>Realized price with derivative settlements</w:t>
            </w: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109"/>
              <w:spacing w:after="0"/>
              <w:rPr>
                <w:sz w:val="20"/>
                <w:szCs w:val="20"/>
                <w:color w:val="auto"/>
              </w:rPr>
            </w:pPr>
            <w:r>
              <w:rPr>
                <w:rFonts w:ascii="Arial" w:cs="Arial" w:eastAsia="Arial" w:hAnsi="Arial"/>
                <w:sz w:val="14"/>
                <w:szCs w:val="14"/>
                <w:b w:val="1"/>
                <w:bCs w:val="1"/>
                <w:color w:val="auto"/>
              </w:rPr>
              <w:t>4.12</w:t>
            </w:r>
          </w:p>
        </w:tc>
        <w:tc>
          <w:tcPr>
            <w:tcW w:w="10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3.65</w:t>
            </w:r>
          </w:p>
        </w:tc>
        <w:tc>
          <w:tcPr>
            <w:tcW w:w="10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109"/>
              <w:spacing w:after="0"/>
              <w:rPr>
                <w:sz w:val="20"/>
                <w:szCs w:val="20"/>
                <w:color w:val="auto"/>
              </w:rPr>
            </w:pPr>
            <w:r>
              <w:rPr>
                <w:rFonts w:ascii="Arial" w:cs="Arial" w:eastAsia="Arial" w:hAnsi="Arial"/>
                <w:sz w:val="14"/>
                <w:szCs w:val="14"/>
                <w:b w:val="1"/>
                <w:bCs w:val="1"/>
                <w:color w:val="auto"/>
              </w:rPr>
              <w:t>3.90</w:t>
            </w:r>
          </w:p>
        </w:tc>
      </w:tr>
      <w:tr>
        <w:trPr>
          <w:trHeight w:val="200"/>
        </w:trPr>
        <w:tc>
          <w:tcPr>
            <w:tcW w:w="6440" w:type="dxa"/>
            <w:vAlign w:val="bottom"/>
          </w:tcPr>
          <w:p>
            <w:pPr>
              <w:ind w:left="20"/>
              <w:spacing w:after="0"/>
              <w:rPr>
                <w:sz w:val="20"/>
                <w:szCs w:val="20"/>
                <w:color w:val="auto"/>
              </w:rPr>
            </w:pPr>
            <w:r>
              <w:rPr>
                <w:rFonts w:ascii="Arial" w:cs="Arial" w:eastAsia="Arial" w:hAnsi="Arial"/>
                <w:sz w:val="14"/>
                <w:szCs w:val="14"/>
                <w:color w:val="auto"/>
              </w:rPr>
              <w:t>Realized price without derivative settlements</w:t>
            </w: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109"/>
              <w:spacing w:after="0"/>
              <w:rPr>
                <w:sz w:val="20"/>
                <w:szCs w:val="20"/>
                <w:color w:val="auto"/>
              </w:rPr>
            </w:pPr>
            <w:r>
              <w:rPr>
                <w:rFonts w:ascii="Arial" w:cs="Arial" w:eastAsia="Arial" w:hAnsi="Arial"/>
                <w:sz w:val="14"/>
                <w:szCs w:val="14"/>
                <w:b w:val="1"/>
                <w:bCs w:val="1"/>
                <w:color w:val="auto"/>
              </w:rPr>
              <w:t>4.12</w:t>
            </w:r>
          </w:p>
        </w:tc>
        <w:tc>
          <w:tcPr>
            <w:tcW w:w="10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3.65</w:t>
            </w:r>
          </w:p>
        </w:tc>
        <w:tc>
          <w:tcPr>
            <w:tcW w:w="10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109"/>
              <w:spacing w:after="0"/>
              <w:rPr>
                <w:sz w:val="20"/>
                <w:szCs w:val="20"/>
                <w:color w:val="auto"/>
              </w:rPr>
            </w:pPr>
            <w:r>
              <w:rPr>
                <w:rFonts w:ascii="Arial" w:cs="Arial" w:eastAsia="Arial" w:hAnsi="Arial"/>
                <w:sz w:val="14"/>
                <w:szCs w:val="14"/>
                <w:b w:val="1"/>
                <w:bCs w:val="1"/>
                <w:color w:val="auto"/>
              </w:rPr>
              <w:t>3.90</w:t>
            </w:r>
          </w:p>
        </w:tc>
      </w:tr>
      <w:tr>
        <w:trPr>
          <w:trHeight w:val="413"/>
        </w:trPr>
        <w:tc>
          <w:tcPr>
            <w:tcW w:w="6440" w:type="dxa"/>
            <w:vAlign w:val="bottom"/>
          </w:tcPr>
          <w:p>
            <w:pPr>
              <w:ind w:left="20"/>
              <w:spacing w:after="0"/>
              <w:rPr>
                <w:sz w:val="20"/>
                <w:szCs w:val="20"/>
                <w:color w:val="auto"/>
              </w:rPr>
            </w:pPr>
            <w:r>
              <w:rPr>
                <w:rFonts w:ascii="Arial" w:cs="Arial" w:eastAsia="Arial" w:hAnsi="Arial"/>
                <w:sz w:val="14"/>
                <w:szCs w:val="14"/>
                <w:b w:val="1"/>
                <w:bCs w:val="1"/>
                <w:color w:val="auto"/>
              </w:rPr>
              <w:t>Index Prices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0"/>
        </w:trPr>
        <w:tc>
          <w:tcPr>
            <w:tcW w:w="6440" w:type="dxa"/>
            <w:vAlign w:val="bottom"/>
          </w:tcPr>
          <w:p>
            <w:pPr>
              <w:ind w:left="60"/>
              <w:spacing w:after="0"/>
              <w:rPr>
                <w:sz w:val="20"/>
                <w:szCs w:val="20"/>
                <w:color w:val="auto"/>
              </w:rPr>
            </w:pPr>
            <w:r>
              <w:rPr>
                <w:rFonts w:ascii="Arial" w:cs="Arial" w:eastAsia="Arial" w:hAnsi="Arial"/>
                <w:sz w:val="14"/>
                <w:szCs w:val="14"/>
                <w:color w:val="auto"/>
              </w:rPr>
              <w:t>Brent oil ($/Bbl)</w:t>
            </w: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109"/>
              <w:spacing w:after="0"/>
              <w:rPr>
                <w:sz w:val="20"/>
                <w:szCs w:val="20"/>
                <w:color w:val="auto"/>
              </w:rPr>
            </w:pPr>
            <w:r>
              <w:rPr>
                <w:rFonts w:ascii="Arial" w:cs="Arial" w:eastAsia="Arial" w:hAnsi="Arial"/>
                <w:sz w:val="14"/>
                <w:szCs w:val="14"/>
                <w:b w:val="1"/>
                <w:bCs w:val="1"/>
                <w:color w:val="auto"/>
              </w:rPr>
              <w:t>74.92</w:t>
            </w:r>
          </w:p>
        </w:tc>
        <w:tc>
          <w:tcPr>
            <w:tcW w:w="10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73.97</w:t>
            </w:r>
          </w:p>
        </w:tc>
        <w:tc>
          <w:tcPr>
            <w:tcW w:w="10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109"/>
              <w:spacing w:after="0"/>
              <w:rPr>
                <w:sz w:val="20"/>
                <w:szCs w:val="20"/>
                <w:color w:val="auto"/>
              </w:rPr>
            </w:pPr>
            <w:r>
              <w:rPr>
                <w:rFonts w:ascii="Arial" w:cs="Arial" w:eastAsia="Arial" w:hAnsi="Arial"/>
                <w:sz w:val="14"/>
                <w:szCs w:val="14"/>
                <w:b w:val="1"/>
                <w:bCs w:val="1"/>
                <w:color w:val="auto"/>
              </w:rPr>
              <w:t>81.84</w:t>
            </w:r>
          </w:p>
        </w:tc>
      </w:tr>
      <w:tr>
        <w:trPr>
          <w:trHeight w:val="200"/>
        </w:trPr>
        <w:tc>
          <w:tcPr>
            <w:tcW w:w="6440" w:type="dxa"/>
            <w:vAlign w:val="bottom"/>
          </w:tcPr>
          <w:p>
            <w:pPr>
              <w:ind w:left="60"/>
              <w:spacing w:after="0"/>
              <w:rPr>
                <w:sz w:val="20"/>
                <w:szCs w:val="20"/>
                <w:color w:val="auto"/>
              </w:rPr>
            </w:pPr>
            <w:r>
              <w:rPr>
                <w:rFonts w:ascii="Arial" w:cs="Arial" w:eastAsia="Arial" w:hAnsi="Arial"/>
                <w:sz w:val="14"/>
                <w:szCs w:val="14"/>
                <w:color w:val="auto"/>
              </w:rPr>
              <w:t>WTI oil ($/Bbl)</w:t>
            </w: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109"/>
              <w:spacing w:after="0"/>
              <w:rPr>
                <w:sz w:val="20"/>
                <w:szCs w:val="20"/>
                <w:color w:val="auto"/>
              </w:rPr>
            </w:pPr>
            <w:r>
              <w:rPr>
                <w:rFonts w:ascii="Arial" w:cs="Arial" w:eastAsia="Arial" w:hAnsi="Arial"/>
                <w:sz w:val="14"/>
                <w:szCs w:val="14"/>
                <w:b w:val="1"/>
                <w:bCs w:val="1"/>
                <w:color w:val="auto"/>
              </w:rPr>
              <w:t>71.42</w:t>
            </w:r>
          </w:p>
        </w:tc>
        <w:tc>
          <w:tcPr>
            <w:tcW w:w="10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70.27</w:t>
            </w:r>
          </w:p>
        </w:tc>
        <w:tc>
          <w:tcPr>
            <w:tcW w:w="10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109"/>
              <w:spacing w:after="0"/>
              <w:rPr>
                <w:sz w:val="20"/>
                <w:szCs w:val="20"/>
                <w:color w:val="auto"/>
              </w:rPr>
            </w:pPr>
            <w:r>
              <w:rPr>
                <w:rFonts w:ascii="Arial" w:cs="Arial" w:eastAsia="Arial" w:hAnsi="Arial"/>
                <w:sz w:val="14"/>
                <w:szCs w:val="14"/>
                <w:b w:val="1"/>
                <w:bCs w:val="1"/>
                <w:color w:val="auto"/>
              </w:rPr>
              <w:t>76.96</w:t>
            </w:r>
          </w:p>
        </w:tc>
      </w:tr>
      <w:tr>
        <w:trPr>
          <w:trHeight w:val="200"/>
        </w:trPr>
        <w:tc>
          <w:tcPr>
            <w:tcW w:w="6440" w:type="dxa"/>
            <w:vAlign w:val="bottom"/>
          </w:tcPr>
          <w:p>
            <w:pPr>
              <w:ind w:left="20"/>
              <w:spacing w:after="0"/>
              <w:rPr>
                <w:sz w:val="20"/>
                <w:szCs w:val="20"/>
                <w:color w:val="auto"/>
              </w:rPr>
            </w:pPr>
            <w:r>
              <w:rPr>
                <w:rFonts w:ascii="Arial" w:cs="Arial" w:eastAsia="Arial" w:hAnsi="Arial"/>
                <w:sz w:val="14"/>
                <w:szCs w:val="14"/>
                <w:color w:val="auto"/>
              </w:rPr>
              <w:t>NYMEX average monthly settled price ($/MMBtu)</w:t>
            </w: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109"/>
              <w:spacing w:after="0"/>
              <w:rPr>
                <w:sz w:val="20"/>
                <w:szCs w:val="20"/>
                <w:color w:val="auto"/>
              </w:rPr>
            </w:pPr>
            <w:r>
              <w:rPr>
                <w:rFonts w:ascii="Arial" w:cs="Arial" w:eastAsia="Arial" w:hAnsi="Arial"/>
                <w:sz w:val="14"/>
                <w:szCs w:val="14"/>
                <w:b w:val="1"/>
                <w:bCs w:val="1"/>
                <w:color w:val="auto"/>
              </w:rPr>
              <w:t>3.65</w:t>
            </w:r>
          </w:p>
        </w:tc>
        <w:tc>
          <w:tcPr>
            <w:tcW w:w="10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2.79</w:t>
            </w:r>
          </w:p>
        </w:tc>
        <w:tc>
          <w:tcPr>
            <w:tcW w:w="10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109"/>
              <w:spacing w:after="0"/>
              <w:rPr>
                <w:sz w:val="20"/>
                <w:szCs w:val="20"/>
                <w:color w:val="auto"/>
              </w:rPr>
            </w:pPr>
            <w:r>
              <w:rPr>
                <w:rFonts w:ascii="Arial" w:cs="Arial" w:eastAsia="Arial" w:hAnsi="Arial"/>
                <w:sz w:val="14"/>
                <w:szCs w:val="14"/>
                <w:b w:val="1"/>
                <w:bCs w:val="1"/>
                <w:color w:val="auto"/>
              </w:rPr>
              <w:t>2.24</w:t>
            </w:r>
          </w:p>
        </w:tc>
      </w:tr>
      <w:tr>
        <w:trPr>
          <w:trHeight w:val="413"/>
        </w:trPr>
        <w:tc>
          <w:tcPr>
            <w:tcW w:w="6440" w:type="dxa"/>
            <w:vAlign w:val="bottom"/>
          </w:tcPr>
          <w:p>
            <w:pPr>
              <w:ind w:left="20"/>
              <w:spacing w:after="0"/>
              <w:rPr>
                <w:sz w:val="20"/>
                <w:szCs w:val="20"/>
                <w:color w:val="auto"/>
              </w:rPr>
            </w:pPr>
            <w:r>
              <w:rPr>
                <w:rFonts w:ascii="Arial" w:cs="Arial" w:eastAsia="Arial" w:hAnsi="Arial"/>
                <w:sz w:val="14"/>
                <w:szCs w:val="14"/>
                <w:b w:val="1"/>
                <w:bCs w:val="1"/>
                <w:color w:val="auto"/>
              </w:rPr>
              <w:t>Realized Prices as Percentage of Index Prices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0"/>
        </w:trPr>
        <w:tc>
          <w:tcPr>
            <w:tcW w:w="6440" w:type="dxa"/>
            <w:vAlign w:val="bottom"/>
          </w:tcPr>
          <w:p>
            <w:pPr>
              <w:ind w:left="20"/>
              <w:spacing w:after="0"/>
              <w:rPr>
                <w:sz w:val="20"/>
                <w:szCs w:val="20"/>
                <w:color w:val="auto"/>
              </w:rPr>
            </w:pPr>
            <w:r>
              <w:rPr>
                <w:rFonts w:ascii="Arial" w:cs="Arial" w:eastAsia="Arial" w:hAnsi="Arial"/>
                <w:sz w:val="14"/>
                <w:szCs w:val="14"/>
                <w:color w:val="auto"/>
              </w:rPr>
              <w:t>Oil with derivative settlements as a percentage of Brent</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96 %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99 %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94 %</w:t>
            </w:r>
          </w:p>
        </w:tc>
      </w:tr>
      <w:tr>
        <w:trPr>
          <w:trHeight w:val="200"/>
        </w:trPr>
        <w:tc>
          <w:tcPr>
            <w:tcW w:w="6440" w:type="dxa"/>
            <w:vAlign w:val="bottom"/>
          </w:tcPr>
          <w:p>
            <w:pPr>
              <w:ind w:left="20"/>
              <w:spacing w:after="0"/>
              <w:rPr>
                <w:sz w:val="20"/>
                <w:szCs w:val="20"/>
                <w:color w:val="auto"/>
              </w:rPr>
            </w:pPr>
            <w:r>
              <w:rPr>
                <w:rFonts w:ascii="Arial" w:cs="Arial" w:eastAsia="Arial" w:hAnsi="Arial"/>
                <w:sz w:val="14"/>
                <w:szCs w:val="14"/>
                <w:color w:val="auto"/>
              </w:rPr>
              <w:t>Oil without derivative settlements as a percentage of Brent</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98 %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98 %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98 %</w:t>
            </w:r>
          </w:p>
        </w:tc>
      </w:tr>
      <w:tr>
        <w:trPr>
          <w:trHeight w:val="253"/>
        </w:trPr>
        <w:tc>
          <w:tcPr>
            <w:tcW w:w="6440" w:type="dxa"/>
            <w:vAlign w:val="bottom"/>
          </w:tcPr>
          <w:p>
            <w:pPr>
              <w:ind w:left="20"/>
              <w:spacing w:after="0"/>
              <w:rPr>
                <w:sz w:val="20"/>
                <w:szCs w:val="20"/>
                <w:color w:val="auto"/>
              </w:rPr>
            </w:pPr>
            <w:r>
              <w:rPr>
                <w:rFonts w:ascii="Arial" w:cs="Arial" w:eastAsia="Arial" w:hAnsi="Arial"/>
                <w:sz w:val="14"/>
                <w:szCs w:val="14"/>
                <w:color w:val="auto"/>
              </w:rPr>
              <w:t>Oil with derivative settlements as a percentage of WTI</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101 %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104 %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100 %</w:t>
            </w:r>
          </w:p>
        </w:tc>
      </w:tr>
      <w:tr>
        <w:trPr>
          <w:trHeight w:val="200"/>
        </w:trPr>
        <w:tc>
          <w:tcPr>
            <w:tcW w:w="6440" w:type="dxa"/>
            <w:vAlign w:val="bottom"/>
          </w:tcPr>
          <w:p>
            <w:pPr>
              <w:ind w:left="20"/>
              <w:spacing w:after="0"/>
              <w:rPr>
                <w:sz w:val="20"/>
                <w:szCs w:val="20"/>
                <w:color w:val="auto"/>
              </w:rPr>
            </w:pPr>
            <w:r>
              <w:rPr>
                <w:rFonts w:ascii="Arial" w:cs="Arial" w:eastAsia="Arial" w:hAnsi="Arial"/>
                <w:sz w:val="14"/>
                <w:szCs w:val="14"/>
                <w:color w:val="auto"/>
              </w:rPr>
              <w:t>Oil without derivative settlements as a percentage of WTI</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103 %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104 %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104 %</w:t>
            </w:r>
          </w:p>
        </w:tc>
      </w:tr>
      <w:tr>
        <w:trPr>
          <w:trHeight w:val="253"/>
        </w:trPr>
        <w:tc>
          <w:tcPr>
            <w:tcW w:w="6440" w:type="dxa"/>
            <w:vAlign w:val="bottom"/>
          </w:tcPr>
          <w:p>
            <w:pPr>
              <w:ind w:left="20"/>
              <w:spacing w:after="0"/>
              <w:rPr>
                <w:sz w:val="20"/>
                <w:szCs w:val="20"/>
                <w:color w:val="auto"/>
              </w:rPr>
            </w:pPr>
            <w:r>
              <w:rPr>
                <w:rFonts w:ascii="Arial" w:cs="Arial" w:eastAsia="Arial" w:hAnsi="Arial"/>
                <w:sz w:val="14"/>
                <w:szCs w:val="14"/>
                <w:color w:val="auto"/>
              </w:rPr>
              <w:t>NGLs as a percentage of Brent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73 %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71 %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62 %</w:t>
            </w:r>
          </w:p>
        </w:tc>
      </w:tr>
      <w:tr>
        <w:trPr>
          <w:trHeight w:val="200"/>
        </w:trPr>
        <w:tc>
          <w:tcPr>
            <w:tcW w:w="6440" w:type="dxa"/>
            <w:vAlign w:val="bottom"/>
          </w:tcPr>
          <w:p>
            <w:pPr>
              <w:ind w:left="20"/>
              <w:spacing w:after="0"/>
              <w:rPr>
                <w:sz w:val="20"/>
                <w:szCs w:val="20"/>
                <w:color w:val="auto"/>
              </w:rPr>
            </w:pPr>
            <w:r>
              <w:rPr>
                <w:rFonts w:ascii="Arial" w:cs="Arial" w:eastAsia="Arial" w:hAnsi="Arial"/>
                <w:sz w:val="14"/>
                <w:szCs w:val="14"/>
                <w:color w:val="auto"/>
              </w:rPr>
              <w:t>NGLs as a percentage of WTI</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77 %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75 %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66 %</w:t>
            </w:r>
          </w:p>
        </w:tc>
      </w:tr>
      <w:tr>
        <w:trPr>
          <w:trHeight w:val="253"/>
        </w:trPr>
        <w:tc>
          <w:tcPr>
            <w:tcW w:w="6440" w:type="dxa"/>
            <w:vAlign w:val="bottom"/>
          </w:tcPr>
          <w:p>
            <w:pPr>
              <w:ind w:left="20"/>
              <w:spacing w:after="0"/>
              <w:rPr>
                <w:sz w:val="20"/>
                <w:szCs w:val="20"/>
                <w:color w:val="auto"/>
              </w:rPr>
            </w:pPr>
            <w:r>
              <w:rPr>
                <w:rFonts w:ascii="Arial" w:cs="Arial" w:eastAsia="Arial" w:hAnsi="Arial"/>
                <w:sz w:val="14"/>
                <w:szCs w:val="14"/>
                <w:color w:val="auto"/>
              </w:rPr>
              <w:t>Natural gas with derivative settlements as a percentage of NYMEX contract month average</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113 %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131 %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174 %</w:t>
            </w:r>
          </w:p>
        </w:tc>
      </w:tr>
      <w:tr>
        <w:trPr>
          <w:trHeight w:val="253"/>
        </w:trPr>
        <w:tc>
          <w:tcPr>
            <w:tcW w:w="6440" w:type="dxa"/>
            <w:vAlign w:val="bottom"/>
          </w:tcPr>
          <w:p>
            <w:pPr>
              <w:ind w:left="20"/>
              <w:spacing w:after="0"/>
              <w:rPr>
                <w:sz w:val="20"/>
                <w:szCs w:val="20"/>
                <w:color w:val="auto"/>
              </w:rPr>
            </w:pPr>
            <w:r>
              <w:rPr>
                <w:rFonts w:ascii="Arial" w:cs="Arial" w:eastAsia="Arial" w:hAnsi="Arial"/>
                <w:sz w:val="14"/>
                <w:szCs w:val="14"/>
                <w:color w:val="auto"/>
              </w:rPr>
              <w:t>Natural gas without derivative settlements as a percentage of NYMEX contract month average</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113 %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131 %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174 %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200"/>
          </w:cols>
          <w:pgMar w:left="340" w:top="1050" w:right="35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95"/>
        </w:trPr>
        <w:tc>
          <w:tcPr>
            <w:tcW w:w="4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Attachment 6</w:t>
            </w:r>
          </w:p>
        </w:tc>
      </w:tr>
      <w:tr>
        <w:trPr>
          <w:trHeight w:val="21"/>
        </w:trPr>
        <w:tc>
          <w:tcPr>
            <w:tcW w:w="4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2"/>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FIRST QUARTER 2025 DRILLING ACTIVITY</w:t>
            </w: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0"/>
        </w:trPr>
        <w:tc>
          <w:tcPr>
            <w:tcW w:w="4320" w:type="dxa"/>
            <w:vAlign w:val="bottom"/>
          </w:tcPr>
          <w:p>
            <w:pPr>
              <w:spacing w:after="0"/>
              <w:rPr>
                <w:sz w:val="17"/>
                <w:szCs w:val="17"/>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San Joaquin</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Los Angeles</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Ventura</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Sacramento</w:t>
            </w:r>
          </w:p>
        </w:tc>
        <w:tc>
          <w:tcPr>
            <w:tcW w:w="1240" w:type="dxa"/>
            <w:vAlign w:val="bottom"/>
          </w:tcPr>
          <w:p>
            <w:pPr>
              <w:spacing w:after="0"/>
              <w:rPr>
                <w:sz w:val="17"/>
                <w:szCs w:val="17"/>
                <w:color w:val="auto"/>
              </w:rPr>
            </w:pPr>
          </w:p>
        </w:tc>
      </w:tr>
      <w:tr>
        <w:trPr>
          <w:trHeight w:val="201"/>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Wells Drilled</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Basin</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Basin</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Basin</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Basin</w:t>
            </w:r>
          </w:p>
        </w:tc>
        <w:tc>
          <w:tcPr>
            <w:tcW w:w="1240" w:type="dxa"/>
            <w:vAlign w:val="bottom"/>
          </w:tcPr>
          <w:p>
            <w:pPr>
              <w:ind w:left="460"/>
              <w:spacing w:after="0"/>
              <w:rPr>
                <w:sz w:val="20"/>
                <w:szCs w:val="20"/>
                <w:color w:val="auto"/>
              </w:rPr>
            </w:pPr>
            <w:r>
              <w:rPr>
                <w:rFonts w:ascii="Arial" w:cs="Arial" w:eastAsia="Arial" w:hAnsi="Arial"/>
                <w:sz w:val="14"/>
                <w:szCs w:val="14"/>
                <w:b w:val="1"/>
                <w:bCs w:val="1"/>
                <w:color w:val="auto"/>
              </w:rPr>
              <w:t>Total</w:t>
            </w:r>
          </w:p>
        </w:tc>
      </w:tr>
      <w:tr>
        <w:trPr>
          <w:trHeight w:val="432"/>
        </w:trPr>
        <w:tc>
          <w:tcPr>
            <w:tcW w:w="43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Development Wells</w:t>
            </w:r>
          </w:p>
        </w:tc>
        <w:tc>
          <w:tcPr>
            <w:tcW w:w="13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194"/>
        </w:trPr>
        <w:tc>
          <w:tcPr>
            <w:tcW w:w="4320" w:type="dxa"/>
            <w:vAlign w:val="bottom"/>
          </w:tcPr>
          <w:p>
            <w:pPr>
              <w:ind w:left="140"/>
              <w:spacing w:after="0"/>
              <w:rPr>
                <w:sz w:val="20"/>
                <w:szCs w:val="20"/>
                <w:color w:val="auto"/>
              </w:rPr>
            </w:pPr>
            <w:r>
              <w:rPr>
                <w:rFonts w:ascii="Arial" w:cs="Arial" w:eastAsia="Arial" w:hAnsi="Arial"/>
                <w:sz w:val="14"/>
                <w:szCs w:val="14"/>
                <w:color w:val="auto"/>
              </w:rPr>
              <w:t>Primary</w:t>
            </w:r>
          </w:p>
        </w:tc>
        <w:tc>
          <w:tcPr>
            <w:tcW w:w="1320" w:type="dxa"/>
            <w:vAlign w:val="bottom"/>
          </w:tcPr>
          <w:p>
            <w:pPr>
              <w:jc w:val="center"/>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2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3</w:t>
            </w:r>
          </w:p>
        </w:tc>
      </w:tr>
      <w:tr>
        <w:trPr>
          <w:trHeight w:val="200"/>
        </w:trPr>
        <w:tc>
          <w:tcPr>
            <w:tcW w:w="4320" w:type="dxa"/>
            <w:vAlign w:val="bottom"/>
          </w:tcPr>
          <w:p>
            <w:pPr>
              <w:ind w:left="140"/>
              <w:spacing w:after="0"/>
              <w:rPr>
                <w:sz w:val="20"/>
                <w:szCs w:val="20"/>
                <w:color w:val="auto"/>
              </w:rPr>
            </w:pPr>
            <w:r>
              <w:rPr>
                <w:rFonts w:ascii="Arial" w:cs="Arial" w:eastAsia="Arial" w:hAnsi="Arial"/>
                <w:sz w:val="14"/>
                <w:szCs w:val="14"/>
                <w:color w:val="auto"/>
              </w:rPr>
              <w:t>Waterflood</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2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201"/>
        </w:trPr>
        <w:tc>
          <w:tcPr>
            <w:tcW w:w="4320" w:type="dxa"/>
            <w:vAlign w:val="bottom"/>
          </w:tcPr>
          <w:p>
            <w:pPr>
              <w:ind w:left="140"/>
              <w:spacing w:after="0"/>
              <w:rPr>
                <w:sz w:val="20"/>
                <w:szCs w:val="20"/>
                <w:color w:val="auto"/>
              </w:rPr>
            </w:pPr>
            <w:r>
              <w:rPr>
                <w:rFonts w:ascii="Arial" w:cs="Arial" w:eastAsia="Arial" w:hAnsi="Arial"/>
                <w:sz w:val="14"/>
                <w:szCs w:val="14"/>
                <w:color w:val="auto"/>
              </w:rPr>
              <w:t>Steamflood</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r>
      <w:tr>
        <w:trPr>
          <w:trHeight w:val="173"/>
        </w:trPr>
        <w:tc>
          <w:tcPr>
            <w:tcW w:w="4320" w:type="dxa"/>
            <w:vAlign w:val="bottom"/>
          </w:tcPr>
          <w:p>
            <w:pPr>
              <w:ind w:left="20"/>
              <w:spacing w:after="0" w:line="173" w:lineRule="exact"/>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8"/>
                <w:szCs w:val="18"/>
                <w:b w:val="1"/>
                <w:bCs w:val="1"/>
                <w:color w:val="auto"/>
                <w:vertAlign w:val="superscript"/>
              </w:rPr>
              <w:t>(1)</w:t>
            </w:r>
          </w:p>
        </w:tc>
        <w:tc>
          <w:tcPr>
            <w:tcW w:w="1320" w:type="dxa"/>
            <w:vAlign w:val="bottom"/>
          </w:tcPr>
          <w:p>
            <w:pPr>
              <w:jc w:val="center"/>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5"/>
                <w:szCs w:val="15"/>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2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3</w:t>
            </w:r>
          </w:p>
        </w:tc>
      </w:tr>
      <w:tr>
        <w:trPr>
          <w:trHeight w:val="20"/>
        </w:trPr>
        <w:tc>
          <w:tcPr>
            <w:tcW w:w="43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ind w:left="160" w:hanging="149"/>
        <w:spacing w:after="0"/>
        <w:tabs>
          <w:tab w:leader="none" w:pos="16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Includes steam injectors and drilled but uncompleted wells, which are not included in the SEC definition of wells drilled.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18</w:t>
      </w:r>
    </w:p>
    <w:sectPr>
      <w:pgSz w:w="11900" w:h="16838" w:orient="portrait"/>
      <w:cols w:equalWidth="0" w:num="1">
        <w:col w:w="11180"/>
      </w:cols>
      <w:pgMar w:left="360" w:top="105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Letter"/>
      <w:start w:val="1"/>
    </w:lvl>
  </w:abstractNum>
  <w:abstractNum w:abstractNumId="2">
    <w:nsid w:val="79E2A9E3"/>
    <w:multiLevelType w:val="hybridMultilevel"/>
    <w:lvl w:ilvl="0">
      <w:lvlJc w:val="left"/>
      <w:lvlText w:val="%1."/>
      <w:numFmt w:val="decimal"/>
      <w:start w:val="2"/>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bullet"/>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2025-05-06T15:51:54Z</dcterms:created>
  <dcterms:modified xsi:type="dcterms:W3CDTF">2025-05-06T15:51:54Z</dcterms:modified>
</cp:coreProperties>
</file>