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11,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March 11, 2026, California Resources Corporation issued a press release announcing the pricing of its upsized private offering of an additional $350 million aggregate principal amount of its 7.000% senior unsecured notes due 2034 at 100.500% of par. The offering size was increased from the previously announced $250 million aggregate principal amount. A copy of the press release is furnished herewith as Exhibit 99.1 and is incorporated herein by reference.</w:t>
      </w:r>
    </w:p>
    <w:p>
      <w:pPr>
        <w:spacing w:after="0" w:line="39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93"/>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60" w:type="dxa"/>
            <w:vAlign w:val="bottom"/>
          </w:tcPr>
          <w:p>
            <w:pPr>
              <w:spacing w:after="0"/>
              <w:rPr>
                <w:sz w:val="24"/>
                <w:szCs w:val="24"/>
                <w:color w:val="auto"/>
              </w:rPr>
            </w:pPr>
          </w:p>
        </w:tc>
        <w:tc>
          <w:tcPr>
            <w:tcW w:w="23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2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Press Release, dated March 11, 2026.</w:t>
            </w:r>
          </w:p>
        </w:tc>
        <w:tc>
          <w:tcPr>
            <w:tcW w:w="2300" w:type="dxa"/>
            <w:vAlign w:val="bottom"/>
          </w:tcPr>
          <w:p>
            <w:pPr>
              <w:spacing w:after="0"/>
              <w:rPr>
                <w:sz w:val="19"/>
                <w:szCs w:val="19"/>
                <w:color w:val="auto"/>
              </w:rPr>
            </w:pPr>
          </w:p>
        </w:tc>
      </w:tr>
    </w:tbl>
    <w:p>
      <w:pPr>
        <w:spacing w:after="0" w:line="62" w:lineRule="exact"/>
        <w:rPr>
          <w:sz w:val="20"/>
          <w:szCs w:val="20"/>
          <w:color w:val="auto"/>
        </w:rPr>
      </w:pPr>
    </w:p>
    <w:p>
      <w:pPr>
        <w:ind w:left="2440" w:hanging="1351"/>
        <w:spacing w:after="0"/>
        <w:tabs>
          <w:tab w:leader="none" w:pos="2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11, 2026</w:t>
      </w:r>
    </w:p>
    <w:p>
      <w:pPr>
        <w:sectPr>
          <w:pgSz w:w="11900" w:h="16838" w:orient="portrait"/>
          <w:cols w:equalWidth="0" w:num="1">
            <w:col w:w="11240"/>
          </w:cols>
          <w:pgMar w:left="320" w:top="139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670560</wp:posOffset>
            </wp:positionV>
            <wp:extent cx="2521585" cy="457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1585"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NEWS RELEASE</w:t>
        <w:tab/>
        <w:t>For immediate release</w:t>
      </w:r>
    </w:p>
    <w:p>
      <w:pPr>
        <w:spacing w:after="0" w:line="225" w:lineRule="exact"/>
        <w:rPr>
          <w:sz w:val="20"/>
          <w:szCs w:val="20"/>
          <w:color w:val="auto"/>
        </w:rPr>
      </w:pPr>
    </w:p>
    <w:p>
      <w:pPr>
        <w:ind w:left="2380" w:right="1920" w:hanging="508"/>
        <w:spacing w:after="0" w:line="291" w:lineRule="auto"/>
        <w:rPr>
          <w:sz w:val="20"/>
          <w:szCs w:val="20"/>
          <w:color w:val="auto"/>
        </w:rPr>
      </w:pPr>
      <w:r>
        <w:rPr>
          <w:rFonts w:ascii="Times New Roman" w:cs="Times New Roman" w:eastAsia="Times New Roman" w:hAnsi="Times New Roman"/>
          <w:sz w:val="21"/>
          <w:szCs w:val="21"/>
          <w:b w:val="1"/>
          <w:bCs w:val="1"/>
          <w:color w:val="auto"/>
        </w:rPr>
        <w:t>California Resources Corporation Announces Pricing of Upsized Private Offering of $350 Million of Additional 7.000% Senior Unsecured Notes due 2034</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Long Beach, California, March 11, 2026 – California Resources Corporation (NYSE: CRC) (the “Company”) announced today the pricing of an upsized private offering of $350 million in aggregate principal amount of its 7.000% senior unsecured notes due 2034 (the “Notes”). The offering size was increased from the previously announced $250 million aggregate principal amount. The Notes were priced at 100.500% of par, plus accrued and unpaid interest from October 8, 2025. The Notes will mature on January 15, 2034, pay interest at the rate of 7.000% per year and are payable semi-annually on January 15 and July 15 of each year. The first interest payment will be made on July 15, 2026. The Offering is expected to close on March 23, 2026, subject to customary closing conditions.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Notes are being offered as additional notes under the indenture dated as of October 8, 2025, as may be supplemented from time to time (the “Indenture”), pursuant to which the Company previously issued $400 million aggregate principal amount of 7.000% Senior Notes (the “Existing Notes”). The Notes will have substantially identical terms, other than the issue date and issue price, as the Existing Notes, and the Notes and the Existing Notes will be treated as a single series of securities under the Indenture and will vote together as a single class. Except with respect to Notes offered pursuant to Regulation S under the Securities Act of 1933, as amended (the “Securities Act”), the Notes will have the same CUSIP and ISIN numbers as, and will be fungible with, the Existing Notes immediately upon issuance.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Company intends to use the net proceeds from this offering, together with cash on hand and/or borrowings under its revolving credit facility, to fund the redemption of $350 million in aggregate principal amount of its 8.250% senior unsecured notes due 2029 (the “2029 Notes”) at a redemption price of 100% thereof, plus the Applicable Premium (as defined in the indenture governing the 2029 Notes) as of, and accrued and unpaid interest to, but excluding, the date of redemption. The redemption of the 2029 Notes is expected to be conditioned on the completion of the offering of the Notes. The offering of the Notes is not contingent upon completion of such redemption.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The Notes have not been, and will not be, registered under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were offered only to persons reasonably believed to be qualified institutional buyers in reliance on Rule 144A under the Securities Act and non-U.S. persons in transactions outside the United States in reliance on Regulation S under the Securities Act.</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68" w:lineRule="auto"/>
        <w:rPr>
          <w:sz w:val="20"/>
          <w:szCs w:val="20"/>
          <w:color w:val="auto"/>
        </w:rPr>
      </w:pPr>
      <w:r>
        <w:rPr>
          <w:rFonts w:ascii="Times New Roman" w:cs="Times New Roman" w:eastAsia="Times New Roman" w:hAnsi="Times New Roman"/>
          <w:sz w:val="21"/>
          <w:szCs w:val="21"/>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 Additionally, this press release shall not constitute a notice of redemption under the indenture governing the 2029 Notes.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Forward-Looking Statement Disclosure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All statements, except for statements of historical fact, made in this release regarding activities, events or developments the Company expects, believes or anticipates will or may occur in the future, such as statements regarding the proposed offering and the intended use of proceeds, including the partial redemption of the 2029 Notes,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California Resources Corporation</w:t>
      </w:r>
    </w:p>
    <w:p>
      <w:pPr>
        <w:spacing w:after="0" w:line="2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California Resources Corporation (CRC) is an independent energy and carbon management company advancing the energy transition. CRC is committed to environmental stewardship while safely providing local, responsibly sourced energy. CRC is also focused on maximizing the value of its land, mineral ownership, and energy expertise for decarbonization by developing carbon capture and storage and other emissions-reducing projects.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CRC Contacts</w:t>
      </w:r>
      <w:r>
        <w:rPr>
          <w:rFonts w:ascii="Times New Roman" w:cs="Times New Roman" w:eastAsia="Times New Roman" w:hAnsi="Times New Roman"/>
          <w:sz w:val="21"/>
          <w:szCs w:val="21"/>
          <w:b w:val="1"/>
          <w:bCs w:val="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Hailey Bonus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CRC Media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714-874-7732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563C1"/>
        </w:rPr>
        <w:t>CRC.Communications@crc.com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Juck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CRC Investor Relations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818-661-3700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563C1"/>
        </w:rPr>
        <w:t>CRC_IR@crc.com</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2026-03-11T16:40:56Z</dcterms:created>
  <dcterms:modified xsi:type="dcterms:W3CDTF">2026-03-11T16:40:56Z</dcterms:modified>
</cp:coreProperties>
</file>