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06/21/2021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80" w:type="dxa"/>
        <w:tblCellMar>
          <w:top w:w="0" w:type="dxa"/>
          <w:left w:w="0" w:type="dxa"/>
          <w:bottom w:w="0" w:type="dxa"/>
          <w:right w:w="0" w:type="dxa"/>
        </w:tblCellMar>
      </w:tblPr>
      <w:tr>
        <w:trPr>
          <w:trHeight w:val="61"/>
        </w:trPr>
        <w:tc>
          <w:tcPr>
            <w:tcW w:w="40" w:type="dxa"/>
            <w:vAlign w:val="bottom"/>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600" w:type="dxa"/>
            <w:vAlign w:val="bottom"/>
            <w:tcBorders>
              <w:bottom w:val="single" w:sz="8" w:color="9A9A9A"/>
            </w:tcBorders>
          </w:tcPr>
          <w:p>
            <w:pPr>
              <w:spacing w:after="0"/>
              <w:rPr>
                <w:sz w:val="5"/>
                <w:szCs w:val="5"/>
                <w:color w:val="auto"/>
              </w:rPr>
            </w:pPr>
          </w:p>
        </w:tc>
        <w:tc>
          <w:tcPr>
            <w:tcW w:w="3760" w:type="dxa"/>
            <w:vAlign w:val="bottom"/>
            <w:vMerge w:val="restart"/>
          </w:tcPr>
          <w:p>
            <w:pPr>
              <w:ind w:left="16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2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760" w:type="dxa"/>
            <w:vAlign w:val="bottom"/>
            <w:vMerge w:val="continue"/>
          </w:tcPr>
          <w:p>
            <w:pPr>
              <w:spacing w:after="0"/>
              <w:rPr>
                <w:sz w:val="5"/>
                <w:szCs w:val="5"/>
                <w:color w:val="auto"/>
              </w:rPr>
            </w:pPr>
          </w:p>
        </w:tc>
        <w:tc>
          <w:tcPr>
            <w:tcW w:w="3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Line)</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1040" w:type="dxa"/>
            <w:vAlign w:val="bottom"/>
            <w:vMerge w:val="restart"/>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90067</w:t>
            </w:r>
          </w:p>
        </w:tc>
        <w:tc>
          <w:tcPr>
            <w:tcW w:w="3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640" w:type="dxa"/>
            <w:vAlign w:val="bottom"/>
            <w:vMerge w:val="restart"/>
          </w:tcPr>
          <w:p>
            <w:pPr>
              <w:ind w:left="420"/>
              <w:spacing w:after="0"/>
              <w:rPr>
                <w:sz w:val="20"/>
                <w:szCs w:val="20"/>
                <w:color w:val="auto"/>
              </w:rPr>
            </w:pPr>
            <w:r>
              <w:rPr>
                <w:rFonts w:ascii="Arial" w:cs="Arial" w:eastAsia="Arial" w:hAnsi="Arial"/>
                <w:sz w:val="17"/>
                <w:szCs w:val="17"/>
                <w:color w:val="0000FF"/>
              </w:rPr>
              <w:t>X</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ANGELES</w:t>
            </w:r>
          </w:p>
        </w:tc>
        <w:tc>
          <w:tcPr>
            <w:tcW w:w="10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7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536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ectPr>
          <w:pgSz w:w="11900" w:h="16838" w:orient="portrait"/>
          <w:cols w:equalWidth="0" w:num="1">
            <w:col w:w="11080"/>
          </w:cols>
          <w:pgMar w:left="460" w:top="225" w:right="359" w:bottom="0" w:gutter="0" w:footer="0" w:header="0"/>
          <w:type w:val="continuous"/>
        </w:sectPr>
      </w:pPr>
    </w:p>
    <w:p>
      <w:pPr>
        <w:spacing w:after="0" w:line="140" w:lineRule="exact"/>
        <w:rPr>
          <w:sz w:val="24"/>
          <w:szCs w:val="24"/>
          <w:color w:val="auto"/>
        </w:rPr>
      </w:pPr>
    </w:p>
    <w:p>
      <w:pPr>
        <w:ind w:left="80" w:firstLine="7"/>
        <w:spacing w:after="0" w:line="257" w:lineRule="auto"/>
        <w:tabs>
          <w:tab w:leader="none" w:pos="228"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Title of Security (Instr. 3)</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040" w:type="dxa"/>
            <w:vAlign w:val="bottom"/>
          </w:tcPr>
          <w:p>
            <w:pPr>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820" w:type="dxa"/>
            <w:vAlign w:val="bottom"/>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6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 Owned Following</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 Ownership (Instr.</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 Transaction(s)</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20" w:type="dxa"/>
            <w:vAlign w:val="bottom"/>
          </w:tcPr>
          <w:p>
            <w:pPr>
              <w:spacing w:after="0"/>
              <w:rPr>
                <w:sz w:val="6"/>
                <w:szCs w:val="6"/>
                <w:color w:val="auto"/>
              </w:rPr>
            </w:pPr>
          </w:p>
        </w:tc>
        <w:tc>
          <w:tcPr>
            <w:tcW w:w="7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w:t>
            </w:r>
          </w:p>
        </w:tc>
        <w:tc>
          <w:tcPr>
            <w:tcW w:w="6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1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sectPr>
          <w:pgSz w:w="11900" w:h="16838" w:orient="portrait"/>
          <w:cols w:equalWidth="0" w:num="2">
            <w:col w:w="660" w:space="400"/>
            <w:col w:w="10020"/>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311"/>
        </w:trPr>
        <w:tc>
          <w:tcPr>
            <w:tcW w:w="20" w:type="dxa"/>
            <w:vAlign w:val="bottom"/>
          </w:tcPr>
          <w:p>
            <w:pPr>
              <w:spacing w:after="0"/>
              <w:rPr>
                <w:sz w:val="24"/>
                <w:szCs w:val="24"/>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gridSpan w:val="4"/>
            <w:vMerge w:val="restart"/>
          </w:tcPr>
          <w:p>
            <w:pPr>
              <w:ind w:left="40"/>
              <w:spacing w:after="0"/>
              <w:rPr>
                <w:sz w:val="20"/>
                <w:szCs w:val="20"/>
                <w:color w:val="auto"/>
              </w:rPr>
            </w:pPr>
            <w:r>
              <w:rPr>
                <w:rFonts w:ascii="Arial" w:cs="Arial" w:eastAsia="Arial" w:hAnsi="Arial"/>
                <w:sz w:val="34"/>
                <w:szCs w:val="34"/>
                <w:color w:val="0000FF"/>
                <w:w w:val="86"/>
                <w:vertAlign w:val="subscript"/>
              </w:rPr>
              <w:t>See Footnotes</w:t>
            </w:r>
            <w:r>
              <w:rPr>
                <w:rFonts w:ascii="Arial" w:cs="Arial" w:eastAsia="Arial" w:hAnsi="Arial"/>
                <w:sz w:val="11"/>
                <w:szCs w:val="11"/>
                <w:color w:val="008000"/>
                <w:w w:val="86"/>
              </w:rPr>
              <w:t>(1)(2)(3)(4)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1920" w:type="dxa"/>
            <w:vAlign w:val="bottom"/>
            <w:gridSpan w:val="2"/>
          </w:tcPr>
          <w:p>
            <w:pPr>
              <w:ind w:left="360"/>
              <w:spacing w:after="0" w:line="168" w:lineRule="exact"/>
              <w:rPr>
                <w:sz w:val="20"/>
                <w:szCs w:val="20"/>
                <w:color w:val="auto"/>
              </w:rPr>
            </w:pPr>
            <w:r>
              <w:rPr>
                <w:rFonts w:ascii="Arial" w:cs="Arial" w:eastAsia="Arial" w:hAnsi="Arial"/>
                <w:sz w:val="17"/>
                <w:szCs w:val="17"/>
                <w:color w:val="0000FF"/>
              </w:rPr>
              <w:t>06/21/2021</w:t>
            </w:r>
          </w:p>
        </w:tc>
        <w:tc>
          <w:tcPr>
            <w:tcW w:w="20" w:type="dxa"/>
            <w:vAlign w:val="bottom"/>
          </w:tcPr>
          <w:p>
            <w:pPr>
              <w:spacing w:after="0"/>
              <w:rPr>
                <w:sz w:val="14"/>
                <w:szCs w:val="14"/>
                <w:color w:val="auto"/>
              </w:rPr>
            </w:pPr>
          </w:p>
        </w:tc>
        <w:tc>
          <w:tcPr>
            <w:tcW w:w="1040" w:type="dxa"/>
            <w:vAlign w:val="bottom"/>
          </w:tcPr>
          <w:p>
            <w:pPr>
              <w:ind w:left="680"/>
              <w:spacing w:after="0"/>
              <w:rPr>
                <w:sz w:val="20"/>
                <w:szCs w:val="20"/>
                <w:color w:val="auto"/>
              </w:rPr>
            </w:pPr>
            <w:r>
              <w:rPr>
                <w:rFonts w:ascii="Arial" w:cs="Arial" w:eastAsia="Arial" w:hAnsi="Arial"/>
                <w:sz w:val="13"/>
                <w:szCs w:val="13"/>
                <w:color w:val="0000FF"/>
              </w:rPr>
              <w:t>S</w:t>
            </w:r>
          </w:p>
        </w:tc>
        <w:tc>
          <w:tcPr>
            <w:tcW w:w="2180" w:type="dxa"/>
            <w:vAlign w:val="bottom"/>
            <w:gridSpan w:val="6"/>
          </w:tcPr>
          <w:p>
            <w:pPr>
              <w:ind w:left="320"/>
              <w:spacing w:after="0" w:line="168" w:lineRule="exact"/>
              <w:rPr>
                <w:sz w:val="20"/>
                <w:szCs w:val="20"/>
                <w:color w:val="auto"/>
              </w:rPr>
            </w:pPr>
            <w:r>
              <w:rPr>
                <w:rFonts w:ascii="Arial" w:cs="Arial" w:eastAsia="Arial" w:hAnsi="Arial"/>
                <w:sz w:val="19"/>
                <w:szCs w:val="19"/>
                <w:color w:val="0000FF"/>
                <w:vertAlign w:val="subscript"/>
              </w:rPr>
              <w:t>180,000</w:t>
            </w:r>
            <w:r>
              <w:rPr>
                <w:rFonts w:ascii="Arial" w:cs="Arial" w:eastAsia="Arial" w:hAnsi="Arial"/>
                <w:sz w:val="9"/>
                <w:szCs w:val="9"/>
                <w:color w:val="008000"/>
              </w:rPr>
              <w:t xml:space="preserve">(1)(2)(3)(4)(5)(6)(7)   </w:t>
            </w:r>
            <w:r>
              <w:rPr>
                <w:rFonts w:ascii="Arial" w:cs="Arial" w:eastAsia="Arial" w:hAnsi="Arial"/>
                <w:sz w:val="19"/>
                <w:szCs w:val="19"/>
                <w:color w:val="0000FF"/>
                <w:vertAlign w:val="subscript"/>
              </w:rPr>
              <w:t>D</w:t>
            </w:r>
          </w:p>
        </w:tc>
        <w:tc>
          <w:tcPr>
            <w:tcW w:w="2620" w:type="dxa"/>
            <w:vAlign w:val="bottom"/>
            <w:gridSpan w:val="4"/>
          </w:tcPr>
          <w:p>
            <w:pPr>
              <w:jc w:val="right"/>
              <w:ind w:right="140"/>
              <w:spacing w:after="0" w:line="168" w:lineRule="exact"/>
              <w:rPr>
                <w:sz w:val="20"/>
                <w:szCs w:val="20"/>
                <w:color w:val="auto"/>
              </w:rPr>
            </w:pPr>
            <w:r>
              <w:rPr>
                <w:rFonts w:ascii="Arial" w:cs="Arial" w:eastAsia="Arial" w:hAnsi="Arial"/>
                <w:sz w:val="19"/>
                <w:szCs w:val="19"/>
                <w:color w:val="000000"/>
                <w:vertAlign w:val="subscript"/>
              </w:rPr>
              <w:t>$</w:t>
            </w:r>
            <w:r>
              <w:rPr>
                <w:rFonts w:ascii="Arial" w:cs="Arial" w:eastAsia="Arial" w:hAnsi="Arial"/>
                <w:sz w:val="19"/>
                <w:szCs w:val="19"/>
                <w:color w:val="0000FF"/>
                <w:vertAlign w:val="subscript"/>
              </w:rPr>
              <w:t>33.07  14,471,592</w:t>
            </w:r>
            <w:r>
              <w:rPr>
                <w:rFonts w:ascii="Arial" w:cs="Arial" w:eastAsia="Arial" w:hAnsi="Arial"/>
                <w:sz w:val="9"/>
                <w:szCs w:val="9"/>
                <w:color w:val="008000"/>
              </w:rPr>
              <w:t>(1)(2)(3)(4)(5)(6)(7)</w:t>
            </w:r>
          </w:p>
        </w:tc>
        <w:tc>
          <w:tcPr>
            <w:tcW w:w="680" w:type="dxa"/>
            <w:vAlign w:val="bottom"/>
          </w:tcPr>
          <w:p>
            <w:pPr>
              <w:ind w:left="220"/>
              <w:spacing w:after="0" w:line="168" w:lineRule="exact"/>
              <w:rPr>
                <w:sz w:val="20"/>
                <w:szCs w:val="20"/>
                <w:color w:val="auto"/>
              </w:rPr>
            </w:pPr>
            <w:r>
              <w:rPr>
                <w:rFonts w:ascii="Arial" w:cs="Arial" w:eastAsia="Arial" w:hAnsi="Arial"/>
                <w:sz w:val="17"/>
                <w:szCs w:val="17"/>
                <w:color w:val="0000FF"/>
              </w:rPr>
              <w:t>I</w:t>
            </w:r>
          </w:p>
        </w:tc>
        <w:tc>
          <w:tcPr>
            <w:tcW w:w="18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color w:val="008000"/>
              </w:rPr>
              <w:t>(5)(6)(7)</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5"/>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76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0" w:type="dxa"/>
            <w:vAlign w:val="bottom"/>
            <w:gridSpan w:val="10"/>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2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122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AF V Energy IV AIV 1B, L.P.</w:t>
        </w:r>
      </w:hyperlink>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7"/>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AF V Energy IV AIV 2,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7"/>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AEOF ECR AIV A-B,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7"/>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AEOF ECR AIV C,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7"/>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AF Energy Feeder,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7"/>
          </w:tcPr>
          <w:p>
            <w:pPr>
              <w:spacing w:after="0" w:line="221" w:lineRule="exact"/>
              <w:rPr>
                <w:rFonts w:ascii="Arial" w:cs="Arial" w:eastAsia="Arial" w:hAnsi="Arial"/>
                <w:sz w:val="21"/>
                <w:szCs w:val="21"/>
                <w:color w:val="0000EE"/>
                <w:w w:val="98"/>
              </w:rPr>
            </w:pPr>
            <w:hyperlink r:id="rId22">
              <w:r>
                <w:rPr>
                  <w:rFonts w:ascii="Arial" w:cs="Arial" w:eastAsia="Arial" w:hAnsi="Arial"/>
                  <w:sz w:val="21"/>
                  <w:szCs w:val="21"/>
                  <w:color w:val="0000EE"/>
                  <w:w w:val="98"/>
                </w:rPr>
                <w:t>SSF IV Energy I AIV 1A,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77" w:orient="portrait"/>
          <w:cols w:equalWidth="0" w:num="1">
            <w:col w:w="9979"/>
          </w:cols>
          <w:pgMar w:left="480" w:top="140" w:right="1440" w:bottom="0" w:gutter="0" w:footer="0" w:header="0"/>
        </w:sectPr>
      </w:pPr>
    </w:p>
    <w:p>
      <w:pPr>
        <w:ind w:left="100"/>
        <w:spacing w:after="0"/>
        <w:rPr>
          <w:rFonts w:ascii="Arial" w:cs="Arial" w:eastAsia="Arial" w:hAnsi="Arial"/>
          <w:sz w:val="20"/>
          <w:szCs w:val="20"/>
          <w:u w:val="single" w:color="auto"/>
          <w:color w:val="0000EE"/>
        </w:rPr>
      </w:pPr>
      <w:hyperlink r:id="rId23">
        <w:r>
          <w:rPr>
            <w:rFonts w:ascii="Arial" w:cs="Arial" w:eastAsia="Arial" w:hAnsi="Arial"/>
            <w:sz w:val="20"/>
            <w:szCs w:val="20"/>
            <w:u w:val="single" w:color="auto"/>
            <w:color w:val="0000EE"/>
          </w:rPr>
          <w:t>SSF IV Energy I AIV 1B, L.P.</w:t>
        </w:r>
      </w:hyperlink>
    </w:p>
    <w:p>
      <w:pPr>
        <w:sectPr>
          <w:pgSz w:w="11900" w:h="16877" w:orient="portrait"/>
          <w:cols w:equalWidth="0" w:num="1">
            <w:col w:w="9979"/>
          </w:cols>
          <w:pgMar w:left="480" w:top="140"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4">
              <w:r>
                <w:rPr>
                  <w:rFonts w:ascii="Arial" w:cs="Arial" w:eastAsia="Arial" w:hAnsi="Arial"/>
                  <w:sz w:val="21"/>
                  <w:szCs w:val="21"/>
                  <w:color w:val="0000EE"/>
                </w:rPr>
                <w:t>SSF IV Energy I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236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2809240" cy="32365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4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SSF IV Energy I AIV 1A, L.P. ("SSF AIV 1A"), (ix) SSF IV Energy I AIV 1B, L.P. ("SSF AIV 1B"), (x) SSF IV Energy I AIV 2, L.P. ("SSF AIV 2" and, together with SSF AIV 1A and SSF AIV 1B, the "SSF AIVs"), (xi) ASSF Operating Manager IV, L.P. ("ASSF Operating Manager IV"), (xii) Ares Management LLC, (Continued in footnote 2</w:t>
      </w:r>
    </w:p>
    <w:p>
      <w:pPr>
        <w:spacing w:after="0" w:line="29"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(xiii) Ares Management Holdings L.P. ("Ares Management Holdings"), (xiv) Ares Holdco LLC ("Ares Holdco"), (xv) Ares Management Corporation ("Ares Management"), (xvi) Ares Voting LLC ("Ares Voting"), (xvii) Ares Management GP LLC ("Ares Management GP") and (xviii)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amount of profit potentially recoverable by the Issuer from the reported transactions, if any, has been remitted to the Issuer.</w:t>
      </w:r>
    </w:p>
    <w:p>
      <w:pPr>
        <w:spacing w:after="0" w:line="50" w:lineRule="exact"/>
        <w:rPr>
          <w:rFonts w:ascii="Arial" w:cs="Arial" w:eastAsia="Arial" w:hAnsi="Arial"/>
          <w:sz w:val="13"/>
          <w:szCs w:val="13"/>
          <w:color w:val="008000"/>
        </w:rPr>
      </w:pPr>
    </w:p>
    <w:p>
      <w:pPr>
        <w:ind w:left="20" w:right="8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ASSF Operating Manager IV is the manager of the SSF AIVs, and the general partner of ASSF Operating Manager IV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LLC ("Ares Voting") is the sole holder of the Class C common stock, $0.01 par value per share, of Ares Management (the "Ares Class C Common Stock"). (Continued in footnote 5)</w:t>
      </w:r>
    </w:p>
    <w:p>
      <w:pPr>
        <w:spacing w:after="0" w:line="29" w:lineRule="exact"/>
        <w:rPr>
          <w:rFonts w:ascii="Arial" w:cs="Arial" w:eastAsia="Arial" w:hAnsi="Arial"/>
          <w:sz w:val="13"/>
          <w:szCs w:val="13"/>
          <w:color w:val="008000"/>
        </w:rPr>
      </w:pPr>
    </w:p>
    <w:p>
      <w:pPr>
        <w:ind w:left="20" w:right="160" w:firstLine="7"/>
        <w:spacing w:after="0" w:line="245"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Michael McFerran,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right="4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14,471,592 shares of Common Stock by reason of the direct or indirect beneficial ownership of such shares as follows: (i) ACOF AIV 1A directly holds 685,452 shares of Common Stock, (ii) ACOF AIV 1B directly holds 2,508,408 shares of Common Stock, (iii) ACOF AIV 2 directly holds 2,555,317 shares of Common Stock, (iv) AEOF AIV A-B directly holds 1,894,861 shares of Common Stock, (v) AEOF AIV C directly holds 804,524 shares of Common Stock, (vi) SSF AIV 1A directly holds 62,175 shares of Common Stock, (vii) SSF AIV 1B directly holds 55,434 shares of Common Stock, (viii) SSF AIV 2 directly holds 90,239 shares of Common Stock and (ix) AF Energy Feeder, L.P. directly holds 5,815,182 shares of Common Stock.</w:t>
      </w:r>
    </w:p>
    <w:p>
      <w:pPr>
        <w:spacing w:after="0" w:line="29" w:lineRule="exact"/>
        <w:rPr>
          <w:rFonts w:ascii="Arial" w:cs="Arial" w:eastAsia="Arial" w:hAnsi="Arial"/>
          <w:sz w:val="13"/>
          <w:szCs w:val="13"/>
          <w:color w:val="008000"/>
        </w:rPr>
      </w:pPr>
    </w:p>
    <w:p>
      <w:pPr>
        <w:ind w:left="20" w:right="160" w:firstLine="7"/>
        <w:spacing w:after="0" w:line="245"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the SSF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00"/>
          </w:cols>
          <w:pgMar w:left="480" w:top="432" w:right="519" w:bottom="0" w:gutter="0" w:footer="0" w:header="0"/>
        </w:sectPr>
      </w:pPr>
    </w:p>
    <w:p>
      <w:pPr>
        <w:spacing w:after="0" w:line="5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833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34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69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12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976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840" w:lineRule="exact"/>
        <w:rPr>
          <w:sz w:val="20"/>
          <w:szCs w:val="20"/>
          <w:color w:val="auto"/>
        </w:rPr>
      </w:pPr>
    </w:p>
    <w:p>
      <w:pPr>
        <w:sectPr>
          <w:pgSz w:w="11900" w:h="16838" w:orient="portrait"/>
          <w:cols w:equalWidth="0" w:num="2">
            <w:col w:w="8680" w:space="80"/>
            <w:col w:w="2140"/>
          </w:cols>
          <w:pgMar w:left="480" w:top="432" w:right="519" w:bottom="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7"/>
          <w:szCs w:val="17"/>
          <w:color w:val="0000FF"/>
        </w:rPr>
        <w:t>AEOF ECR AIV A-B, L.P.</w:t>
      </w:r>
      <w:r>
        <w:rPr>
          <w:sz w:val="20"/>
          <w:szCs w:val="20"/>
          <w:color w:val="auto"/>
        </w:rPr>
        <w:tab/>
      </w: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8973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03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ectPr>
          <w:pgSz w:w="11900" w:h="16838" w:orient="portrait"/>
          <w:cols w:equalWidth="0" w:num="1">
            <w:col w:w="10900"/>
          </w:cols>
          <w:pgMar w:left="480" w:top="432" w:right="51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06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AEOF ECR AIV C,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649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33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6" Type="http://schemas.openxmlformats.org/officeDocument/2006/relationships/hyperlink" Target="http://www.sec.gov/cgi-bin/browse-edgar?action=getcompany&amp;CIK=0001831195" TargetMode="External"/><Relationship Id="rId18" Type="http://schemas.openxmlformats.org/officeDocument/2006/relationships/hyperlink" Target="http://www.sec.gov/cgi-bin/browse-edgar?action=getcompany&amp;CIK=0001831196" TargetMode="External"/><Relationship Id="rId19" Type="http://schemas.openxmlformats.org/officeDocument/2006/relationships/hyperlink" Target="http://www.sec.gov/cgi-bin/browse-edgar?action=getcompany&amp;CIK=0001831200" TargetMode="External"/><Relationship Id="rId20" Type="http://schemas.openxmlformats.org/officeDocument/2006/relationships/hyperlink" Target="http://www.sec.gov/cgi-bin/browse-edgar?action=getcompany&amp;CIK=0001831202" TargetMode="External"/><Relationship Id="rId21" Type="http://schemas.openxmlformats.org/officeDocument/2006/relationships/hyperlink" Target="http://www.sec.gov/cgi-bin/browse-edgar?action=getcompany&amp;CIK=0001831203" TargetMode="External"/><Relationship Id="rId22" Type="http://schemas.openxmlformats.org/officeDocument/2006/relationships/hyperlink" Target="http://www.sec.gov/cgi-bin/browse-edgar?action=getcompany&amp;CIK=0001831197" TargetMode="External"/><Relationship Id="rId23" Type="http://schemas.openxmlformats.org/officeDocument/2006/relationships/hyperlink" Target="http://www.sec.gov/cgi-bin/browse-edgar?action=getcompany&amp;CIK=0001831198" TargetMode="External"/><Relationship Id="rId24" Type="http://schemas.openxmlformats.org/officeDocument/2006/relationships/hyperlink" Target="http://www.sec.gov/cgi-bin/browse-edgar?action=getcompany&amp;CIK=00018311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2021-06-23T15:50:14Z</dcterms:created>
  <dcterms:modified xsi:type="dcterms:W3CDTF">2021-06-23T15:50:14Z</dcterms:modified>
</cp:coreProperties>
</file>