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27, 2020</w:t>
      </w:r>
    </w:p>
    <w:p>
      <w:pPr>
        <w:spacing w:after="0" w:line="158" w:lineRule="exact"/>
        <w:rPr>
          <w:sz w:val="24"/>
          <w:szCs w:val="24"/>
          <w:color w:val="auto"/>
        </w:rPr>
      </w:pPr>
    </w:p>
    <w:p>
      <w:pPr>
        <w:ind w:left="9040"/>
        <w:spacing w:after="0"/>
        <w:rPr>
          <w:sz w:val="20"/>
          <w:szCs w:val="20"/>
          <w:color w:val="auto"/>
        </w:rPr>
      </w:pPr>
      <w:r>
        <w:rPr>
          <w:rFonts w:ascii="Arial" w:cs="Arial" w:eastAsia="Arial" w:hAnsi="Arial"/>
          <w:sz w:val="16"/>
          <w:szCs w:val="16"/>
          <w:b w:val="1"/>
          <w:bCs w:val="1"/>
          <w:color w:val="auto"/>
        </w:rPr>
        <w:t>Registration No. 333-228426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UNITED STATES</w:t>
      </w:r>
    </w:p>
    <w:p>
      <w:pPr>
        <w:jc w:val="center"/>
        <w:ind w:right="-39"/>
        <w:spacing w:after="0" w:line="222" w:lineRule="auto"/>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line="219" w:lineRule="auto"/>
        <w:rPr>
          <w:sz w:val="20"/>
          <w:szCs w:val="20"/>
          <w:color w:val="auto"/>
        </w:rPr>
      </w:pPr>
      <w:r>
        <w:rPr>
          <w:rFonts w:ascii="Arial" w:cs="Arial" w:eastAsia="Arial" w:hAnsi="Arial"/>
          <w:sz w:val="18"/>
          <w:szCs w:val="18"/>
          <w:b w:val="1"/>
          <w:bCs w:val="1"/>
          <w:color w:val="auto"/>
        </w:rPr>
        <w:t>Washington, D.C. 20549</w:t>
      </w:r>
    </w:p>
    <w:p>
      <w:pPr>
        <w:ind w:left="4720"/>
        <w:spacing w:after="0"/>
        <w:rPr>
          <w:sz w:val="20"/>
          <w:szCs w:val="20"/>
          <w:color w:val="auto"/>
        </w:rPr>
      </w:pPr>
      <w:r>
        <w:rPr>
          <w:rFonts w:ascii="Arial" w:cs="Arial" w:eastAsia="Arial" w:hAnsi="Arial"/>
          <w:sz w:val="18"/>
          <w:szCs w:val="18"/>
          <w:color w:val="auto"/>
        </w:rPr>
        <w:t>____________________</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Post-Effective Amendment No. 3</w:t>
      </w:r>
    </w:p>
    <w:p>
      <w:pPr>
        <w:spacing w:after="0" w:line="63"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to</w:t>
      </w:r>
    </w:p>
    <w:p>
      <w:pPr>
        <w:spacing w:after="0" w:line="63"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FORM S-3</w:t>
      </w:r>
    </w:p>
    <w:p>
      <w:pPr>
        <w:jc w:val="center"/>
        <w:ind w:right="-39"/>
        <w:spacing w:after="0" w:line="221" w:lineRule="auto"/>
        <w:rPr>
          <w:sz w:val="20"/>
          <w:szCs w:val="20"/>
          <w:color w:val="auto"/>
        </w:rPr>
      </w:pPr>
      <w:r>
        <w:rPr>
          <w:rFonts w:ascii="Arial" w:cs="Arial" w:eastAsia="Arial" w:hAnsi="Arial"/>
          <w:sz w:val="18"/>
          <w:szCs w:val="18"/>
          <w:b w:val="1"/>
          <w:bCs w:val="1"/>
          <w:color w:val="auto"/>
        </w:rPr>
        <w:t>REGISTRATION STATEMENT</w:t>
      </w:r>
    </w:p>
    <w:p>
      <w:pPr>
        <w:jc w:val="center"/>
        <w:ind w:right="-39"/>
        <w:spacing w:after="0" w:line="219" w:lineRule="auto"/>
        <w:rPr>
          <w:sz w:val="20"/>
          <w:szCs w:val="20"/>
          <w:color w:val="auto"/>
        </w:rPr>
      </w:pPr>
      <w:r>
        <w:rPr>
          <w:rFonts w:ascii="Arial" w:cs="Arial" w:eastAsia="Arial" w:hAnsi="Arial"/>
          <w:sz w:val="18"/>
          <w:szCs w:val="18"/>
          <w:b w:val="1"/>
          <w:bCs w:val="1"/>
          <w:i w:val="1"/>
          <w:iCs w:val="1"/>
          <w:color w:val="auto"/>
        </w:rPr>
        <w:t>Under</w:t>
      </w:r>
    </w:p>
    <w:p>
      <w:pPr>
        <w:jc w:val="center"/>
        <w:ind w:right="-39"/>
        <w:spacing w:after="0" w:line="219" w:lineRule="auto"/>
        <w:rPr>
          <w:sz w:val="20"/>
          <w:szCs w:val="20"/>
          <w:color w:val="auto"/>
        </w:rPr>
      </w:pPr>
      <w:r>
        <w:rPr>
          <w:rFonts w:ascii="Arial" w:cs="Arial" w:eastAsia="Arial" w:hAnsi="Arial"/>
          <w:sz w:val="18"/>
          <w:szCs w:val="18"/>
          <w:b w:val="1"/>
          <w:bCs w:val="1"/>
          <w:i w:val="1"/>
          <w:iCs w:val="1"/>
          <w:color w:val="auto"/>
        </w:rPr>
        <w:t>THE SECURITIES ACT OF 1933</w:t>
      </w:r>
    </w:p>
    <w:p>
      <w:pPr>
        <w:spacing w:after="0" w:line="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California Resources Corporation</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370" w:lineRule="exact"/>
        <w:rPr>
          <w:sz w:val="24"/>
          <w:szCs w:val="24"/>
          <w:color w:val="auto"/>
        </w:rPr>
      </w:pPr>
    </w:p>
    <w:tbl>
      <w:tblPr>
        <w:tblLayout w:type="fixed"/>
        <w:tblInd w:w="2440" w:type="dxa"/>
        <w:tblCellMar>
          <w:top w:w="0" w:type="dxa"/>
          <w:left w:w="0" w:type="dxa"/>
          <w:bottom w:w="0" w:type="dxa"/>
          <w:right w:w="0" w:type="dxa"/>
        </w:tblCellMar>
      </w:tblPr>
      <w:tr>
        <w:trPr>
          <w:trHeight w:val="210"/>
        </w:trPr>
        <w:tc>
          <w:tcPr>
            <w:tcW w:w="3300" w:type="dxa"/>
            <w:vAlign w:val="bottom"/>
          </w:tcPr>
          <w:p>
            <w:pPr>
              <w:jc w:val="center"/>
              <w:ind w:right="1725"/>
              <w:spacing w:after="0"/>
              <w:rPr>
                <w:sz w:val="20"/>
                <w:szCs w:val="20"/>
                <w:color w:val="auto"/>
              </w:rPr>
            </w:pPr>
            <w:r>
              <w:rPr>
                <w:rFonts w:ascii="Arial" w:cs="Arial" w:eastAsia="Arial" w:hAnsi="Arial"/>
                <w:sz w:val="16"/>
                <w:szCs w:val="16"/>
                <w:b w:val="1"/>
                <w:bCs w:val="1"/>
                <w:color w:val="auto"/>
                <w:w w:val="93"/>
              </w:rPr>
              <w:t>Delaware</w:t>
            </w:r>
          </w:p>
        </w:tc>
        <w:tc>
          <w:tcPr>
            <w:tcW w:w="2860" w:type="dxa"/>
            <w:vAlign w:val="bottom"/>
          </w:tcPr>
          <w:p>
            <w:pPr>
              <w:jc w:val="center"/>
              <w:ind w:left="1705"/>
              <w:spacing w:after="0"/>
              <w:rPr>
                <w:sz w:val="20"/>
                <w:szCs w:val="20"/>
                <w:color w:val="auto"/>
              </w:rPr>
            </w:pPr>
            <w:r>
              <w:rPr>
                <w:rFonts w:ascii="Arial" w:cs="Arial" w:eastAsia="Arial" w:hAnsi="Arial"/>
                <w:sz w:val="16"/>
                <w:szCs w:val="16"/>
                <w:b w:val="1"/>
                <w:bCs w:val="1"/>
                <w:color w:val="auto"/>
                <w:w w:val="93"/>
              </w:rPr>
              <w:t>46-5670947</w:t>
            </w:r>
          </w:p>
        </w:tc>
      </w:tr>
      <w:tr>
        <w:trPr>
          <w:trHeight w:val="203"/>
        </w:trPr>
        <w:tc>
          <w:tcPr>
            <w:tcW w:w="3300" w:type="dxa"/>
            <w:vAlign w:val="bottom"/>
          </w:tcPr>
          <w:p>
            <w:pPr>
              <w:jc w:val="center"/>
              <w:ind w:right="1705"/>
              <w:spacing w:after="0"/>
              <w:rPr>
                <w:sz w:val="20"/>
                <w:szCs w:val="20"/>
                <w:color w:val="auto"/>
              </w:rPr>
            </w:pPr>
            <w:r>
              <w:rPr>
                <w:rFonts w:ascii="Arial" w:cs="Arial" w:eastAsia="Arial" w:hAnsi="Arial"/>
                <w:sz w:val="14"/>
                <w:szCs w:val="14"/>
                <w:color w:val="auto"/>
                <w:w w:val="95"/>
              </w:rPr>
              <w:t>(State or other jurisdiction</w:t>
            </w:r>
          </w:p>
        </w:tc>
        <w:tc>
          <w:tcPr>
            <w:tcW w:w="2860" w:type="dxa"/>
            <w:vAlign w:val="bottom"/>
          </w:tcPr>
          <w:p>
            <w:pPr>
              <w:jc w:val="center"/>
              <w:ind w:left="1705"/>
              <w:spacing w:after="0"/>
              <w:rPr>
                <w:sz w:val="20"/>
                <w:szCs w:val="20"/>
                <w:color w:val="auto"/>
              </w:rPr>
            </w:pPr>
            <w:r>
              <w:rPr>
                <w:rFonts w:ascii="Arial" w:cs="Arial" w:eastAsia="Arial" w:hAnsi="Arial"/>
                <w:sz w:val="14"/>
                <w:szCs w:val="14"/>
                <w:color w:val="auto"/>
                <w:w w:val="97"/>
              </w:rPr>
              <w:t>(I.R.S. Employer</w:t>
            </w:r>
          </w:p>
        </w:tc>
      </w:tr>
      <w:tr>
        <w:trPr>
          <w:trHeight w:val="182"/>
        </w:trPr>
        <w:tc>
          <w:tcPr>
            <w:tcW w:w="3300" w:type="dxa"/>
            <w:vAlign w:val="bottom"/>
          </w:tcPr>
          <w:p>
            <w:pPr>
              <w:jc w:val="center"/>
              <w:ind w:right="1725"/>
              <w:spacing w:after="0"/>
              <w:rPr>
                <w:sz w:val="20"/>
                <w:szCs w:val="20"/>
                <w:color w:val="auto"/>
              </w:rPr>
            </w:pPr>
            <w:r>
              <w:rPr>
                <w:rFonts w:ascii="Arial" w:cs="Arial" w:eastAsia="Arial" w:hAnsi="Arial"/>
                <w:sz w:val="14"/>
                <w:szCs w:val="14"/>
                <w:color w:val="auto"/>
                <w:w w:val="96"/>
              </w:rPr>
              <w:t>of incorporation)</w:t>
            </w:r>
          </w:p>
        </w:tc>
        <w:tc>
          <w:tcPr>
            <w:tcW w:w="2860" w:type="dxa"/>
            <w:vAlign w:val="bottom"/>
          </w:tcPr>
          <w:p>
            <w:pPr>
              <w:jc w:val="center"/>
              <w:ind w:left="1705"/>
              <w:spacing w:after="0"/>
              <w:rPr>
                <w:sz w:val="20"/>
                <w:szCs w:val="20"/>
                <w:color w:val="auto"/>
              </w:rPr>
            </w:pPr>
            <w:r>
              <w:rPr>
                <w:rFonts w:ascii="Arial" w:cs="Arial" w:eastAsia="Arial" w:hAnsi="Arial"/>
                <w:sz w:val="14"/>
                <w:szCs w:val="14"/>
                <w:color w:val="auto"/>
                <w:w w:val="99"/>
              </w:rPr>
              <w:t>Identification No.)</w:t>
            </w:r>
          </w:p>
        </w:tc>
      </w:tr>
    </w:tbl>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27200 Tourney Road, Suite 200</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Santa Clarita, California 91355</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(888) 848-4754</w:t>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(Addresses, including zip code, and telephone number, including area code, of registrant’s principal executive offices)</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Michael L. Preston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Senior Executive Vice President, Chief Administrative Officer and General Counsel</w:t>
      </w:r>
    </w:p>
    <w:p>
      <w:pPr>
        <w:jc w:val="center"/>
        <w:ind w:right="-39"/>
        <w:spacing w:after="0" w:line="228" w:lineRule="auto"/>
        <w:rPr>
          <w:sz w:val="20"/>
          <w:szCs w:val="20"/>
          <w:color w:val="auto"/>
        </w:rPr>
      </w:pPr>
      <w:r>
        <w:rPr>
          <w:rFonts w:ascii="Arial" w:cs="Arial" w:eastAsia="Arial" w:hAnsi="Arial"/>
          <w:sz w:val="16"/>
          <w:szCs w:val="16"/>
          <w:b w:val="1"/>
          <w:bCs w:val="1"/>
          <w:color w:val="auto"/>
        </w:rPr>
        <w:t>27200 Tourney Road, Suite 200</w:t>
      </w:r>
    </w:p>
    <w:p>
      <w:pPr>
        <w:jc w:val="center"/>
        <w:ind w:right="-39"/>
        <w:spacing w:after="0" w:line="229" w:lineRule="auto"/>
        <w:rPr>
          <w:sz w:val="20"/>
          <w:szCs w:val="20"/>
          <w:color w:val="auto"/>
        </w:rPr>
      </w:pPr>
      <w:r>
        <w:rPr>
          <w:rFonts w:ascii="Arial" w:cs="Arial" w:eastAsia="Arial" w:hAnsi="Arial"/>
          <w:sz w:val="16"/>
          <w:szCs w:val="16"/>
          <w:b w:val="1"/>
          <w:bCs w:val="1"/>
          <w:color w:val="auto"/>
        </w:rPr>
        <w:t>Santa Clarita, California 91355</w:t>
      </w:r>
    </w:p>
    <w:p>
      <w:pPr>
        <w:jc w:val="center"/>
        <w:ind w:right="-39"/>
        <w:spacing w:after="0" w:line="233" w:lineRule="auto"/>
        <w:rPr>
          <w:sz w:val="20"/>
          <w:szCs w:val="20"/>
          <w:color w:val="auto"/>
        </w:rPr>
      </w:pPr>
      <w:r>
        <w:rPr>
          <w:rFonts w:ascii="Arial" w:cs="Arial" w:eastAsia="Arial" w:hAnsi="Arial"/>
          <w:sz w:val="16"/>
          <w:szCs w:val="16"/>
          <w:b w:val="1"/>
          <w:bCs w:val="1"/>
          <w:color w:val="auto"/>
        </w:rPr>
        <w:t>(888) 848-4754</w:t>
      </w:r>
    </w:p>
    <w:p>
      <w:pPr>
        <w:jc w:val="center"/>
        <w:ind w:right="-39"/>
        <w:spacing w:after="0" w:line="213" w:lineRule="auto"/>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Copies to:</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Sarah K. Morgan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Scott D. Rubinsky</w:t>
      </w:r>
    </w:p>
    <w:p>
      <w:pPr>
        <w:jc w:val="center"/>
        <w:ind w:right="-39"/>
        <w:spacing w:after="0" w:line="228" w:lineRule="auto"/>
        <w:rPr>
          <w:sz w:val="20"/>
          <w:szCs w:val="20"/>
          <w:color w:val="auto"/>
        </w:rPr>
      </w:pPr>
      <w:r>
        <w:rPr>
          <w:rFonts w:ascii="Arial" w:cs="Arial" w:eastAsia="Arial" w:hAnsi="Arial"/>
          <w:sz w:val="16"/>
          <w:szCs w:val="16"/>
          <w:b w:val="1"/>
          <w:bCs w:val="1"/>
          <w:color w:val="auto"/>
        </w:rPr>
        <w:t>Vinson &amp; Elkins L.L.P.</w:t>
      </w:r>
    </w:p>
    <w:p>
      <w:pPr>
        <w:jc w:val="center"/>
        <w:ind w:right="-39"/>
        <w:spacing w:after="0" w:line="229" w:lineRule="auto"/>
        <w:rPr>
          <w:sz w:val="20"/>
          <w:szCs w:val="20"/>
          <w:color w:val="auto"/>
        </w:rPr>
      </w:pPr>
      <w:r>
        <w:rPr>
          <w:rFonts w:ascii="Arial" w:cs="Arial" w:eastAsia="Arial" w:hAnsi="Arial"/>
          <w:sz w:val="16"/>
          <w:szCs w:val="16"/>
          <w:b w:val="1"/>
          <w:bCs w:val="1"/>
          <w:color w:val="auto"/>
        </w:rPr>
        <w:t>1001 Fannin, Suite 2500</w:t>
      </w:r>
    </w:p>
    <w:p>
      <w:pPr>
        <w:jc w:val="center"/>
        <w:ind w:right="-39"/>
        <w:spacing w:after="0" w:line="229" w:lineRule="auto"/>
        <w:rPr>
          <w:sz w:val="20"/>
          <w:szCs w:val="20"/>
          <w:color w:val="auto"/>
        </w:rPr>
      </w:pPr>
      <w:r>
        <w:rPr>
          <w:rFonts w:ascii="Arial" w:cs="Arial" w:eastAsia="Arial" w:hAnsi="Arial"/>
          <w:sz w:val="16"/>
          <w:szCs w:val="16"/>
          <w:b w:val="1"/>
          <w:bCs w:val="1"/>
          <w:color w:val="auto"/>
        </w:rPr>
        <w:t>Houston, Texas 77002-6760</w:t>
      </w:r>
    </w:p>
    <w:p>
      <w:pPr>
        <w:ind w:left="5500" w:hanging="382"/>
        <w:spacing w:after="0" w:line="226" w:lineRule="auto"/>
        <w:tabs>
          <w:tab w:leader="none" w:pos="55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758-2222</w:t>
      </w:r>
    </w:p>
    <w:p>
      <w:pPr>
        <w:ind w:left="4720"/>
        <w:spacing w:after="0"/>
        <w:rPr>
          <w:rFonts w:ascii="Arial" w:cs="Arial" w:eastAsia="Arial" w:hAnsi="Arial"/>
          <w:sz w:val="16"/>
          <w:szCs w:val="16"/>
          <w:b w:val="1"/>
          <w:bCs w:val="1"/>
          <w:color w:val="auto"/>
        </w:rPr>
      </w:pPr>
      <w:r>
        <w:rPr>
          <w:rFonts w:ascii="Arial" w:cs="Arial" w:eastAsia="Arial" w:hAnsi="Arial"/>
          <w:sz w:val="18"/>
          <w:szCs w:val="18"/>
          <w:color w:val="auto"/>
        </w:rPr>
        <w:t>____________________</w:t>
      </w:r>
    </w:p>
    <w:p>
      <w:pPr>
        <w:spacing w:after="0" w:line="124"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the effective date of this Registration Statement.</w:t>
      </w:r>
    </w:p>
    <w:p>
      <w:pPr>
        <w:spacing w:after="0" w:line="171" w:lineRule="exact"/>
        <w:rPr>
          <w:sz w:val="24"/>
          <w:szCs w:val="24"/>
          <w:color w:val="auto"/>
        </w:rPr>
      </w:pPr>
    </w:p>
    <w:p>
      <w:pPr>
        <w:ind w:right="320" w:firstLine="324"/>
        <w:spacing w:after="0" w:line="246"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o</w:t>
      </w:r>
    </w:p>
    <w:p>
      <w:pPr>
        <w:spacing w:after="0" w:line="116" w:lineRule="exact"/>
        <w:rPr>
          <w:sz w:val="24"/>
          <w:szCs w:val="24"/>
          <w:color w:val="auto"/>
        </w:rPr>
      </w:pPr>
    </w:p>
    <w:p>
      <w:pPr>
        <w:ind w:right="180" w:firstLine="324"/>
        <w:spacing w:after="0" w:line="220"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02" w:lineRule="exact"/>
        <w:rPr>
          <w:sz w:val="24"/>
          <w:szCs w:val="24"/>
          <w:color w:val="auto"/>
        </w:rPr>
      </w:pPr>
    </w:p>
    <w:p>
      <w:pPr>
        <w:ind w:right="280" w:firstLine="324"/>
        <w:spacing w:after="0" w:line="274"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94" w:lineRule="exact"/>
        <w:rPr>
          <w:sz w:val="24"/>
          <w:szCs w:val="24"/>
          <w:color w:val="auto"/>
        </w:rPr>
      </w:pPr>
    </w:p>
    <w:p>
      <w:pPr>
        <w:ind w:right="200" w:firstLine="324"/>
        <w:spacing w:after="0" w:line="246"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16" w:lineRule="exact"/>
        <w:rPr>
          <w:sz w:val="24"/>
          <w:szCs w:val="24"/>
          <w:color w:val="auto"/>
        </w:rPr>
      </w:pPr>
    </w:p>
    <w:p>
      <w:pPr>
        <w:ind w:right="360" w:firstLine="324"/>
        <w:spacing w:after="0" w:line="246"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16" w:lineRule="exact"/>
        <w:rPr>
          <w:sz w:val="24"/>
          <w:szCs w:val="24"/>
          <w:color w:val="auto"/>
        </w:rPr>
      </w:pPr>
    </w:p>
    <w:p>
      <w:pPr>
        <w:ind w:right="100" w:firstLine="324"/>
        <w:spacing w:after="0" w:line="246"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16" w:lineRule="exact"/>
        <w:rPr>
          <w:sz w:val="24"/>
          <w:szCs w:val="24"/>
          <w:color w:val="auto"/>
        </w:rPr>
      </w:pPr>
    </w:p>
    <w:p>
      <w:pPr>
        <w:ind w:firstLine="324"/>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p>
      <w:pPr>
        <w:ind w:left="340"/>
        <w:spacing w:after="0" w:line="207" w:lineRule="exact"/>
        <w:tabs>
          <w:tab w:leader="none" w:pos="23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40" w:lineRule="exact"/>
        <w:rPr>
          <w:sz w:val="24"/>
          <w:szCs w:val="24"/>
          <w:color w:val="auto"/>
        </w:rPr>
      </w:pPr>
    </w:p>
    <w:p>
      <w:pPr>
        <w:ind w:left="340"/>
        <w:spacing w:after="0"/>
        <w:tabs>
          <w:tab w:leader="none" w:pos="21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ind w:left="6820"/>
        <w:spacing w:after="0"/>
        <w:rPr>
          <w:sz w:val="20"/>
          <w:szCs w:val="20"/>
          <w:color w:val="auto"/>
        </w:rPr>
      </w:pPr>
      <w:r>
        <w:rPr>
          <w:rFonts w:ascii="Arial" w:cs="Arial" w:eastAsia="Arial" w:hAnsi="Arial"/>
          <w:sz w:val="18"/>
          <w:szCs w:val="18"/>
          <w:color w:val="auto"/>
        </w:rPr>
        <w:t>Emerging growth company o</w:t>
      </w:r>
    </w:p>
    <w:p>
      <w:pPr>
        <w:spacing w:after="0" w:line="61" w:lineRule="exact"/>
        <w:rPr>
          <w:sz w:val="24"/>
          <w:szCs w:val="24"/>
          <w:color w:val="auto"/>
        </w:rPr>
      </w:pPr>
    </w:p>
    <w:p>
      <w:pPr>
        <w:ind w:right="160" w:firstLine="324"/>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74" w:lineRule="exact"/>
        <w:rPr>
          <w:sz w:val="24"/>
          <w:szCs w:val="24"/>
          <w:color w:val="auto"/>
        </w:rPr>
      </w:pPr>
    </w:p>
    <w:p>
      <w:pPr>
        <w:ind w:right="140" w:firstLine="324"/>
        <w:spacing w:after="0" w:line="23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63" w:orient="portrait"/>
          <w:cols w:equalWidth="0" w:num="1">
            <w:col w:w="11220"/>
          </w:cols>
          <w:pgMar w:left="320" w:top="648" w:right="359" w:bottom="0" w:gutter="0" w:footer="0" w:header="0"/>
        </w:sectPr>
      </w:pPr>
    </w:p>
    <w:bookmarkStart w:id="1" w:name="page2"/>
    <w:bookmarkEnd w:id="1"/>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EXPLANATORY NOTE</w:t>
      </w:r>
    </w:p>
    <w:p>
      <w:pPr>
        <w:spacing w:after="0" w:line="36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California Resources Corporation (the “Company”) ceased to be a well-known seasoned issuer (as such term is defined in Rule 405 of the Securities Act) upon the filing of its Annual Report on Form 10-K for the fiscal year ended December 31, 2019. Accordingly, the Company filed Post-Effective Amendment No. 2 using EDGAR submission type POS AM to convert the Registration Statement on Form S-3 (Commission File No. 333-228426) (the “Registration Statement”) to the proper EDGAR submission type for a non-automatic shelf registration statement and to make certain other amendments. The Company is filing this Post-Effective Amendment No. 3 to provide an updated prospectus relating to the offering and sale of the securities being registered. All filing fees payable in connection with the registration of the shares covered by this Post-Effective Amendment No. 3 were paid by the Company at the time of the initial filing of the Registration Statement.</w:t>
      </w:r>
    </w:p>
    <w:p>
      <w:pPr>
        <w:sectPr>
          <w:pgSz w:w="11900" w:h="16838" w:orient="portrait"/>
          <w:cols w:equalWidth="0" w:num="1">
            <w:col w:w="11040"/>
          </w:cols>
          <w:pgMar w:left="320" w:top="553" w:right="539" w:bottom="1440" w:gutter="0" w:footer="0" w:header="0"/>
        </w:sectPr>
      </w:pPr>
    </w:p>
    <w:bookmarkStart w:id="3" w:name="page4"/>
    <w:bookmarkEnd w:id="3"/>
    <w:p>
      <w:pPr>
        <w:ind w:right="40"/>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EE2724"/>
        </w:rPr>
        <w:t>SUBJECT TO COMPLETION, DATED MARCH 27,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128905</wp:posOffset>
            </wp:positionV>
            <wp:extent cx="2948940" cy="762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California Resources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6,000,000 Shares 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offer and sell from time to time, in one or more offerings, up to 6,000,000 shares of our common stock.</w:t>
      </w:r>
    </w:p>
    <w:p>
      <w:pPr>
        <w:spacing w:after="0" w:line="360"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This prospectus describes the general manner in which we will offer these shares of common stock. If necessary, the specific manner in which these shares may be offered and sold will be described in a supplement to this prospectus. You should carefully read this prospectus and any accompanying prospectus supplement, together with the documents we incorporate by reference, before you invest in our common stock.</w:t>
      </w:r>
    </w:p>
    <w:p>
      <w:pPr>
        <w:spacing w:after="0" w:line="292" w:lineRule="exact"/>
        <w:rPr>
          <w:sz w:val="20"/>
          <w:szCs w:val="20"/>
          <w:color w:val="auto"/>
        </w:rPr>
      </w:pPr>
    </w:p>
    <w:p>
      <w:pPr>
        <w:ind w:firstLine="324"/>
        <w:spacing w:after="0" w:line="253" w:lineRule="auto"/>
        <w:rPr>
          <w:sz w:val="20"/>
          <w:szCs w:val="20"/>
          <w:color w:val="auto"/>
        </w:rPr>
      </w:pPr>
      <w:r>
        <w:rPr>
          <w:rFonts w:ascii="Arial" w:cs="Arial" w:eastAsia="Arial" w:hAnsi="Arial"/>
          <w:sz w:val="20"/>
          <w:szCs w:val="20"/>
          <w:b w:val="1"/>
          <w:bCs w:val="1"/>
          <w:color w:val="auto"/>
        </w:rPr>
        <w:t>Investing in our common stock involves risk. Please read carefully the information included and incorporated by reference in this prospectus and in any applicable prospectus supplement for a discussion of the factors you should consider before deciding to purchase our common stock. See “Risk Factors” beginning on page 2 of this prospectus.</w:t>
      </w: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New York Stock Exchange under the symbol “CRC.”</w:t>
      </w:r>
    </w:p>
    <w:p>
      <w:pPr>
        <w:spacing w:after="0" w:line="356" w:lineRule="exact"/>
        <w:rPr>
          <w:sz w:val="20"/>
          <w:szCs w:val="20"/>
          <w:color w:val="auto"/>
        </w:rPr>
      </w:pPr>
    </w:p>
    <w:p>
      <w:pPr>
        <w:ind w:right="46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9" w:lineRule="exact"/>
        <w:rPr>
          <w:sz w:val="20"/>
          <w:szCs w:val="20"/>
          <w:color w:val="auto"/>
        </w:rPr>
      </w:pPr>
    </w:p>
    <w:tbl>
      <w:tblPr>
        <w:tblLayout w:type="fixed"/>
        <w:tblInd w:w="398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This prospectus is dated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220"/>
          </w:cols>
          <w:pgMar w:left="320" w:top="553" w:right="359" w:bottom="1440" w:gutter="0" w:footer="0" w:header="0"/>
        </w:sectPr>
      </w:pPr>
    </w:p>
    <w:bookmarkStart w:id="4" w:name="page5"/>
    <w:bookmarkEnd w:id="4"/>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8400" w:type="dxa"/>
            <w:vAlign w:val="bottom"/>
          </w:tcPr>
          <w:p>
            <w:pPr>
              <w:ind w:left="440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0"/>
                <w:szCs w:val="20"/>
                <w:color w:val="auto"/>
              </w:rPr>
            </w:pPr>
          </w:p>
        </w:tc>
      </w:tr>
      <w:tr>
        <w:trPr>
          <w:trHeight w:val="553"/>
        </w:trPr>
        <w:tc>
          <w:tcPr>
            <w:tcW w:w="8400" w:type="dxa"/>
            <w:vAlign w:val="bottom"/>
          </w:tcPr>
          <w:p>
            <w:pPr>
              <w:spacing w:after="0"/>
              <w:rPr>
                <w:sz w:val="20"/>
                <w:szCs w:val="20"/>
                <w:color w:val="auto"/>
              </w:rPr>
            </w:pPr>
            <w:r>
              <w:rPr>
                <w:rFonts w:ascii="Arial" w:cs="Arial" w:eastAsia="Arial" w:hAnsi="Arial"/>
                <w:sz w:val="18"/>
                <w:szCs w:val="18"/>
                <w:color w:val="auto"/>
              </w:rPr>
              <w:t>ABOUT THIS PROSPECTUS</w:t>
            </w:r>
          </w:p>
        </w:tc>
        <w:tc>
          <w:tcPr>
            <w:tcW w:w="22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2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2260" w:type="dxa"/>
            <w:vAlign w:val="bottom"/>
          </w:tcPr>
          <w:p>
            <w:pPr>
              <w:jc w:val="right"/>
              <w:spacing w:after="0"/>
              <w:rPr>
                <w:sz w:val="20"/>
                <w:szCs w:val="20"/>
                <w:color w:val="auto"/>
              </w:rPr>
            </w:pPr>
            <w:r>
              <w:rPr>
                <w:rFonts w:ascii="Arial" w:cs="Arial" w:eastAsia="Arial" w:hAnsi="Arial"/>
                <w:sz w:val="18"/>
                <w:szCs w:val="18"/>
                <w:color w:val="auto"/>
              </w:rPr>
              <w:t>iv</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THE COMPANY</w:t>
            </w: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RISK FACTORS</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USE OF PROCEEDS</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PLAN OF DISTRIBUTION</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LEGAL MATTERS</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EXPERTS</w:t>
            </w:r>
          </w:p>
        </w:tc>
        <w:tc>
          <w:tcPr>
            <w:tcW w:w="22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prospectus supplement. We have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320" w:top="553" w:right="4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8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this shelf registration process, we may offer and sell, from time to time, up to 6,000,000 shares of our common stock in one or more offerings under this shelf registration statement. This prospectus describes the general manner in which we will offer these shares of common stock. If necessary, the specific manner in which these shares may be offered and sold will be described in a supplement to this prospectus.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31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securities.</w:t>
      </w:r>
    </w:p>
    <w:p>
      <w:pPr>
        <w:spacing w:after="0" w:line="30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553" w:right="3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file annual, quarterly and current reports and other information with the SEC (File No. 001-36478) pursuant to the Securities Exchange Act of 1934 (the “Exchange Act”). Our filings are also available to the public through the SEC’s website at www.sec.gov and on our website at www.crc.com. Information on our website does not constitute part of this prospectus. You may inspect a copy of the registration statement through the SEC’s website, as provided herein.</w:t>
      </w:r>
    </w:p>
    <w:p>
      <w:pPr>
        <w:spacing w:after="0" w:line="32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146" w:lineRule="exact"/>
        <w:rPr>
          <w:sz w:val="20"/>
          <w:szCs w:val="20"/>
          <w:color w:val="auto"/>
        </w:rPr>
      </w:pPr>
    </w:p>
    <w:p>
      <w:pPr>
        <w:jc w:val="both"/>
        <w:ind w:left="660" w:right="78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on February 26, 2020, including information specifically incorporated by reference into such Annual Report on Form 10-K from the definitive proxy statement for our 2020 Annual Meeting of Stockholders filed on March 24, 2020;</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on February 21, 2020, March 5, 2020, March 10, 2020, March 16, 2020 and March 24, 2020 (with respect to each of the foregoing, excluding any information furnished pursuant to Item 2.02 or Item 7.01);</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capital stock contained in our information statement on Form 10 filed on October 8, 2014, including any amendment to that form that we may file in the future for the purpose of updating the description of our capital stock.</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36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All documents we may file with the SEC pursuant to Sections 13(a), 13(c), 14 or 15(d) of the Exchange Act (excluding any information furnished pursuant to Item 2.02 or Item 7.01 on any Current Report on Form 8-K and other portions of documents that are furnished, but not filed, pursuant to applicable rules promulgated by the SEC) (i) after the date on which the registration statement that includes this prospectus was initially filed with the SEC and prior to effectiveness of the registration statement and (ii) after the effectiveness of the registration statement, 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Santa Clarita, CA 91355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Phone: (888) 848-4754</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320" w:top="553"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information in this prospectus,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“anticipate,” “believe,” “continue,” “could,” “estimate,” “expect,” “goal,” “intend,” “likely,” “may,” “might,” “plan,” “potential,”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reserves, type curves and expected synergies from acquisitions and joint ventures.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w:t>
      </w:r>
    </w:p>
    <w:p>
      <w:pPr>
        <w:spacing w:after="0" w:line="3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Factors (but not necessarily all of the factors) that could cause actual results to differ materially from those expressed in any forward-looking statement made by, or on behalf of, our company include:</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limitations on its financial flexibility;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84" w:lineRule="exact"/>
        <w:rPr>
          <w:rFonts w:ascii="Arial" w:cs="Arial" w:eastAsia="Arial" w:hAnsi="Arial"/>
          <w:sz w:val="18"/>
          <w:szCs w:val="18"/>
          <w:color w:val="auto"/>
        </w:rPr>
      </w:pPr>
    </w:p>
    <w:p>
      <w:pPr>
        <w:ind w:left="660" w:right="6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inspection, maintenance or abandonment of wells or facilities, managing energy, water, land, greenhouse gases or other emissions, protection of health, safety and the environment, or transportation, marketing and sale of its products;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joint venture and acquisition activities and our ability to achieve expected synergies;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production costs;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553" w:right="339" w:bottom="1440" w:gutter="0" w:footer="0" w:header="0"/>
        </w:sectPr>
      </w:pPr>
    </w:p>
    <w:bookmarkStart w:id="8" w:name="page9"/>
    <w:bookmarkEnd w:id="8"/>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due to accidents, mechanical failures, electrical power outages, transportation or storage constraints, natural disasters, pandemics, labor difficulties, cyber attacks or other catastrophic events.</w:t>
      </w:r>
    </w:p>
    <w:p>
      <w:pPr>
        <w:spacing w:after="0" w:line="305" w:lineRule="exact"/>
        <w:rPr>
          <w:sz w:val="20"/>
          <w:szCs w:val="20"/>
          <w:color w:val="auto"/>
        </w:rPr>
      </w:pPr>
    </w:p>
    <w:p>
      <w:pPr>
        <w:jc w:val="both"/>
        <w:ind w:right="540" w:firstLine="324"/>
        <w:spacing w:after="0" w:line="342" w:lineRule="auto"/>
        <w:rPr>
          <w:sz w:val="20"/>
          <w:szCs w:val="20"/>
          <w:color w:val="auto"/>
        </w:rPr>
      </w:pPr>
      <w:r>
        <w:rPr>
          <w:rFonts w:ascii="Arial" w:cs="Arial" w:eastAsia="Arial" w:hAnsi="Arial"/>
          <w:sz w:val="16"/>
          <w:szCs w:val="16"/>
          <w:color w:val="auto"/>
        </w:rPr>
        <w:t>Readers are cautioned not to place undue reliance on forward-looking statements, which speak only as of the date they are made. Unless legally required, we undertake no responsibility to publicly release the result of any revision of our forward-looking statements after the date they are made.</w:t>
      </w:r>
    </w:p>
    <w:p>
      <w:pPr>
        <w:spacing w:after="0" w:line="259" w:lineRule="exact"/>
        <w:rPr>
          <w:sz w:val="20"/>
          <w:szCs w:val="20"/>
          <w:color w:val="auto"/>
        </w:rPr>
      </w:pPr>
    </w:p>
    <w:p>
      <w:pPr>
        <w:jc w:val="both"/>
        <w:ind w:right="540" w:firstLine="324"/>
        <w:spacing w:after="0" w:line="342" w:lineRule="auto"/>
        <w:rPr>
          <w:sz w:val="20"/>
          <w:szCs w:val="20"/>
          <w:color w:val="auto"/>
        </w:rPr>
      </w:pPr>
      <w:r>
        <w:rPr>
          <w:rFonts w:ascii="Arial" w:cs="Arial" w:eastAsia="Arial" w:hAnsi="Arial"/>
          <w:sz w:val="16"/>
          <w:szCs w:val="16"/>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25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557"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7"/>
          <w:szCs w:val="17"/>
          <w:color w:val="auto"/>
        </w:rPr>
        <w:t>We are an independent oil and natural gas exploration and production company operating properties within California. We are the largest oil and gas producer in California on a gross operated basis and we believe we have the largest privately held mineral acreage position in the state, consisting of approximately 2.2 million net mineral acres spanning the state’s four major oil and gas basins. We produced approximately 128 thousand barrels of oil equivalent per day (MBoe/d) for the year ended December 31, 2019. As of December 31, 2019, we had net proved reserves of 644 million barrels of oil equivalent (MMBoe), of which approximately 77% was categorized as proved developed reserves. Oil represented 75% of our proved reserves. We were formed in April 2014 and listed on the New York Stock Exchange on December 1, 2014.</w:t>
      </w:r>
    </w:p>
    <w:p>
      <w:pPr>
        <w:spacing w:after="0" w:line="31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principal executive offices are located at 27200 Tourney Road, Suite 200, Santa Clarita, CA 91355. Our telephone number is (888) 848-4754. Our website is located at www.crc.com. Unless indicated otherwise, no information is incorporated herein by reference from our website or any other website and no website constitutes a part of this prospectus. Our common stock is listed on the NYSE under the symbol “CRC.”</w:t>
      </w: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553" w:right="3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An investment in our common stock involves a significant degree of risk. Before you invest in our common stock you should carefully consider those risk factors below, those risk factors included in our most recent Annual Report on Form 10-K, any subsequently filed Quarterly Reports on Form 10-Q and any subsequently filed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common stock. If any of the risks discussed in the foregoing documents were to occur, our business, financial condition, results of operations and cash flows could be materially adversely affected. Please read “Cautionary Statement Regarding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the price of our common stock and the value of your investment.</w:t>
      </w:r>
    </w:p>
    <w:p>
      <w:pPr>
        <w:spacing w:after="0" w:line="347" w:lineRule="exact"/>
        <w:rPr>
          <w:sz w:val="20"/>
          <w:szCs w:val="20"/>
          <w:color w:val="auto"/>
        </w:rPr>
      </w:pPr>
    </w:p>
    <w:p>
      <w:pPr>
        <w:ind w:right="80" w:firstLine="324"/>
        <w:spacing w:after="0" w:line="272" w:lineRule="auto"/>
        <w:rPr>
          <w:sz w:val="20"/>
          <w:szCs w:val="20"/>
          <w:color w:val="auto"/>
        </w:rPr>
      </w:pPr>
      <w:r>
        <w:rPr>
          <w:rFonts w:ascii="Arial" w:cs="Arial" w:eastAsia="Arial" w:hAnsi="Arial"/>
          <w:sz w:val="16"/>
          <w:szCs w:val="16"/>
          <w:color w:val="auto"/>
        </w:rPr>
        <w:t>The market price of our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us, our business and our assets; our level of indebtedness and/or adverse market reaction to any indebtedness we incur in the future; our ability to raise capital on favorable terms or at all; loss of any major funding source; additions or departures of our key personnel; changes in market valuations of similar independent oil and natural gas exploration and production companies; and speculation in the press or investment community regarding us. Securities markets in general have experienced extreme volatility that has often been unrelated to the operating performance of particular companies. Any broad market fluctuations may adversely affect the trading price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ownership interest due to the future issuance of additional shares of our common stock.</w:t>
      </w:r>
    </w:p>
    <w:p>
      <w:pPr>
        <w:spacing w:after="0" w:line="347" w:lineRule="exact"/>
        <w:rPr>
          <w:sz w:val="20"/>
          <w:szCs w:val="20"/>
          <w:color w:val="auto"/>
        </w:rPr>
      </w:pPr>
    </w:p>
    <w:p>
      <w:pPr>
        <w:ind w:right="180" w:firstLine="324"/>
        <w:spacing w:after="0" w:line="241" w:lineRule="auto"/>
        <w:rPr>
          <w:sz w:val="20"/>
          <w:szCs w:val="20"/>
          <w:color w:val="auto"/>
        </w:rPr>
      </w:pPr>
      <w:r>
        <w:rPr>
          <w:rFonts w:ascii="Arial" w:cs="Arial" w:eastAsia="Arial" w:hAnsi="Arial"/>
          <w:sz w:val="18"/>
          <w:szCs w:val="18"/>
          <w:color w:val="auto"/>
        </w:rPr>
        <w:t>We are in a capital-intensive business, and may not have sufficient funds to finance the growth of our business, future acquisitions or to support our projected capital expenditures. As a result, we may require additional funds from equity or debt financings, including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common stock offered hereby.</w:t>
      </w:r>
    </w:p>
    <w:p>
      <w:pPr>
        <w:spacing w:after="0" w:line="324"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Under our amended and restated certificate of incorporation, we are authorized to issue 220,000,000 shares of capital stock, of which 200,000,000 shares shall be common stock and 20,000,000 shares shall be preferred stock. The potential issuance of preferred stock, additional shares of common stock or convertible debt may create downward pressure on the trading price of our common stock. We may also issue additional shares of our common stock or other securities that are convertible into or exercisable for our common stock in future public offerings or private placements for capital raising purposes or for other business purposes, potentially at an offering price, conversion price or exercise price that is below the offering price for our common stock offered hereby.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553" w:right="359" w:bottom="1440" w:gutter="0" w:footer="0" w:header="0"/>
        </w:sectPr>
      </w:pPr>
    </w:p>
    <w:bookmarkStart w:id="11" w:name="page12"/>
    <w:bookmarkEnd w:id="11"/>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Except as may otherwise be stated in any prospectus supplement, we intend to use the net proceeds from any sales of common stock by us under this prospectus for general corporate purposes, which may include, among other things, repayment or refinancing of borrowings, working capital, capital expenditures, investments and acquisitions. Pending any specific application, we may initially invest funds in short-term marketable securities or apply them to repayments of outstanding indebtedness.</w:t>
      </w: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553" w:right="5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The following is a description of the material terms of our capital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5"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December 31, 2019 and (ii) 200,000,000 shares of common stock, par value $0.01 per share, of which 49,175,843 shares were issued and outstanding as of December 31,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them that are remaining after payment or provision for payment of all of our debts and obligations and after distribution in full of preferential amounts to be distributed to holders of outstanding shares of preferred stock, if 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131"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26"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553" w:right="359" w:bottom="1440" w:gutter="0" w:footer="0" w:header="0"/>
        </w:sectPr>
      </w:pPr>
    </w:p>
    <w:bookmarkStart w:id="13" w:name="page14"/>
    <w:bookmarkEnd w:id="13"/>
    <w:p>
      <w:pPr>
        <w:ind w:right="340"/>
        <w:spacing w:after="0" w:line="294" w:lineRule="auto"/>
        <w:rPr>
          <w:sz w:val="20"/>
          <w:szCs w:val="20"/>
          <w:color w:val="auto"/>
        </w:rPr>
      </w:pPr>
      <w:r>
        <w:rPr>
          <w:rFonts w:ascii="Arial" w:cs="Arial" w:eastAsia="Arial" w:hAnsi="Arial"/>
          <w:sz w:val="16"/>
          <w:szCs w:val="16"/>
          <w:color w:val="auto"/>
        </w:rPr>
        <w:t>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282"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75" w:lineRule="exact"/>
        <w:rPr>
          <w:sz w:val="20"/>
          <w:szCs w:val="20"/>
          <w:color w:val="auto"/>
        </w:rPr>
      </w:pPr>
    </w:p>
    <w:p>
      <w:pPr>
        <w:jc w:val="both"/>
        <w:ind w:right="100" w:firstLine="324"/>
        <w:spacing w:after="0" w:line="243"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14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7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30"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175" w:lineRule="exact"/>
        <w:rPr>
          <w:sz w:val="20"/>
          <w:szCs w:val="20"/>
          <w:color w:val="auto"/>
        </w:rPr>
      </w:pPr>
    </w:p>
    <w:p>
      <w:pPr>
        <w:ind w:right="160" w:firstLine="324"/>
        <w:spacing w:after="0" w:line="243"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71" w:lineRule="exact"/>
        <w:rPr>
          <w:sz w:val="20"/>
          <w:szCs w:val="20"/>
          <w:color w:val="auto"/>
        </w:rPr>
      </w:pPr>
    </w:p>
    <w:p>
      <w:pPr>
        <w:ind w:left="660" w:right="20" w:hanging="328"/>
        <w:spacing w:after="0" w:line="25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 120 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140" w:lineRule="exact"/>
        <w:rPr>
          <w:rFonts w:ascii="Arial" w:cs="Arial" w:eastAsia="Arial" w:hAnsi="Arial"/>
          <w:sz w:val="17"/>
          <w:szCs w:val="17"/>
          <w:color w:val="auto"/>
        </w:rPr>
      </w:pPr>
    </w:p>
    <w:p>
      <w:pPr>
        <w:ind w:left="660" w:right="3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733" w:right="359" w:bottom="1440" w:gutter="0" w:footer="0" w:header="0"/>
        </w:sectPr>
      </w:pPr>
    </w:p>
    <w:bookmarkStart w:id="14" w:name="page15"/>
    <w:bookmarkEnd w:id="14"/>
    <w:p>
      <w:pPr>
        <w:ind w:left="660" w:right="40"/>
        <w:spacing w:after="0" w:line="261" w:lineRule="auto"/>
        <w:rPr>
          <w:sz w:val="20"/>
          <w:szCs w:val="20"/>
          <w:color w:val="auto"/>
        </w:rPr>
      </w:pPr>
      <w:r>
        <w:rPr>
          <w:rFonts w:ascii="Arial" w:cs="Arial" w:eastAsia="Arial" w:hAnsi="Arial"/>
          <w:sz w:val="18"/>
          <w:szCs w:val="18"/>
          <w:color w:val="auto"/>
        </w:rPr>
        <w:t>other rights or preferences that could impede the success of any attempt to change control of us. These provisions may have the effect of deterring hostile takeovers or delaying changes in control or management of our company;</w:t>
      </w:r>
    </w:p>
    <w:p>
      <w:pPr>
        <w:spacing w:after="0" w:line="130" w:lineRule="exact"/>
        <w:rPr>
          <w:sz w:val="20"/>
          <w:szCs w:val="20"/>
          <w:color w:val="auto"/>
        </w:rPr>
      </w:pPr>
    </w:p>
    <w:p>
      <w:pPr>
        <w:ind w:left="660" w:right="20" w:hanging="328"/>
        <w:spacing w:after="0" w:line="23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153"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that (i)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(ii)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133" w:lineRule="exact"/>
        <w:rPr>
          <w:rFonts w:ascii="Arial" w:cs="Arial" w:eastAsia="Arial" w:hAnsi="Arial"/>
          <w:sz w:val="17"/>
          <w:szCs w:val="17"/>
          <w:color w:val="auto"/>
        </w:rPr>
      </w:pPr>
    </w:p>
    <w:p>
      <w:pPr>
        <w:ind w:left="660" w:right="40" w:hanging="328"/>
        <w:spacing w:after="0" w:line="25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that (i)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(ii)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15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employees or agents to us or our stockholders;</w:t>
      </w:r>
    </w:p>
    <w:p>
      <w:pPr>
        <w:spacing w:after="0" w:line="194" w:lineRule="exact"/>
        <w:rPr>
          <w:rFonts w:ascii="Arial" w:cs="Arial" w:eastAsia="Arial" w:hAnsi="Arial"/>
          <w:sz w:val="16"/>
          <w:szCs w:val="16"/>
          <w:color w:val="auto"/>
        </w:rPr>
      </w:pPr>
    </w:p>
    <w:p>
      <w:pPr>
        <w:ind w:left="660" w:right="2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130"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306"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This forum selection provision would not apply to claims brought to enforce a duty or liability created by the Securities Act, Exchange Act or any other claim for which the federal courts have exclusive jurisdiction.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557" w:right="359" w:bottom="1440" w:gutter="0" w:footer="0" w:header="0"/>
        </w:sectPr>
      </w:pPr>
    </w:p>
    <w:bookmarkStart w:id="15" w:name="page16"/>
    <w:bookmarkEnd w:id="15"/>
    <w:p>
      <w:pPr>
        <w:ind w:firstLine="324"/>
        <w:spacing w:after="0" w:line="248"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733" w:right="4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We may sell the offered shares of common stock in and outside the United States (1) through underwriters or dealers, (2) directly to purchasers, including our affiliates and stockholders, (3) through agents, (4) in “at the market offerings” to or through a market maker or into an existing trading market, or a securities exchange or otherwise or (5) through a combination of any of these methods. The prospectus supplement will include the following information:</w:t>
      </w:r>
    </w:p>
    <w:p>
      <w:pPr>
        <w:spacing w:after="0" w:line="14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price of the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75"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If underwriters are used in the sale, the underwriters will acquire the shares of common stock for their own account for resale to the public, either on a firm commitment basis or a best efforts basis. The underwriters may resell the shares of common stock from time to time in one or more transactions, including negotiated transactions, at a fixed public offering price or at varying prices determined at the time of sale. Underwriters may offer shares of common stock to the public either through underwriting syndicates represented by one or more managing underwriters or directly by one or more firms acting as underwriters. Unless we inform you otherwise in the prospectus supplement, the obligations of the underwriters to purchase the shares of common stock will be subject to certain conditions. The underwriters may change from time to time any offering price and any discounts or concessions allowed or reallowed or paid to dealers.</w:t>
      </w:r>
    </w:p>
    <w:p>
      <w:pPr>
        <w:spacing w:after="0" w:line="326"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During and after an offering through underwriters, the underwriters may purchase and sell the shares of common stock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shares of common stock sold for their account may be reclaimed by the syndicate if the offered shares of common stock are repurchased by the syndicate in stabilizing or covering transactions. These activities may stabilize, maintain or otherwise affect the market price of the offered shares of common stock, which may be higher than the price that might otherwise prevail in the open market. If commenced, the underwriters may discontinue these activities at any time.</w:t>
      </w:r>
    </w:p>
    <w:p>
      <w:pPr>
        <w:spacing w:after="0" w:line="326" w:lineRule="exact"/>
        <w:rPr>
          <w:sz w:val="20"/>
          <w:szCs w:val="20"/>
          <w:color w:val="auto"/>
        </w:rPr>
      </w:pPr>
    </w:p>
    <w:p>
      <w:pPr>
        <w:jc w:val="both"/>
        <w:ind w:right="20" w:firstLine="324"/>
        <w:spacing w:after="0" w:line="248" w:lineRule="auto"/>
        <w:rPr>
          <w:sz w:val="20"/>
          <w:szCs w:val="20"/>
          <w:color w:val="auto"/>
        </w:rPr>
      </w:pPr>
      <w:r>
        <w:rPr>
          <w:rFonts w:ascii="Arial" w:cs="Arial" w:eastAsia="Arial" w:hAnsi="Arial"/>
          <w:sz w:val="18"/>
          <w:szCs w:val="18"/>
          <w:color w:val="auto"/>
        </w:rPr>
        <w:t>If dealers are used, we will sell the shares of common stock to them as principals. The dealers may then resell the shares of common stock to the public at varying prices determined by the dealers at the time of resale. We will include in the prospectus supplement the names of the dealers and the terms of the transaction.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75"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We may sell the shares of common stock directly. In this case, no underwriters or agents would be involved. We may also sell the shares of common stock through agents designated from time to time. In the prospectus supplement, we will name any agent involved in the offer or sale of the offered shares of common stock, and we will</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17" w:name="page18"/>
    <w:bookmarkEnd w:id="17"/>
    <w:p>
      <w:pPr>
        <w:ind w:right="120"/>
        <w:spacing w:after="0" w:line="261" w:lineRule="auto"/>
        <w:rPr>
          <w:sz w:val="20"/>
          <w:szCs w:val="20"/>
          <w:color w:val="auto"/>
        </w:rPr>
      </w:pPr>
      <w:r>
        <w:rPr>
          <w:rFonts w:ascii="Arial" w:cs="Arial" w:eastAsia="Arial" w:hAnsi="Arial"/>
          <w:sz w:val="18"/>
          <w:szCs w:val="18"/>
          <w:color w:val="auto"/>
        </w:rPr>
        <w:t>describe any commissions payable to the agent. Unless we inform you otherwise in the prospectus supplement, any agent will agree to use its reasonable best efforts to solicit purchases for the period of its appointment.</w:t>
      </w:r>
    </w:p>
    <w:p>
      <w:pPr>
        <w:spacing w:after="0" w:line="306"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We may sell the shares of common stock directly to institutional investors or others who may be deemed to be underwriters within the meaning of the Securities Act with respect to any sale of common stock. We will describe the terms of any such sales in the prospectus supplement.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Remarketing Arrangements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7"/>
          <w:szCs w:val="17"/>
          <w:color w:val="auto"/>
        </w:rPr>
        <w:t>The offered shares of common stock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 Remarketing firms may be deemed to be underwriters, as that term is defined in the Securities Act, in connection with the shares of common stock remarketed.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75"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shares of common stock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75"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NYSE.</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733" w:right="4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Certain legal matters in connection with the common stock have been passed upon by Vinson &amp; Elkins L.L.P., Houston, Texas, as our counsel. Any underwriter or agent will be advised about other issues relating to any offering by its own legal counsel.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consolidated financial statements of California Resources Corporation and subsidiaries as of December 31, 2019 and 2018, and for each of the years in the three-year period ended December 31, 2019 and management’s assessment of the effectiveness of internal control over financial reporting as of December 31, 2019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90"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323"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report of Netherland, Sewell &amp; Associates, Inc.,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553" w:right="3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337" w:lineRule="exact"/>
        <w:rPr>
          <w:sz w:val="20"/>
          <w:szCs w:val="20"/>
          <w:color w:val="auto"/>
        </w:rPr>
      </w:pPr>
    </w:p>
    <w:p>
      <w:pPr>
        <w:ind w:right="340" w:firstLine="324"/>
        <w:spacing w:after="0" w:line="246"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560" w:type="dxa"/>
            <w:vAlign w:val="bottom"/>
          </w:tcPr>
          <w:p>
            <w:pPr>
              <w:jc w:val="right"/>
              <w:spacing w:after="0"/>
              <w:rPr>
                <w:sz w:val="20"/>
                <w:szCs w:val="20"/>
                <w:color w:val="auto"/>
              </w:rPr>
            </w:pPr>
            <w:r>
              <w:rPr>
                <w:rFonts w:ascii="Arial" w:cs="Arial" w:eastAsia="Arial" w:hAnsi="Arial"/>
                <w:sz w:val="18"/>
                <w:szCs w:val="18"/>
                <w:color w:val="auto"/>
              </w:rPr>
              <w:t>$4,945.38(1)</w:t>
            </w:r>
          </w:p>
        </w:tc>
      </w:tr>
      <w:tr>
        <w:trPr>
          <w:trHeight w:val="270"/>
        </w:trPr>
        <w:tc>
          <w:tcPr>
            <w:tcW w:w="9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6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620" w:type="dxa"/>
            <w:vAlign w:val="bottom"/>
          </w:tcPr>
          <w:p>
            <w:pPr>
              <w:spacing w:after="0"/>
              <w:rPr>
                <w:sz w:val="20"/>
                <w:szCs w:val="20"/>
                <w:color w:val="auto"/>
              </w:rPr>
            </w:pPr>
            <w:r>
              <w:rPr>
                <w:rFonts w:ascii="Arial" w:cs="Arial" w:eastAsia="Arial" w:hAnsi="Arial"/>
                <w:sz w:val="18"/>
                <w:szCs w:val="18"/>
                <w:color w:val="auto"/>
              </w:rPr>
              <w:t>Rating agency fees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620" w:type="dxa"/>
            <w:vAlign w:val="bottom"/>
          </w:tcPr>
          <w:p>
            <w:pPr>
              <w:spacing w:after="0"/>
              <w:rPr>
                <w:sz w:val="20"/>
                <w:szCs w:val="20"/>
                <w:color w:val="auto"/>
              </w:rPr>
            </w:pPr>
            <w:r>
              <w:rPr>
                <w:rFonts w:ascii="Arial" w:cs="Arial" w:eastAsia="Arial" w:hAnsi="Arial"/>
                <w:sz w:val="18"/>
                <w:szCs w:val="18"/>
                <w:color w:val="auto"/>
              </w:rPr>
              <w:t>Miscellaneous</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6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962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6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Fee previously paid.</w:t>
      </w:r>
    </w:p>
    <w:p>
      <w:pPr>
        <w:spacing w:after="0" w:line="4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fees are calculated based on the number of issuances and amount of securities offered and accordingly cannot be estimated at this time.</w:t>
      </w:r>
    </w:p>
    <w:p>
      <w:pPr>
        <w:spacing w:after="0" w:line="2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337" w:lineRule="exact"/>
        <w:rPr>
          <w:sz w:val="20"/>
          <w:szCs w:val="20"/>
          <w:color w:val="auto"/>
        </w:rPr>
      </w:pPr>
    </w:p>
    <w:p>
      <w:pPr>
        <w:ind w:right="200" w:firstLine="324"/>
        <w:spacing w:after="0" w:line="253" w:lineRule="auto"/>
        <w:rPr>
          <w:sz w:val="20"/>
          <w:szCs w:val="20"/>
          <w:color w:val="auto"/>
        </w:rPr>
      </w:pPr>
      <w:r>
        <w:rPr>
          <w:rFonts w:ascii="Arial" w:cs="Arial" w:eastAsia="Arial" w:hAnsi="Arial"/>
          <w:sz w:val="17"/>
          <w:szCs w:val="17"/>
          <w:color w:val="auto"/>
        </w:rPr>
        <w:t>Our amended and restated certificate of incorporation limits the liability of our directors for monetary damages for breach of their fiduciary duty as directors, except for liability that cannot be eliminated under the DGCL. Delaware law permits a certificate of incorporation to provide that directors of a company will not be personally liable for monetary damages for breach of their fiduciary duty as directors, except for liabilities:</w:t>
      </w:r>
    </w:p>
    <w:p>
      <w:pPr>
        <w:spacing w:after="0" w:line="1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333" w:lineRule="exact"/>
        <w:rPr>
          <w:sz w:val="20"/>
          <w:szCs w:val="20"/>
          <w:color w:val="auto"/>
        </w:rPr>
      </w:pPr>
    </w:p>
    <w:p>
      <w:pPr>
        <w:ind w:right="240" w:firstLine="324"/>
        <w:spacing w:after="0" w:line="246"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305" w:lineRule="exact"/>
        <w:rPr>
          <w:sz w:val="20"/>
          <w:szCs w:val="20"/>
          <w:color w:val="auto"/>
        </w:rPr>
      </w:pPr>
    </w:p>
    <w:p>
      <w:pPr>
        <w:ind w:right="60" w:firstLine="324"/>
        <w:spacing w:after="0"/>
        <w:rPr>
          <w:sz w:val="20"/>
          <w:szCs w:val="20"/>
          <w:color w:val="auto"/>
        </w:rPr>
      </w:pPr>
      <w:r>
        <w:rPr>
          <w:rFonts w:ascii="Arial" w:cs="Arial" w:eastAsia="Arial" w:hAnsi="Arial"/>
          <w:sz w:val="17"/>
          <w:szCs w:val="17"/>
          <w:color w:val="auto"/>
        </w:rPr>
        <w:t>Our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may from time to time enter into indemnification agreements with our directors and officers. These agreements will typically require us to indemnify these individuals to the fullest extent permitted under Delaware law against liability that may arise by reason of their service to us, and to advance expenses incurred as a result of any proceeding against them as to which they could be indemnified.</w:t>
      </w:r>
    </w:p>
    <w:p>
      <w:pPr>
        <w:spacing w:after="0" w:line="3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337"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320" w:top="540"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80" w:type="dxa"/>
            <w:vAlign w:val="bottom"/>
            <w:gridSpan w:val="20"/>
          </w:tcPr>
          <w:p>
            <w:pPr>
              <w:ind w:left="20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ind w:left="2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24"/>
          </w:tcPr>
          <w:p>
            <w:pPr>
              <w:spacing w:after="0"/>
              <w:rPr>
                <w:sz w:val="20"/>
                <w:szCs w:val="20"/>
                <w:color w:val="auto"/>
              </w:rPr>
            </w:pPr>
            <w:r>
              <w:rPr>
                <w:rFonts w:ascii="Arial" w:cs="Arial" w:eastAsia="Arial" w:hAnsi="Arial"/>
                <w:sz w:val="18"/>
                <w:szCs w:val="18"/>
                <w:color w:val="auto"/>
              </w:rPr>
              <w:t>Form of Underwriting Agreement.</w:t>
            </w:r>
          </w:p>
        </w:tc>
      </w:tr>
      <w:tr>
        <w:trPr>
          <w:trHeight w:val="351"/>
        </w:trPr>
        <w:tc>
          <w:tcPr>
            <w:tcW w:w="1240" w:type="dxa"/>
            <w:vAlign w:val="bottom"/>
          </w:tcPr>
          <w:p>
            <w:pPr>
              <w:ind w:left="2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14"/>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Separation and Distribution Agreement, dated as of November 25, 2014, between Occidental Petroleum Corporation and California</w:t>
              </w:r>
            </w:hyperlink>
          </w:p>
        </w:tc>
        <w:tc>
          <w:tcPr>
            <w:tcW w:w="360" w:type="dxa"/>
            <w:vAlign w:val="bottom"/>
            <w:gridSpan w:val="10"/>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Resources Corporation (filed as Exhibit 2.1 to Registrant’s Current Report on Form 8-K filed December 1, 2014 and incorporated</w:t>
              </w:r>
            </w:hyperlink>
          </w:p>
        </w:tc>
        <w:tc>
          <w:tcPr>
            <w:tcW w:w="48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herein by reference).</w:t>
              </w:r>
            </w:hyperlink>
          </w:p>
        </w:tc>
        <w:tc>
          <w:tcPr>
            <w:tcW w:w="8360" w:type="dxa"/>
            <w:vAlign w:val="bottom"/>
            <w:gridSpan w:val="23"/>
          </w:tcPr>
          <w:p>
            <w:pPr>
              <w:spacing w:after="0"/>
              <w:rPr>
                <w:sz w:val="17"/>
                <w:szCs w:val="17"/>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16"/>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Amended and Restated Certificate of Incorporation of California Resources Corporation (filed as Exhibit 3.1 to Registrant’s Current</w:t>
              </w:r>
            </w:hyperlink>
          </w:p>
        </w:tc>
        <w:tc>
          <w:tcPr>
            <w:tcW w:w="32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Report on Form 8-K filed June 3, 2016 and incorporated herein by reference).</w:t>
              </w:r>
            </w:hyperlink>
          </w:p>
        </w:tc>
        <w:tc>
          <w:tcPr>
            <w:tcW w:w="4240" w:type="dxa"/>
            <w:vAlign w:val="bottom"/>
            <w:gridSpan w:val="16"/>
          </w:tcPr>
          <w:p>
            <w:pPr>
              <w:spacing w:after="0"/>
              <w:rPr>
                <w:sz w:val="17"/>
                <w:szCs w:val="17"/>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1"/>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Amended and Restated Bylaws of California Resources Corporation (filed as Exhibit 3.2 to the Registrant’s Current Report on Form 8-</w:t>
              </w:r>
            </w:hyperlink>
          </w:p>
        </w:tc>
        <w:tc>
          <w:tcPr>
            <w:tcW w:w="12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4"/>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K filed November 10, 2015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13"/>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Indenture, dated October 1, 2014, by and among California Resources Corporation, the Guarantors and Wells Fargo Bank, National</w:t>
              </w:r>
            </w:hyperlink>
          </w:p>
        </w:tc>
        <w:tc>
          <w:tcPr>
            <w:tcW w:w="38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4"/>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Association (filed as Exhibit 4.2 to Amendment No. 4 to the Registrant’s Information Statement on Form 10 filed October 8, 2014 and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incorporated herein by reference).</w:t>
              </w:r>
            </w:hyperlink>
          </w:p>
        </w:tc>
        <w:tc>
          <w:tcPr>
            <w:tcW w:w="7220" w:type="dxa"/>
            <w:vAlign w:val="bottom"/>
            <w:tcBorders>
              <w:top w:val="single" w:sz="8" w:color="0000FF"/>
            </w:tcBorders>
            <w:gridSpan w:val="17"/>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1"/>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Indenture, dated December 15, 2015, by and among California Resources Corporation, the Guarantors and the Bank of New York</w:t>
              </w:r>
            </w:hyperlink>
          </w:p>
        </w:tc>
        <w:tc>
          <w:tcPr>
            <w:tcW w:w="480" w:type="dxa"/>
            <w:vAlign w:val="bottom"/>
            <w:gridSpan w:val="1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Mellon Trust Company, N.A. (filed as Exhibit 4.1 to Registrant’s Current Report on Form 8-K filed December 18, 2015 and</w:t>
              </w:r>
            </w:hyperlink>
          </w:p>
        </w:tc>
        <w:tc>
          <w:tcPr>
            <w:tcW w:w="920" w:type="dxa"/>
            <w:vAlign w:val="bottom"/>
            <w:gridSpan w:val="1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incorporated herein by reference).</w:t>
              </w:r>
            </w:hyperlink>
          </w:p>
        </w:tc>
        <w:tc>
          <w:tcPr>
            <w:tcW w:w="7400" w:type="dxa"/>
            <w:vAlign w:val="bottom"/>
            <w:gridSpan w:val="22"/>
          </w:tcPr>
          <w:p>
            <w:pPr>
              <w:spacing w:after="0"/>
              <w:rPr>
                <w:sz w:val="17"/>
                <w:szCs w:val="17"/>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Guarantor Supplemental Indenture dated as of March 5, 2015, among California Resources Corporation, certain guarantors named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therein and Wells Fargo Bank, National Association (filed as Exhibit 4.2 to Registrant’s Registration Statement on Form S-4 filed</w:t>
              </w:r>
            </w:hyperlink>
          </w:p>
        </w:tc>
        <w:tc>
          <w:tcPr>
            <w:tcW w:w="40" w:type="dxa"/>
            <w:vAlign w:val="bottom"/>
            <w:tcBorders>
              <w:top w:val="single" w:sz="8" w:color="0000FF"/>
            </w:tcBorders>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4"/>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March 12, 2015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Guarantor Supplemental Indenture dated as of March 4, 2016, among California Resources Corporation, certain guarantors named</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therein and The Bank of New York Mellon Trust Company, N.A., as trustee (filed as Exhibit 4.1 to Registrant’s Quarterly Report on</w:t>
              </w:r>
            </w:hyperlink>
          </w:p>
        </w:tc>
        <w:tc>
          <w:tcPr>
            <w:tcW w:w="34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Form 10-Q filed August 4, 2016 and incorporated herein by reference).</w:t>
              </w:r>
            </w:hyperlink>
          </w:p>
        </w:tc>
        <w:tc>
          <w:tcPr>
            <w:tcW w:w="4720" w:type="dxa"/>
            <w:vAlign w:val="bottom"/>
            <w:gridSpan w:val="17"/>
          </w:tcPr>
          <w:p>
            <w:pPr>
              <w:spacing w:after="0"/>
              <w:rPr>
                <w:sz w:val="17"/>
                <w:szCs w:val="17"/>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Guarantor Supplement Indenture dated as of March 4, 2016, among California Resources Corporation, certain guarantors named therein</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8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and The Bank of New York Mellon Trust Company, N.A., as trustee (filed as Exhibit 4.2 to Registrant’s Quarterly Report on Form 10-Q</w:t>
              </w:r>
            </w:hyperlink>
          </w:p>
        </w:tc>
        <w:tc>
          <w:tcPr>
            <w:tcW w:w="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4"/>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filed August 4, 2016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1"/>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Guarantor Supplemental Indenture No. 2, dated as of April 29, 2016, among California Resources Corporation, certain guarantors</w:t>
              </w:r>
            </w:hyperlink>
          </w:p>
        </w:tc>
        <w:tc>
          <w:tcPr>
            <w:tcW w:w="480" w:type="dxa"/>
            <w:vAlign w:val="bottom"/>
            <w:gridSpan w:val="1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named therein and Wilmington Trust, National Association, as trustee (filed as Exhibit 10.4 to Registrant’s Quarterly Report on Form</w:t>
              </w:r>
            </w:hyperlink>
          </w:p>
        </w:tc>
        <w:tc>
          <w:tcPr>
            <w:tcW w:w="24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10-Q filed August 4, 2016 and incorporated herein by reference).</w:t>
              </w:r>
            </w:hyperlink>
          </w:p>
        </w:tc>
        <w:tc>
          <w:tcPr>
            <w:tcW w:w="5160" w:type="dxa"/>
            <w:vAlign w:val="bottom"/>
            <w:gridSpan w:val="19"/>
          </w:tcPr>
          <w:p>
            <w:pPr>
              <w:spacing w:after="0"/>
              <w:rPr>
                <w:sz w:val="17"/>
                <w:szCs w:val="17"/>
                <w:color w:val="auto"/>
              </w:rPr>
            </w:pPr>
          </w:p>
        </w:tc>
      </w:tr>
      <w:tr>
        <w:trPr>
          <w:trHeight w:val="371"/>
        </w:trPr>
        <w:tc>
          <w:tcPr>
            <w:tcW w:w="1240" w:type="dxa"/>
            <w:vAlign w:val="bottom"/>
          </w:tcPr>
          <w:p>
            <w:pPr>
              <w:ind w:left="2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4"/>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Assumption Agreement dated as of March 6, 2015, among CRC Construction Services, LLC and JP Morgan Chase Bank, N.A., as</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5120" w:type="dxa"/>
            <w:vAlign w:val="bottom"/>
            <w:tcBorders>
              <w:left w:val="single" w:sz="8" w:color="0000FF"/>
            </w:tcBorders>
            <w:gridSpan w:val="8"/>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4"/>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Administrative Agent for lenders (filed as Exhibit 10.31 to Registrant’s Registration Statement on Form S-4 filed March 12, 2015 and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incorporated herein by reference).</w:t>
              </w:r>
            </w:hyperlink>
          </w:p>
        </w:tc>
        <w:tc>
          <w:tcPr>
            <w:tcW w:w="7180" w:type="dxa"/>
            <w:vAlign w:val="bottom"/>
            <w:tcBorders>
              <w:top w:val="single" w:sz="8" w:color="0000FF"/>
            </w:tcBorders>
            <w:gridSpan w:val="16"/>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0"/>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Registration Rights Agreement, dated October 1, 2014, by and among California Resources Corporation, the Guarantors and the Initial</w:t>
              </w:r>
            </w:hyperlink>
          </w:p>
        </w:tc>
        <w:tc>
          <w:tcPr>
            <w:tcW w:w="14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Purchasers (filed as Exhibit 4.3 to Amendment No. 4 to the Registrant’s Information Statement on Form 10 filed October 8, 2014 and</w:t>
              </w:r>
            </w:hyperlink>
          </w:p>
        </w:tc>
        <w:tc>
          <w:tcPr>
            <w:tcW w:w="24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incorporated herein by reference).</w:t>
              </w:r>
            </w:hyperlink>
          </w:p>
        </w:tc>
        <w:tc>
          <w:tcPr>
            <w:tcW w:w="7400" w:type="dxa"/>
            <w:vAlign w:val="bottom"/>
            <w:gridSpan w:val="22"/>
          </w:tcPr>
          <w:p>
            <w:pPr>
              <w:spacing w:after="0"/>
              <w:rPr>
                <w:sz w:val="17"/>
                <w:szCs w:val="17"/>
                <w:color w:val="auto"/>
              </w:rPr>
            </w:pPr>
          </w:p>
        </w:tc>
      </w:tr>
      <w:tr>
        <w:trPr>
          <w:trHeight w:val="372"/>
        </w:trPr>
        <w:tc>
          <w:tcPr>
            <w:tcW w:w="1240" w:type="dxa"/>
            <w:vAlign w:val="bottom"/>
          </w:tcPr>
          <w:p>
            <w:pPr>
              <w:ind w:left="2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0"/>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5% Senior Note due 2020 (included in Exhibit 4.2 to Amendment No. 4 to the Registrant’s Information Statement on Form 10</w:t>
              </w:r>
            </w:hyperlink>
          </w:p>
        </w:tc>
        <w:tc>
          <w:tcPr>
            <w:tcW w:w="14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filed October 8, 2014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73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0"/>
        </w:trPr>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15"/>
          </w:tcPr>
          <w:p>
            <w:pPr>
              <w:ind w:left="2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40" w:type="dxa"/>
            <w:vAlign w:val="bottom"/>
          </w:tcPr>
          <w:p>
            <w:pPr>
              <w:ind w:left="200"/>
              <w:spacing w:after="0" w:line="196" w:lineRule="exact"/>
              <w:rPr>
                <w:sz w:val="20"/>
                <w:szCs w:val="20"/>
                <w:color w:val="auto"/>
              </w:rPr>
            </w:pPr>
            <w:r>
              <w:rPr>
                <w:rFonts w:ascii="Arial" w:cs="Arial" w:eastAsia="Arial" w:hAnsi="Arial"/>
                <w:sz w:val="18"/>
                <w:szCs w:val="18"/>
                <w:color w:val="auto"/>
              </w:rPr>
              <w:t>4.10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Form of 5 1/2% Senior Note due 2021 (included in Exhibit 4.2 to Amendment No. 4 to the Registrant’s Information Statement on Form</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10 filed October 8, 2014 and incorporated herein by reference).</w:t>
              </w:r>
            </w:hyperlink>
          </w:p>
        </w:tc>
        <w:tc>
          <w:tcPr>
            <w:tcW w:w="10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18"/>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6% Senior Note due 2024 (included in Exhibit 4.2 to Amendment No. 4 to the Registrant’s Information Statement on Form 10</w:t>
              </w:r>
            </w:hyperlink>
          </w:p>
        </w:tc>
        <w:tc>
          <w:tcPr>
            <w:tcW w:w="14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filed October 8, 2014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4"/>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Form of 8% Senior Secured Second Lien Note due 2022 (included in Exhibit 4.1 to Registrant’s Current Report on Form 8-K filed</w:t>
              </w:r>
            </w:hyperlink>
          </w:p>
        </w:tc>
        <w:tc>
          <w:tcPr>
            <w:tcW w:w="46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December 18, 2015 and incorporated herein by reference).</w:t>
              </w:r>
            </w:hyperlink>
          </w:p>
        </w:tc>
        <w:tc>
          <w:tcPr>
            <w:tcW w:w="5640" w:type="dxa"/>
            <w:vAlign w:val="bottom"/>
            <w:gridSpan w:val="18"/>
          </w:tcPr>
          <w:p>
            <w:pPr>
              <w:spacing w:after="0"/>
              <w:rPr>
                <w:sz w:val="17"/>
                <w:szCs w:val="17"/>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6"/>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Registration Rights Agreement, dated as of February 7, 2018, by and between California Resources Corporation and AF V Energy IV</w:t>
              </w:r>
            </w:hyperlink>
          </w:p>
        </w:tc>
        <w:tc>
          <w:tcPr>
            <w:tcW w:w="2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FF"/>
                <w:w w:val="98"/>
              </w:rPr>
            </w:pPr>
            <w:hyperlink r:id="rId24">
              <w:r>
                <w:rPr>
                  <w:rFonts w:ascii="Arial" w:cs="Arial" w:eastAsia="Arial" w:hAnsi="Arial"/>
                  <w:sz w:val="18"/>
                  <w:szCs w:val="18"/>
                  <w:color w:val="0000FF"/>
                  <w:w w:val="98"/>
                </w:rPr>
                <w:t>AIV 2, L.P., AF V Energy IV AIV 3, L.P., Ares Special Situations Fund IV, L.P., AEOF Holdings I, L.P. and AEOF GP Sub, LLC</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(included in Exhibit 10.5 to the Registrant’s Current Report on Form 8-K filed February 7, 2018 and incorporated herein by reference).</w:t>
              </w:r>
            </w:hyperlink>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top w:val="single" w:sz="8" w:color="0000FF"/>
            </w:tcBorders>
            <w:gridSpan w:val="18"/>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Registration Rights Agreement, dated as of April 9, 2018, by and between California Resources Corporation and Chevron U.S.A. Inc.</w:t>
              </w:r>
            </w:hyperlink>
          </w:p>
        </w:tc>
        <w:tc>
          <w:tcPr>
            <w:tcW w:w="14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(filed as Exhibit 4.01 to the Registrant’s Current Report on Form 8-K filed April 9, 2018 and incorporated herein by reference).</w:t>
              </w:r>
            </w:hyperlink>
          </w:p>
        </w:tc>
        <w:tc>
          <w:tcPr>
            <w:tcW w:w="460" w:type="dxa"/>
            <w:vAlign w:val="bottom"/>
            <w:tcBorders>
              <w:top w:val="single" w:sz="8" w:color="0000FF"/>
            </w:tcBorders>
            <w:gridSpan w:val="4"/>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15"/>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Guarantor Supplemental Indenture, dated as of April 16, 2018, among California Resources Corporation, certain guarantors named</w:t>
              </w:r>
            </w:hyperlink>
          </w:p>
        </w:tc>
        <w:tc>
          <w:tcPr>
            <w:tcW w:w="42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therein and The Bank of New York Mellon Trust Company, N.A., as trustee (filed as Exhibit 4.1 to the Registrant’s Quarterly Report on</w:t>
              </w:r>
            </w:hyperlink>
          </w:p>
        </w:tc>
        <w:tc>
          <w:tcPr>
            <w:tcW w:w="8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Form 10-Q filed August 2, 2018 and incorporated herein by reference).</w:t>
              </w:r>
            </w:hyperlink>
          </w:p>
        </w:tc>
        <w:tc>
          <w:tcPr>
            <w:tcW w:w="4720" w:type="dxa"/>
            <w:vAlign w:val="bottom"/>
            <w:gridSpan w:val="13"/>
          </w:tcPr>
          <w:p>
            <w:pPr>
              <w:spacing w:after="0"/>
              <w:rPr>
                <w:sz w:val="17"/>
                <w:szCs w:val="17"/>
                <w:color w:val="auto"/>
              </w:rPr>
            </w:pPr>
          </w:p>
        </w:tc>
      </w:tr>
      <w:tr>
        <w:trPr>
          <w:trHeight w:val="317"/>
        </w:trPr>
        <w:tc>
          <w:tcPr>
            <w:tcW w:w="1240" w:type="dxa"/>
            <w:vAlign w:val="bottom"/>
          </w:tcPr>
          <w:p>
            <w:pPr>
              <w:ind w:left="20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Third Guarantor Supplemental Indenture, dated as of June 29, 2018, among California Resources Corporation, certain guarantors named</w:t>
              </w:r>
            </w:hyperlink>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therein and Wilmington Trust, National Association, as trustee (filed as Exhibit 4.2 to the Registrant’s Quarterly Report on Form 10-Q</w:t>
              </w:r>
            </w:hyperlink>
          </w:p>
        </w:tc>
        <w:tc>
          <w:tcPr>
            <w:tcW w:w="140" w:type="dxa"/>
            <w:vAlign w:val="bottom"/>
            <w:tcBorders>
              <w:top w:val="single" w:sz="8" w:color="0000FF"/>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filed August 2, 2018 and incorporated herein by reference).</w:t>
              </w:r>
            </w:hyperlink>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tcBorders>
              <w:bottom w:val="single" w:sz="8" w:color="0000FF"/>
            </w:tcBorders>
            <w:gridSpan w:val="12"/>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Purchase Warrant for Common Stock of California Resources Corporation, dated as of July 22, 2019 (filed as Exhibit 4.1 to the</w:t>
              </w:r>
            </w:hyperlink>
          </w:p>
        </w:tc>
        <w:tc>
          <w:tcPr>
            <w:tcW w:w="680" w:type="dxa"/>
            <w:vAlign w:val="bottom"/>
            <w:gridSpan w:val="10"/>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Registrant’s Current Report on Form 8-K filed July 23, 2019 and incorporated herein by reference).</w:t>
              </w:r>
            </w:hyperlink>
          </w:p>
        </w:tc>
        <w:tc>
          <w:tcPr>
            <w:tcW w:w="2680" w:type="dxa"/>
            <w:vAlign w:val="bottom"/>
            <w:gridSpan w:val="11"/>
          </w:tcPr>
          <w:p>
            <w:pPr>
              <w:spacing w:after="0"/>
              <w:rPr>
                <w:sz w:val="17"/>
                <w:szCs w:val="17"/>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tcBorders>
              <w:bottom w:val="single" w:sz="8" w:color="0000FF"/>
            </w:tcBorders>
            <w:gridSpan w:val="10"/>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Opinion of Vinson &amp; Elkins L.L.P. as to the legality of the securities being registered.</w:t>
              </w:r>
            </w:hyperlink>
          </w:p>
        </w:tc>
        <w:tc>
          <w:tcPr>
            <w:tcW w:w="3680" w:type="dxa"/>
            <w:vAlign w:val="bottom"/>
            <w:gridSpan w:val="12"/>
          </w:tcPr>
          <w:p>
            <w:pPr>
              <w:spacing w:after="0"/>
              <w:rPr>
                <w:sz w:val="24"/>
                <w:szCs w:val="24"/>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Consent of Independent Registered Public Accounting Firm.</w:t>
              </w:r>
            </w:hyperlink>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Consent of Independent Petroleum Engineers.</w:t>
              </w:r>
            </w:hyperlink>
          </w:p>
        </w:tc>
        <w:tc>
          <w:tcPr>
            <w:tcW w:w="1020" w:type="dxa"/>
            <w:vAlign w:val="bottom"/>
            <w:tcBorders>
              <w:top w:val="single" w:sz="8" w:color="0000FF"/>
            </w:tcBorders>
            <w:gridSpan w:val="3"/>
          </w:tcPr>
          <w:p>
            <w:pPr>
              <w:spacing w:after="0"/>
              <w:rPr>
                <w:sz w:val="24"/>
                <w:szCs w:val="24"/>
                <w:color w:val="auto"/>
              </w:rPr>
            </w:pPr>
          </w:p>
        </w:tc>
        <w:tc>
          <w:tcPr>
            <w:tcW w:w="5500" w:type="dxa"/>
            <w:vAlign w:val="bottom"/>
            <w:gridSpan w:val="16"/>
          </w:tcPr>
          <w:p>
            <w:pPr>
              <w:spacing w:after="0"/>
              <w:rPr>
                <w:sz w:val="24"/>
                <w:szCs w:val="24"/>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Consent of Independent Petroleum Engineers.</w:t>
              </w:r>
            </w:hyperlink>
          </w:p>
        </w:tc>
        <w:tc>
          <w:tcPr>
            <w:tcW w:w="6540" w:type="dxa"/>
            <w:vAlign w:val="bottom"/>
            <w:gridSpan w:val="20"/>
          </w:tcPr>
          <w:p>
            <w:pPr>
              <w:spacing w:after="0"/>
              <w:rPr>
                <w:sz w:val="24"/>
                <w:szCs w:val="24"/>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000FF"/>
            </w:tcBorders>
            <w:gridSpan w:val="7"/>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Consent of Vinson &amp; Elkins L.L.P. (contained in Exhibit 5.1).</w:t>
              </w:r>
            </w:hyperlink>
          </w:p>
        </w:tc>
        <w:tc>
          <w:tcPr>
            <w:tcW w:w="5400" w:type="dxa"/>
            <w:vAlign w:val="bottom"/>
            <w:gridSpan w:val="15"/>
          </w:tcPr>
          <w:p>
            <w:pPr>
              <w:spacing w:after="0"/>
              <w:rPr>
                <w:sz w:val="24"/>
                <w:szCs w:val="24"/>
                <w:color w:val="auto"/>
              </w:rPr>
            </w:pPr>
          </w:p>
        </w:tc>
      </w:tr>
      <w:tr>
        <w:trPr>
          <w:trHeight w:val="318"/>
        </w:trPr>
        <w:tc>
          <w:tcPr>
            <w:tcW w:w="1240" w:type="dxa"/>
            <w:vAlign w:val="bottom"/>
          </w:tcPr>
          <w:p>
            <w:pPr>
              <w:ind w:left="2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2"/>
          </w:tcPr>
          <w:p>
            <w:pPr>
              <w:spacing w:after="0"/>
              <w:rPr>
                <w:rFonts w:ascii="Arial" w:cs="Arial" w:eastAsia="Arial" w:hAnsi="Arial"/>
                <w:sz w:val="18"/>
                <w:szCs w:val="18"/>
                <w:color w:val="0000FF"/>
              </w:rPr>
            </w:pPr>
            <w:hyperlink r:id="rId30">
              <w:r>
                <w:rPr>
                  <w:rFonts w:ascii="Arial" w:cs="Arial" w:eastAsia="Arial" w:hAnsi="Arial"/>
                  <w:sz w:val="18"/>
                  <w:szCs w:val="18"/>
                  <w:color w:val="0000FF"/>
                </w:rPr>
                <w:t>Power of Attorney.</w:t>
              </w:r>
            </w:hyperlink>
          </w:p>
        </w:tc>
      </w:tr>
      <w:tr>
        <w:trPr>
          <w:trHeight w:val="254"/>
        </w:trPr>
        <w:tc>
          <w:tcPr>
            <w:tcW w:w="124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Borders>
              <w:top w:val="single" w:sz="8" w:color="0000FF"/>
            </w:tcBorders>
          </w:tcPr>
          <w:p>
            <w:pPr>
              <w:spacing w:after="0"/>
              <w:rPr>
                <w:sz w:val="22"/>
                <w:szCs w:val="22"/>
                <w:color w:val="auto"/>
              </w:rPr>
            </w:pPr>
          </w:p>
        </w:tc>
        <w:tc>
          <w:tcPr>
            <w:tcW w:w="1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ind w:right="9840" w:firstLine="8"/>
        <w:spacing w:after="0" w:line="290" w:lineRule="auto"/>
        <w:tabs>
          <w:tab w:leader="none" w:pos="3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rPr>
          <w:rFonts w:ascii="Arial" w:cs="Arial" w:eastAsia="Arial" w:hAnsi="Arial"/>
          <w:sz w:val="16"/>
          <w:szCs w:val="16"/>
          <w:color w:val="auto"/>
        </w:rPr>
      </w:pPr>
      <w:r>
        <w:rPr>
          <w:rFonts w:ascii="Arial" w:cs="Arial" w:eastAsia="Arial" w:hAnsi="Arial"/>
          <w:sz w:val="16"/>
          <w:szCs w:val="16"/>
          <w:color w:val="auto"/>
        </w:rPr>
        <w:t>*** To be filed as an exhibit to a report pursuant to Section 13(a) or 15(d) of the Exchange Act or in a post-effective amendment to this Registration Statement.</w:t>
      </w:r>
    </w:p>
    <w:p>
      <w:pPr>
        <w:spacing w:after="0" w:line="2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undersigned registrant hereby undertakes:</w:t>
      </w:r>
    </w:p>
    <w:p>
      <w:pPr>
        <w:spacing w:after="0" w:line="171" w:lineRule="exact"/>
        <w:rPr>
          <w:sz w:val="20"/>
          <w:szCs w:val="20"/>
          <w:color w:val="auto"/>
        </w:rPr>
      </w:pPr>
    </w:p>
    <w:p>
      <w:pPr>
        <w:ind w:left="5480" w:right="1560" w:hanging="5148"/>
        <w:spacing w:after="0" w:line="715" w:lineRule="auto"/>
        <w:tabs>
          <w:tab w:leader="none" w:pos="6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II-3</w:t>
      </w:r>
    </w:p>
    <w:p>
      <w:pPr>
        <w:sectPr>
          <w:pgSz w:w="11900" w:h="16838" w:orient="portrait"/>
          <w:cols w:equalWidth="0" w:num="1">
            <w:col w:w="11240"/>
          </w:cols>
          <w:pgMar w:left="320" w:top="733" w:right="339" w:bottom="1440" w:gutter="0" w:footer="0" w:header="0"/>
        </w:sectPr>
      </w:pPr>
    </w:p>
    <w:bookmarkStart w:id="22" w:name="page23"/>
    <w:bookmarkEnd w:id="22"/>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71" w:lineRule="exact"/>
        <w:rPr>
          <w:rFonts w:ascii="Arial" w:cs="Arial" w:eastAsia="Arial" w:hAnsi="Arial"/>
          <w:sz w:val="18"/>
          <w:szCs w:val="18"/>
          <w:color w:val="auto"/>
        </w:rPr>
      </w:pPr>
    </w:p>
    <w:p>
      <w:pPr>
        <w:ind w:left="980" w:right="220" w:hanging="324"/>
        <w:spacing w:after="0" w:line="24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41" w:lineRule="exact"/>
        <w:rPr>
          <w:sz w:val="20"/>
          <w:szCs w:val="20"/>
          <w:color w:val="auto"/>
        </w:rPr>
      </w:pPr>
    </w:p>
    <w:p>
      <w:pPr>
        <w:ind w:left="660" w:right="240"/>
        <w:spacing w:after="0" w:line="241" w:lineRule="auto"/>
        <w:rPr>
          <w:sz w:val="20"/>
          <w:szCs w:val="20"/>
          <w:color w:val="auto"/>
        </w:rPr>
      </w:pPr>
      <w:r>
        <w:rPr>
          <w:rFonts w:ascii="Arial" w:cs="Arial" w:eastAsia="Arial" w:hAnsi="Arial"/>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49" w:lineRule="exact"/>
        <w:rPr>
          <w:sz w:val="20"/>
          <w:szCs w:val="20"/>
          <w:color w:val="auto"/>
        </w:rPr>
      </w:pPr>
    </w:p>
    <w:p>
      <w:pPr>
        <w:ind w:left="980" w:right="500" w:hanging="324"/>
        <w:spacing w:after="0" w:line="261"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06" w:lineRule="exact"/>
        <w:rPr>
          <w:sz w:val="20"/>
          <w:szCs w:val="20"/>
          <w:color w:val="auto"/>
        </w:rPr>
      </w:pPr>
    </w:p>
    <w:p>
      <w:pPr>
        <w:ind w:right="240" w:firstLine="324"/>
        <w:spacing w:after="0" w:line="24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 1(b) and 1(c)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15(d) of the Exchange Act of 1934 (the “Exchange Act”) that are incorporated by reference in the registration statement, or is contained in a form of prospectus filed pursuant to Rule 424(b) that is part of the registration statement.</w:t>
      </w:r>
    </w:p>
    <w:p>
      <w:pPr>
        <w:spacing w:after="0" w:line="147" w:lineRule="exact"/>
        <w:rPr>
          <w:sz w:val="20"/>
          <w:szCs w:val="20"/>
          <w:color w:val="auto"/>
        </w:rPr>
      </w:pPr>
    </w:p>
    <w:p>
      <w:pPr>
        <w:ind w:left="660" w:right="20" w:hanging="328"/>
        <w:spacing w:after="0" w:line="24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rFonts w:ascii="Arial" w:cs="Arial" w:eastAsia="Arial" w:hAnsi="Arial"/>
          <w:sz w:val="18"/>
          <w:szCs w:val="18"/>
          <w:color w:val="auto"/>
        </w:rPr>
      </w:pPr>
    </w:p>
    <w:p>
      <w:pPr>
        <w:ind w:left="980" w:right="60" w:hanging="324"/>
        <w:spacing w:after="0" w:line="255"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9" w:lineRule="exact"/>
        <w:rPr>
          <w:rFonts w:ascii="Arial" w:cs="Arial" w:eastAsia="Arial" w:hAnsi="Arial"/>
          <w:sz w:val="17"/>
          <w:szCs w:val="17"/>
          <w:color w:val="auto"/>
        </w:rPr>
      </w:pPr>
    </w:p>
    <w:p>
      <w:pPr>
        <w:ind w:left="660" w:hanging="328"/>
        <w:spacing w:after="0" w:line="24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8" w:lineRule="exact"/>
        <w:rPr>
          <w:rFonts w:ascii="Arial" w:cs="Arial" w:eastAsia="Arial" w:hAnsi="Arial"/>
          <w:sz w:val="18"/>
          <w:szCs w:val="18"/>
          <w:color w:val="auto"/>
        </w:rPr>
      </w:pPr>
    </w:p>
    <w:p>
      <w:pPr>
        <w:ind w:left="980" w:hanging="324"/>
        <w:spacing w:after="0"/>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82" w:lineRule="exact"/>
        <w:rPr>
          <w:rFonts w:ascii="Arial" w:cs="Arial" w:eastAsia="Arial" w:hAnsi="Arial"/>
          <w:sz w:val="17"/>
          <w:szCs w:val="17"/>
          <w:color w:val="auto"/>
        </w:rPr>
      </w:pPr>
    </w:p>
    <w:p>
      <w:pPr>
        <w:ind w:left="980" w:right="580" w:hanging="324"/>
        <w:spacing w:after="0" w:line="261"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557" w:right="359" w:bottom="1440" w:gutter="0" w:footer="0" w:header="0"/>
        </w:sectPr>
      </w:pPr>
    </w:p>
    <w:bookmarkStart w:id="23" w:name="page24"/>
    <w:bookmarkEnd w:id="23"/>
    <w:p>
      <w:pPr>
        <w:ind w:left="648" w:right="20" w:hanging="324"/>
        <w:spacing w:after="0" w:line="261" w:lineRule="auto"/>
        <w:tabs>
          <w:tab w:leader="none" w:pos="6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0" w:lineRule="exact"/>
        <w:rPr>
          <w:rFonts w:ascii="Arial" w:cs="Arial" w:eastAsia="Arial" w:hAnsi="Arial"/>
          <w:sz w:val="18"/>
          <w:szCs w:val="18"/>
          <w:color w:val="auto"/>
        </w:rPr>
      </w:pPr>
    </w:p>
    <w:p>
      <w:pPr>
        <w:ind w:left="648" w:hanging="324"/>
        <w:spacing w:after="0"/>
        <w:tabs>
          <w:tab w:leader="none" w:pos="6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328" w:hanging="328"/>
        <w:spacing w:after="0" w:line="294" w:lineRule="auto"/>
        <w:tabs>
          <w:tab w:leader="none" w:pos="3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6" w:lineRule="exact"/>
        <w:rPr>
          <w:rFonts w:ascii="Arial" w:cs="Arial" w:eastAsia="Arial" w:hAnsi="Arial"/>
          <w:sz w:val="16"/>
          <w:szCs w:val="16"/>
          <w:color w:val="auto"/>
        </w:rPr>
      </w:pPr>
    </w:p>
    <w:p>
      <w:pPr>
        <w:ind w:left="328" w:right="60" w:hanging="328"/>
        <w:spacing w:after="0" w:line="254"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5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888"/>
          </w:cols>
          <w:pgMar w:left="652" w:top="557" w:right="359" w:bottom="1440" w:gutter="0" w:footer="0" w:header="0"/>
        </w:sectPr>
      </w:pPr>
    </w:p>
    <w:bookmarkStart w:id="24" w:name="page25"/>
    <w:bookmarkEnd w:id="24"/>
    <w:p>
      <w:pPr>
        <w:ind w:right="520" w:firstLine="324"/>
        <w:spacing w:after="0" w:line="24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Clarita, State of California, on the 27th day of March, 2020.</w:t>
      </w:r>
    </w:p>
    <w:p>
      <w:pPr>
        <w:spacing w:after="0" w:line="29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510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20"/>
              <w:spacing w:after="0"/>
              <w:rPr>
                <w:sz w:val="20"/>
                <w:szCs w:val="20"/>
                <w:color w:val="auto"/>
              </w:rPr>
            </w:pPr>
            <w:r>
              <w:rPr>
                <w:rFonts w:ascii="Arial" w:cs="Arial" w:eastAsia="Arial" w:hAnsi="Arial"/>
                <w:sz w:val="18"/>
                <w:szCs w:val="18"/>
                <w:color w:val="auto"/>
              </w:rPr>
              <w:t>/s/ Todd A. Stevens</w:t>
            </w:r>
          </w:p>
        </w:tc>
      </w:tr>
      <w:tr>
        <w:trPr>
          <w:trHeight w:val="27"/>
        </w:trPr>
        <w:tc>
          <w:tcPr>
            <w:tcW w:w="8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20"/>
              <w:spacing w:after="0"/>
              <w:rPr>
                <w:sz w:val="20"/>
                <w:szCs w:val="20"/>
                <w:color w:val="auto"/>
              </w:rPr>
            </w:pPr>
            <w:r>
              <w:rPr>
                <w:rFonts w:ascii="Arial" w:cs="Arial" w:eastAsia="Arial" w:hAnsi="Arial"/>
                <w:sz w:val="18"/>
                <w:szCs w:val="18"/>
                <w:color w:val="auto"/>
              </w:rPr>
              <w:t>Todd A. Stevens</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w w:val="96"/>
              </w:rPr>
              <w:t>President and Chief Executive Officer and Director</w:t>
            </w:r>
          </w:p>
        </w:tc>
      </w:tr>
    </w:tbl>
    <w:p>
      <w:pPr>
        <w:spacing w:after="0" w:line="202"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March 27,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3"/>
          </w:tcPr>
          <w:p>
            <w:pPr>
              <w:jc w:val="center"/>
              <w:ind w:right="3550"/>
              <w:spacing w:after="0"/>
              <w:rPr>
                <w:sz w:val="20"/>
                <w:szCs w:val="20"/>
                <w:color w:val="auto"/>
              </w:rPr>
            </w:pPr>
            <w:r>
              <w:rPr>
                <w:rFonts w:ascii="Arial" w:cs="Arial" w:eastAsia="Arial" w:hAnsi="Arial"/>
                <w:sz w:val="18"/>
                <w:szCs w:val="18"/>
                <w:b w:val="1"/>
                <w:bCs w:val="1"/>
                <w:color w:val="auto"/>
                <w:w w:val="90"/>
              </w:rPr>
              <w:t>California Resources Corporation</w:t>
            </w:r>
          </w:p>
        </w:tc>
      </w:tr>
      <w:tr>
        <w:trPr>
          <w:trHeight w:val="540"/>
        </w:trPr>
        <w:tc>
          <w:tcPr>
            <w:tcW w:w="366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Name</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r>
      <w:tr>
        <w:trPr>
          <w:trHeight w:val="331"/>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89"/>
              </w:rPr>
              <w:t>/s/ Todd A. Stevens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Todd A. Stevens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64"/>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1"/>
              </w:rPr>
              <w:t>Senior Executive Vice President and Chief Financial Officer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4"/>
              </w:rPr>
              <w:t>Marshall D. Smith</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36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0"/>
              </w:rPr>
              <w:t>Executive Vice President, Finance</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2"/>
              </w:rPr>
              <w:t>Roy Pineci</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364"/>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89"/>
              </w:rPr>
              <w:t>Chairman</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6"/>
              </w:rPr>
              <w:t>William E. Albrecht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64"/>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1"/>
              </w:rPr>
              <w:t>Justin A. Gannon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6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7"/>
              </w:rPr>
              <w:t>Harold M. Korell</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6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3"/>
              </w:rPr>
              <w:t>Harry T. McMahon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6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2"/>
              </w:rPr>
              <w:t>Avedick B. Poladian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6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3"/>
              </w:rPr>
              <w:t>Anita M. Powers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65"/>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7"/>
        </w:trPr>
        <w:tc>
          <w:tcPr>
            <w:tcW w:w="3660" w:type="dxa"/>
            <w:vAlign w:val="bottom"/>
          </w:tcPr>
          <w:p>
            <w:pPr>
              <w:jc w:val="center"/>
              <w:ind w:left="750"/>
              <w:spacing w:after="0"/>
              <w:rPr>
                <w:sz w:val="20"/>
                <w:szCs w:val="20"/>
                <w:color w:val="auto"/>
              </w:rPr>
            </w:pPr>
            <w:r>
              <w:rPr>
                <w:rFonts w:ascii="Arial" w:cs="Arial" w:eastAsia="Arial" w:hAnsi="Arial"/>
                <w:sz w:val="18"/>
                <w:szCs w:val="18"/>
                <w:color w:val="auto"/>
                <w:w w:val="92"/>
              </w:rPr>
              <w:t>Laurie A. Siegel</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364"/>
        </w:trPr>
        <w:tc>
          <w:tcPr>
            <w:tcW w:w="3660" w:type="dxa"/>
            <w:vAlign w:val="bottom"/>
          </w:tcPr>
          <w:p>
            <w:pPr>
              <w:jc w:val="center"/>
              <w:ind w:left="77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36"/>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Robert V. Sinnott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59"/>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tcPr>
          <w:p>
            <w:pPr>
              <w:jc w:val="center"/>
              <w:ind w:right="453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240"/>
          </w:cols>
          <w:pgMar w:left="320" w:top="733" w:right="339" w:bottom="1440" w:gutter="0" w:footer="0" w:header="0"/>
        </w:sectPr>
      </w:pPr>
    </w:p>
    <w:bookmarkStart w:id="25" w:name="page26"/>
    <w:bookmarkEnd w:id="25"/>
    <w:p>
      <w:pPr>
        <w:jc w:val="both"/>
        <w:ind w:left="2000"/>
        <w:spacing w:after="0"/>
        <w:tabs>
          <w:tab w:leader="none" w:pos="77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40640</wp:posOffset>
            </wp:positionV>
            <wp:extent cx="1859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Todd A. Stevens</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6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099"/>
          </w:cols>
          <w:pgMar w:left="360" w:top="715"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648585"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264858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consent to the use of our report dated February 26, 2020, with respect to the consolidated balance sheets of California Resources Corporation and subsidiaries as of December 31, 2019 and 2018, the related consolidated statements of operations, comprehensive income, equity, and cash flows for each of the years in the three-year period ended December 31, 2019, and the related notes, and the effectiveness of internal control over financial reporting as of December 31, 2019, incorporated herein by reference and to the reference to our firm under the heading “Experts” in the prospectus.</w:t>
      </w:r>
    </w:p>
    <w:p>
      <w:pPr>
        <w:spacing w:after="0" w:line="2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p>
      <w:pPr>
        <w:sectPr>
          <w:pgSz w:w="11900" w:h="16838" w:orient="portrait"/>
          <w:cols w:equalWidth="0" w:num="1">
            <w:col w:w="11240"/>
          </w:cols>
          <w:pgMar w:left="320" w:top="553"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rPr>
          <w:sz w:val="20"/>
          <w:szCs w:val="20"/>
          <w:color w:val="auto"/>
        </w:rPr>
      </w:pPr>
      <w:r>
        <w:rPr>
          <w:rFonts w:ascii="Arial" w:cs="Arial" w:eastAsia="Arial" w:hAnsi="Arial"/>
          <w:sz w:val="20"/>
          <w:szCs w:val="20"/>
          <w:color w:val="auto"/>
        </w:rPr>
        <w:t>California Resources Corporation:</w:t>
      </w:r>
    </w:p>
    <w:p>
      <w:pPr>
        <w:spacing w:after="0" w:line="216" w:lineRule="exact"/>
        <w:rPr>
          <w:sz w:val="20"/>
          <w:szCs w:val="20"/>
          <w:color w:val="auto"/>
        </w:rPr>
      </w:pPr>
    </w:p>
    <w:p>
      <w:pPr>
        <w:ind w:right="240" w:firstLine="648"/>
        <w:spacing w:after="0" w:line="243" w:lineRule="auto"/>
        <w:rPr>
          <w:sz w:val="20"/>
          <w:szCs w:val="20"/>
          <w:color w:val="auto"/>
        </w:rPr>
      </w:pPr>
      <w:r>
        <w:rPr>
          <w:rFonts w:ascii="Arial" w:cs="Arial" w:eastAsia="Arial" w:hAnsi="Arial"/>
          <w:sz w:val="20"/>
          <w:szCs w:val="20"/>
          <w:color w:val="auto"/>
        </w:rPr>
        <w:t>We hereby consent to the incorporation by reference into this Registration Statement on Form S-3 of references to our name and to our letter dated January 10, 2020 relating to our audit of California Resources Corporation's 2019 oil and gas proved reserves.</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Ryder Scott Company, L.P.</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March 27, 2020</w:t>
      </w:r>
    </w:p>
    <w:p>
      <w:pPr>
        <w:sectPr>
          <w:pgSz w:w="11900" w:h="16838" w:orient="portrait"/>
          <w:cols w:equalWidth="0" w:num="1">
            <w:col w:w="11240"/>
          </w:cols>
          <w:pgMar w:left="320" w:top="553" w:right="339" w:bottom="1440" w:gutter="0" w:footer="0" w:header="0"/>
        </w:sectPr>
      </w:pPr>
    </w:p>
    <w:bookmarkStart w:id="28" w:name="page29"/>
    <w:bookmarkEnd w:id="28"/>
    <w:p>
      <w:pPr>
        <w:ind w:left="10120"/>
        <w:spacing w:after="0"/>
        <w:rPr>
          <w:sz w:val="20"/>
          <w:szCs w:val="20"/>
          <w:color w:val="auto"/>
        </w:rPr>
      </w:pPr>
      <w:r>
        <w:rPr>
          <w:rFonts w:ascii="Arial" w:cs="Arial" w:eastAsia="Arial" w:hAnsi="Arial"/>
          <w:sz w:val="18"/>
          <w:szCs w:val="18"/>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6880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1868805" cy="3257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PETROLEUM ENGINEERS AND GEOLOGISTS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February 12, 2020 relating to our audit of California Resources Corporation's 2019 oil and gas proved reserves.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8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Danny D. Simmons</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846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Danny D. Simmons, P.E.</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2020</w:t>
      </w:r>
    </w:p>
    <w:sectPr>
      <w:pgSz w:w="11900" w:h="16838" w:orient="portrait"/>
      <w:cols w:equalWidth="0" w:num="1">
        <w:col w:w="11240"/>
      </w:cols>
      <w:pgMar w:left="320" w:top="55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713"/>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decimal"/>
      <w:start w:val="2"/>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3"/>
    </w:lvl>
  </w:abstractNum>
  <w:abstractNum w:abstractNumId="17">
    <w:nsid w:val="431BD7B7"/>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31"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jpeg"/><Relationship Id="rId34" Type="http://schemas.openxmlformats.org/officeDocument/2006/relationships/image" Target="media/image9.jpeg"/><Relationship Id="rId35" Type="http://schemas.openxmlformats.org/officeDocument/2006/relationships/image" Target="media/image10.png"/><Relationship Id="rId13" Type="http://schemas.openxmlformats.org/officeDocument/2006/relationships/hyperlink" Target="http://www.sec.gov/Archives/edgar/data/1609253/000110465914084170/a14-25233_1ex2d1.htm" TargetMode="External"/><Relationship Id="rId14" Type="http://schemas.openxmlformats.org/officeDocument/2006/relationships/hyperlink" Target="http://www.sec.gov/Archives/edgar/data/1609253/000160925316000271/exhibit31.htm" TargetMode="External"/><Relationship Id="rId15" Type="http://schemas.openxmlformats.org/officeDocument/2006/relationships/hyperlink" Target="http://www.sec.gov/Archives/edgar/data/1609253/000160925315000168/exhibit32amendedandrestate.htm" TargetMode="External"/><Relationship Id="rId16" Type="http://schemas.openxmlformats.org/officeDocument/2006/relationships/hyperlink" Target="http://www.sec.gov/Archives/edgar/data/1609253/000104746914008184/a2221677zex-4_2.htm" TargetMode="External"/><Relationship Id="rId17" Type="http://schemas.openxmlformats.org/officeDocument/2006/relationships/hyperlink" Target="http://www.sec.gov/Archives/edgar/data/1609253/000160925315000179/crcexchangeindenture.htm" TargetMode="External"/><Relationship Id="rId18" Type="http://schemas.openxmlformats.org/officeDocument/2006/relationships/hyperlink" Target="http://www.sec.gov/Archives/edgar/data/1609253/000160925315000027/exh42guarantorsupplemental.htm" TargetMode="External"/><Relationship Id="rId19" Type="http://schemas.openxmlformats.org/officeDocument/2006/relationships/hyperlink" Target="http://www.sec.gov/Archives/edgar/data/1609253/000160925316000305/a2016q2exhibit41.htm" TargetMode="External"/><Relationship Id="rId20" Type="http://schemas.openxmlformats.org/officeDocument/2006/relationships/hyperlink" Target="http://www.sec.gov/Archives/edgar/data/1609253/000160925316000305/a2016q2exhibit42.htm" TargetMode="External"/><Relationship Id="rId21" Type="http://schemas.openxmlformats.org/officeDocument/2006/relationships/hyperlink" Target="http://www.sec.gov/Archives/edgar/data/1609253/000160925316000305/a2016q2exhibit104.htm" TargetMode="External"/><Relationship Id="rId22" Type="http://schemas.openxmlformats.org/officeDocument/2006/relationships/hyperlink" Target="http://www.sec.gov/Archives/edgar/data/1609253/000160925315000027/exhibit1031assumptionagree.htm" TargetMode="External"/><Relationship Id="rId23" Type="http://schemas.openxmlformats.org/officeDocument/2006/relationships/hyperlink" Target="http://www.sec.gov/Archives/edgar/data/1609253/000104746914008184/a2221677zex-4_3.htm" TargetMode="External"/><Relationship Id="rId24" Type="http://schemas.openxmlformats.org/officeDocument/2006/relationships/hyperlink" Target="http://www.sec.gov/Archives/edgar/data/1609253/000160925318000004/ex1052-7x20188k.htm" TargetMode="External"/><Relationship Id="rId25" Type="http://schemas.openxmlformats.org/officeDocument/2006/relationships/hyperlink" Target="http://www.sec.gov/Archives/edgar/data/1609253/000160925318000051/registrationrightsagreemen.htm" TargetMode="External"/><Relationship Id="rId26" Type="http://schemas.openxmlformats.org/officeDocument/2006/relationships/hyperlink" Target="http://www.sec.gov/Archives/edgar/data/1609253/000160925318000111/a2018q2exhibit41.htm" TargetMode="External"/><Relationship Id="rId27" Type="http://schemas.openxmlformats.org/officeDocument/2006/relationships/hyperlink" Target="http://www.sec.gov/Archives/edgar/data/1609253/000160925318000111/a2018q2exhibit42.htm" TargetMode="External"/><Relationship Id="rId28" Type="http://schemas.openxmlformats.org/officeDocument/2006/relationships/hyperlink" Target="http://www.sec.gov/Archives/edgar/data/1609253/000160925319000118/a20190722ex41.htm" TargetMode="External"/><Relationship Id="rId29" Type="http://schemas.openxmlformats.org/officeDocument/2006/relationships/hyperlink" Target="http://www.sec.gov/Archives/edgar/data/1609253/000160925320000067/posam2333-228426ex51.htm" TargetMode="External"/><Relationship Id="rId30" Type="http://schemas.openxmlformats.org/officeDocument/2006/relationships/hyperlink" Target="http://www.sec.gov/Archives/edgar/data/1609253/000119312518328952/d653358ds3asr.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2020-03-27T16:06:04Z</dcterms:created>
  <dcterms:modified xsi:type="dcterms:W3CDTF">2020-03-27T16:06:04Z</dcterms:modified>
</cp:coreProperties>
</file>