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February 27, 2024</w:t>
      </w:r>
    </w:p>
    <w:p>
      <w:pPr>
        <w:spacing w:after="0" w:line="18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399" w:right="419" w:bottom="1440" w:gutter="0" w:footer="0" w:header="0"/>
        </w:sectPr>
      </w:pPr>
    </w:p>
    <w:p>
      <w:pPr>
        <w:spacing w:after="0" w:line="11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(Commission</w:t>
      </w:r>
    </w:p>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2" w:lineRule="exact"/>
        <w:rPr>
          <w:sz w:val="24"/>
          <w:szCs w:val="24"/>
          <w:color w:val="auto"/>
        </w:rPr>
      </w:pPr>
    </w:p>
    <w:p>
      <w:pPr>
        <w:sectPr>
          <w:pgSz w:w="11900" w:h="16838" w:orient="portrait"/>
          <w:cols w:equalWidth="0" w:num="3">
            <w:col w:w="4380" w:space="720"/>
            <w:col w:w="2880" w:space="720"/>
            <w:col w:w="2460"/>
          </w:cols>
          <w:pgMar w:left="320" w:top="1399" w:right="41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170" w:lineRule="exact"/>
        <w:rPr>
          <w:sz w:val="24"/>
          <w:szCs w:val="24"/>
          <w:color w:val="auto"/>
        </w:rPr>
      </w:pPr>
    </w:p>
    <w:p>
      <w:pPr>
        <w:sectPr>
          <w:pgSz w:w="11900" w:h="16838" w:orient="portrait"/>
          <w:cols w:equalWidth="0" w:num="2">
            <w:col w:w="7300" w:space="720"/>
            <w:col w:w="3140"/>
          </w:cols>
          <w:pgMar w:left="320" w:top="1399"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6"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6" w:lineRule="exact"/>
        <w:rPr>
          <w:sz w:val="24"/>
          <w:szCs w:val="24"/>
          <w:color w:val="auto"/>
        </w:rPr>
      </w:pPr>
    </w:p>
    <w:p>
      <w:pPr>
        <w:ind w:left="360" w:hanging="353"/>
        <w:spacing w:after="0"/>
        <w:tabs>
          <w:tab w:leader="none" w:pos="3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2" w:lineRule="exact"/>
        <w:rPr>
          <w:sz w:val="24"/>
          <w:szCs w:val="24"/>
          <w:color w:val="auto"/>
        </w:rPr>
      </w:pPr>
    </w:p>
    <w:p>
      <w:pPr>
        <w:ind w:left="360" w:hanging="353"/>
        <w:spacing w:after="0"/>
        <w:tabs>
          <w:tab w:leader="none" w:pos="36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399" w:right="419" w:bottom="1440" w:gutter="0" w:footer="0" w:header="0"/>
          <w:type w:val="continuous"/>
        </w:sectPr>
      </w:pPr>
    </w:p>
    <w:p>
      <w:pPr>
        <w:spacing w:after="0" w:line="1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0" w:lineRule="exact"/>
        <w:rPr>
          <w:sz w:val="24"/>
          <w:szCs w:val="24"/>
          <w:color w:val="auto"/>
        </w:rPr>
      </w:pPr>
    </w:p>
    <w:p>
      <w:pPr>
        <w:sectPr>
          <w:pgSz w:w="11900" w:h="16838" w:orient="portrait"/>
          <w:cols w:equalWidth="0" w:num="3">
            <w:col w:w="3480" w:space="720"/>
            <w:col w:w="2280" w:space="720"/>
            <w:col w:w="3960"/>
          </w:cols>
          <w:pgMar w:left="320" w:top="1399" w:right="419" w:bottom="1440" w:gutter="0" w:footer="0" w:header="0"/>
          <w:type w:val="continuous"/>
        </w:sect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9" w:lineRule="exact"/>
        <w:rPr>
          <w:sz w:val="24"/>
          <w:szCs w:val="24"/>
          <w:color w:val="auto"/>
        </w:rPr>
      </w:pPr>
    </w:p>
    <w:p>
      <w:pPr>
        <w:ind w:right="40"/>
        <w:spacing w:after="0" w:line="24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759460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205105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399" w:right="419" w:bottom="1440" w:gutter="0" w:footer="0" w:header="0"/>
          <w:type w:val="continuous"/>
        </w:sectPr>
      </w:pPr>
    </w:p>
    <w:bookmarkStart w:id="1" w:name="page2"/>
    <w:bookmarkEnd w:id="1"/>
    <w:p>
      <w:pPr>
        <w:spacing w:after="0" w:line="30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February 27, 2024, California Resources Corporation (the “Company”) issued a press release announcing its financial condition and results of operations for the three and twelve months ended December 31, 2023. A copy of the press release is furnished as Exhibit 99.1 to this report on Form 8-K, and is incorporated herein by reference.</w:t>
      </w:r>
    </w:p>
    <w:p>
      <w:pPr>
        <w:spacing w:after="0" w:line="17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report and the exhibits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spacing w:after="0" w:line="38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506"/>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800" w:type="dxa"/>
            <w:vAlign w:val="bottom"/>
          </w:tcPr>
          <w:p>
            <w:pPr>
              <w:spacing w:after="0"/>
              <w:rPr>
                <w:sz w:val="24"/>
                <w:szCs w:val="24"/>
                <w:color w:val="auto"/>
              </w:rPr>
            </w:pPr>
          </w:p>
        </w:tc>
        <w:tc>
          <w:tcPr>
            <w:tcW w:w="216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r>
      <w:tr>
        <w:trPr>
          <w:trHeight w:val="226"/>
        </w:trPr>
        <w:tc>
          <w:tcPr>
            <w:tcW w:w="244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rPr>
              <w:t>99.1</w:t>
            </w:r>
          </w:p>
        </w:tc>
        <w:tc>
          <w:tcPr>
            <w:tcW w:w="28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Press Release dated February 27, 2024.</w:t>
            </w:r>
          </w:p>
        </w:tc>
        <w:tc>
          <w:tcPr>
            <w:tcW w:w="2160" w:type="dxa"/>
            <w:vAlign w:val="bottom"/>
          </w:tcPr>
          <w:p>
            <w:pPr>
              <w:spacing w:after="0"/>
              <w:rPr>
                <w:sz w:val="19"/>
                <w:szCs w:val="19"/>
                <w:color w:val="auto"/>
              </w:rPr>
            </w:pPr>
          </w:p>
        </w:tc>
      </w:tr>
    </w:tbl>
    <w:p>
      <w:pPr>
        <w:spacing w:after="0" w:line="62" w:lineRule="exact"/>
        <w:rPr>
          <w:sz w:val="20"/>
          <w:szCs w:val="20"/>
          <w:color w:val="auto"/>
        </w:rPr>
      </w:pPr>
    </w:p>
    <w:p>
      <w:pPr>
        <w:ind w:left="2440" w:hanging="1351"/>
        <w:spacing w:after="0"/>
        <w:tabs>
          <w:tab w:leader="none" w:pos="2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1" w:lineRule="exact"/>
        <w:rPr>
          <w:sz w:val="20"/>
          <w:szCs w:val="20"/>
          <w:color w:val="auto"/>
        </w:rPr>
      </w:pPr>
    </w:p>
    <w:p>
      <w:pPr>
        <w:ind w:right="460"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5" w:lineRule="exact"/>
        <w:rPr>
          <w:sz w:val="20"/>
          <w:szCs w:val="20"/>
          <w:color w:val="auto"/>
        </w:rPr>
      </w:pPr>
    </w:p>
    <w:tbl>
      <w:tblPr>
        <w:tblLayout w:type="fixed"/>
        <w:tblInd w:w="4800" w:type="dxa"/>
        <w:tblCellMar>
          <w:top w:w="0" w:type="dxa"/>
          <w:left w:w="0" w:type="dxa"/>
          <w:bottom w:w="0" w:type="dxa"/>
          <w:right w:w="0" w:type="dxa"/>
        </w:tblCellMar>
      </w:tblPr>
      <w:tr>
        <w:trPr>
          <w:trHeight w:val="215"/>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27, 2024</w:t>
      </w:r>
    </w:p>
    <w:p>
      <w:pPr>
        <w:sectPr>
          <w:pgSz w:w="11900" w:h="16838" w:orient="portrait"/>
          <w:cols w:equalWidth="0" w:num="1">
            <w:col w:w="11240"/>
          </w:cols>
          <w:pgMar w:left="320" w:top="1399"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4514850</wp:posOffset>
            </wp:positionH>
            <wp:positionV relativeFrom="page">
              <wp:posOffset>723900</wp:posOffset>
            </wp:positionV>
            <wp:extent cx="1624965" cy="4737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24965" cy="473710"/>
                    </a:xfrm>
                    <a:prstGeom prst="rect">
                      <a:avLst/>
                    </a:prstGeom>
                    <a:noFill/>
                  </pic:spPr>
                </pic:pic>
              </a:graphicData>
            </a:graphic>
          </wp:anchor>
        </w:drawing>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California Resources Reports Fourth Quarter and Full-Year 2023 Financial and Operating Results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CRC Delivers Record Cash Flow and Free Cash Flow per Share Annual Results</w:t>
      </w:r>
    </w:p>
    <w:p>
      <w:pPr>
        <w:spacing w:after="0" w:line="218"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LONG BEACH, California, February 27, 2024 - California Resources Corporation (NYSE: CRC) today reported financial and operating results for the fourth quarter and full-year 2023. The Company plans to host a conference call and webcast on Wednesday, February 28</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at 1:00 p.m. Eastern Time (10:00 a.m. Pacific Time). Participation details can be found within this release. In addition, supplemental slides are posted to CRC’s website at www.crc.com.</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2023 Highlights:</w:t>
      </w:r>
    </w:p>
    <w:p>
      <w:pPr>
        <w:spacing w:after="0" w:line="280" w:lineRule="exact"/>
        <w:rPr>
          <w:sz w:val="20"/>
          <w:szCs w:val="20"/>
          <w:color w:val="auto"/>
        </w:rPr>
      </w:pPr>
    </w:p>
    <w:p>
      <w:pPr>
        <w:ind w:left="640" w:hanging="314"/>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21"/>
          <w:szCs w:val="21"/>
          <w:color w:val="auto"/>
        </w:rPr>
        <w:t>Generated $653 million of net cash from operating activities and $468 million of free cash flow</w:t>
      </w:r>
      <w:r>
        <w:rPr>
          <w:rFonts w:ascii="Arial" w:cs="Arial" w:eastAsia="Arial" w:hAnsi="Arial"/>
          <w:sz w:val="11"/>
          <w:szCs w:val="11"/>
          <w:color w:val="auto"/>
        </w:rPr>
        <w:t>1</w:t>
      </w:r>
    </w:p>
    <w:p>
      <w:pPr>
        <w:spacing w:after="0" w:line="39" w:lineRule="exact"/>
        <w:rPr>
          <w:rFonts w:ascii="Arial" w:cs="Arial" w:eastAsia="Arial" w:hAnsi="Arial"/>
          <w:sz w:val="21"/>
          <w:szCs w:val="21"/>
          <w:color w:val="auto"/>
        </w:rPr>
      </w:pPr>
    </w:p>
    <w:p>
      <w:pPr>
        <w:ind w:left="640" w:hanging="314"/>
        <w:spacing w:after="0" w:line="271"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21"/>
          <w:szCs w:val="21"/>
          <w:color w:val="auto"/>
        </w:rPr>
        <w:t>Demonstrated strong capital efficiency with lower-than-expected total capital of $185 million delivering 6% entry to exit gross production decline</w:t>
      </w:r>
    </w:p>
    <w:p>
      <w:pPr>
        <w:spacing w:after="0" w:line="1" w:lineRule="exact"/>
        <w:rPr>
          <w:rFonts w:ascii="Arial" w:cs="Arial" w:eastAsia="Arial" w:hAnsi="Arial"/>
          <w:sz w:val="21"/>
          <w:szCs w:val="21"/>
          <w:color w:val="auto"/>
        </w:rPr>
      </w:pPr>
    </w:p>
    <w:p>
      <w:pPr>
        <w:jc w:val="both"/>
        <w:ind w:left="640" w:hanging="314"/>
        <w:spacing w:after="0" w:line="255"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21"/>
          <w:szCs w:val="21"/>
          <w:color w:val="auto"/>
        </w:rPr>
        <w:t>Reported net income of $564 million, or $7.78 per diluted share. When adjusted for items analysts typically exclude from estimates (including gains on asset divestitures, business transformation costs and mark-to-market adjustments on commodity derivative contracts) adjusted net income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was $372 million, or $5.13 per share</w:t>
      </w:r>
    </w:p>
    <w:p>
      <w:pPr>
        <w:spacing w:after="0" w:line="2" w:lineRule="exact"/>
        <w:rPr>
          <w:rFonts w:ascii="Arial" w:cs="Arial" w:eastAsia="Arial" w:hAnsi="Arial"/>
          <w:sz w:val="21"/>
          <w:szCs w:val="21"/>
          <w:color w:val="auto"/>
        </w:rPr>
      </w:pPr>
    </w:p>
    <w:p>
      <w:pPr>
        <w:ind w:left="640" w:hanging="314"/>
        <w:spacing w:after="0" w:line="268"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21"/>
          <w:szCs w:val="21"/>
          <w:color w:val="auto"/>
        </w:rPr>
        <w:t>Average annual net production of 86 thousand barrels of oil equivalent per day (MBoe/d). Oil production averaged 52 thousand barrels of oil per day (MBo/d)</w:t>
      </w:r>
    </w:p>
    <w:p>
      <w:pPr>
        <w:spacing w:after="0" w:line="1" w:lineRule="exact"/>
        <w:rPr>
          <w:rFonts w:ascii="Arial" w:cs="Arial" w:eastAsia="Arial" w:hAnsi="Arial"/>
          <w:sz w:val="21"/>
          <w:szCs w:val="21"/>
          <w:color w:val="auto"/>
        </w:rPr>
      </w:pPr>
    </w:p>
    <w:p>
      <w:pPr>
        <w:ind w:left="640" w:hanging="314"/>
        <w:spacing w:after="0" w:line="243"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21"/>
          <w:szCs w:val="21"/>
          <w:color w:val="auto"/>
        </w:rPr>
        <w:t>Returned $280 million to stakeholders, more than half of 2023 free cash flow</w:t>
      </w:r>
      <w:r>
        <w:rPr>
          <w:rFonts w:ascii="Arial" w:cs="Arial" w:eastAsia="Arial" w:hAnsi="Arial"/>
          <w:sz w:val="27"/>
          <w:szCs w:val="27"/>
          <w:color w:val="auto"/>
          <w:vertAlign w:val="superscript"/>
        </w:rPr>
        <w:t>1</w:t>
      </w:r>
      <w:r>
        <w:rPr>
          <w:rFonts w:ascii="Arial" w:cs="Arial" w:eastAsia="Arial" w:hAnsi="Arial"/>
          <w:sz w:val="21"/>
          <w:szCs w:val="21"/>
          <w:color w:val="auto"/>
        </w:rPr>
        <w:t>, through share repurchases, debt repurchases and dividends</w:t>
      </w:r>
    </w:p>
    <w:p>
      <w:pPr>
        <w:ind w:left="640" w:hanging="314"/>
        <w:spacing w:after="0" w:line="220" w:lineRule="auto"/>
        <w:tabs>
          <w:tab w:leader="none" w:pos="640" w:val="left"/>
        </w:tabs>
        <w:numPr>
          <w:ilvl w:val="0"/>
          <w:numId w:val="5"/>
        </w:numPr>
        <w:rPr>
          <w:rFonts w:ascii="Arial" w:cs="Arial" w:eastAsia="Arial" w:hAnsi="Arial"/>
          <w:sz w:val="21"/>
          <w:szCs w:val="21"/>
          <w:color w:val="auto"/>
        </w:rPr>
      </w:pPr>
      <w:r>
        <w:rPr>
          <w:rFonts w:ascii="Arial" w:cs="Arial" w:eastAsia="Arial" w:hAnsi="Arial"/>
          <w:sz w:val="21"/>
          <w:szCs w:val="21"/>
          <w:color w:val="auto"/>
        </w:rPr>
        <w:t>Exited 2023 with a leverage ratio</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0.1 times, down from 0.3 times at year-end 2022</w:t>
      </w:r>
    </w:p>
    <w:p>
      <w:pPr>
        <w:ind w:left="640" w:hanging="314"/>
        <w:spacing w:after="0" w:line="268"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21"/>
          <w:szCs w:val="21"/>
          <w:color w:val="auto"/>
        </w:rPr>
        <w:t>Through the business transformation initiative, strengthened future outlook by achieving $65 million in annual, sustainable cost savings</w:t>
      </w:r>
    </w:p>
    <w:p>
      <w:pPr>
        <w:spacing w:after="0" w:line="1" w:lineRule="exact"/>
        <w:rPr>
          <w:rFonts w:ascii="Arial" w:cs="Arial" w:eastAsia="Arial" w:hAnsi="Arial"/>
          <w:sz w:val="21"/>
          <w:szCs w:val="21"/>
          <w:color w:val="auto"/>
        </w:rPr>
      </w:pPr>
    </w:p>
    <w:p>
      <w:pPr>
        <w:jc w:val="both"/>
        <w:ind w:left="640" w:hanging="314"/>
        <w:spacing w:after="0" w:line="297"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21"/>
          <w:szCs w:val="21"/>
          <w:color w:val="auto"/>
        </w:rPr>
        <w:t>Announced receipt of California’s first U.S. Environmental Protection Agency (EPA) draft Class VI well permits for underground carbon dioxide (CO</w:t>
      </w:r>
      <w:r>
        <w:rPr>
          <w:rFonts w:ascii="Arial" w:cs="Arial" w:eastAsia="Arial" w:hAnsi="Arial"/>
          <w:sz w:val="21"/>
          <w:szCs w:val="21"/>
          <w:color w:val="auto"/>
          <w:vertAlign w:val="subscript"/>
        </w:rPr>
        <w:t>2</w:t>
      </w:r>
      <w:r>
        <w:rPr>
          <w:rFonts w:ascii="Arial" w:cs="Arial" w:eastAsia="Arial" w:hAnsi="Arial"/>
          <w:sz w:val="21"/>
          <w:szCs w:val="21"/>
          <w:color w:val="auto"/>
        </w:rPr>
        <w:t>) injection and storage at Elk Hills. See Carbon TerraVault's 2023 Update for additional information</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"Our 2023 results were exceptional, and our teams executed on our plan to build a stronger CRC while creating long-term value for all stakeholders," said Francisco Leon, CRC’s President and Chief Executive Officer. “We profitably grew our business and generated significant free cash flow that maintained our premier balance sheet and allowed us to prioritize cash returns to our shareholders. Our focus now is on securing the requisite approvals to close the recently announced merger with Aera Energy, while preparing for integration of their experienced team members and high value assets into CRC after closing. The Aera merger will provide CRC greater operating scale for the entire business, thereby improving our operating cash flows and liquidity profile. The Aera assets will also enhance CRC’s carbon management business from which CRC will accelerate the decarbonization of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1"/>
          <w:szCs w:val="21"/>
          <w:b w:val="1"/>
          <w:bCs w:val="1"/>
          <w:u w:val="single" w:color="auto"/>
          <w:color w:val="auto"/>
        </w:rPr>
        <w:t>Fourth Quarter 2023 Financial and Operating Summary</w:t>
      </w:r>
    </w:p>
    <w:p>
      <w:pPr>
        <w:spacing w:after="0" w:line="236" w:lineRule="exact"/>
        <w:rPr>
          <w:sz w:val="20"/>
          <w:szCs w:val="20"/>
          <w:color w:val="auto"/>
        </w:rPr>
      </w:pPr>
    </w:p>
    <w:p>
      <w:pPr>
        <w:jc w:val="both"/>
        <w:ind w:firstLine="320"/>
        <w:spacing w:after="0" w:line="236" w:lineRule="auto"/>
        <w:rPr>
          <w:sz w:val="20"/>
          <w:szCs w:val="20"/>
          <w:color w:val="auto"/>
        </w:rPr>
      </w:pPr>
      <w:r>
        <w:rPr>
          <w:rFonts w:ascii="Arial" w:cs="Arial" w:eastAsia="Arial" w:hAnsi="Arial"/>
          <w:sz w:val="21"/>
          <w:szCs w:val="21"/>
          <w:color w:val="auto"/>
        </w:rPr>
        <w:t>The Company reported fourth quarter net cash from operating activities of $131 million and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$65 million. Net income for the period was $188 million, or $2.60 per diluted share of common stock, and adjusted net income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was $67 million, or $0.93 per diluted share.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was $179 million.</w:t>
      </w:r>
    </w:p>
    <w:p>
      <w:pPr>
        <w:spacing w:after="0" w:line="116"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21"/>
          <w:szCs w:val="21"/>
          <w:color w:val="auto"/>
        </w:rPr>
        <w:t>CRC’s daily gross production in the fourth quarter averaged 98 MBoe/d. Net production averaged 83 MBoe/d, including 50 MBo/d. Average realized oil prices during the period were 99% of Brent.</w:t>
      </w:r>
    </w:p>
    <w:p>
      <w:pPr>
        <w:spacing w:after="0" w:line="149"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21"/>
          <w:szCs w:val="21"/>
          <w:color w:val="auto"/>
        </w:rPr>
        <w:t>Operating costs in the fourth quarter of 2023 averaged $24.49 per Boe, compared to $24.96 per Boe in the third quarter of 2023 and reflect a positive impact of recent organizational changes. In August 2023, CRC took actions to better align its resources to strategic priorities and improve operational efficiency. The Company realized approximately $15 million of savings in the fourth quarter and expects these actions to result in approximately $65 million of savings in operating costs and general and administrative expenses on an annualized basis.</w:t>
      </w:r>
    </w:p>
    <w:p>
      <w:pPr>
        <w:spacing w:after="0" w:line="192"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21"/>
          <w:szCs w:val="21"/>
          <w:color w:val="auto"/>
        </w:rPr>
        <w:t>Capital investments in the fourth quarter were in line with expectations and totaled $66 million. Capital allocation during the period was focused on a one-rig program in the Los Angeles basin.</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Fourth Quarter and Full Year Financial Results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Selected Production, Price Information and Results of Operations</w:t>
            </w:r>
          </w:p>
        </w:tc>
        <w:tc>
          <w:tcPr>
            <w:tcW w:w="14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right"/>
              <w:ind w:right="109"/>
              <w:spacing w:after="0"/>
              <w:rPr>
                <w:sz w:val="20"/>
                <w:szCs w:val="20"/>
                <w:color w:val="auto"/>
              </w:rPr>
            </w:pPr>
            <w:r>
              <w:rPr>
                <w:rFonts w:ascii="Arial" w:cs="Arial" w:eastAsia="Arial" w:hAnsi="Arial"/>
                <w:sz w:val="14"/>
                <w:szCs w:val="14"/>
                <w:b w:val="1"/>
                <w:bCs w:val="1"/>
                <w:color w:val="auto"/>
              </w:rPr>
              <w:t>4th Quarter</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right"/>
              <w:ind w:right="149"/>
              <w:spacing w:after="0"/>
              <w:rPr>
                <w:sz w:val="20"/>
                <w:szCs w:val="20"/>
                <w:color w:val="auto"/>
              </w:rPr>
            </w:pPr>
            <w:r>
              <w:rPr>
                <w:rFonts w:ascii="Arial" w:cs="Arial" w:eastAsia="Arial" w:hAnsi="Arial"/>
                <w:sz w:val="14"/>
                <w:szCs w:val="14"/>
                <w:color w:val="auto"/>
              </w:rPr>
              <w:t>3rd Quarter</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960" w:type="dxa"/>
            <w:vAlign w:val="bottom"/>
            <w:tcBorders>
              <w:top w:val="single" w:sz="8" w:color="auto"/>
            </w:tcBorders>
            <w:shd w:val="clear" w:color="auto" w:fill="DBDBDB"/>
          </w:tcPr>
          <w:p>
            <w:pPr>
              <w:jc w:val="right"/>
              <w:ind w:right="169"/>
              <w:spacing w:after="0"/>
              <w:rPr>
                <w:sz w:val="20"/>
                <w:szCs w:val="20"/>
                <w:color w:val="auto"/>
              </w:rPr>
            </w:pPr>
            <w:r>
              <w:rPr>
                <w:rFonts w:ascii="Arial" w:cs="Arial" w:eastAsia="Arial" w:hAnsi="Arial"/>
                <w:sz w:val="14"/>
                <w:szCs w:val="14"/>
                <w:b w:val="1"/>
                <w:bCs w:val="1"/>
                <w:color w:val="auto"/>
              </w:rPr>
              <w:t>Total Year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960" w:type="dxa"/>
            <w:vAlign w:val="bottom"/>
            <w:tcBorders>
              <w:top w:val="single" w:sz="8" w:color="auto"/>
            </w:tcBorders>
            <w:shd w:val="clear" w:color="auto" w:fill="DBDBDB"/>
          </w:tcPr>
          <w:p>
            <w:pPr>
              <w:jc w:val="right"/>
              <w:ind w:right="189"/>
              <w:spacing w:after="0"/>
              <w:rPr>
                <w:sz w:val="20"/>
                <w:szCs w:val="20"/>
                <w:color w:val="auto"/>
              </w:rPr>
            </w:pPr>
            <w:r>
              <w:rPr>
                <w:rFonts w:ascii="Arial" w:cs="Arial" w:eastAsia="Arial" w:hAnsi="Arial"/>
                <w:sz w:val="14"/>
                <w:szCs w:val="14"/>
                <w:color w:val="auto"/>
              </w:rPr>
              <w:t>Total year</w:t>
            </w:r>
          </w:p>
        </w:tc>
      </w:tr>
      <w:tr>
        <w:trPr>
          <w:trHeight w:val="201"/>
        </w:trPr>
        <w:tc>
          <w:tcPr>
            <w:tcW w:w="61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 in millions)</w:t>
            </w:r>
          </w:p>
        </w:tc>
        <w:tc>
          <w:tcPr>
            <w:tcW w:w="14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color w:val="auto"/>
              </w:rPr>
              <w:t>2023</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ind w:right="32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color w:val="auto"/>
              </w:rPr>
              <w:t>2022</w:t>
            </w:r>
          </w:p>
        </w:tc>
      </w:tr>
      <w:tr>
        <w:trPr>
          <w:trHeight w:val="432"/>
        </w:trPr>
        <w:tc>
          <w:tcPr>
            <w:tcW w:w="6100" w:type="dxa"/>
            <w:vAlign w:val="bottom"/>
          </w:tcPr>
          <w:p>
            <w:pPr>
              <w:ind w:left="20"/>
              <w:spacing w:after="0"/>
              <w:rPr>
                <w:sz w:val="20"/>
                <w:szCs w:val="20"/>
                <w:color w:val="auto"/>
              </w:rPr>
            </w:pPr>
            <w:r>
              <w:rPr>
                <w:rFonts w:ascii="Arial" w:cs="Arial" w:eastAsia="Arial" w:hAnsi="Arial"/>
                <w:sz w:val="14"/>
                <w:szCs w:val="14"/>
                <w:color w:val="auto"/>
              </w:rPr>
              <w:t>Average net oil production per day (MBbl/d)</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51</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52</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00"/>
        </w:trPr>
        <w:tc>
          <w:tcPr>
            <w:tcW w:w="6100" w:type="dxa"/>
            <w:vAlign w:val="bottom"/>
          </w:tcPr>
          <w:p>
            <w:pPr>
              <w:ind w:left="240"/>
              <w:spacing w:after="0"/>
              <w:rPr>
                <w:sz w:val="20"/>
                <w:szCs w:val="20"/>
                <w:color w:val="auto"/>
              </w:rPr>
            </w:pPr>
            <w:r>
              <w:rPr>
                <w:rFonts w:ascii="Arial" w:cs="Arial" w:eastAsia="Arial" w:hAnsi="Arial"/>
                <w:sz w:val="14"/>
                <w:szCs w:val="14"/>
                <w:color w:val="auto"/>
              </w:rPr>
              <w:t>Realized oil price with derivative settlements ($ per Bbl)</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71.34</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66.12</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65.97</w:t>
            </w:r>
          </w:p>
        </w:tc>
        <w:tc>
          <w:tcPr>
            <w:tcW w:w="12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61.8</w:t>
            </w:r>
          </w:p>
        </w:tc>
      </w:tr>
      <w:tr>
        <w:trPr>
          <w:trHeight w:val="200"/>
        </w:trPr>
        <w:tc>
          <w:tcPr>
            <w:tcW w:w="6100" w:type="dxa"/>
            <w:vAlign w:val="bottom"/>
          </w:tcPr>
          <w:p>
            <w:pPr>
              <w:ind w:left="20"/>
              <w:spacing w:after="0"/>
              <w:rPr>
                <w:sz w:val="20"/>
                <w:szCs w:val="20"/>
                <w:color w:val="auto"/>
              </w:rPr>
            </w:pPr>
            <w:r>
              <w:rPr>
                <w:rFonts w:ascii="Arial" w:cs="Arial" w:eastAsia="Arial" w:hAnsi="Arial"/>
                <w:sz w:val="14"/>
                <w:szCs w:val="14"/>
                <w:color w:val="auto"/>
              </w:rPr>
              <w:t>Average net NGL production per day (MBbl/d)</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0"/>
        </w:trPr>
        <w:tc>
          <w:tcPr>
            <w:tcW w:w="6100" w:type="dxa"/>
            <w:vAlign w:val="bottom"/>
          </w:tcPr>
          <w:p>
            <w:pPr>
              <w:ind w:left="240"/>
              <w:spacing w:after="0"/>
              <w:rPr>
                <w:sz w:val="20"/>
                <w:szCs w:val="20"/>
                <w:color w:val="auto"/>
              </w:rPr>
            </w:pPr>
            <w:r>
              <w:rPr>
                <w:rFonts w:ascii="Arial" w:cs="Arial" w:eastAsia="Arial" w:hAnsi="Arial"/>
                <w:sz w:val="14"/>
                <w:szCs w:val="14"/>
                <w:color w:val="auto"/>
              </w:rPr>
              <w:t>Realized NGL price ($ per Bbl)</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49.08</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44.95</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48.94</w:t>
            </w:r>
          </w:p>
        </w:tc>
        <w:tc>
          <w:tcPr>
            <w:tcW w:w="12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64.33</w:t>
            </w:r>
          </w:p>
        </w:tc>
      </w:tr>
      <w:tr>
        <w:trPr>
          <w:trHeight w:val="200"/>
        </w:trPr>
        <w:tc>
          <w:tcPr>
            <w:tcW w:w="6100" w:type="dxa"/>
            <w:vAlign w:val="bottom"/>
          </w:tcPr>
          <w:p>
            <w:pPr>
              <w:ind w:left="20"/>
              <w:spacing w:after="0"/>
              <w:rPr>
                <w:sz w:val="20"/>
                <w:szCs w:val="20"/>
                <w:color w:val="auto"/>
              </w:rPr>
            </w:pPr>
            <w:r>
              <w:rPr>
                <w:rFonts w:ascii="Arial" w:cs="Arial" w:eastAsia="Arial" w:hAnsi="Arial"/>
                <w:sz w:val="14"/>
                <w:szCs w:val="14"/>
                <w:color w:val="auto"/>
              </w:rPr>
              <w:t>Average net natural gas production per day (Mmcf/d)</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130</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200"/>
        </w:trPr>
        <w:tc>
          <w:tcPr>
            <w:tcW w:w="6100" w:type="dxa"/>
            <w:vAlign w:val="bottom"/>
          </w:tcPr>
          <w:p>
            <w:pPr>
              <w:ind w:left="240"/>
              <w:spacing w:after="0"/>
              <w:rPr>
                <w:sz w:val="20"/>
                <w:szCs w:val="20"/>
                <w:color w:val="auto"/>
              </w:rPr>
            </w:pPr>
            <w:r>
              <w:rPr>
                <w:rFonts w:ascii="Arial" w:cs="Arial" w:eastAsia="Arial" w:hAnsi="Arial"/>
                <w:sz w:val="14"/>
                <w:szCs w:val="14"/>
                <w:color w:val="auto"/>
              </w:rPr>
              <w:t>Realized natural gas price with derivative settlements ($ per Mcf)</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4.66</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4.83</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8.59</w:t>
            </w:r>
          </w:p>
        </w:tc>
        <w:tc>
          <w:tcPr>
            <w:tcW w:w="12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7.54</w:t>
            </w:r>
          </w:p>
        </w:tc>
      </w:tr>
      <w:tr>
        <w:trPr>
          <w:trHeight w:val="200"/>
        </w:trPr>
        <w:tc>
          <w:tcPr>
            <w:tcW w:w="6100" w:type="dxa"/>
            <w:vAlign w:val="bottom"/>
          </w:tcPr>
          <w:p>
            <w:pPr>
              <w:ind w:left="20"/>
              <w:spacing w:after="0"/>
              <w:rPr>
                <w:sz w:val="20"/>
                <w:szCs w:val="20"/>
                <w:color w:val="auto"/>
              </w:rPr>
            </w:pPr>
            <w:r>
              <w:rPr>
                <w:rFonts w:ascii="Arial" w:cs="Arial" w:eastAsia="Arial" w:hAnsi="Arial"/>
                <w:sz w:val="14"/>
                <w:szCs w:val="14"/>
                <w:color w:val="auto"/>
              </w:rPr>
              <w:t>Average net total production per day (MBoe/d)</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85</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453"/>
        </w:trPr>
        <w:tc>
          <w:tcPr>
            <w:tcW w:w="6100" w:type="dxa"/>
            <w:vAlign w:val="bottom"/>
          </w:tcPr>
          <w:p>
            <w:pPr>
              <w:ind w:left="20"/>
              <w:spacing w:after="0"/>
              <w:rPr>
                <w:sz w:val="20"/>
                <w:szCs w:val="20"/>
                <w:color w:val="auto"/>
              </w:rPr>
            </w:pPr>
            <w:r>
              <w:rPr>
                <w:rFonts w:ascii="Arial" w:cs="Arial" w:eastAsia="Arial" w:hAnsi="Arial"/>
                <w:sz w:val="14"/>
                <w:szCs w:val="14"/>
                <w:color w:val="auto"/>
              </w:rPr>
              <w:t>Margin from marketing purchased natural gas ($ millions)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20" w:type="dxa"/>
            <w:vAlign w:val="bottom"/>
            <w:tcBorders>
              <w:right w:val="single" w:sz="8" w:color="auto"/>
            </w:tcBorders>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47</w:t>
            </w:r>
          </w:p>
        </w:tc>
        <w:tc>
          <w:tcPr>
            <w:tcW w:w="100" w:type="dxa"/>
            <w:vAlign w:val="bottom"/>
            <w:tcBorders>
              <w:right w:val="single" w:sz="8" w:color="auto"/>
            </w:tcBorders>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Borders>
              <w:right w:val="single" w:sz="8" w:color="auto"/>
            </w:tcBorders>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00"/>
        </w:trPr>
        <w:tc>
          <w:tcPr>
            <w:tcW w:w="6100" w:type="dxa"/>
            <w:vAlign w:val="bottom"/>
          </w:tcPr>
          <w:p>
            <w:pPr>
              <w:ind w:left="20"/>
              <w:spacing w:after="0"/>
              <w:rPr>
                <w:sz w:val="20"/>
                <w:szCs w:val="20"/>
                <w:color w:val="auto"/>
              </w:rPr>
            </w:pPr>
            <w:r>
              <w:rPr>
                <w:rFonts w:ascii="Arial" w:cs="Arial" w:eastAsia="Arial" w:hAnsi="Arial"/>
                <w:sz w:val="14"/>
                <w:szCs w:val="14"/>
                <w:color w:val="auto"/>
              </w:rPr>
              <w:t>Margin from electricity sales ($ millions)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44</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01"/>
        </w:trPr>
        <w:tc>
          <w:tcPr>
            <w:tcW w:w="6100" w:type="dxa"/>
            <w:vAlign w:val="bottom"/>
          </w:tcPr>
          <w:p>
            <w:pPr>
              <w:ind w:left="20"/>
              <w:spacing w:after="0"/>
              <w:rPr>
                <w:sz w:val="20"/>
                <w:szCs w:val="20"/>
                <w:color w:val="auto"/>
              </w:rPr>
            </w:pPr>
            <w:r>
              <w:rPr>
                <w:rFonts w:ascii="Arial" w:cs="Arial" w:eastAsia="Arial" w:hAnsi="Arial"/>
                <w:sz w:val="14"/>
                <w:szCs w:val="14"/>
                <w:color w:val="auto"/>
              </w:rPr>
              <w:t>Net gain (loss) from commodity derivatives ($ millions)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87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2"/>
        </w:trPr>
        <w:tc>
          <w:tcPr>
            <w:tcW w:w="20" w:type="dxa"/>
            <w:vAlign w:val="bottom"/>
            <w:tcBorders>
              <w:top w:val="single" w:sz="8" w:color="DBDBDB"/>
            </w:tcBorders>
            <w:shd w:val="clear" w:color="auto" w:fill="DBDBDB"/>
          </w:tcPr>
          <w:p>
            <w:pPr>
              <w:spacing w:after="0"/>
              <w:rPr>
                <w:sz w:val="18"/>
                <w:szCs w:val="18"/>
                <w:color w:val="auto"/>
              </w:rPr>
            </w:pPr>
          </w:p>
        </w:tc>
        <w:tc>
          <w:tcPr>
            <w:tcW w:w="6080" w:type="dxa"/>
            <w:vAlign w:val="bottom"/>
            <w:tcBorders>
              <w:top w:val="single" w:sz="8" w:color="DBDBDB"/>
            </w:tcBorders>
            <w:gridSpan w:val="3"/>
            <w:shd w:val="clear" w:color="auto" w:fill="DBDBDB"/>
          </w:tcPr>
          <w:p>
            <w:pPr>
              <w:spacing w:after="0"/>
              <w:rPr>
                <w:sz w:val="20"/>
                <w:szCs w:val="20"/>
                <w:color w:val="auto"/>
              </w:rPr>
            </w:pPr>
            <w:r>
              <w:rPr>
                <w:rFonts w:ascii="Arial" w:cs="Arial" w:eastAsia="Arial" w:hAnsi="Arial"/>
                <w:sz w:val="14"/>
                <w:szCs w:val="14"/>
                <w:b w:val="1"/>
                <w:bCs w:val="1"/>
                <w:color w:val="auto"/>
              </w:rPr>
              <w:t>Selected Financial Statement Data and non-GAAP measures:</w:t>
            </w:r>
          </w:p>
        </w:tc>
        <w:tc>
          <w:tcPr>
            <w:tcW w:w="14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right"/>
              <w:ind w:right="109"/>
              <w:spacing w:after="0"/>
              <w:rPr>
                <w:sz w:val="20"/>
                <w:szCs w:val="20"/>
                <w:color w:val="auto"/>
              </w:rPr>
            </w:pPr>
            <w:r>
              <w:rPr>
                <w:rFonts w:ascii="Arial" w:cs="Arial" w:eastAsia="Arial" w:hAnsi="Arial"/>
                <w:sz w:val="14"/>
                <w:szCs w:val="14"/>
                <w:b w:val="1"/>
                <w:bCs w:val="1"/>
                <w:color w:val="auto"/>
              </w:rPr>
              <w:t>4th Quarter</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right"/>
              <w:ind w:right="149"/>
              <w:spacing w:after="0"/>
              <w:rPr>
                <w:sz w:val="20"/>
                <w:szCs w:val="20"/>
                <w:color w:val="auto"/>
              </w:rPr>
            </w:pPr>
            <w:r>
              <w:rPr>
                <w:rFonts w:ascii="Arial" w:cs="Arial" w:eastAsia="Arial" w:hAnsi="Arial"/>
                <w:sz w:val="14"/>
                <w:szCs w:val="14"/>
                <w:color w:val="auto"/>
              </w:rPr>
              <w:t>3rd Quarter</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960" w:type="dxa"/>
            <w:vAlign w:val="bottom"/>
            <w:tcBorders>
              <w:top w:val="single" w:sz="8" w:color="auto"/>
            </w:tcBorders>
            <w:shd w:val="clear" w:color="auto" w:fill="DBDBDB"/>
          </w:tcPr>
          <w:p>
            <w:pPr>
              <w:jc w:val="right"/>
              <w:ind w:right="169"/>
              <w:spacing w:after="0"/>
              <w:rPr>
                <w:sz w:val="20"/>
                <w:szCs w:val="20"/>
                <w:color w:val="auto"/>
              </w:rPr>
            </w:pPr>
            <w:r>
              <w:rPr>
                <w:rFonts w:ascii="Arial" w:cs="Arial" w:eastAsia="Arial" w:hAnsi="Arial"/>
                <w:sz w:val="14"/>
                <w:szCs w:val="14"/>
                <w:b w:val="1"/>
                <w:bCs w:val="1"/>
                <w:color w:val="auto"/>
              </w:rPr>
              <w:t>Total Year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960" w:type="dxa"/>
            <w:vAlign w:val="bottom"/>
            <w:tcBorders>
              <w:top w:val="single" w:sz="8" w:color="auto"/>
            </w:tcBorders>
            <w:shd w:val="clear" w:color="auto" w:fill="DBDBDB"/>
          </w:tcPr>
          <w:p>
            <w:pPr>
              <w:jc w:val="right"/>
              <w:ind w:right="189"/>
              <w:spacing w:after="0"/>
              <w:rPr>
                <w:sz w:val="20"/>
                <w:szCs w:val="20"/>
                <w:color w:val="auto"/>
              </w:rPr>
            </w:pPr>
            <w:r>
              <w:rPr>
                <w:rFonts w:ascii="Arial" w:cs="Arial" w:eastAsia="Arial" w:hAnsi="Arial"/>
                <w:sz w:val="14"/>
                <w:szCs w:val="14"/>
                <w:color w:val="auto"/>
              </w:rPr>
              <w:t>Total year</w:t>
            </w:r>
          </w:p>
        </w:tc>
      </w:tr>
      <w:tr>
        <w:trPr>
          <w:trHeight w:val="201"/>
        </w:trPr>
        <w:tc>
          <w:tcPr>
            <w:tcW w:w="20" w:type="dxa"/>
            <w:vAlign w:val="bottom"/>
            <w:tcBorders>
              <w:bottom w:val="single" w:sz="8" w:color="auto"/>
            </w:tcBorders>
            <w:shd w:val="clear" w:color="auto" w:fill="DBDBDB"/>
          </w:tcPr>
          <w:p>
            <w:pPr>
              <w:spacing w:after="0"/>
              <w:rPr>
                <w:sz w:val="17"/>
                <w:szCs w:val="17"/>
                <w:color w:val="auto"/>
              </w:rPr>
            </w:pPr>
          </w:p>
        </w:tc>
        <w:tc>
          <w:tcPr>
            <w:tcW w:w="6080" w:type="dxa"/>
            <w:vAlign w:val="bottom"/>
            <w:tcBorders>
              <w:bottom w:val="single" w:sz="8" w:color="auto"/>
            </w:tcBorders>
            <w:gridSpan w:val="3"/>
            <w:shd w:val="clear" w:color="auto" w:fill="DBDBDB"/>
          </w:tcPr>
          <w:p>
            <w:pPr>
              <w:spacing w:after="0"/>
              <w:rPr>
                <w:sz w:val="20"/>
                <w:szCs w:val="20"/>
                <w:color w:val="auto"/>
              </w:rPr>
            </w:pPr>
            <w:r>
              <w:rPr>
                <w:rFonts w:ascii="Arial" w:cs="Arial" w:eastAsia="Arial" w:hAnsi="Arial"/>
                <w:sz w:val="14"/>
                <w:szCs w:val="14"/>
                <w:color w:val="auto"/>
              </w:rPr>
              <w:t>($ and shares in millions, except per share amounts)</w:t>
            </w:r>
          </w:p>
        </w:tc>
        <w:tc>
          <w:tcPr>
            <w:tcW w:w="14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color w:val="auto"/>
              </w:rPr>
              <w:t>2023</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ind w:right="32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color w:val="auto"/>
              </w:rPr>
              <w:t>2022</w:t>
            </w:r>
          </w:p>
        </w:tc>
      </w:tr>
      <w:tr>
        <w:trPr>
          <w:trHeight w:val="287"/>
        </w:trPr>
        <w:tc>
          <w:tcPr>
            <w:tcW w:w="20" w:type="dxa"/>
            <w:vAlign w:val="bottom"/>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Statements of Operations:</w:t>
            </w: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Revenues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193"/>
        </w:trPr>
        <w:tc>
          <w:tcPr>
            <w:tcW w:w="20" w:type="dxa"/>
            <w:vAlign w:val="bottom"/>
          </w:tcPr>
          <w:p>
            <w:pPr>
              <w:spacing w:after="0"/>
              <w:rPr>
                <w:sz w:val="16"/>
                <w:szCs w:val="16"/>
                <w:color w:val="auto"/>
              </w:rPr>
            </w:pPr>
          </w:p>
        </w:tc>
        <w:tc>
          <w:tcPr>
            <w:tcW w:w="6080" w:type="dxa"/>
            <w:vAlign w:val="bottom"/>
            <w:gridSpan w:val="3"/>
          </w:tcPr>
          <w:p>
            <w:pPr>
              <w:ind w:left="200"/>
              <w:spacing w:after="0"/>
              <w:rPr>
                <w:sz w:val="20"/>
                <w:szCs w:val="20"/>
                <w:color w:val="auto"/>
              </w:rPr>
            </w:pPr>
            <w:r>
              <w:rPr>
                <w:rFonts w:ascii="Arial" w:cs="Arial" w:eastAsia="Arial" w:hAnsi="Arial"/>
                <w:sz w:val="14"/>
                <w:szCs w:val="14"/>
                <w:color w:val="auto"/>
              </w:rPr>
              <w:t>Total operating revenues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726</w:t>
            </w:r>
          </w:p>
        </w:tc>
        <w:tc>
          <w:tcPr>
            <w:tcW w:w="120" w:type="dxa"/>
            <w:vAlign w:val="bottom"/>
            <w:tcBorders>
              <w:right w:val="single" w:sz="8" w:color="auto"/>
            </w:tcBorders>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Borders>
              <w:right w:val="single" w:sz="8" w:color="auto"/>
            </w:tcBorders>
          </w:tcPr>
          <w:p>
            <w:pPr>
              <w:spacing w:after="0"/>
              <w:rPr>
                <w:sz w:val="16"/>
                <w:szCs w:val="16"/>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2,801</w:t>
            </w:r>
          </w:p>
        </w:tc>
        <w:tc>
          <w:tcPr>
            <w:tcW w:w="120" w:type="dxa"/>
            <w:vAlign w:val="bottom"/>
            <w:tcBorders>
              <w:right w:val="single" w:sz="8" w:color="auto"/>
            </w:tcBorders>
          </w:tcPr>
          <w:p>
            <w:pPr>
              <w:spacing w:after="0"/>
              <w:rPr>
                <w:sz w:val="16"/>
                <w:szCs w:val="16"/>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2,707</w:t>
            </w:r>
          </w:p>
        </w:tc>
      </w:tr>
      <w:tr>
        <w:trPr>
          <w:trHeight w:val="248"/>
        </w:trPr>
        <w:tc>
          <w:tcPr>
            <w:tcW w:w="20" w:type="dxa"/>
            <w:vAlign w:val="bottom"/>
          </w:tcPr>
          <w:p>
            <w:pPr>
              <w:spacing w:after="0"/>
              <w:rPr>
                <w:sz w:val="21"/>
                <w:szCs w:val="21"/>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Selected Expenses</w:t>
            </w:r>
          </w:p>
        </w:tc>
        <w:tc>
          <w:tcPr>
            <w:tcW w:w="4780" w:type="dxa"/>
            <w:vAlign w:val="bottom"/>
            <w:gridSpan w:val="2"/>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6080" w:type="dxa"/>
            <w:vAlign w:val="bottom"/>
            <w:gridSpan w:val="3"/>
          </w:tcPr>
          <w:p>
            <w:pPr>
              <w:spacing w:after="0"/>
              <w:rPr>
                <w:sz w:val="20"/>
                <w:szCs w:val="20"/>
                <w:color w:val="auto"/>
              </w:rPr>
            </w:pPr>
            <w:r>
              <w:rPr>
                <w:rFonts w:ascii="Arial" w:cs="Arial" w:eastAsia="Arial" w:hAnsi="Arial"/>
                <w:sz w:val="14"/>
                <w:szCs w:val="14"/>
                <w:color w:val="auto"/>
              </w:rPr>
              <w:t>Operating costs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186</w:t>
            </w:r>
          </w:p>
        </w:tc>
        <w:tc>
          <w:tcPr>
            <w:tcW w:w="120" w:type="dxa"/>
            <w:vAlign w:val="bottom"/>
            <w:tcBorders>
              <w:right w:val="single" w:sz="8" w:color="auto"/>
            </w:tcBorders>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Borders>
              <w:right w:val="single" w:sz="8" w:color="auto"/>
            </w:tcBorders>
          </w:tcPr>
          <w:p>
            <w:pPr>
              <w:spacing w:after="0"/>
              <w:rPr>
                <w:sz w:val="19"/>
                <w:szCs w:val="19"/>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822</w:t>
            </w:r>
          </w:p>
        </w:tc>
        <w:tc>
          <w:tcPr>
            <w:tcW w:w="120" w:type="dxa"/>
            <w:vAlign w:val="bottom"/>
            <w:tcBorders>
              <w:right w:val="single" w:sz="8" w:color="auto"/>
            </w:tcBorders>
          </w:tcPr>
          <w:p>
            <w:pPr>
              <w:spacing w:after="0"/>
              <w:rPr>
                <w:sz w:val="19"/>
                <w:szCs w:val="19"/>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785</w:t>
            </w:r>
          </w:p>
        </w:tc>
      </w:tr>
      <w:tr>
        <w:trPr>
          <w:trHeight w:val="200"/>
        </w:trPr>
        <w:tc>
          <w:tcPr>
            <w:tcW w:w="20" w:type="dxa"/>
            <w:vAlign w:val="bottom"/>
          </w:tcPr>
          <w:p>
            <w:pPr>
              <w:spacing w:after="0"/>
              <w:rPr>
                <w:sz w:val="17"/>
                <w:szCs w:val="17"/>
                <w:color w:val="auto"/>
              </w:rPr>
            </w:pPr>
          </w:p>
        </w:tc>
        <w:tc>
          <w:tcPr>
            <w:tcW w:w="6080" w:type="dxa"/>
            <w:vAlign w:val="bottom"/>
            <w:gridSpan w:val="3"/>
          </w:tcPr>
          <w:p>
            <w:pPr>
              <w:spacing w:after="0"/>
              <w:rPr>
                <w:sz w:val="20"/>
                <w:szCs w:val="20"/>
                <w:color w:val="auto"/>
              </w:rPr>
            </w:pPr>
            <w:r>
              <w:rPr>
                <w:rFonts w:ascii="Arial" w:cs="Arial" w:eastAsia="Arial" w:hAnsi="Arial"/>
                <w:sz w:val="14"/>
                <w:szCs w:val="14"/>
                <w:color w:val="auto"/>
              </w:rPr>
              <w:t>General and administrative expenses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65</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267</w:t>
            </w:r>
          </w:p>
        </w:tc>
        <w:tc>
          <w:tcPr>
            <w:tcW w:w="12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222</w:t>
            </w:r>
          </w:p>
        </w:tc>
      </w:tr>
      <w:tr>
        <w:trPr>
          <w:trHeight w:val="205"/>
        </w:trPr>
        <w:tc>
          <w:tcPr>
            <w:tcW w:w="20" w:type="dxa"/>
            <w:vAlign w:val="bottom"/>
          </w:tcPr>
          <w:p>
            <w:pPr>
              <w:spacing w:after="0"/>
              <w:rPr>
                <w:sz w:val="17"/>
                <w:szCs w:val="17"/>
                <w:color w:val="auto"/>
              </w:rPr>
            </w:pPr>
          </w:p>
        </w:tc>
        <w:tc>
          <w:tcPr>
            <w:tcW w:w="6080" w:type="dxa"/>
            <w:vAlign w:val="bottom"/>
            <w:gridSpan w:val="3"/>
          </w:tcPr>
          <w:p>
            <w:pPr>
              <w:ind w:left="120"/>
              <w:spacing w:after="0" w:line="205" w:lineRule="exact"/>
              <w:rPr>
                <w:sz w:val="20"/>
                <w:szCs w:val="20"/>
                <w:color w:val="auto"/>
              </w:rPr>
            </w:pPr>
            <w:r>
              <w:rPr>
                <w:rFonts w:ascii="Arial" w:cs="Arial" w:eastAsia="Arial" w:hAnsi="Arial"/>
                <w:sz w:val="14"/>
                <w:szCs w:val="14"/>
                <w:i w:val="1"/>
                <w:iCs w:val="1"/>
                <w:color w:val="auto"/>
              </w:rPr>
              <w:t>Adjusted general and administrative expenses</w:t>
            </w:r>
            <w:r>
              <w:rPr>
                <w:rFonts w:ascii="Arial" w:cs="Arial" w:eastAsia="Arial" w:hAnsi="Arial"/>
                <w:sz w:val="18"/>
                <w:szCs w:val="18"/>
                <w:i w:val="1"/>
                <w:iCs w:val="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51</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218</w:t>
            </w:r>
          </w:p>
        </w:tc>
        <w:tc>
          <w:tcPr>
            <w:tcW w:w="12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201</w:t>
            </w:r>
          </w:p>
        </w:tc>
      </w:tr>
      <w:tr>
        <w:trPr>
          <w:trHeight w:val="195"/>
        </w:trPr>
        <w:tc>
          <w:tcPr>
            <w:tcW w:w="20" w:type="dxa"/>
            <w:vAlign w:val="bottom"/>
          </w:tcPr>
          <w:p>
            <w:pPr>
              <w:spacing w:after="0"/>
              <w:rPr>
                <w:sz w:val="16"/>
                <w:szCs w:val="16"/>
                <w:color w:val="auto"/>
              </w:rPr>
            </w:pPr>
          </w:p>
        </w:tc>
        <w:tc>
          <w:tcPr>
            <w:tcW w:w="6080" w:type="dxa"/>
            <w:vAlign w:val="bottom"/>
            <w:gridSpan w:val="3"/>
          </w:tcPr>
          <w:p>
            <w:pPr>
              <w:spacing w:after="0"/>
              <w:rPr>
                <w:sz w:val="20"/>
                <w:szCs w:val="20"/>
                <w:color w:val="auto"/>
              </w:rPr>
            </w:pPr>
            <w:r>
              <w:rPr>
                <w:rFonts w:ascii="Arial" w:cs="Arial" w:eastAsia="Arial" w:hAnsi="Arial"/>
                <w:sz w:val="14"/>
                <w:szCs w:val="14"/>
                <w:color w:val="auto"/>
              </w:rPr>
              <w:t>Taxes other than on income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120" w:type="dxa"/>
            <w:vAlign w:val="bottom"/>
            <w:tcBorders>
              <w:right w:val="single" w:sz="8" w:color="auto"/>
            </w:tcBorders>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48</w:t>
            </w:r>
          </w:p>
        </w:tc>
        <w:tc>
          <w:tcPr>
            <w:tcW w:w="100" w:type="dxa"/>
            <w:vAlign w:val="bottom"/>
            <w:tcBorders>
              <w:right w:val="single" w:sz="8" w:color="auto"/>
            </w:tcBorders>
          </w:tcPr>
          <w:p>
            <w:pPr>
              <w:spacing w:after="0"/>
              <w:rPr>
                <w:sz w:val="16"/>
                <w:szCs w:val="16"/>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165</w:t>
            </w:r>
          </w:p>
        </w:tc>
        <w:tc>
          <w:tcPr>
            <w:tcW w:w="120" w:type="dxa"/>
            <w:vAlign w:val="bottom"/>
            <w:tcBorders>
              <w:right w:val="single" w:sz="8" w:color="auto"/>
            </w:tcBorders>
          </w:tcPr>
          <w:p>
            <w:pPr>
              <w:spacing w:after="0"/>
              <w:rPr>
                <w:sz w:val="16"/>
                <w:szCs w:val="16"/>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200"/>
        </w:trPr>
        <w:tc>
          <w:tcPr>
            <w:tcW w:w="20" w:type="dxa"/>
            <w:vAlign w:val="bottom"/>
          </w:tcPr>
          <w:p>
            <w:pPr>
              <w:spacing w:after="0"/>
              <w:rPr>
                <w:sz w:val="17"/>
                <w:szCs w:val="17"/>
                <w:color w:val="auto"/>
              </w:rPr>
            </w:pPr>
          </w:p>
        </w:tc>
        <w:tc>
          <w:tcPr>
            <w:tcW w:w="6080" w:type="dxa"/>
            <w:vAlign w:val="bottom"/>
            <w:gridSpan w:val="3"/>
          </w:tcPr>
          <w:p>
            <w:pPr>
              <w:spacing w:after="0"/>
              <w:rPr>
                <w:sz w:val="20"/>
                <w:szCs w:val="20"/>
                <w:color w:val="auto"/>
              </w:rPr>
            </w:pPr>
            <w:r>
              <w:rPr>
                <w:rFonts w:ascii="Arial" w:cs="Arial" w:eastAsia="Arial" w:hAnsi="Arial"/>
                <w:sz w:val="14"/>
                <w:szCs w:val="14"/>
                <w:color w:val="auto"/>
              </w:rPr>
              <w:t>Transportation costs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16</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67</w:t>
            </w:r>
          </w:p>
        </w:tc>
        <w:tc>
          <w:tcPr>
            <w:tcW w:w="12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00"/>
        </w:trPr>
        <w:tc>
          <w:tcPr>
            <w:tcW w:w="20" w:type="dxa"/>
            <w:vAlign w:val="bottom"/>
          </w:tcPr>
          <w:p>
            <w:pPr>
              <w:spacing w:after="0"/>
              <w:rPr>
                <w:sz w:val="17"/>
                <w:szCs w:val="17"/>
                <w:color w:val="auto"/>
              </w:rPr>
            </w:pPr>
          </w:p>
        </w:tc>
        <w:tc>
          <w:tcPr>
            <w:tcW w:w="6080" w:type="dxa"/>
            <w:vAlign w:val="bottom"/>
            <w:gridSpan w:val="3"/>
          </w:tcPr>
          <w:p>
            <w:pPr>
              <w:spacing w:after="0"/>
              <w:rPr>
                <w:sz w:val="20"/>
                <w:szCs w:val="20"/>
                <w:color w:val="auto"/>
              </w:rPr>
            </w:pPr>
            <w:r>
              <w:rPr>
                <w:rFonts w:ascii="Arial" w:cs="Arial" w:eastAsia="Arial" w:hAnsi="Arial"/>
                <w:sz w:val="14"/>
                <w:szCs w:val="14"/>
                <w:color w:val="auto"/>
              </w:rPr>
              <w:t>Exploration expense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0"/>
        </w:trPr>
        <w:tc>
          <w:tcPr>
            <w:tcW w:w="20" w:type="dxa"/>
            <w:vAlign w:val="bottom"/>
          </w:tcPr>
          <w:p>
            <w:pPr>
              <w:spacing w:after="0"/>
              <w:rPr>
                <w:sz w:val="17"/>
                <w:szCs w:val="17"/>
                <w:color w:val="auto"/>
              </w:rPr>
            </w:pPr>
          </w:p>
        </w:tc>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Operating Income (loss)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283</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808</w:t>
            </w:r>
          </w:p>
        </w:tc>
        <w:tc>
          <w:tcPr>
            <w:tcW w:w="12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812</w:t>
            </w:r>
          </w:p>
        </w:tc>
      </w:tr>
      <w:tr>
        <w:trPr>
          <w:trHeight w:val="200"/>
        </w:trPr>
        <w:tc>
          <w:tcPr>
            <w:tcW w:w="20" w:type="dxa"/>
            <w:vAlign w:val="bottom"/>
          </w:tcPr>
          <w:p>
            <w:pPr>
              <w:spacing w:after="0"/>
              <w:rPr>
                <w:sz w:val="17"/>
                <w:szCs w:val="17"/>
                <w:color w:val="auto"/>
              </w:rPr>
            </w:pPr>
          </w:p>
        </w:tc>
        <w:tc>
          <w:tcPr>
            <w:tcW w:w="6080" w:type="dxa"/>
            <w:vAlign w:val="bottom"/>
            <w:gridSpan w:val="3"/>
          </w:tcPr>
          <w:p>
            <w:pPr>
              <w:spacing w:after="0"/>
              <w:rPr>
                <w:sz w:val="20"/>
                <w:szCs w:val="20"/>
                <w:color w:val="auto"/>
              </w:rPr>
            </w:pPr>
            <w:r>
              <w:rPr>
                <w:rFonts w:ascii="Arial" w:cs="Arial" w:eastAsia="Arial" w:hAnsi="Arial"/>
                <w:sz w:val="14"/>
                <w:szCs w:val="14"/>
                <w:color w:val="auto"/>
              </w:rPr>
              <w:t>Interest and debt expense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2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00"/>
        </w:trPr>
        <w:tc>
          <w:tcPr>
            <w:tcW w:w="20" w:type="dxa"/>
            <w:vAlign w:val="bottom"/>
          </w:tcPr>
          <w:p>
            <w:pPr>
              <w:spacing w:after="0"/>
              <w:rPr>
                <w:sz w:val="17"/>
                <w:szCs w:val="17"/>
                <w:color w:val="auto"/>
              </w:rPr>
            </w:pPr>
          </w:p>
        </w:tc>
        <w:tc>
          <w:tcPr>
            <w:tcW w:w="6080" w:type="dxa"/>
            <w:vAlign w:val="bottom"/>
            <w:gridSpan w:val="3"/>
          </w:tcPr>
          <w:p>
            <w:pPr>
              <w:spacing w:after="0"/>
              <w:rPr>
                <w:sz w:val="20"/>
                <w:szCs w:val="20"/>
                <w:color w:val="auto"/>
              </w:rPr>
            </w:pPr>
            <w:r>
              <w:rPr>
                <w:rFonts w:ascii="Arial" w:cs="Arial" w:eastAsia="Arial" w:hAnsi="Arial"/>
                <w:sz w:val="14"/>
                <w:szCs w:val="14"/>
                <w:color w:val="auto"/>
              </w:rPr>
              <w:t>Income tax provision (benefit)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w:t>
            </w:r>
          </w:p>
        </w:tc>
      </w:tr>
      <w:tr>
        <w:trPr>
          <w:trHeight w:val="193"/>
        </w:trPr>
        <w:tc>
          <w:tcPr>
            <w:tcW w:w="20" w:type="dxa"/>
            <w:vAlign w:val="bottom"/>
          </w:tcPr>
          <w:p>
            <w:pPr>
              <w:spacing w:after="0"/>
              <w:rPr>
                <w:sz w:val="16"/>
                <w:szCs w:val="16"/>
                <w:color w:val="auto"/>
              </w:rPr>
            </w:pPr>
          </w:p>
        </w:tc>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Net (loss)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188</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w:t>
            </w:r>
          </w:p>
        </w:tc>
      </w:tr>
      <w:tr>
        <w:trPr>
          <w:trHeight w:val="292"/>
        </w:trPr>
        <w:tc>
          <w:tcPr>
            <w:tcW w:w="20" w:type="dxa"/>
            <w:vAlign w:val="bottom"/>
          </w:tcPr>
          <w:p>
            <w:pPr>
              <w:spacing w:after="0"/>
              <w:rPr>
                <w:sz w:val="24"/>
                <w:szCs w:val="24"/>
                <w:color w:val="auto"/>
              </w:rPr>
            </w:pPr>
          </w:p>
        </w:tc>
        <w:tc>
          <w:tcPr>
            <w:tcW w:w="6080" w:type="dxa"/>
            <w:vAlign w:val="bottom"/>
            <w:gridSpan w:val="3"/>
          </w:tcPr>
          <w:p>
            <w:pPr>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67</w:t>
            </w:r>
          </w:p>
        </w:tc>
        <w:tc>
          <w:tcPr>
            <w:tcW w:w="120" w:type="dxa"/>
            <w:vAlign w:val="bottom"/>
            <w:tcBorders>
              <w:right w:val="single" w:sz="8" w:color="auto"/>
            </w:tcBorders>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74</w:t>
            </w:r>
          </w:p>
        </w:tc>
        <w:tc>
          <w:tcPr>
            <w:tcW w:w="100" w:type="dxa"/>
            <w:vAlign w:val="bottom"/>
            <w:tcBorders>
              <w:right w:val="single" w:sz="8" w:color="auto"/>
            </w:tcBorders>
          </w:tcPr>
          <w:p>
            <w:pPr>
              <w:spacing w:after="0"/>
              <w:rPr>
                <w:sz w:val="24"/>
                <w:szCs w:val="24"/>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372</w:t>
            </w:r>
          </w:p>
        </w:tc>
        <w:tc>
          <w:tcPr>
            <w:tcW w:w="120" w:type="dxa"/>
            <w:vAlign w:val="bottom"/>
            <w:tcBorders>
              <w:right w:val="single" w:sz="8" w:color="auto"/>
            </w:tcBorders>
          </w:tcPr>
          <w:p>
            <w:pPr>
              <w:spacing w:after="0"/>
              <w:rPr>
                <w:sz w:val="24"/>
                <w:szCs w:val="24"/>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384</w:t>
            </w:r>
          </w:p>
        </w:tc>
      </w:tr>
      <w:tr>
        <w:trPr>
          <w:trHeight w:val="195"/>
        </w:trPr>
        <w:tc>
          <w:tcPr>
            <w:tcW w:w="20" w:type="dxa"/>
            <w:vAlign w:val="bottom"/>
          </w:tcPr>
          <w:p>
            <w:pPr>
              <w:spacing w:after="0"/>
              <w:rPr>
                <w:sz w:val="16"/>
                <w:szCs w:val="16"/>
                <w:color w:val="auto"/>
              </w:rPr>
            </w:pPr>
          </w:p>
        </w:tc>
        <w:tc>
          <w:tcPr>
            <w:tcW w:w="6080" w:type="dxa"/>
            <w:vAlign w:val="bottom"/>
            <w:gridSpan w:val="3"/>
          </w:tcPr>
          <w:p>
            <w:pPr>
              <w:spacing w:after="0"/>
              <w:rPr>
                <w:sz w:val="20"/>
                <w:szCs w:val="20"/>
                <w:color w:val="auto"/>
              </w:rPr>
            </w:pPr>
            <w:r>
              <w:rPr>
                <w:rFonts w:ascii="Arial" w:cs="Arial" w:eastAsia="Arial" w:hAnsi="Arial"/>
                <w:sz w:val="14"/>
                <w:szCs w:val="14"/>
                <w:color w:val="auto"/>
              </w:rPr>
              <w:t>Weighted-average common shares outstanding - diluted</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68.7</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72.5</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77.6</w:t>
            </w:r>
          </w:p>
        </w:tc>
      </w:tr>
      <w:tr>
        <w:trPr>
          <w:trHeight w:val="200"/>
        </w:trPr>
        <w:tc>
          <w:tcPr>
            <w:tcW w:w="20" w:type="dxa"/>
            <w:vAlign w:val="bottom"/>
          </w:tcPr>
          <w:p>
            <w:pPr>
              <w:spacing w:after="0"/>
              <w:rPr>
                <w:sz w:val="17"/>
                <w:szCs w:val="17"/>
                <w:color w:val="auto"/>
              </w:rPr>
            </w:pPr>
          </w:p>
        </w:tc>
        <w:tc>
          <w:tcPr>
            <w:tcW w:w="6080" w:type="dxa"/>
            <w:vAlign w:val="bottom"/>
            <w:gridSpan w:val="3"/>
          </w:tcPr>
          <w:p>
            <w:pPr>
              <w:spacing w:after="0"/>
              <w:rPr>
                <w:sz w:val="20"/>
                <w:szCs w:val="20"/>
                <w:color w:val="auto"/>
              </w:rPr>
            </w:pPr>
            <w:r>
              <w:rPr>
                <w:rFonts w:ascii="Arial" w:cs="Arial" w:eastAsia="Arial" w:hAnsi="Arial"/>
                <w:sz w:val="14"/>
                <w:szCs w:val="14"/>
                <w:color w:val="auto"/>
              </w:rPr>
              <w:t>Net (loss) income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2.60</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(0.32)</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7.78</w:t>
            </w:r>
          </w:p>
        </w:tc>
        <w:tc>
          <w:tcPr>
            <w:tcW w:w="12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6.75</w:t>
            </w:r>
          </w:p>
        </w:tc>
      </w:tr>
      <w:tr>
        <w:trPr>
          <w:trHeight w:val="203"/>
        </w:trPr>
        <w:tc>
          <w:tcPr>
            <w:tcW w:w="20" w:type="dxa"/>
            <w:vAlign w:val="bottom"/>
          </w:tcPr>
          <w:p>
            <w:pPr>
              <w:spacing w:after="0"/>
              <w:rPr>
                <w:sz w:val="17"/>
                <w:szCs w:val="17"/>
                <w:color w:val="auto"/>
              </w:rPr>
            </w:pPr>
          </w:p>
        </w:tc>
        <w:tc>
          <w:tcPr>
            <w:tcW w:w="6080" w:type="dxa"/>
            <w:vAlign w:val="bottom"/>
            <w:gridSpan w:val="3"/>
          </w:tcPr>
          <w:p>
            <w:pPr>
              <w:spacing w:after="0" w:line="203"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0.93</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5.13</w:t>
            </w:r>
          </w:p>
        </w:tc>
        <w:tc>
          <w:tcPr>
            <w:tcW w:w="12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4.95</w:t>
            </w:r>
          </w:p>
        </w:tc>
      </w:tr>
      <w:tr>
        <w:trPr>
          <w:trHeight w:val="200"/>
        </w:trPr>
        <w:tc>
          <w:tcPr>
            <w:tcW w:w="20" w:type="dxa"/>
            <w:vAlign w:val="bottom"/>
          </w:tcPr>
          <w:p>
            <w:pPr>
              <w:spacing w:after="0"/>
              <w:rPr>
                <w:sz w:val="17"/>
                <w:szCs w:val="17"/>
                <w:color w:val="auto"/>
              </w:rPr>
            </w:pPr>
          </w:p>
        </w:tc>
        <w:tc>
          <w:tcPr>
            <w:tcW w:w="6080" w:type="dxa"/>
            <w:vAlign w:val="bottom"/>
            <w:gridSpan w:val="3"/>
          </w:tcPr>
          <w:p>
            <w:pPr>
              <w:spacing w:after="0" w:line="200" w:lineRule="exact"/>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179</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862</w:t>
            </w:r>
          </w:p>
        </w:tc>
        <w:tc>
          <w:tcPr>
            <w:tcW w:w="12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852</w:t>
            </w:r>
          </w:p>
        </w:tc>
      </w:tr>
      <w:tr>
        <w:trPr>
          <w:trHeight w:val="202"/>
        </w:trPr>
        <w:tc>
          <w:tcPr>
            <w:tcW w:w="20" w:type="dxa"/>
            <w:vAlign w:val="bottom"/>
          </w:tcPr>
          <w:p>
            <w:pPr>
              <w:spacing w:after="0"/>
              <w:rPr>
                <w:sz w:val="17"/>
                <w:szCs w:val="17"/>
                <w:color w:val="auto"/>
              </w:rPr>
            </w:pPr>
          </w:p>
        </w:tc>
        <w:tc>
          <w:tcPr>
            <w:tcW w:w="6080" w:type="dxa"/>
            <w:vAlign w:val="bottom"/>
            <w:gridSpan w:val="3"/>
          </w:tcPr>
          <w:p>
            <w:pPr>
              <w:spacing w:after="0" w:line="202" w:lineRule="exact"/>
              <w:rPr>
                <w:sz w:val="20"/>
                <w:szCs w:val="20"/>
                <w:color w:val="auto"/>
              </w:rPr>
            </w:pPr>
            <w:r>
              <w:rPr>
                <w:rFonts w:ascii="Arial" w:cs="Arial" w:eastAsia="Arial" w:hAnsi="Arial"/>
                <w:sz w:val="14"/>
                <w:szCs w:val="14"/>
                <w:color w:val="auto"/>
              </w:rPr>
              <w:t>Net cash provided by operating activities before changes in operating assets and liabilities, net</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104</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647</w:t>
            </w:r>
          </w:p>
        </w:tc>
        <w:tc>
          <w:tcPr>
            <w:tcW w:w="12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747</w:t>
            </w:r>
          </w:p>
        </w:tc>
      </w:tr>
      <w:tr>
        <w:trPr>
          <w:trHeight w:val="195"/>
        </w:trPr>
        <w:tc>
          <w:tcPr>
            <w:tcW w:w="20" w:type="dxa"/>
            <w:vAlign w:val="bottom"/>
          </w:tcPr>
          <w:p>
            <w:pPr>
              <w:spacing w:after="0"/>
              <w:rPr>
                <w:sz w:val="16"/>
                <w:szCs w:val="16"/>
                <w:color w:val="auto"/>
              </w:rPr>
            </w:pPr>
          </w:p>
        </w:tc>
        <w:tc>
          <w:tcPr>
            <w:tcW w:w="6080" w:type="dxa"/>
            <w:vAlign w:val="bottom"/>
            <w:gridSpan w:val="3"/>
          </w:tcPr>
          <w:p>
            <w:pPr>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131</w:t>
            </w:r>
          </w:p>
        </w:tc>
        <w:tc>
          <w:tcPr>
            <w:tcW w:w="120" w:type="dxa"/>
            <w:vAlign w:val="bottom"/>
            <w:tcBorders>
              <w:right w:val="single" w:sz="8" w:color="auto"/>
            </w:tcBorders>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Borders>
              <w:right w:val="single" w:sz="8" w:color="auto"/>
            </w:tcBorders>
          </w:tcPr>
          <w:p>
            <w:pPr>
              <w:spacing w:after="0"/>
              <w:rPr>
                <w:sz w:val="16"/>
                <w:szCs w:val="16"/>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653</w:t>
            </w:r>
          </w:p>
        </w:tc>
        <w:tc>
          <w:tcPr>
            <w:tcW w:w="120" w:type="dxa"/>
            <w:vAlign w:val="bottom"/>
            <w:tcBorders>
              <w:right w:val="single" w:sz="8" w:color="auto"/>
            </w:tcBorders>
          </w:tcPr>
          <w:p>
            <w:pPr>
              <w:spacing w:after="0"/>
              <w:rPr>
                <w:sz w:val="16"/>
                <w:szCs w:val="16"/>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690</w:t>
            </w:r>
          </w:p>
        </w:tc>
      </w:tr>
      <w:tr>
        <w:trPr>
          <w:trHeight w:val="200"/>
        </w:trPr>
        <w:tc>
          <w:tcPr>
            <w:tcW w:w="20" w:type="dxa"/>
            <w:vAlign w:val="bottom"/>
          </w:tcPr>
          <w:p>
            <w:pPr>
              <w:spacing w:after="0"/>
              <w:rPr>
                <w:sz w:val="17"/>
                <w:szCs w:val="17"/>
                <w:color w:val="auto"/>
              </w:rPr>
            </w:pPr>
          </w:p>
        </w:tc>
        <w:tc>
          <w:tcPr>
            <w:tcW w:w="6080" w:type="dxa"/>
            <w:vAlign w:val="bottom"/>
            <w:gridSpan w:val="3"/>
          </w:tcPr>
          <w:p>
            <w:pPr>
              <w:spacing w:after="0"/>
              <w:rPr>
                <w:sz w:val="20"/>
                <w:szCs w:val="20"/>
                <w:color w:val="auto"/>
              </w:rPr>
            </w:pPr>
            <w:r>
              <w:rPr>
                <w:rFonts w:ascii="Arial" w:cs="Arial" w:eastAsia="Arial" w:hAnsi="Arial"/>
                <w:sz w:val="14"/>
                <w:szCs w:val="14"/>
                <w:color w:val="auto"/>
              </w:rPr>
              <w:t>Capital investments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33</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185</w:t>
            </w:r>
          </w:p>
        </w:tc>
        <w:tc>
          <w:tcPr>
            <w:tcW w:w="12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379</w:t>
            </w:r>
          </w:p>
        </w:tc>
      </w:tr>
      <w:tr>
        <w:trPr>
          <w:trHeight w:val="201"/>
        </w:trPr>
        <w:tc>
          <w:tcPr>
            <w:tcW w:w="20" w:type="dxa"/>
            <w:vAlign w:val="bottom"/>
          </w:tcPr>
          <w:p>
            <w:pPr>
              <w:spacing w:after="0"/>
              <w:rPr>
                <w:sz w:val="17"/>
                <w:szCs w:val="17"/>
                <w:color w:val="auto"/>
              </w:rPr>
            </w:pPr>
          </w:p>
        </w:tc>
        <w:tc>
          <w:tcPr>
            <w:tcW w:w="6080" w:type="dxa"/>
            <w:vAlign w:val="bottom"/>
            <w:gridSpan w:val="3"/>
          </w:tcPr>
          <w:p>
            <w:pPr>
              <w:spacing w:after="0" w:line="201"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71</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468</w:t>
            </w:r>
          </w:p>
        </w:tc>
        <w:tc>
          <w:tcPr>
            <w:tcW w:w="12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311</w:t>
            </w:r>
          </w:p>
        </w:tc>
      </w:tr>
      <w:tr>
        <w:trPr>
          <w:trHeight w:val="200"/>
        </w:trPr>
        <w:tc>
          <w:tcPr>
            <w:tcW w:w="20" w:type="dxa"/>
            <w:vAlign w:val="bottom"/>
          </w:tcPr>
          <w:p>
            <w:pPr>
              <w:spacing w:after="0"/>
              <w:rPr>
                <w:sz w:val="17"/>
                <w:szCs w:val="17"/>
                <w:color w:val="auto"/>
              </w:rPr>
            </w:pPr>
          </w:p>
        </w:tc>
        <w:tc>
          <w:tcPr>
            <w:tcW w:w="6080" w:type="dxa"/>
            <w:vAlign w:val="bottom"/>
            <w:gridSpan w:val="3"/>
          </w:tcPr>
          <w:p>
            <w:pPr>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496</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479</w:t>
            </w:r>
          </w:p>
        </w:tc>
        <w:tc>
          <w:tcPr>
            <w:tcW w:w="10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496</w:t>
            </w:r>
          </w:p>
        </w:tc>
        <w:tc>
          <w:tcPr>
            <w:tcW w:w="12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307</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2023 Reserves</w:t>
      </w:r>
    </w:p>
    <w:p>
      <w:pPr>
        <w:spacing w:after="0" w:line="240"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21"/>
          <w:szCs w:val="21"/>
          <w:color w:val="auto"/>
        </w:rPr>
        <w:t>As of December 31, 2023, CRC’s proved reserves totaled an estimated 377 million Boe (MMBoe), of which 68% was oil and 331 MMBoe was proved developed. Estimated future net cash flows had a PV-10</w:t>
      </w:r>
      <w:r>
        <w:rPr>
          <w:rFonts w:ascii="Arial" w:cs="Arial" w:eastAsia="Arial" w:hAnsi="Arial"/>
          <w:sz w:val="11"/>
          <w:szCs w:val="11"/>
          <w:color w:val="auto"/>
        </w:rPr>
        <w:t>*</w:t>
      </w:r>
      <w:r>
        <w:rPr>
          <w:rFonts w:ascii="Arial" w:cs="Arial" w:eastAsia="Arial" w:hAnsi="Arial"/>
          <w:sz w:val="21"/>
          <w:szCs w:val="21"/>
          <w:color w:val="auto"/>
        </w:rPr>
        <w:t xml:space="preserve"> value of $5.5 billion based on SEC pricing of Brent $82.84 per barrel for oil and Henry Hub $2.64 per thousand cubic feet (Mcf) for natural gas,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155575</wp:posOffset>
            </wp:positionV>
            <wp:extent cx="7108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8825" cy="8255"/>
                    </a:xfrm>
                    <a:prstGeom prst="rect">
                      <a:avLst/>
                    </a:prstGeom>
                    <a:noFill/>
                  </pic:spPr>
                </pic:pic>
              </a:graphicData>
            </a:graphic>
          </wp:anchor>
        </w:drawing>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PV-10 AND STANDARDIZED MEASURE</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following table presents a reconciliation of the GAAP financial measure of Standardized Measure of discounted future net cash flows (Standardized Measure) to the non-</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GAAP financial measure of PV-10: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5600" w:type="dxa"/>
            <w:vAlign w:val="bottom"/>
            <w:tcBorders>
              <w:bottom w:val="single" w:sz="8" w:color="DBDBDB"/>
            </w:tcBorders>
          </w:tcPr>
          <w:p>
            <w:pPr>
              <w:spacing w:after="0"/>
              <w:rPr>
                <w:sz w:val="19"/>
                <w:szCs w:val="19"/>
                <w:color w:val="auto"/>
              </w:rPr>
            </w:pPr>
          </w:p>
        </w:tc>
        <w:tc>
          <w:tcPr>
            <w:tcW w:w="440" w:type="dxa"/>
            <w:vAlign w:val="bottom"/>
            <w:tcBorders>
              <w:top w:val="single" w:sz="8" w:color="auto"/>
              <w:bottom w:val="single" w:sz="8" w:color="DBDBDB"/>
            </w:tcBorders>
          </w:tcPr>
          <w:p>
            <w:pPr>
              <w:spacing w:after="0"/>
              <w:rPr>
                <w:sz w:val="19"/>
                <w:szCs w:val="19"/>
                <w:color w:val="auto"/>
              </w:rPr>
            </w:pPr>
          </w:p>
        </w:tc>
        <w:tc>
          <w:tcPr>
            <w:tcW w:w="2360" w:type="dxa"/>
            <w:vAlign w:val="bottom"/>
            <w:tcBorders>
              <w:top w:val="single" w:sz="8" w:color="auto"/>
              <w:bottom w:val="single" w:sz="8" w:color="DBDBDB"/>
            </w:tcBorders>
          </w:tcPr>
          <w:p>
            <w:pPr>
              <w:jc w:val="right"/>
              <w:ind w:right="709"/>
              <w:spacing w:after="0"/>
              <w:rPr>
                <w:sz w:val="20"/>
                <w:szCs w:val="20"/>
                <w:color w:val="auto"/>
              </w:rPr>
            </w:pPr>
            <w:r>
              <w:rPr>
                <w:rFonts w:ascii="Arial" w:cs="Arial" w:eastAsia="Arial" w:hAnsi="Arial"/>
                <w:sz w:val="14"/>
                <w:szCs w:val="14"/>
                <w:color w:val="auto"/>
              </w:rPr>
              <w:t>December 31, 2023</w:t>
            </w:r>
          </w:p>
        </w:tc>
      </w:tr>
      <w:tr>
        <w:trPr>
          <w:trHeight w:val="164"/>
        </w:trPr>
        <w:tc>
          <w:tcPr>
            <w:tcW w:w="84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Standardized Measure of discounted future</w:t>
            </w:r>
          </w:p>
        </w:tc>
        <w:tc>
          <w:tcPr>
            <w:tcW w:w="440" w:type="dxa"/>
            <w:vAlign w:val="bottom"/>
            <w:shd w:val="clear" w:color="auto" w:fill="DBDBDB"/>
          </w:tcPr>
          <w:p>
            <w:pPr>
              <w:spacing w:after="0"/>
              <w:rPr>
                <w:sz w:val="14"/>
                <w:szCs w:val="14"/>
                <w:color w:val="auto"/>
              </w:rPr>
            </w:pPr>
          </w:p>
        </w:tc>
        <w:tc>
          <w:tcPr>
            <w:tcW w:w="2360" w:type="dxa"/>
            <w:vAlign w:val="bottom"/>
            <w:shd w:val="clear" w:color="auto" w:fill="DBDBDB"/>
          </w:tcPr>
          <w:p>
            <w:pPr>
              <w:spacing w:after="0"/>
              <w:rPr>
                <w:sz w:val="14"/>
                <w:szCs w:val="14"/>
                <w:color w:val="auto"/>
              </w:rPr>
            </w:pPr>
          </w:p>
        </w:tc>
      </w:tr>
      <w:tr>
        <w:trPr>
          <w:trHeight w:val="209"/>
        </w:trPr>
        <w:tc>
          <w:tcPr>
            <w:tcW w:w="84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net cash flows</w:t>
            </w:r>
          </w:p>
        </w:tc>
        <w:tc>
          <w:tcPr>
            <w:tcW w:w="440" w:type="dxa"/>
            <w:vAlign w:val="bottom"/>
            <w:shd w:val="clear" w:color="auto" w:fill="DBDBDB"/>
          </w:tcPr>
          <w:p>
            <w:pPr>
              <w:jc w:val="right"/>
              <w:ind w:right="269"/>
              <w:spacing w:after="0"/>
              <w:rPr>
                <w:sz w:val="20"/>
                <w:szCs w:val="20"/>
                <w:color w:val="auto"/>
              </w:rPr>
            </w:pPr>
            <w:r>
              <w:rPr>
                <w:rFonts w:ascii="Arial" w:cs="Arial" w:eastAsia="Arial" w:hAnsi="Arial"/>
                <w:sz w:val="14"/>
                <w:szCs w:val="14"/>
                <w:color w:val="auto"/>
              </w:rPr>
              <w:t>$</w:t>
            </w:r>
          </w:p>
        </w:tc>
        <w:tc>
          <w:tcPr>
            <w:tcW w:w="2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4,069</w:t>
            </w:r>
          </w:p>
        </w:tc>
      </w:tr>
      <w:tr>
        <w:trPr>
          <w:trHeight w:val="164"/>
        </w:trPr>
        <w:tc>
          <w:tcPr>
            <w:tcW w:w="8400" w:type="dxa"/>
            <w:vAlign w:val="bottom"/>
            <w:gridSpan w:val="2"/>
          </w:tcPr>
          <w:p>
            <w:pPr>
              <w:ind w:left="20"/>
              <w:spacing w:after="0"/>
              <w:rPr>
                <w:sz w:val="20"/>
                <w:szCs w:val="20"/>
                <w:color w:val="auto"/>
              </w:rPr>
            </w:pPr>
            <w:r>
              <w:rPr>
                <w:rFonts w:ascii="Arial" w:cs="Arial" w:eastAsia="Arial" w:hAnsi="Arial"/>
                <w:sz w:val="14"/>
                <w:szCs w:val="14"/>
                <w:color w:val="auto"/>
              </w:rPr>
              <w:t>Present value of future income taxes</w:t>
            </w:r>
          </w:p>
        </w:tc>
        <w:tc>
          <w:tcPr>
            <w:tcW w:w="44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206"/>
        </w:trPr>
        <w:tc>
          <w:tcPr>
            <w:tcW w:w="84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discounted at 10%</w:t>
            </w:r>
          </w:p>
        </w:tc>
        <w:tc>
          <w:tcPr>
            <w:tcW w:w="4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1,464</w:t>
            </w:r>
          </w:p>
        </w:tc>
      </w:tr>
      <w:tr>
        <w:trPr>
          <w:trHeight w:val="222"/>
        </w:trPr>
        <w:tc>
          <w:tcPr>
            <w:tcW w:w="8400" w:type="dxa"/>
            <w:vAlign w:val="bottom"/>
            <w:tcBorders>
              <w:bottom w:val="single" w:sz="8" w:color="DBDBDB"/>
            </w:tcBorders>
            <w:gridSpan w:val="2"/>
            <w:shd w:val="clear" w:color="auto" w:fill="DBDBDB"/>
          </w:tcPr>
          <w:p>
            <w:pPr>
              <w:ind w:left="20"/>
              <w:spacing w:after="0" w:line="197" w:lineRule="exact"/>
              <w:rPr>
                <w:sz w:val="20"/>
                <w:szCs w:val="20"/>
                <w:color w:val="auto"/>
              </w:rPr>
            </w:pPr>
            <w:r>
              <w:rPr>
                <w:rFonts w:ascii="Arial" w:cs="Arial" w:eastAsia="Arial" w:hAnsi="Arial"/>
                <w:sz w:val="14"/>
                <w:szCs w:val="14"/>
                <w:color w:val="auto"/>
              </w:rPr>
              <w:t xml:space="preserve">PV-10 of cash flows </w:t>
            </w:r>
            <w:r>
              <w:rPr>
                <w:rFonts w:ascii="Arial" w:cs="Arial" w:eastAsia="Arial" w:hAnsi="Arial"/>
                <w:sz w:val="22"/>
                <w:szCs w:val="22"/>
                <w:color w:val="auto"/>
                <w:vertAlign w:val="superscript"/>
              </w:rPr>
              <w:t>(*)</w:t>
            </w:r>
          </w:p>
        </w:tc>
        <w:tc>
          <w:tcPr>
            <w:tcW w:w="440" w:type="dxa"/>
            <w:vAlign w:val="bottom"/>
            <w:tcBorders>
              <w:bottom w:val="single" w:sz="8" w:color="auto"/>
            </w:tcBorders>
            <w:shd w:val="clear" w:color="auto" w:fill="DBDBDB"/>
          </w:tcPr>
          <w:p>
            <w:pPr>
              <w:jc w:val="right"/>
              <w:ind w:right="269"/>
              <w:spacing w:after="0"/>
              <w:rPr>
                <w:sz w:val="20"/>
                <w:szCs w:val="20"/>
                <w:color w:val="auto"/>
              </w:rPr>
            </w:pPr>
            <w:r>
              <w:rPr>
                <w:rFonts w:ascii="Arial" w:cs="Arial" w:eastAsia="Arial" w:hAnsi="Arial"/>
                <w:sz w:val="14"/>
                <w:szCs w:val="14"/>
                <w:color w:val="auto"/>
              </w:rPr>
              <w:t>$</w:t>
            </w:r>
          </w:p>
        </w:tc>
        <w:tc>
          <w:tcPr>
            <w:tcW w:w="2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5,533</w:t>
            </w:r>
          </w:p>
        </w:tc>
      </w:tr>
      <w:tr>
        <w:trPr>
          <w:trHeight w:val="20"/>
        </w:trPr>
        <w:tc>
          <w:tcPr>
            <w:tcW w:w="2800" w:type="dxa"/>
            <w:vAlign w:val="bottom"/>
            <w:tcBorders>
              <w:top w:val="single" w:sz="8" w:color="DBDBDB"/>
            </w:tcBorders>
          </w:tcPr>
          <w:p>
            <w:pPr>
              <w:spacing w:after="0" w:line="20" w:lineRule="exact"/>
              <w:rPr>
                <w:sz w:val="1"/>
                <w:szCs w:val="1"/>
                <w:color w:val="auto"/>
              </w:rPr>
            </w:pPr>
          </w:p>
        </w:tc>
        <w:tc>
          <w:tcPr>
            <w:tcW w:w="56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23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906" w:right="339" w:bottom="1440" w:gutter="0" w:footer="0" w:header="0"/>
        </w:sectPr>
      </w:pPr>
    </w:p>
    <w:bookmarkStart w:id="6" w:name="page7"/>
    <w:bookmarkEnd w:id="6"/>
    <w:p>
      <w:pPr>
        <w:ind w:left="20" w:right="80" w:firstLine="4"/>
        <w:spacing w:after="0"/>
        <w:tabs>
          <w:tab w:leader="none" w:pos="157"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207645</wp:posOffset>
            </wp:positionH>
            <wp:positionV relativeFrom="page">
              <wp:posOffset>740410</wp:posOffset>
            </wp:positionV>
            <wp:extent cx="7108825" cy="643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8825" cy="643255"/>
                    </a:xfrm>
                    <a:prstGeom prst="rect">
                      <a:avLst/>
                    </a:prstGeom>
                    <a:noFill/>
                  </pic:spPr>
                </pic:pic>
              </a:graphicData>
            </a:graphic>
          </wp:anchor>
        </w:drawing>
        <w:drawing>
          <wp:anchor simplePos="0" relativeHeight="251657728" behindDoc="1" locked="0" layoutInCell="0" allowOverlap="1">
            <wp:simplePos x="0" y="0"/>
            <wp:positionH relativeFrom="page">
              <wp:posOffset>5539105</wp:posOffset>
            </wp:positionH>
            <wp:positionV relativeFrom="page">
              <wp:posOffset>588010</wp:posOffset>
            </wp:positionV>
            <wp:extent cx="17773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77365" cy="8255"/>
                    </a:xfrm>
                    <a:prstGeom prst="rect">
                      <a:avLst/>
                    </a:prstGeom>
                    <a:noFill/>
                  </pic:spPr>
                </pic:pic>
              </a:graphicData>
            </a:graphic>
          </wp:anchor>
        </w:drawing>
        <w:drawing>
          <wp:anchor simplePos="0" relativeHeight="251657728" behindDoc="1" locked="0" layoutInCell="0" allowOverlap="1">
            <wp:simplePos x="0" y="0"/>
            <wp:positionH relativeFrom="page">
              <wp:posOffset>5539105</wp:posOffset>
            </wp:positionH>
            <wp:positionV relativeFrom="page">
              <wp:posOffset>613410</wp:posOffset>
            </wp:positionV>
            <wp:extent cx="17773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77365" cy="8255"/>
                    </a:xfrm>
                    <a:prstGeom prst="rect">
                      <a:avLst/>
                    </a:prstGeom>
                    <a:noFill/>
                  </pic:spPr>
                </pic:pic>
              </a:graphicData>
            </a:graphic>
          </wp:anchor>
        </w:drawing>
        <w:t>PV-10 is a non-GAAP financial measure and represents the year-end present value of estimated future cash inflows from proved oil and natural gas reserves, less future development and operating costs, discounted at 10% per annum to reflect the timing of future cash flows and using SEC prescribed pricing assumptions for the period. PV-10 differs from Standardized Measure because Standardized Measure includes the effects of future income taxes on future net cash flows. Neither PV-10 nor Standardized Measure should be construed as the fair value of our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Pending Aera Merger</w:t>
      </w:r>
    </w:p>
    <w:p>
      <w:pPr>
        <w:spacing w:after="0" w:line="240" w:lineRule="exact"/>
        <w:rPr>
          <w:sz w:val="20"/>
          <w:szCs w:val="20"/>
          <w:color w:val="auto"/>
        </w:rPr>
      </w:pPr>
    </w:p>
    <w:p>
      <w:pPr>
        <w:jc w:val="both"/>
        <w:ind w:firstLine="320"/>
        <w:spacing w:after="0" w:line="241" w:lineRule="auto"/>
        <w:rPr>
          <w:sz w:val="20"/>
          <w:szCs w:val="20"/>
          <w:color w:val="auto"/>
        </w:rPr>
      </w:pPr>
      <w:r>
        <w:rPr>
          <w:rFonts w:ascii="Arial" w:cs="Arial" w:eastAsia="Arial" w:hAnsi="Arial"/>
          <w:sz w:val="21"/>
          <w:szCs w:val="21"/>
          <w:color w:val="auto"/>
        </w:rPr>
        <w:t>On February 7, 2024, CRC entered into a definitive merger agreement (Merger Agreement) to combine with Aera Energy, LLC (Aera) in an all-stock transaction with an effective date of January 1, 2024. Aera is a leading operator of mature fields in California, primarily in the San Joaquin and Ventura basins, with high oil-weighted production. At closing, Aera's owners will receive 21.2 million shares of CRC's common stock plus an additional number of shares determined by reference to the dividends declared by CRC having a record date between the effective date and closing. CRC also agreed to assume Aera’s outstanding long-term indebtedness of $950 million. CRC expects to repay a significant portion of this indebtedness with cash on hand and borrowings under its revolving credit facility. CRC expects to refinance the balance through one or more debt capital markets transactions and, only to the extent necessary, borrowings under a bridge loan facility.</w:t>
      </w:r>
    </w:p>
    <w:p>
      <w:pPr>
        <w:spacing w:after="0" w:line="203"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21"/>
          <w:szCs w:val="21"/>
          <w:color w:val="auto"/>
        </w:rPr>
        <w:t>The Merger Agreement has been unanimously approved by CRC’s Board of Directors and the shareholders of Aera. The transaction is subject to certain closing conditions, including among others, regulatory approvals and approval of the stock issuance by CRC's shareholders. The transaction is expected to close in the second half of 2024.</w:t>
      </w:r>
    </w:p>
    <w:p>
      <w:pPr>
        <w:spacing w:after="0" w:line="167"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21"/>
          <w:szCs w:val="21"/>
          <w:color w:val="auto"/>
        </w:rPr>
        <w:t>For more information about this transaction please visit: https://www.crc.com/news/news-details/2024/California-Resources-Corporation-to-Combine-with-Aera-Energy/default.aspx</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2024 Preliminary Outlook and First Quarter 2024 Guidance and Capital Program</w:t>
      </w:r>
      <w:r>
        <w:rPr>
          <w:rFonts w:ascii="Arial" w:cs="Arial" w:eastAsia="Arial" w:hAnsi="Arial"/>
          <w:sz w:val="27"/>
          <w:szCs w:val="27"/>
          <w:b w:val="1"/>
          <w:bCs w:val="1"/>
          <w:color w:val="auto"/>
          <w:vertAlign w:val="superscript"/>
        </w:rPr>
        <w:t>2</w:t>
      </w:r>
    </w:p>
    <w:p>
      <w:pPr>
        <w:spacing w:after="0" w:line="171"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21"/>
          <w:szCs w:val="21"/>
          <w:color w:val="auto"/>
        </w:rPr>
        <w:t>CRC’s 2024 guidance estimates exclude the pending merger with Aera. The Company intends to update guidance after the transaction closes.</w:t>
      </w:r>
    </w:p>
    <w:p>
      <w:pPr>
        <w:spacing w:after="0" w:line="162"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21"/>
          <w:szCs w:val="21"/>
          <w:color w:val="auto"/>
        </w:rPr>
        <w:t>CRC expects its total 2024 capital program to range between $300 million and $340 million assuming normal operating conditions. Of this amount, $250 million to $260 million is related to oil and natural gas development, $30 million to $40 million is related to maintenance of one of its gas processing facilities and a power plant, both of which are located in CRC's Elk Hills field, $15 million to $25 million is for carbon management projects and $5 million to $15 million is for corporate and other activities.</w:t>
      </w:r>
    </w:p>
    <w:p>
      <w:pPr>
        <w:spacing w:after="0" w:line="192" w:lineRule="exact"/>
        <w:rPr>
          <w:sz w:val="20"/>
          <w:szCs w:val="20"/>
          <w:color w:val="auto"/>
        </w:rPr>
      </w:pPr>
    </w:p>
    <w:p>
      <w:pPr>
        <w:jc w:val="both"/>
        <w:ind w:firstLine="320"/>
        <w:spacing w:after="0" w:line="243" w:lineRule="auto"/>
        <w:rPr>
          <w:sz w:val="20"/>
          <w:szCs w:val="20"/>
          <w:color w:val="auto"/>
        </w:rPr>
      </w:pPr>
      <w:r>
        <w:rPr>
          <w:rFonts w:ascii="Arial" w:cs="Arial" w:eastAsia="Arial" w:hAnsi="Arial"/>
          <w:sz w:val="21"/>
          <w:szCs w:val="21"/>
          <w:color w:val="auto"/>
        </w:rPr>
        <w:t>Through 2024, CRC expects to run a one rig program executing projects using existing permits. Subject to the availability of well permits, the Company expects to increase to a four rig program in the second half of 2024. The actual amount of spending related to oil and gas development under CRC's 2024 capital program will depend on a variety of factors. In particular, the rate and amount of this spending depends on its ability to obtain new well permits in the second half of the year. If CRC is not able to obtain these permits, CRC could reduce its capital program by up to $100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450850</wp:posOffset>
            </wp:positionV>
            <wp:extent cx="52044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04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40"/>
        <w:spacing w:after="0"/>
        <w:tabs>
          <w:tab w:leader="none" w:pos="8320" w:val="left"/>
        </w:tabs>
        <w:rPr>
          <w:sz w:val="20"/>
          <w:szCs w:val="20"/>
          <w:color w:val="auto"/>
        </w:rPr>
      </w:pPr>
      <w:r>
        <w:rPr>
          <w:rFonts w:ascii="Arial" w:cs="Arial" w:eastAsia="Arial" w:hAnsi="Arial"/>
          <w:sz w:val="14"/>
          <w:szCs w:val="14"/>
          <w:b w:val="1"/>
          <w:bCs w:val="1"/>
          <w:color w:val="auto"/>
        </w:rPr>
        <w:t>2024 PRELIMINARY OUTLOOK</w:t>
      </w:r>
      <w:r>
        <w:rPr>
          <w:rFonts w:ascii="Arial" w:cs="Arial" w:eastAsia="Arial" w:hAnsi="Arial"/>
          <w:sz w:val="18"/>
          <w:szCs w:val="18"/>
          <w:b w:val="1"/>
          <w:bCs w:val="1"/>
          <w:color w:val="auto"/>
          <w:vertAlign w:val="superscript"/>
        </w:rPr>
        <w:t>2</w:t>
      </w:r>
      <w:r>
        <w:rPr>
          <w:sz w:val="20"/>
          <w:szCs w:val="20"/>
          <w:color w:val="auto"/>
        </w:rPr>
        <w:tab/>
      </w:r>
      <w:r>
        <w:rPr>
          <w:rFonts w:ascii="Arial" w:cs="Arial" w:eastAsia="Arial" w:hAnsi="Arial"/>
          <w:sz w:val="13"/>
          <w:szCs w:val="13"/>
          <w:b w:val="1"/>
          <w:bCs w:val="1"/>
          <w:color w:val="auto"/>
        </w:rPr>
        <w:t>TOTAL 2024E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3175</wp:posOffset>
            </wp:positionV>
            <wp:extent cx="52044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04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1170" w:right="339" w:bottom="1440" w:gutter="0" w:footer="0" w:header="0"/>
        </w:sectPr>
      </w:pPr>
    </w:p>
    <w:bookmarkStart w:id="7" w:name="page8"/>
    <w:bookmarkEnd w:id="7"/>
    <w:tbl>
      <w:tblPr>
        <w:tblLayout w:type="fixed"/>
        <w:tblInd w:w="1520" w:type="dxa"/>
        <w:tblCellMar>
          <w:top w:w="0" w:type="dxa"/>
          <w:left w:w="0" w:type="dxa"/>
          <w:bottom w:w="0" w:type="dxa"/>
          <w:right w:w="0" w:type="dxa"/>
        </w:tblCellMar>
      </w:tblPr>
      <w:tr>
        <w:trPr>
          <w:trHeight w:val="223"/>
        </w:trPr>
        <w:tc>
          <w:tcPr>
            <w:tcW w:w="498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Net Total Production (MBoe/d)</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9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- 82</w:t>
            </w:r>
          </w:p>
        </w:tc>
      </w:tr>
      <w:tr>
        <w:trPr>
          <w:trHeight w:val="217"/>
        </w:trPr>
        <w:tc>
          <w:tcPr>
            <w:tcW w:w="49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Oil Production (%)</w:t>
            </w:r>
          </w:p>
        </w:tc>
        <w:tc>
          <w:tcPr>
            <w:tcW w:w="3220" w:type="dxa"/>
            <w:vAlign w:val="bottom"/>
            <w:gridSpan w:val="2"/>
            <w:shd w:val="clear" w:color="auto" w:fill="DBDBDB"/>
          </w:tcPr>
          <w:p>
            <w:pPr>
              <w:jc w:val="center"/>
              <w:ind w:left="1289"/>
              <w:spacing w:after="0"/>
              <w:rPr>
                <w:sz w:val="20"/>
                <w:szCs w:val="20"/>
                <w:color w:val="auto"/>
              </w:rPr>
            </w:pPr>
            <w:r>
              <w:rPr>
                <w:rFonts w:ascii="Arial" w:cs="Arial" w:eastAsia="Arial" w:hAnsi="Arial"/>
                <w:sz w:val="14"/>
                <w:szCs w:val="14"/>
                <w:color w:val="auto"/>
              </w:rPr>
              <w:t>~60%</w:t>
            </w:r>
          </w:p>
        </w:tc>
      </w:tr>
      <w:tr>
        <w:trPr>
          <w:trHeight w:val="210"/>
        </w:trPr>
        <w:tc>
          <w:tcPr>
            <w:tcW w:w="4980" w:type="dxa"/>
            <w:vAlign w:val="bottom"/>
          </w:tcPr>
          <w:p>
            <w:pPr>
              <w:ind w:left="140"/>
              <w:spacing w:after="0"/>
              <w:rPr>
                <w:sz w:val="20"/>
                <w:szCs w:val="20"/>
                <w:color w:val="auto"/>
              </w:rPr>
            </w:pPr>
            <w:r>
              <w:rPr>
                <w:rFonts w:ascii="Arial" w:cs="Arial" w:eastAsia="Arial" w:hAnsi="Arial"/>
                <w:sz w:val="14"/>
                <w:szCs w:val="14"/>
                <w:color w:val="auto"/>
              </w:rPr>
              <w:t>Capital ($ millions)</w:t>
            </w:r>
          </w:p>
        </w:tc>
        <w:tc>
          <w:tcPr>
            <w:tcW w:w="2240" w:type="dxa"/>
            <w:vAlign w:val="bottom"/>
          </w:tcPr>
          <w:p>
            <w:pPr>
              <w:jc w:val="right"/>
              <w:spacing w:after="0"/>
              <w:rPr>
                <w:sz w:val="20"/>
                <w:szCs w:val="20"/>
                <w:color w:val="auto"/>
              </w:rPr>
            </w:pPr>
            <w:r>
              <w:rPr>
                <w:rFonts w:ascii="Arial" w:cs="Arial" w:eastAsia="Arial" w:hAnsi="Arial"/>
                <w:sz w:val="14"/>
                <w:szCs w:val="14"/>
                <w:color w:val="auto"/>
              </w:rPr>
              <w:t>$300</w:t>
            </w:r>
          </w:p>
        </w:tc>
        <w:tc>
          <w:tcPr>
            <w:tcW w:w="980" w:type="dxa"/>
            <w:vAlign w:val="bottom"/>
          </w:tcPr>
          <w:p>
            <w:pPr>
              <w:ind w:left="20"/>
              <w:spacing w:after="0"/>
              <w:rPr>
                <w:sz w:val="20"/>
                <w:szCs w:val="20"/>
                <w:color w:val="auto"/>
              </w:rPr>
            </w:pPr>
            <w:r>
              <w:rPr>
                <w:rFonts w:ascii="Arial" w:cs="Arial" w:eastAsia="Arial" w:hAnsi="Arial"/>
                <w:sz w:val="14"/>
                <w:szCs w:val="14"/>
                <w:color w:val="auto"/>
              </w:rPr>
              <w:t>- $340</w:t>
            </w:r>
          </w:p>
        </w:tc>
      </w:tr>
      <w:tr>
        <w:trPr>
          <w:trHeight w:val="217"/>
        </w:trPr>
        <w:tc>
          <w:tcPr>
            <w:tcW w:w="4980" w:type="dxa"/>
            <w:vAlign w:val="bottom"/>
            <w:shd w:val="clear" w:color="auto" w:fill="DBDBDB"/>
          </w:tcPr>
          <w:p>
            <w:pPr>
              <w:ind w:left="260"/>
              <w:spacing w:after="0"/>
              <w:rPr>
                <w:sz w:val="20"/>
                <w:szCs w:val="20"/>
                <w:color w:val="auto"/>
              </w:rPr>
            </w:pPr>
            <w:r>
              <w:rPr>
                <w:rFonts w:ascii="Arial" w:cs="Arial" w:eastAsia="Arial" w:hAnsi="Arial"/>
                <w:sz w:val="14"/>
                <w:szCs w:val="14"/>
                <w:i w:val="1"/>
                <w:iCs w:val="1"/>
                <w:color w:val="auto"/>
              </w:rPr>
              <w:t>Drilling &amp; completions, workovers ($ millions)</w:t>
            </w:r>
          </w:p>
        </w:tc>
        <w:tc>
          <w:tcPr>
            <w:tcW w:w="3220" w:type="dxa"/>
            <w:vAlign w:val="bottom"/>
            <w:gridSpan w:val="2"/>
            <w:shd w:val="clear" w:color="auto" w:fill="DBDBDB"/>
          </w:tcPr>
          <w:p>
            <w:pPr>
              <w:jc w:val="center"/>
              <w:ind w:left="1289"/>
              <w:spacing w:after="0"/>
              <w:rPr>
                <w:sz w:val="20"/>
                <w:szCs w:val="20"/>
                <w:color w:val="auto"/>
              </w:rPr>
            </w:pPr>
            <w:r>
              <w:rPr>
                <w:rFonts w:ascii="Arial" w:cs="Arial" w:eastAsia="Arial" w:hAnsi="Arial"/>
                <w:sz w:val="14"/>
                <w:szCs w:val="14"/>
                <w:i w:val="1"/>
                <w:iCs w:val="1"/>
                <w:color w:val="auto"/>
                <w:w w:val="98"/>
              </w:rPr>
              <w:t>$250 -$260</w:t>
            </w:r>
          </w:p>
        </w:tc>
      </w:tr>
      <w:tr>
        <w:trPr>
          <w:trHeight w:val="210"/>
        </w:trPr>
        <w:tc>
          <w:tcPr>
            <w:tcW w:w="4980" w:type="dxa"/>
            <w:vAlign w:val="bottom"/>
          </w:tcPr>
          <w:p>
            <w:pPr>
              <w:ind w:left="260"/>
              <w:spacing w:after="0"/>
              <w:rPr>
                <w:sz w:val="20"/>
                <w:szCs w:val="20"/>
                <w:color w:val="auto"/>
              </w:rPr>
            </w:pPr>
            <w:r>
              <w:rPr>
                <w:rFonts w:ascii="Arial" w:cs="Arial" w:eastAsia="Arial" w:hAnsi="Arial"/>
                <w:sz w:val="14"/>
                <w:szCs w:val="14"/>
                <w:i w:val="1"/>
                <w:iCs w:val="1"/>
                <w:color w:val="auto"/>
              </w:rPr>
              <w:t>Facilities ($ millions)</w:t>
            </w:r>
          </w:p>
        </w:tc>
        <w:tc>
          <w:tcPr>
            <w:tcW w:w="2240" w:type="dxa"/>
            <w:vAlign w:val="bottom"/>
          </w:tcPr>
          <w:p>
            <w:pPr>
              <w:jc w:val="right"/>
              <w:spacing w:after="0"/>
              <w:rPr>
                <w:sz w:val="20"/>
                <w:szCs w:val="20"/>
                <w:color w:val="auto"/>
              </w:rPr>
            </w:pPr>
            <w:r>
              <w:rPr>
                <w:rFonts w:ascii="Arial" w:cs="Arial" w:eastAsia="Arial" w:hAnsi="Arial"/>
                <w:sz w:val="14"/>
                <w:szCs w:val="14"/>
                <w:i w:val="1"/>
                <w:iCs w:val="1"/>
                <w:color w:val="auto"/>
              </w:rPr>
              <w:t>$30</w:t>
            </w:r>
          </w:p>
        </w:tc>
        <w:tc>
          <w:tcPr>
            <w:tcW w:w="980" w:type="dxa"/>
            <w:vAlign w:val="bottom"/>
          </w:tcPr>
          <w:p>
            <w:pPr>
              <w:ind w:left="20"/>
              <w:spacing w:after="0"/>
              <w:rPr>
                <w:sz w:val="20"/>
                <w:szCs w:val="20"/>
                <w:color w:val="auto"/>
              </w:rPr>
            </w:pPr>
            <w:r>
              <w:rPr>
                <w:rFonts w:ascii="Arial" w:cs="Arial" w:eastAsia="Arial" w:hAnsi="Arial"/>
                <w:sz w:val="14"/>
                <w:szCs w:val="14"/>
                <w:i w:val="1"/>
                <w:iCs w:val="1"/>
                <w:color w:val="auto"/>
              </w:rPr>
              <w:t>- $40</w:t>
            </w:r>
          </w:p>
        </w:tc>
      </w:tr>
      <w:tr>
        <w:trPr>
          <w:trHeight w:val="217"/>
        </w:trPr>
        <w:tc>
          <w:tcPr>
            <w:tcW w:w="4980" w:type="dxa"/>
            <w:vAlign w:val="bottom"/>
            <w:shd w:val="clear" w:color="auto" w:fill="DBDBDB"/>
          </w:tcPr>
          <w:p>
            <w:pPr>
              <w:ind w:left="260"/>
              <w:spacing w:after="0"/>
              <w:rPr>
                <w:sz w:val="20"/>
                <w:szCs w:val="20"/>
                <w:color w:val="auto"/>
              </w:rPr>
            </w:pPr>
            <w:r>
              <w:rPr>
                <w:rFonts w:ascii="Arial" w:cs="Arial" w:eastAsia="Arial" w:hAnsi="Arial"/>
                <w:sz w:val="14"/>
                <w:szCs w:val="14"/>
                <w:i w:val="1"/>
                <w:iCs w:val="1"/>
                <w:color w:val="auto"/>
              </w:rPr>
              <w:t>Carbon management business ($ millions)</w:t>
            </w:r>
          </w:p>
        </w:tc>
        <w:tc>
          <w:tcPr>
            <w:tcW w:w="224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$15</w:t>
            </w:r>
          </w:p>
        </w:tc>
        <w:tc>
          <w:tcPr>
            <w:tcW w:w="98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$25</w:t>
            </w:r>
          </w:p>
        </w:tc>
      </w:tr>
      <w:tr>
        <w:trPr>
          <w:trHeight w:val="206"/>
        </w:trPr>
        <w:tc>
          <w:tcPr>
            <w:tcW w:w="4980" w:type="dxa"/>
            <w:vAlign w:val="bottom"/>
          </w:tcPr>
          <w:p>
            <w:pPr>
              <w:ind w:left="260"/>
              <w:spacing w:after="0"/>
              <w:rPr>
                <w:sz w:val="20"/>
                <w:szCs w:val="20"/>
                <w:color w:val="auto"/>
              </w:rPr>
            </w:pPr>
            <w:r>
              <w:rPr>
                <w:rFonts w:ascii="Arial" w:cs="Arial" w:eastAsia="Arial" w:hAnsi="Arial"/>
                <w:sz w:val="14"/>
                <w:szCs w:val="14"/>
                <w:i w:val="1"/>
                <w:iCs w:val="1"/>
                <w:color w:val="auto"/>
              </w:rPr>
              <w:t>Corporate &amp; other ($ millions)</w:t>
            </w:r>
          </w:p>
        </w:tc>
        <w:tc>
          <w:tcPr>
            <w:tcW w:w="3220" w:type="dxa"/>
            <w:vAlign w:val="bottom"/>
            <w:gridSpan w:val="2"/>
          </w:tcPr>
          <w:p>
            <w:pPr>
              <w:jc w:val="center"/>
              <w:ind w:left="1269"/>
              <w:spacing w:after="0"/>
              <w:rPr>
                <w:sz w:val="20"/>
                <w:szCs w:val="20"/>
                <w:color w:val="auto"/>
              </w:rPr>
            </w:pPr>
            <w:r>
              <w:rPr>
                <w:rFonts w:ascii="Arial" w:cs="Arial" w:eastAsia="Arial" w:hAnsi="Arial"/>
                <w:sz w:val="14"/>
                <w:szCs w:val="14"/>
                <w:i w:val="1"/>
                <w:iCs w:val="1"/>
                <w:color w:val="auto"/>
              </w:rPr>
              <w:t>$5 - $15</w:t>
            </w:r>
          </w:p>
        </w:tc>
      </w:tr>
    </w:tbl>
    <w:p>
      <w:pPr>
        <w:spacing w:after="0" w:line="16" w:lineRule="exact"/>
        <w:rPr>
          <w:sz w:val="20"/>
          <w:szCs w:val="20"/>
          <w:color w:val="auto"/>
        </w:rPr>
      </w:pPr>
    </w:p>
    <w:p>
      <w:pPr>
        <w:ind w:left="1540" w:right="1580" w:firstLine="120"/>
        <w:spacing w:after="0" w:line="277" w:lineRule="auto"/>
        <w:rPr>
          <w:sz w:val="20"/>
          <w:szCs w:val="20"/>
          <w:color w:val="auto"/>
        </w:rPr>
      </w:pPr>
      <w:r>
        <w:rPr>
          <w:rFonts w:ascii="Arial" w:cs="Arial" w:eastAsia="Arial" w:hAnsi="Arial"/>
          <w:sz w:val="12"/>
          <w:szCs w:val="12"/>
          <w:color w:val="auto"/>
        </w:rPr>
        <w:t>Note: If CRC is not able to receive drilling permits or permits are delayed, the Company plans to run a one rig program with a $200 million to $240 million 2024E total capital program and would expect a 5% to 7% entry to exit decline rate.</w:t>
      </w:r>
    </w:p>
    <w:p>
      <w:pPr>
        <w:spacing w:after="0" w:line="73"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21"/>
          <w:szCs w:val="21"/>
          <w:color w:val="auto"/>
        </w:rPr>
        <w:t>CRC expects its first quarter capital program to range between $65 million to $75 million. The program includes capital of $36 million to $42 million for oil and natural gas, and facilities development</w:t>
      </w:r>
      <w:r>
        <w:rPr>
          <w:rFonts w:ascii="Arial" w:cs="Arial" w:eastAsia="Arial" w:hAnsi="Arial"/>
          <w:sz w:val="11"/>
          <w:szCs w:val="11"/>
          <w:color w:val="auto"/>
        </w:rPr>
        <w:t>3</w:t>
      </w:r>
      <w:r>
        <w:rPr>
          <w:rFonts w:ascii="Arial" w:cs="Arial" w:eastAsia="Arial" w:hAnsi="Arial"/>
          <w:sz w:val="21"/>
          <w:szCs w:val="21"/>
          <w:color w:val="auto"/>
        </w:rPr>
        <w:t>, $4 million to $6 million for carbon management projects and $25 million to $27 million for corporate and other activities, including maintenance at CRC's Elk Hills power plant.</w:t>
      </w:r>
    </w:p>
    <w:p>
      <w:pPr>
        <w:spacing w:after="0" w:line="192"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21"/>
          <w:szCs w:val="21"/>
          <w:color w:val="auto"/>
        </w:rPr>
        <w:t>CRC expects to produce 76 to 80 MBoe/d (~60% oil) in the first quarter of 2024. The table below provides highlights of the Company's first quarter 2024 guidance. See Attachment 2 for complete information on CRC's first quarter 2024 guidance.</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00" w:type="dxa"/>
            <w:vAlign w:val="bottom"/>
            <w:tcBorders>
              <w:top w:val="single" w:sz="8" w:color="auto"/>
            </w:tcBorders>
          </w:tcPr>
          <w:p>
            <w:pPr>
              <w:ind w:left="20"/>
              <w:spacing w:after="0" w:line="188" w:lineRule="exact"/>
              <w:rPr>
                <w:sz w:val="20"/>
                <w:szCs w:val="20"/>
                <w:color w:val="auto"/>
              </w:rPr>
            </w:pPr>
            <w:r>
              <w:rPr>
                <w:rFonts w:ascii="Arial" w:cs="Arial" w:eastAsia="Arial" w:hAnsi="Arial"/>
                <w:sz w:val="14"/>
                <w:szCs w:val="14"/>
                <w:b w:val="1"/>
                <w:bCs w:val="1"/>
                <w:color w:val="auto"/>
              </w:rPr>
              <w:t>CRC GUIDANCE</w:t>
            </w:r>
            <w:r>
              <w:rPr>
                <w:rFonts w:ascii="Arial" w:cs="Arial" w:eastAsia="Arial" w:hAnsi="Arial"/>
                <w:sz w:val="21"/>
                <w:szCs w:val="21"/>
                <w:b w:val="1"/>
                <w:bCs w:val="1"/>
                <w:color w:val="auto"/>
                <w:vertAlign w:val="superscript"/>
              </w:rPr>
              <w:t>2</w:t>
            </w:r>
          </w:p>
        </w:tc>
        <w:tc>
          <w:tcPr>
            <w:tcW w:w="2280" w:type="dxa"/>
            <w:vAlign w:val="bottom"/>
            <w:tcBorders>
              <w:top w:val="single" w:sz="8" w:color="auto"/>
            </w:tcBorders>
            <w:gridSpan w:val="2"/>
          </w:tcPr>
          <w:p>
            <w:pPr>
              <w:ind w:left="138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ind w:left="620"/>
              <w:spacing w:after="0"/>
              <w:rPr>
                <w:sz w:val="20"/>
                <w:szCs w:val="20"/>
                <w:color w:val="auto"/>
              </w:rPr>
            </w:pPr>
            <w:r>
              <w:rPr>
                <w:rFonts w:ascii="Arial" w:cs="Arial" w:eastAsia="Arial" w:hAnsi="Arial"/>
                <w:sz w:val="14"/>
                <w:szCs w:val="14"/>
                <w:b w:val="1"/>
                <w:bCs w:val="1"/>
                <w:color w:val="auto"/>
              </w:rPr>
              <w:t>CMB</w:t>
            </w:r>
          </w:p>
        </w:tc>
        <w:tc>
          <w:tcPr>
            <w:tcW w:w="2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E&amp;P, Corp. &amp; Other</w:t>
            </w:r>
          </w:p>
        </w:tc>
      </w:tr>
      <w:tr>
        <w:trPr>
          <w:trHeight w:val="203"/>
        </w:trPr>
        <w:tc>
          <w:tcPr>
            <w:tcW w:w="53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jc w:val="center"/>
              <w:ind w:left="729"/>
              <w:spacing w:after="0"/>
              <w:rPr>
                <w:sz w:val="20"/>
                <w:szCs w:val="20"/>
                <w:color w:val="auto"/>
              </w:rPr>
            </w:pPr>
            <w:r>
              <w:rPr>
                <w:rFonts w:ascii="Arial" w:cs="Arial" w:eastAsia="Arial" w:hAnsi="Arial"/>
                <w:sz w:val="14"/>
                <w:szCs w:val="14"/>
                <w:b w:val="1"/>
                <w:bCs w:val="1"/>
                <w:color w:val="auto"/>
              </w:rPr>
              <w:t>1Q24E</w:t>
            </w:r>
          </w:p>
        </w:tc>
        <w:tc>
          <w:tcPr>
            <w:tcW w:w="30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1Q24E</w:t>
            </w:r>
          </w:p>
        </w:tc>
        <w:tc>
          <w:tcPr>
            <w:tcW w:w="280" w:type="dxa"/>
            <w:vAlign w:val="bottom"/>
          </w:tcPr>
          <w:p>
            <w:pPr>
              <w:spacing w:after="0"/>
              <w:rPr>
                <w:sz w:val="17"/>
                <w:szCs w:val="17"/>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1Q24E</w:t>
            </w:r>
          </w:p>
        </w:tc>
      </w:tr>
      <w:tr>
        <w:trPr>
          <w:trHeight w:val="193"/>
        </w:trPr>
        <w:tc>
          <w:tcPr>
            <w:tcW w:w="53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Net Total Production (MBoe/d)</w:t>
            </w:r>
          </w:p>
        </w:tc>
        <w:tc>
          <w:tcPr>
            <w:tcW w:w="15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76</w:t>
            </w:r>
          </w:p>
        </w:tc>
        <w:tc>
          <w:tcPr>
            <w:tcW w:w="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- 80</w:t>
            </w:r>
          </w:p>
        </w:tc>
        <w:tc>
          <w:tcPr>
            <w:tcW w:w="300" w:type="dxa"/>
            <w:vAlign w:val="bottom"/>
          </w:tcPr>
          <w:p>
            <w:pPr>
              <w:spacing w:after="0"/>
              <w:rPr>
                <w:sz w:val="16"/>
                <w:szCs w:val="16"/>
                <w:color w:val="auto"/>
              </w:rPr>
            </w:pPr>
          </w:p>
        </w:tc>
        <w:tc>
          <w:tcPr>
            <w:tcW w:w="1540" w:type="dxa"/>
            <w:vAlign w:val="bottom"/>
            <w:tcBorders>
              <w:bottom w:val="single" w:sz="8" w:color="DBDBDB"/>
            </w:tcBorders>
            <w:shd w:val="clear" w:color="auto" w:fill="DBDBDB"/>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76</w:t>
            </w:r>
          </w:p>
        </w:tc>
        <w:tc>
          <w:tcPr>
            <w:tcW w:w="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- 80</w:t>
            </w:r>
          </w:p>
        </w:tc>
      </w:tr>
      <w:tr>
        <w:trPr>
          <w:trHeight w:val="193"/>
        </w:trPr>
        <w:tc>
          <w:tcPr>
            <w:tcW w:w="5300" w:type="dxa"/>
            <w:vAlign w:val="bottom"/>
          </w:tcPr>
          <w:p>
            <w:pPr>
              <w:ind w:left="140"/>
              <w:spacing w:after="0"/>
              <w:rPr>
                <w:sz w:val="20"/>
                <w:szCs w:val="20"/>
                <w:color w:val="auto"/>
              </w:rPr>
            </w:pPr>
            <w:r>
              <w:rPr>
                <w:rFonts w:ascii="Arial" w:cs="Arial" w:eastAsia="Arial" w:hAnsi="Arial"/>
                <w:sz w:val="14"/>
                <w:szCs w:val="14"/>
                <w:color w:val="auto"/>
              </w:rPr>
              <w:t>CMB Expenses and Operating Costs ($ millions)</w:t>
            </w:r>
          </w:p>
        </w:tc>
        <w:tc>
          <w:tcPr>
            <w:tcW w:w="1500" w:type="dxa"/>
            <w:vAlign w:val="bottom"/>
          </w:tcPr>
          <w:p>
            <w:pPr>
              <w:jc w:val="right"/>
              <w:spacing w:after="0"/>
              <w:rPr>
                <w:sz w:val="20"/>
                <w:szCs w:val="20"/>
                <w:color w:val="auto"/>
              </w:rPr>
            </w:pPr>
            <w:r>
              <w:rPr>
                <w:rFonts w:ascii="Arial" w:cs="Arial" w:eastAsia="Arial" w:hAnsi="Arial"/>
                <w:sz w:val="14"/>
                <w:szCs w:val="14"/>
                <w:color w:val="auto"/>
              </w:rPr>
              <w:t>$175</w:t>
            </w:r>
          </w:p>
        </w:tc>
        <w:tc>
          <w:tcPr>
            <w:tcW w:w="780" w:type="dxa"/>
            <w:vAlign w:val="bottom"/>
          </w:tcPr>
          <w:p>
            <w:pPr>
              <w:ind w:left="20"/>
              <w:spacing w:after="0"/>
              <w:rPr>
                <w:sz w:val="20"/>
                <w:szCs w:val="20"/>
                <w:color w:val="auto"/>
              </w:rPr>
            </w:pPr>
            <w:r>
              <w:rPr>
                <w:rFonts w:ascii="Arial" w:cs="Arial" w:eastAsia="Arial" w:hAnsi="Arial"/>
                <w:sz w:val="14"/>
                <w:szCs w:val="14"/>
                <w:color w:val="auto"/>
              </w:rPr>
              <w:t>- $185</w:t>
            </w:r>
          </w:p>
        </w:tc>
        <w:tc>
          <w:tcPr>
            <w:tcW w:w="1840" w:type="dxa"/>
            <w:vAlign w:val="bottom"/>
            <w:gridSpan w:val="2"/>
          </w:tcPr>
          <w:p>
            <w:pPr>
              <w:jc w:val="center"/>
              <w:ind w:left="249"/>
              <w:spacing w:after="0"/>
              <w:rPr>
                <w:sz w:val="20"/>
                <w:szCs w:val="20"/>
                <w:color w:val="auto"/>
              </w:rPr>
            </w:pPr>
            <w:r>
              <w:rPr>
                <w:rFonts w:ascii="Arial" w:cs="Arial" w:eastAsia="Arial" w:hAnsi="Arial"/>
                <w:sz w:val="14"/>
                <w:szCs w:val="14"/>
                <w:color w:val="auto"/>
              </w:rPr>
              <w:t>$6 - $10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$169</w:t>
            </w:r>
          </w:p>
        </w:tc>
        <w:tc>
          <w:tcPr>
            <w:tcW w:w="820" w:type="dxa"/>
            <w:vAlign w:val="bottom"/>
          </w:tcPr>
          <w:p>
            <w:pPr>
              <w:ind w:left="20"/>
              <w:spacing w:after="0"/>
              <w:rPr>
                <w:sz w:val="20"/>
                <w:szCs w:val="20"/>
                <w:color w:val="auto"/>
              </w:rPr>
            </w:pPr>
            <w:r>
              <w:rPr>
                <w:rFonts w:ascii="Arial" w:cs="Arial" w:eastAsia="Arial" w:hAnsi="Arial"/>
                <w:sz w:val="14"/>
                <w:szCs w:val="14"/>
                <w:color w:val="auto"/>
              </w:rPr>
              <w:t>- $175</w:t>
            </w:r>
          </w:p>
        </w:tc>
      </w:tr>
      <w:tr>
        <w:trPr>
          <w:trHeight w:val="21"/>
        </w:trPr>
        <w:tc>
          <w:tcPr>
            <w:tcW w:w="5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3"/>
        </w:trPr>
        <w:tc>
          <w:tcPr>
            <w:tcW w:w="53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General and Administrative Expenses ($ millions)</w:t>
            </w:r>
          </w:p>
        </w:tc>
        <w:tc>
          <w:tcPr>
            <w:tcW w:w="15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$61</w:t>
            </w:r>
          </w:p>
        </w:tc>
        <w:tc>
          <w:tcPr>
            <w:tcW w:w="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 $72</w:t>
            </w:r>
          </w:p>
        </w:tc>
        <w:tc>
          <w:tcPr>
            <w:tcW w:w="300" w:type="dxa"/>
            <w:vAlign w:val="bottom"/>
          </w:tcPr>
          <w:p>
            <w:pPr>
              <w:spacing w:after="0"/>
              <w:rPr>
                <w:sz w:val="16"/>
                <w:szCs w:val="16"/>
                <w:color w:val="auto"/>
              </w:rPr>
            </w:pPr>
          </w:p>
        </w:tc>
        <w:tc>
          <w:tcPr>
            <w:tcW w:w="15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$2 - $3</w:t>
            </w:r>
          </w:p>
        </w:tc>
        <w:tc>
          <w:tcPr>
            <w:tcW w:w="280" w:type="dxa"/>
            <w:vAlign w:val="bottom"/>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$59</w:t>
            </w:r>
          </w:p>
        </w:tc>
        <w:tc>
          <w:tcPr>
            <w:tcW w:w="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 $69</w:t>
            </w:r>
          </w:p>
        </w:tc>
      </w:tr>
      <w:tr>
        <w:trPr>
          <w:trHeight w:val="213"/>
        </w:trPr>
        <w:tc>
          <w:tcPr>
            <w:tcW w:w="5300" w:type="dxa"/>
            <w:vAlign w:val="bottom"/>
          </w:tcPr>
          <w:p>
            <w:pPr>
              <w:ind w:left="420"/>
              <w:spacing w:after="0"/>
              <w:rPr>
                <w:sz w:val="20"/>
                <w:szCs w:val="20"/>
                <w:color w:val="auto"/>
              </w:rPr>
            </w:pPr>
            <w:r>
              <w:rPr>
                <w:rFonts w:ascii="Arial" w:cs="Arial" w:eastAsia="Arial" w:hAnsi="Arial"/>
                <w:sz w:val="14"/>
                <w:szCs w:val="14"/>
                <w:i w:val="1"/>
                <w:iCs w:val="1"/>
                <w:color w:val="auto"/>
              </w:rPr>
              <w:t>Adjusted General and Administrative Expenses</w:t>
            </w: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 xml:space="preserve"> ($ millions)</w:t>
            </w:r>
          </w:p>
        </w:tc>
        <w:tc>
          <w:tcPr>
            <w:tcW w:w="1500" w:type="dxa"/>
            <w:vAlign w:val="bottom"/>
          </w:tcPr>
          <w:p>
            <w:pPr>
              <w:jc w:val="right"/>
              <w:spacing w:after="0"/>
              <w:rPr>
                <w:sz w:val="20"/>
                <w:szCs w:val="20"/>
                <w:color w:val="auto"/>
              </w:rPr>
            </w:pPr>
            <w:r>
              <w:rPr>
                <w:rFonts w:ascii="Arial" w:cs="Arial" w:eastAsia="Arial" w:hAnsi="Arial"/>
                <w:sz w:val="14"/>
                <w:szCs w:val="14"/>
                <w:i w:val="1"/>
                <w:iCs w:val="1"/>
                <w:color w:val="auto"/>
              </w:rPr>
              <w:t>$48</w:t>
            </w:r>
          </w:p>
        </w:tc>
        <w:tc>
          <w:tcPr>
            <w:tcW w:w="780" w:type="dxa"/>
            <w:vAlign w:val="bottom"/>
          </w:tcPr>
          <w:p>
            <w:pPr>
              <w:ind w:left="20"/>
              <w:spacing w:after="0"/>
              <w:rPr>
                <w:sz w:val="20"/>
                <w:szCs w:val="20"/>
                <w:color w:val="auto"/>
              </w:rPr>
            </w:pPr>
            <w:r>
              <w:rPr>
                <w:rFonts w:ascii="Arial" w:cs="Arial" w:eastAsia="Arial" w:hAnsi="Arial"/>
                <w:sz w:val="14"/>
                <w:szCs w:val="14"/>
                <w:i w:val="1"/>
                <w:iCs w:val="1"/>
                <w:color w:val="auto"/>
              </w:rPr>
              <w:t>- $58</w:t>
            </w:r>
          </w:p>
        </w:tc>
        <w:tc>
          <w:tcPr>
            <w:tcW w:w="1840" w:type="dxa"/>
            <w:vAlign w:val="bottom"/>
            <w:gridSpan w:val="2"/>
          </w:tcPr>
          <w:p>
            <w:pPr>
              <w:jc w:val="center"/>
              <w:ind w:left="249"/>
              <w:spacing w:after="0"/>
              <w:rPr>
                <w:sz w:val="20"/>
                <w:szCs w:val="20"/>
                <w:color w:val="auto"/>
              </w:rPr>
            </w:pPr>
            <w:r>
              <w:rPr>
                <w:rFonts w:ascii="Arial" w:cs="Arial" w:eastAsia="Arial" w:hAnsi="Arial"/>
                <w:sz w:val="14"/>
                <w:szCs w:val="14"/>
                <w:i w:val="1"/>
                <w:iCs w:val="1"/>
                <w:color w:val="auto"/>
              </w:rPr>
              <w:t>$2 - $3</w:t>
            </w:r>
          </w:p>
        </w:tc>
        <w:tc>
          <w:tcPr>
            <w:tcW w:w="1000" w:type="dxa"/>
            <w:vAlign w:val="bottom"/>
            <w:gridSpan w:val="2"/>
          </w:tcPr>
          <w:p>
            <w:pPr>
              <w:jc w:val="right"/>
              <w:spacing w:after="0"/>
              <w:rPr>
                <w:sz w:val="20"/>
                <w:szCs w:val="20"/>
                <w:color w:val="auto"/>
              </w:rPr>
            </w:pPr>
            <w:r>
              <w:rPr>
                <w:rFonts w:ascii="Arial" w:cs="Arial" w:eastAsia="Arial" w:hAnsi="Arial"/>
                <w:sz w:val="14"/>
                <w:szCs w:val="14"/>
                <w:i w:val="1"/>
                <w:iCs w:val="1"/>
                <w:color w:val="auto"/>
              </w:rPr>
              <w:t>$46</w:t>
            </w:r>
          </w:p>
        </w:tc>
        <w:tc>
          <w:tcPr>
            <w:tcW w:w="820" w:type="dxa"/>
            <w:vAlign w:val="bottom"/>
          </w:tcPr>
          <w:p>
            <w:pPr>
              <w:ind w:left="20"/>
              <w:spacing w:after="0"/>
              <w:rPr>
                <w:sz w:val="20"/>
                <w:szCs w:val="20"/>
                <w:color w:val="auto"/>
              </w:rPr>
            </w:pPr>
            <w:r>
              <w:rPr>
                <w:rFonts w:ascii="Arial" w:cs="Arial" w:eastAsia="Arial" w:hAnsi="Arial"/>
                <w:sz w:val="14"/>
                <w:szCs w:val="14"/>
                <w:i w:val="1"/>
                <w:iCs w:val="1"/>
                <w:color w:val="auto"/>
              </w:rPr>
              <w:t>- $55</w:t>
            </w:r>
          </w:p>
        </w:tc>
      </w:tr>
      <w:tr>
        <w:trPr>
          <w:trHeight w:val="193"/>
        </w:trPr>
        <w:tc>
          <w:tcPr>
            <w:tcW w:w="53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Capital ($ millions)</w:t>
            </w:r>
          </w:p>
        </w:tc>
        <w:tc>
          <w:tcPr>
            <w:tcW w:w="15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$65</w:t>
            </w:r>
          </w:p>
        </w:tc>
        <w:tc>
          <w:tcPr>
            <w:tcW w:w="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 $75</w:t>
            </w:r>
          </w:p>
        </w:tc>
        <w:tc>
          <w:tcPr>
            <w:tcW w:w="300" w:type="dxa"/>
            <w:vAlign w:val="bottom"/>
          </w:tcPr>
          <w:p>
            <w:pPr>
              <w:spacing w:after="0"/>
              <w:rPr>
                <w:sz w:val="16"/>
                <w:szCs w:val="16"/>
                <w:color w:val="auto"/>
              </w:rPr>
            </w:pPr>
          </w:p>
        </w:tc>
        <w:tc>
          <w:tcPr>
            <w:tcW w:w="15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$4 - $6</w:t>
            </w:r>
          </w:p>
        </w:tc>
        <w:tc>
          <w:tcPr>
            <w:tcW w:w="280" w:type="dxa"/>
            <w:vAlign w:val="bottom"/>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$61</w:t>
            </w:r>
          </w:p>
        </w:tc>
        <w:tc>
          <w:tcPr>
            <w:tcW w:w="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 $69</w:t>
            </w:r>
          </w:p>
        </w:tc>
      </w:tr>
      <w:tr>
        <w:trPr>
          <w:trHeight w:val="253"/>
        </w:trPr>
        <w:tc>
          <w:tcPr>
            <w:tcW w:w="5300" w:type="dxa"/>
            <w:vAlign w:val="bottom"/>
          </w:tcPr>
          <w:p>
            <w:pPr>
              <w:spacing w:after="0"/>
              <w:rPr>
                <w:sz w:val="22"/>
                <w:szCs w:val="22"/>
                <w:color w:val="auto"/>
              </w:rPr>
            </w:pPr>
          </w:p>
        </w:tc>
        <w:tc>
          <w:tcPr>
            <w:tcW w:w="228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820" w:type="dxa"/>
            <w:vAlign w:val="bottom"/>
            <w:gridSpan w:val="3"/>
          </w:tcPr>
          <w:p>
            <w:pPr>
              <w:spacing w:after="0"/>
              <w:rPr>
                <w:sz w:val="22"/>
                <w:szCs w:val="22"/>
                <w:color w:val="auto"/>
              </w:rPr>
            </w:pPr>
          </w:p>
        </w:tc>
      </w:tr>
      <w:tr>
        <w:trPr>
          <w:trHeight w:val="193"/>
        </w:trPr>
        <w:tc>
          <w:tcPr>
            <w:tcW w:w="53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Natural Gas Marketing Margin ($ millions)</w:t>
            </w:r>
          </w:p>
        </w:tc>
        <w:tc>
          <w:tcPr>
            <w:tcW w:w="2280" w:type="dxa"/>
            <w:vAlign w:val="bottom"/>
            <w:tcBorders>
              <w:bottom w:val="single" w:sz="8" w:color="DBDBDB"/>
            </w:tcBorders>
            <w:gridSpan w:val="2"/>
            <w:shd w:val="clear" w:color="auto" w:fill="DBDBDB"/>
          </w:tcPr>
          <w:p>
            <w:pPr>
              <w:jc w:val="center"/>
              <w:ind w:left="729"/>
              <w:spacing w:after="0"/>
              <w:rPr>
                <w:sz w:val="20"/>
                <w:szCs w:val="20"/>
                <w:color w:val="auto"/>
              </w:rPr>
            </w:pPr>
            <w:r>
              <w:rPr>
                <w:rFonts w:ascii="Arial" w:cs="Arial" w:eastAsia="Arial" w:hAnsi="Arial"/>
                <w:sz w:val="14"/>
                <w:szCs w:val="14"/>
                <w:color w:val="auto"/>
              </w:rPr>
              <w:t>$8 - $13</w:t>
            </w:r>
          </w:p>
        </w:tc>
        <w:tc>
          <w:tcPr>
            <w:tcW w:w="300" w:type="dxa"/>
            <w:vAlign w:val="bottom"/>
          </w:tcPr>
          <w:p>
            <w:pPr>
              <w:spacing w:after="0"/>
              <w:rPr>
                <w:sz w:val="16"/>
                <w:szCs w:val="16"/>
                <w:color w:val="auto"/>
              </w:rPr>
            </w:pPr>
          </w:p>
        </w:tc>
        <w:tc>
          <w:tcPr>
            <w:tcW w:w="1540" w:type="dxa"/>
            <w:vAlign w:val="bottom"/>
            <w:tcBorders>
              <w:bottom w:val="single" w:sz="8" w:color="DBDBDB"/>
            </w:tcBorders>
            <w:shd w:val="clear" w:color="auto" w:fill="DBDBDB"/>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Borders>
              <w:bottom w:val="single" w:sz="8" w:color="DBDBDB"/>
            </w:tcBorders>
            <w:gridSpan w:val="2"/>
            <w:shd w:val="clear" w:color="auto" w:fill="DBDBDB"/>
          </w:tcPr>
          <w:p>
            <w:pPr>
              <w:jc w:val="center"/>
              <w:spacing w:after="0"/>
              <w:rPr>
                <w:sz w:val="20"/>
                <w:szCs w:val="20"/>
                <w:color w:val="auto"/>
              </w:rPr>
            </w:pPr>
            <w:r>
              <w:rPr>
                <w:rFonts w:ascii="Arial" w:cs="Arial" w:eastAsia="Arial" w:hAnsi="Arial"/>
                <w:sz w:val="14"/>
                <w:szCs w:val="14"/>
                <w:color w:val="auto"/>
              </w:rPr>
              <w:t>$8 - $13</w:t>
            </w:r>
          </w:p>
        </w:tc>
      </w:tr>
      <w:tr>
        <w:trPr>
          <w:trHeight w:val="193"/>
        </w:trPr>
        <w:tc>
          <w:tcPr>
            <w:tcW w:w="5300" w:type="dxa"/>
            <w:vAlign w:val="bottom"/>
          </w:tcPr>
          <w:p>
            <w:pPr>
              <w:ind w:left="140"/>
              <w:spacing w:after="0"/>
              <w:rPr>
                <w:sz w:val="20"/>
                <w:szCs w:val="20"/>
                <w:color w:val="auto"/>
              </w:rPr>
            </w:pPr>
            <w:r>
              <w:rPr>
                <w:rFonts w:ascii="Arial" w:cs="Arial" w:eastAsia="Arial" w:hAnsi="Arial"/>
                <w:sz w:val="14"/>
                <w:szCs w:val="14"/>
                <w:color w:val="auto"/>
              </w:rPr>
              <w:t>Electricity Margin ($ millions)</w:t>
            </w:r>
          </w:p>
        </w:tc>
        <w:tc>
          <w:tcPr>
            <w:tcW w:w="2280" w:type="dxa"/>
            <w:vAlign w:val="bottom"/>
            <w:gridSpan w:val="2"/>
          </w:tcPr>
          <w:p>
            <w:pPr>
              <w:jc w:val="center"/>
              <w:ind w:left="729"/>
              <w:spacing w:after="0"/>
              <w:rPr>
                <w:sz w:val="20"/>
                <w:szCs w:val="20"/>
                <w:color w:val="auto"/>
              </w:rPr>
            </w:pPr>
            <w:r>
              <w:rPr>
                <w:rFonts w:ascii="Arial" w:cs="Arial" w:eastAsia="Arial" w:hAnsi="Arial"/>
                <w:sz w:val="14"/>
                <w:szCs w:val="14"/>
                <w:color w:val="auto"/>
              </w:rPr>
              <w:t>$5 - $10</w:t>
            </w: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20" w:type="dxa"/>
            <w:vAlign w:val="bottom"/>
            <w:gridSpan w:val="3"/>
          </w:tcPr>
          <w:p>
            <w:pPr>
              <w:jc w:val="center"/>
              <w:ind w:left="189"/>
              <w:spacing w:after="0"/>
              <w:rPr>
                <w:sz w:val="20"/>
                <w:szCs w:val="20"/>
                <w:color w:val="auto"/>
              </w:rPr>
            </w:pPr>
            <w:r>
              <w:rPr>
                <w:rFonts w:ascii="Arial" w:cs="Arial" w:eastAsia="Arial" w:hAnsi="Arial"/>
                <w:sz w:val="14"/>
                <w:szCs w:val="14"/>
                <w:color w:val="auto"/>
              </w:rPr>
              <w:t>$5 - $10</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Shareholder Return &amp; Deleveraging Strategy</w:t>
      </w:r>
    </w:p>
    <w:p>
      <w:pPr>
        <w:spacing w:after="0" w:line="240" w:lineRule="exact"/>
        <w:rPr>
          <w:sz w:val="20"/>
          <w:szCs w:val="20"/>
          <w:color w:val="auto"/>
        </w:rPr>
      </w:pPr>
    </w:p>
    <w:p>
      <w:pPr>
        <w:jc w:val="both"/>
        <w:ind w:firstLine="320"/>
        <w:spacing w:after="0" w:line="244" w:lineRule="auto"/>
        <w:rPr>
          <w:sz w:val="20"/>
          <w:szCs w:val="20"/>
          <w:color w:val="auto"/>
        </w:rPr>
      </w:pPr>
      <w:r>
        <w:rPr>
          <w:rFonts w:ascii="Arial" w:cs="Arial" w:eastAsia="Arial" w:hAnsi="Arial"/>
          <w:sz w:val="21"/>
          <w:szCs w:val="21"/>
          <w:color w:val="auto"/>
        </w:rPr>
        <w:t>CRC is committed to returning significant cash to shareholders through dividends and repurchases of its common stock. On February 6th, 2024, CRC’s Board of Directors approved a $250 million increase of the Share Repurchase Program, bringing the aggregate program to $1.35 billion, and extended the program through December 31, 2025. Adjusting for this increase, CRC has approximately $747 million of capacity remaining under the repurchase program as of February 6, 2024.</w:t>
      </w:r>
    </w:p>
    <w:p>
      <w:pPr>
        <w:spacing w:after="0" w:line="198"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21"/>
          <w:szCs w:val="21"/>
          <w:color w:val="auto"/>
        </w:rPr>
        <w:t>In 2023, CRC repurchased 3.4 million shares for approximately $143 million at an average price of $41.69 per share. Since the inception of the Share Repurchase Program in May 2021 through December 31, 2023, 14.9 million shares have been repurchased for $604 million at an average price of $40.53 per share, including commissions and excise taxes. These total repurchases represent ~18% of CRC’s shares outstanding since December 31, 2020.</w:t>
      </w:r>
    </w:p>
    <w:p>
      <w:pPr>
        <w:spacing w:after="0" w:line="192"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21"/>
          <w:szCs w:val="21"/>
          <w:color w:val="auto"/>
        </w:rPr>
        <w:t>In 2023, CRC repurchased $55 million in principal of its Senior Notes at par. After these repurchases, the remaining principal amount of CRC’s Senior Notes is $545 million due February 1, 2026.</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906" w:right="339" w:bottom="1440" w:gutter="0" w:footer="0" w:header="0"/>
        </w:sectPr>
      </w:pPr>
    </w:p>
    <w:bookmarkStart w:id="8" w:name="page9"/>
    <w:bookmarkEnd w:id="8"/>
    <w:p>
      <w:pPr>
        <w:jc w:val="both"/>
        <w:ind w:firstLine="320"/>
        <w:spacing w:after="0" w:line="277" w:lineRule="auto"/>
        <w:rPr>
          <w:sz w:val="20"/>
          <w:szCs w:val="20"/>
          <w:color w:val="auto"/>
        </w:rPr>
      </w:pPr>
      <w:r>
        <w:rPr>
          <w:rFonts w:ascii="Arial" w:cs="Arial" w:eastAsia="Arial" w:hAnsi="Arial"/>
          <w:sz w:val="21"/>
          <w:szCs w:val="21"/>
          <w:color w:val="auto"/>
        </w:rPr>
        <w:t>On February 27, 2024, CRC's Board of Directors declared a quarterly cash dividend of $0.31 per share of common stock. The dividend is payable to shareholders of record on March 6, 2024 and will be paid on March 18, 2024.</w:t>
      </w:r>
    </w:p>
    <w:p>
      <w:pPr>
        <w:spacing w:after="0" w:line="162"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21"/>
          <w:szCs w:val="21"/>
          <w:color w:val="auto"/>
        </w:rPr>
        <w:t>Through December 31, 2023, CRC has returned $813 million of cash to its stakeholders, including $604 million in share repurchases, $154 million of dividends and $55 million in principal of its Senior Notes repurchases.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Balance Sheet and Liquidity Update</w:t>
      </w:r>
    </w:p>
    <w:p>
      <w:pPr>
        <w:spacing w:after="0" w:line="240"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21"/>
          <w:szCs w:val="21"/>
          <w:color w:val="auto"/>
        </w:rPr>
        <w:t>On October 30, 2023, the borrowing base for the Revolving Credit Facility was reaffirmed at $1.2 billion as part of CRC's semi-annual redetermination. CRC's aggregate commitment from lenders under the Revolving Credit Facility was $630 million as of December 31, 2023.</w:t>
      </w:r>
    </w:p>
    <w:p>
      <w:pPr>
        <w:spacing w:after="0" w:line="189"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21"/>
          <w:szCs w:val="21"/>
          <w:color w:val="auto"/>
        </w:rPr>
        <w:t>As of December 31, 2023, CRC had liquidity of $973 million, which consisted of $496 million in cash and cash equivalents plus $477 million of available borrowing capacity under its Revolving Credit Facility (which is net of $153 million of issued letters of credit).</w:t>
      </w:r>
    </w:p>
    <w:p>
      <w:pPr>
        <w:spacing w:after="0" w:line="181"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21"/>
          <w:szCs w:val="21"/>
          <w:color w:val="auto"/>
        </w:rPr>
        <w:t>In connection with the Merger Agreement, on February 9, 2024, CRC entered into a second amendment to its Revolving Credit Facility to permit CRC to incur indebtedness under a bridge loan facility that may be used in connection with closing the Aera Merger.</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Acquisitions and Divestitures</w:t>
      </w:r>
    </w:p>
    <w:p>
      <w:pPr>
        <w:spacing w:after="0" w:line="240"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21"/>
          <w:szCs w:val="21"/>
          <w:color w:val="auto"/>
        </w:rPr>
        <w:t>On December 29, 2023, CRC sold its non-operating working interest in the Round Mountain Unit in the San Joaquin basin for $35 million, before transaction costs and purchase price adjustments, recognizing a gain of $25 million. CRC retained an option to capture, transport and store carbon dioxide (CO</w:t>
      </w:r>
      <w:r>
        <w:rPr>
          <w:rFonts w:ascii="Arial" w:cs="Arial" w:eastAsia="Arial" w:hAnsi="Arial"/>
          <w:sz w:val="21"/>
          <w:szCs w:val="21"/>
          <w:color w:val="auto"/>
          <w:vertAlign w:val="subscript"/>
        </w:rPr>
        <w:t>2</w:t>
      </w:r>
      <w:r>
        <w:rPr>
          <w:rFonts w:ascii="Arial" w:cs="Arial" w:eastAsia="Arial" w:hAnsi="Arial"/>
          <w:sz w:val="21"/>
          <w:szCs w:val="21"/>
          <w:color w:val="auto"/>
        </w:rPr>
        <w:t>) emissions from the production at Round Mountain Unit for future carbon management projects.</w:t>
      </w:r>
    </w:p>
    <w:p>
      <w:pPr>
        <w:spacing w:after="0" w:line="192"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21"/>
          <w:szCs w:val="21"/>
          <w:color w:val="auto"/>
        </w:rPr>
        <w:t>On February 22, 2024, CRC entered into an agreement to sell its 0.9 acre Fort Apache real estate property in Huntington Beach to a local real estate developer for approximately $10 million.</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Sustainability</w:t>
      </w:r>
    </w:p>
    <w:p>
      <w:pPr>
        <w:spacing w:after="0" w:line="240"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21"/>
          <w:szCs w:val="21"/>
          <w:color w:val="auto"/>
        </w:rPr>
        <w:t>“2023 was another important year in CRC’s sustainability journey,” said Francisco Leon, CRC’s President and Chief Executive Officer. “We are dedicated to becoming an even more sustainable energy company while continuously prioritizing health, safety, and the environment in all we do. We achieved our second-best safety rate in the Company’s history, our best since the period during COVID. Throughout the year, our skilled teams plugged and abandoned more than 600 wells, exceeding stringent local and state requirements. Furthermore, we received the 2023 S&amp;P Global Energy Transition - Upstream Award recognizing CRC’s perseverance in developing solutions to help reduce carbon emissions and tackle climate change, one of many industry awards we received during the year.”</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color w:val="auto"/>
        </w:rPr>
        <w:t>Additional 2023 sustainability highlights and achievements include:</w:t>
      </w:r>
    </w:p>
    <w:p>
      <w:pPr>
        <w:spacing w:after="0" w:line="238" w:lineRule="exact"/>
        <w:rPr>
          <w:sz w:val="20"/>
          <w:szCs w:val="20"/>
          <w:color w:val="auto"/>
        </w:rPr>
      </w:pPr>
    </w:p>
    <w:p>
      <w:pPr>
        <w:ind w:left="640" w:hanging="314"/>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Eliminated 269 gas venting pneumatics, keeping CRC on track with its 2030 methane reduction ESG goal</w:t>
      </w:r>
    </w:p>
    <w:p>
      <w:pPr>
        <w:spacing w:after="0" w:line="18" w:lineRule="exact"/>
        <w:rPr>
          <w:rFonts w:ascii="Arial" w:cs="Arial" w:eastAsia="Arial" w:hAnsi="Arial"/>
          <w:sz w:val="21"/>
          <w:szCs w:val="21"/>
          <w:color w:val="auto"/>
        </w:rPr>
      </w:pPr>
    </w:p>
    <w:p>
      <w:pPr>
        <w:ind w:left="640" w:hanging="314"/>
        <w:spacing w:after="0" w:line="231"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21"/>
          <w:szCs w:val="21"/>
          <w:color w:val="auto"/>
        </w:rPr>
        <w:t>Delivered more than 113 million barrels of water for agricultural use, or more than 3 times the amount for CRC's internal use</w:t>
      </w:r>
    </w:p>
    <w:p>
      <w:pPr>
        <w:spacing w:after="0" w:line="1" w:lineRule="exact"/>
        <w:rPr>
          <w:rFonts w:ascii="Arial" w:cs="Arial" w:eastAsia="Arial" w:hAnsi="Arial"/>
          <w:sz w:val="21"/>
          <w:szCs w:val="21"/>
          <w:color w:val="auto"/>
        </w:rPr>
      </w:pPr>
    </w:p>
    <w:p>
      <w:pPr>
        <w:ind w:left="640" w:hanging="314"/>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Qualified for 22 National Safety Awards for 2023 safety performance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873" w:right="339" w:bottom="1440" w:gutter="0" w:footer="0" w:header="0"/>
        </w:sectPr>
      </w:pPr>
    </w:p>
    <w:bookmarkStart w:id="9" w:name="page10"/>
    <w:bookmarkEnd w:id="9"/>
    <w:p>
      <w:pPr>
        <w:ind w:left="640" w:hanging="314"/>
        <w:spacing w:after="0"/>
        <w:tabs>
          <w:tab w:leader="none" w:pos="640" w:val="left"/>
        </w:tabs>
        <w:numPr>
          <w:ilvl w:val="0"/>
          <w:numId w:val="8"/>
        </w:numPr>
        <w:rPr>
          <w:rFonts w:ascii="Arial" w:cs="Arial" w:eastAsia="Arial" w:hAnsi="Arial"/>
          <w:sz w:val="21"/>
          <w:szCs w:val="21"/>
          <w:color w:val="auto"/>
        </w:rPr>
      </w:pPr>
      <w:r>
        <w:rPr>
          <w:rFonts w:ascii="Arial" w:cs="Arial" w:eastAsia="Arial" w:hAnsi="Arial"/>
          <w:sz w:val="21"/>
          <w:szCs w:val="21"/>
          <w:color w:val="auto"/>
        </w:rPr>
        <w:t>Provided more than $2.5 million in charitable giving to local groups, organizations, and nonprofits</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Upcoming Investor Conference Participation</w:t>
      </w:r>
    </w:p>
    <w:p>
      <w:pPr>
        <w:spacing w:after="0" w:line="240" w:lineRule="exact"/>
        <w:rPr>
          <w:sz w:val="20"/>
          <w:szCs w:val="20"/>
          <w:color w:val="auto"/>
        </w:rPr>
      </w:pPr>
    </w:p>
    <w:p>
      <w:pPr>
        <w:ind w:left="320"/>
        <w:spacing w:after="0"/>
        <w:rPr>
          <w:sz w:val="20"/>
          <w:szCs w:val="20"/>
          <w:color w:val="auto"/>
        </w:rPr>
      </w:pPr>
      <w:r>
        <w:rPr>
          <w:rFonts w:ascii="Arial" w:cs="Arial" w:eastAsia="Arial" w:hAnsi="Arial"/>
          <w:sz w:val="21"/>
          <w:szCs w:val="21"/>
          <w:color w:val="auto"/>
        </w:rPr>
        <w:t>CRC's executives will be participating in the following events in March and April of 2024:</w:t>
      </w:r>
    </w:p>
    <w:p>
      <w:pPr>
        <w:spacing w:after="0" w:line="238" w:lineRule="exact"/>
        <w:rPr>
          <w:sz w:val="20"/>
          <w:szCs w:val="20"/>
          <w:color w:val="auto"/>
        </w:rPr>
      </w:pPr>
    </w:p>
    <w:p>
      <w:pPr>
        <w:ind w:left="640" w:hanging="314"/>
        <w:spacing w:after="0"/>
        <w:tabs>
          <w:tab w:leader="none" w:pos="640" w:val="left"/>
        </w:tabs>
        <w:numPr>
          <w:ilvl w:val="0"/>
          <w:numId w:val="9"/>
        </w:numPr>
        <w:rPr>
          <w:rFonts w:ascii="Arial" w:cs="Arial" w:eastAsia="Arial" w:hAnsi="Arial"/>
          <w:sz w:val="21"/>
          <w:szCs w:val="21"/>
          <w:color w:val="auto"/>
        </w:rPr>
      </w:pPr>
      <w:r>
        <w:rPr>
          <w:rFonts w:ascii="Arial" w:cs="Arial" w:eastAsia="Arial" w:hAnsi="Arial"/>
          <w:sz w:val="21"/>
          <w:szCs w:val="21"/>
          <w:color w:val="auto"/>
        </w:rPr>
        <w:t>MS Global Energy and Power Conference on March 6 and 7 in New York, NY</w:t>
      </w:r>
    </w:p>
    <w:p>
      <w:pPr>
        <w:spacing w:after="0" w:line="39" w:lineRule="exact"/>
        <w:rPr>
          <w:rFonts w:ascii="Arial" w:cs="Arial" w:eastAsia="Arial" w:hAnsi="Arial"/>
          <w:sz w:val="21"/>
          <w:szCs w:val="21"/>
          <w:color w:val="auto"/>
        </w:rPr>
      </w:pPr>
    </w:p>
    <w:p>
      <w:pPr>
        <w:ind w:left="640" w:hanging="314"/>
        <w:spacing w:after="0"/>
        <w:tabs>
          <w:tab w:leader="none" w:pos="640" w:val="left"/>
        </w:tabs>
        <w:numPr>
          <w:ilvl w:val="0"/>
          <w:numId w:val="9"/>
        </w:numPr>
        <w:rPr>
          <w:rFonts w:ascii="Arial" w:cs="Arial" w:eastAsia="Arial" w:hAnsi="Arial"/>
          <w:sz w:val="21"/>
          <w:szCs w:val="21"/>
          <w:color w:val="auto"/>
        </w:rPr>
      </w:pPr>
      <w:r>
        <w:rPr>
          <w:rFonts w:ascii="Arial" w:cs="Arial" w:eastAsia="Arial" w:hAnsi="Arial"/>
          <w:sz w:val="21"/>
          <w:szCs w:val="21"/>
          <w:color w:val="auto"/>
        </w:rPr>
        <w:t>CERAWeek 2024 on March 18 to 20 in Houston, TX</w:t>
      </w:r>
    </w:p>
    <w:p>
      <w:pPr>
        <w:spacing w:after="0" w:line="17" w:lineRule="exact"/>
        <w:rPr>
          <w:rFonts w:ascii="Arial" w:cs="Arial" w:eastAsia="Arial" w:hAnsi="Arial"/>
          <w:sz w:val="21"/>
          <w:szCs w:val="21"/>
          <w:color w:val="auto"/>
        </w:rPr>
      </w:pPr>
    </w:p>
    <w:p>
      <w:pPr>
        <w:ind w:left="640" w:hanging="314"/>
        <w:spacing w:after="0"/>
        <w:tabs>
          <w:tab w:leader="none" w:pos="640" w:val="left"/>
        </w:tabs>
        <w:numPr>
          <w:ilvl w:val="0"/>
          <w:numId w:val="9"/>
        </w:numPr>
        <w:rPr>
          <w:rFonts w:ascii="Arial" w:cs="Arial" w:eastAsia="Arial" w:hAnsi="Arial"/>
          <w:sz w:val="21"/>
          <w:szCs w:val="21"/>
          <w:color w:val="auto"/>
        </w:rPr>
      </w:pPr>
      <w:r>
        <w:rPr>
          <w:rFonts w:ascii="Arial" w:cs="Arial" w:eastAsia="Arial" w:hAnsi="Arial"/>
          <w:sz w:val="21"/>
          <w:szCs w:val="21"/>
          <w:color w:val="auto"/>
        </w:rPr>
        <w:t>Capital One Carbon Capture Conference on March 27 in New York, NY</w:t>
      </w:r>
    </w:p>
    <w:p>
      <w:pPr>
        <w:spacing w:after="0" w:line="11" w:lineRule="exact"/>
        <w:rPr>
          <w:rFonts w:ascii="Arial" w:cs="Arial" w:eastAsia="Arial" w:hAnsi="Arial"/>
          <w:sz w:val="21"/>
          <w:szCs w:val="21"/>
          <w:color w:val="auto"/>
        </w:rPr>
      </w:pPr>
    </w:p>
    <w:p>
      <w:pPr>
        <w:ind w:left="640" w:hanging="314"/>
        <w:spacing w:after="0"/>
        <w:tabs>
          <w:tab w:leader="none" w:pos="640" w:val="left"/>
        </w:tabs>
        <w:numPr>
          <w:ilvl w:val="0"/>
          <w:numId w:val="9"/>
        </w:numPr>
        <w:rPr>
          <w:rFonts w:ascii="Arial" w:cs="Arial" w:eastAsia="Arial" w:hAnsi="Arial"/>
          <w:sz w:val="21"/>
          <w:szCs w:val="21"/>
          <w:color w:val="auto"/>
        </w:rPr>
      </w:pPr>
      <w:r>
        <w:rPr>
          <w:rFonts w:ascii="Arial" w:cs="Arial" w:eastAsia="Arial" w:hAnsi="Arial"/>
          <w:sz w:val="21"/>
          <w:szCs w:val="21"/>
          <w:color w:val="auto"/>
        </w:rPr>
        <w:t>North America CCUS &amp; Hydrogen Decarbonization Summit on April 16 to 18 in Chicago, IL</w:t>
      </w:r>
    </w:p>
    <w:p>
      <w:pPr>
        <w:spacing w:after="0" w:line="218"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21"/>
          <w:szCs w:val="21"/>
          <w:color w:val="auto"/>
        </w:rPr>
        <w:t>CRC’s presentation materials will be available the day of the events on the Events and Presentations page in the Investor Relations section on www.crc.com.</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Conference Call Details</w:t>
      </w:r>
    </w:p>
    <w:p>
      <w:pPr>
        <w:spacing w:after="0" w:line="236" w:lineRule="exact"/>
        <w:rPr>
          <w:sz w:val="20"/>
          <w:szCs w:val="20"/>
          <w:color w:val="auto"/>
        </w:rPr>
      </w:pPr>
    </w:p>
    <w:p>
      <w:pPr>
        <w:jc w:val="both"/>
        <w:ind w:firstLine="320"/>
        <w:spacing w:after="0" w:line="232" w:lineRule="auto"/>
        <w:rPr>
          <w:sz w:val="20"/>
          <w:szCs w:val="20"/>
          <w:color w:val="auto"/>
        </w:rPr>
      </w:pPr>
      <w:r>
        <w:rPr>
          <w:rFonts w:ascii="Arial" w:cs="Arial" w:eastAsia="Arial" w:hAnsi="Arial"/>
          <w:sz w:val="21"/>
          <w:szCs w:val="21"/>
          <w:color w:val="auto"/>
        </w:rPr>
        <w:t>A conference call is scheduled for Wednesday, February 28</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at 1:00 p.m. Eastern Time (10:00 a.m. Pacific Time). To participate in the call, please dial (877) 328-5505 (International calls please dial +1 (412) 317-5421) or access via webcast at www.crc.com 15 minutes prior to the scheduled start time to register. Participants may also pre-register for the conference call at https://dpregister.com/sreg/10184870/fb2ecfed18. A digital replay of the conference call will be archived for approximately 90 days and supplemental slides for the conference call will be available online in the Investor Relations section of www.crc.com.</w:t>
      </w:r>
    </w:p>
    <w:p>
      <w:pPr>
        <w:spacing w:after="0" w:line="208" w:lineRule="exact"/>
        <w:rPr>
          <w:sz w:val="20"/>
          <w:szCs w:val="20"/>
          <w:color w:val="auto"/>
        </w:rPr>
      </w:pPr>
    </w:p>
    <w:p>
      <w:pPr>
        <w:jc w:val="both"/>
        <w:ind w:firstLine="7"/>
        <w:spacing w:after="0" w:line="229" w:lineRule="auto"/>
        <w:tabs>
          <w:tab w:leader="none" w:pos="62"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See Attachment 3 for the non-GAAP financial measures of operating costs per BOE (excluding effects of PSCs), adjusted net income (loss), adjusted net income (loss) per share - basic and diluted, net cash provided by operating activities before changes in operating assets and liabilities, net, adjusted EBITDAX, free cash flow, adjusted G&amp;A and adjusted capital, including reconciliations to their most directly comparable GAAP measure, where applicable. For the 1Q24 estimates of the non-GAAP measure of adjusted general and administrative expenses, including reconciliations to its most directly comparable GAAP measure, see Attachment 2.</w:t>
      </w:r>
    </w:p>
    <w:p>
      <w:pPr>
        <w:spacing w:after="0" w:line="1" w:lineRule="exact"/>
        <w:rPr>
          <w:rFonts w:ascii="Arial" w:cs="Arial" w:eastAsia="Arial" w:hAnsi="Arial"/>
          <w:sz w:val="14"/>
          <w:szCs w:val="14"/>
          <w:color w:val="auto"/>
          <w:vertAlign w:val="superscript"/>
        </w:rPr>
      </w:pPr>
    </w:p>
    <w:p>
      <w:pPr>
        <w:jc w:val="both"/>
        <w:spacing w:after="0" w:line="243" w:lineRule="auto"/>
        <w:rPr>
          <w:rFonts w:ascii="Arial" w:cs="Arial" w:eastAsia="Arial" w:hAnsi="Arial"/>
          <w:sz w:val="14"/>
          <w:szCs w:val="14"/>
          <w:color w:val="auto"/>
          <w:vertAlign w:val="superscript"/>
        </w:rPr>
      </w:pPr>
      <w:r>
        <w:rPr>
          <w:rFonts w:ascii="Arial" w:cs="Arial" w:eastAsia="Arial" w:hAnsi="Arial"/>
          <w:sz w:val="13"/>
          <w:szCs w:val="13"/>
          <w:color w:val="auto"/>
          <w:vertAlign w:val="superscript"/>
        </w:rPr>
        <w:t>2</w:t>
      </w:r>
      <w:r>
        <w:rPr>
          <w:rFonts w:ascii="Arial" w:cs="Arial" w:eastAsia="Arial" w:hAnsi="Arial"/>
          <w:sz w:val="11"/>
          <w:szCs w:val="11"/>
          <w:color w:val="auto"/>
        </w:rPr>
        <w:t xml:space="preserve"> Current preliminary 2024 outlook assumes a four rigs program starting from 2H24 subject to the availability of well permits. If CRC is not able to receive drilling permits or permits are delayed, the Company plans to run a one rig program with a $200 million to $240 million 2024E total capital program and would expect a 5% to 7% entry to exit decline rate. 1Q24 guidance assumes Brent price of $78.73 per barrel of oil, NGL realizations as a percentage of Brent consistent with prior years and a NYMEX gas price of $2.87 per mcf. CRC's share of production under PSC contracts decreases when commodity prices rise and increases when prices fall.</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California Resources Corporation</w:t>
      </w:r>
    </w:p>
    <w:p>
      <w:pPr>
        <w:spacing w:after="0" w:line="240" w:lineRule="exact"/>
        <w:rPr>
          <w:sz w:val="20"/>
          <w:szCs w:val="20"/>
          <w:color w:val="auto"/>
        </w:rPr>
      </w:pPr>
    </w:p>
    <w:p>
      <w:pPr>
        <w:jc w:val="both"/>
        <w:ind w:firstLine="320"/>
        <w:spacing w:after="0" w:line="238" w:lineRule="auto"/>
        <w:rPr>
          <w:sz w:val="20"/>
          <w:szCs w:val="20"/>
          <w:color w:val="auto"/>
        </w:rPr>
      </w:pPr>
      <w:r>
        <w:rPr>
          <w:rFonts w:ascii="Arial" w:cs="Arial" w:eastAsia="Arial" w:hAnsi="Arial"/>
          <w:sz w:val="21"/>
          <w:szCs w:val="21"/>
          <w:color w:val="auto"/>
        </w:rPr>
        <w:t>California Resources Corporation (CRC) is an independent energy and carbon management company committed to energy transition. CRC produces some of the lowest carbon intensity oil in the US and is focused on maximizing the value of its land, mineral and technical resources for decarbonization efforts. For more information about CRC, please visit www.crc.com.</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Carbon TerraVault</w:t>
      </w:r>
    </w:p>
    <w:p>
      <w:pPr>
        <w:spacing w:after="0" w:line="254"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21"/>
          <w:szCs w:val="21"/>
          <w:color w:val="auto"/>
        </w:rPr>
        <w:t>Carbon TerraVault Holdings, LLC (CTV), a subsidiary of CRC, provides services that include the capture, transport and storage of carbon dioxide for its customers. CTV is engaged in a series of CCS projects that inject CO</w:t>
      </w:r>
      <w:r>
        <w:rPr>
          <w:rFonts w:ascii="Arial" w:cs="Arial" w:eastAsia="Arial" w:hAnsi="Arial"/>
          <w:sz w:val="21"/>
          <w:szCs w:val="21"/>
          <w:color w:val="auto"/>
          <w:vertAlign w:val="subscript"/>
        </w:rPr>
        <w:t>2</w:t>
      </w:r>
      <w:r>
        <w:rPr>
          <w:rFonts w:ascii="Arial" w:cs="Arial" w:eastAsia="Arial" w:hAnsi="Arial"/>
          <w:sz w:val="21"/>
          <w:szCs w:val="21"/>
          <w:color w:val="auto"/>
        </w:rPr>
        <w:t xml:space="preserve"> captured from industrial sources into depleted underground reservoirs and permanently store CO</w:t>
      </w:r>
      <w:r>
        <w:rPr>
          <w:rFonts w:ascii="Arial" w:cs="Arial" w:eastAsia="Arial" w:hAnsi="Arial"/>
          <w:sz w:val="11"/>
          <w:szCs w:val="11"/>
          <w:color w:val="auto"/>
        </w:rPr>
        <w:t>2</w:t>
      </w:r>
      <w:r>
        <w:rPr>
          <w:rFonts w:ascii="Arial" w:cs="Arial" w:eastAsia="Arial" w:hAnsi="Arial"/>
          <w:sz w:val="21"/>
          <w:szCs w:val="21"/>
          <w:color w:val="auto"/>
        </w:rPr>
        <w:t xml:space="preserve"> deep underground. For more information about CTV, please visit www.carbonterravault.com.</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Additional Information and Where to Find It</w:t>
      </w:r>
    </w:p>
    <w:p>
      <w:pPr>
        <w:spacing w:after="0" w:line="280" w:lineRule="exact"/>
        <w:rPr>
          <w:sz w:val="20"/>
          <w:szCs w:val="20"/>
          <w:color w:val="auto"/>
        </w:rPr>
      </w:pPr>
    </w:p>
    <w:p>
      <w:pPr>
        <w:jc w:val="both"/>
        <w:ind w:firstLine="320"/>
        <w:spacing w:after="0" w:line="297" w:lineRule="auto"/>
        <w:rPr>
          <w:sz w:val="20"/>
          <w:szCs w:val="20"/>
          <w:color w:val="auto"/>
        </w:rPr>
      </w:pPr>
      <w:r>
        <w:rPr>
          <w:rFonts w:ascii="Arial" w:cs="Arial" w:eastAsia="Arial" w:hAnsi="Arial"/>
          <w:sz w:val="21"/>
          <w:szCs w:val="21"/>
          <w:color w:val="auto"/>
        </w:rPr>
        <w:t>This communication may be deemed to be solicitation material in respect of the transactions contemplated by the merger agreement pursuant to which California Resources Corporation (“CRC”) has agreed to combine with Aera Energy, LLC (“Aera”) (the “Merger Agreement”),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40"/>
          </w:cols>
          <w:pgMar w:left="320" w:top="873" w:right="339" w:bottom="1440" w:gutter="0" w:footer="0" w:header="0"/>
        </w:sectPr>
      </w:pPr>
    </w:p>
    <w:bookmarkStart w:id="10" w:name="page11"/>
    <w:bookmarkEnd w:id="10"/>
    <w:p>
      <w:pPr>
        <w:jc w:val="both"/>
        <w:spacing w:after="0" w:line="279" w:lineRule="auto"/>
        <w:rPr>
          <w:sz w:val="20"/>
          <w:szCs w:val="20"/>
          <w:color w:val="auto"/>
        </w:rPr>
      </w:pPr>
      <w:r>
        <w:rPr>
          <w:rFonts w:ascii="Arial" w:cs="Arial" w:eastAsia="Arial" w:hAnsi="Arial"/>
          <w:sz w:val="21"/>
          <w:szCs w:val="21"/>
          <w:color w:val="auto"/>
        </w:rPr>
        <w:t>including the proposed issuance of CRC’S common stock pursuant to the Merger Agreement. In connection with the transaction, CRC will file a proxy statement on Schedule 14A with the U.S. Securities and Exchange Commission (“SEC”), as well as other relevant materials. Following the filing of the definitive proxy statement, CRC will mail the definitive proxy statement and a proxy card to its stockholders. INVESTORS AND SECURITY HOLDERS OF CRC ARE URGED TO READ THE PROXY STATEMENT AND OTHER RELEVANT DOCUMENTS FILED OR TO BE FILED WITH THE SEC CAREFULLY WHEN THEY BECOME AVAILABLE BECAUSE THEY WILL CONTAIN IMPORTANT INFORMATION ABOUT CRC, AERA, THE TRANSACTION AND RELATED MATTERS. Investors and security holders will be able to obtain copies of the proxy statement (when available) as well as other filings containing information about CRC, Aera and the transaction, without charge, at the SEC’s website, www.sec.gov. Copies of documents filed with the SEC by CRC will be available, without charge, at CRC’s website, www.crc.com.</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Participants in Solicitation</w:t>
      </w:r>
    </w:p>
    <w:p>
      <w:pPr>
        <w:spacing w:after="0" w:line="280" w:lineRule="exact"/>
        <w:rPr>
          <w:sz w:val="20"/>
          <w:szCs w:val="20"/>
          <w:color w:val="auto"/>
        </w:rPr>
      </w:pPr>
    </w:p>
    <w:p>
      <w:pPr>
        <w:jc w:val="both"/>
        <w:ind w:firstLine="320"/>
        <w:spacing w:after="0" w:line="284" w:lineRule="auto"/>
        <w:rPr>
          <w:sz w:val="20"/>
          <w:szCs w:val="20"/>
          <w:color w:val="auto"/>
        </w:rPr>
      </w:pPr>
      <w:r>
        <w:rPr>
          <w:rFonts w:ascii="Arial" w:cs="Arial" w:eastAsia="Arial" w:hAnsi="Arial"/>
          <w:sz w:val="21"/>
          <w:szCs w:val="21"/>
          <w:color w:val="auto"/>
        </w:rPr>
        <w:t>CRC and its directors and executive officers may be deemed to be participants in the solicitation of proxies in connection with the transaction. Information about the directors and executive officers of CRC is set forth in the proxy statement for CRC’s 2023 Annual Meeting of Stockholders, which was filed with the SEC on March 16, 2023. Investors may obtain additional information regarding the interest of such participants by reading the proxy statement regarding the transaction when it becomes available.</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Forward-Looking Statements</w:t>
      </w:r>
    </w:p>
    <w:p>
      <w:pPr>
        <w:spacing w:after="0" w:line="240" w:lineRule="exact"/>
        <w:rPr>
          <w:sz w:val="20"/>
          <w:szCs w:val="20"/>
          <w:color w:val="auto"/>
        </w:rPr>
      </w:pPr>
    </w:p>
    <w:p>
      <w:pPr>
        <w:jc w:val="both"/>
        <w:ind w:firstLine="320"/>
        <w:spacing w:after="0" w:line="241" w:lineRule="auto"/>
        <w:rPr>
          <w:sz w:val="20"/>
          <w:szCs w:val="20"/>
          <w:color w:val="auto"/>
        </w:rPr>
      </w:pPr>
      <w:r>
        <w:rPr>
          <w:rFonts w:ascii="Arial" w:cs="Arial" w:eastAsia="Arial" w:hAnsi="Arial"/>
          <w:sz w:val="21"/>
          <w:szCs w:val="21"/>
          <w:color w:val="auto"/>
        </w:rPr>
        <w:t>This document contains statements that CRC believes to be “forward-looking statements” within the meaning of Section 27A of the Securities Act of 1933 and Section 21E of the Securities Exchange Act of 1934. All statements other than historical facts are forward-looking statements, and include statements regarding CRC's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 Additionally, the information in this report contains forward-looking statements related to the recently announced Aera merger.</w:t>
      </w:r>
    </w:p>
    <w:p>
      <w:pPr>
        <w:spacing w:after="0" w:line="214" w:lineRule="exact"/>
        <w:rPr>
          <w:sz w:val="20"/>
          <w:szCs w:val="20"/>
          <w:color w:val="auto"/>
        </w:rPr>
      </w:pPr>
    </w:p>
    <w:p>
      <w:pPr>
        <w:jc w:val="both"/>
        <w:ind w:firstLine="320"/>
        <w:spacing w:after="0" w:line="261" w:lineRule="auto"/>
        <w:rPr>
          <w:sz w:val="20"/>
          <w:szCs w:val="20"/>
          <w:color w:val="auto"/>
        </w:rPr>
      </w:pPr>
      <w:r>
        <w:rPr>
          <w:rFonts w:ascii="Arial" w:cs="Arial" w:eastAsia="Arial" w:hAnsi="Arial"/>
          <w:sz w:val="21"/>
          <w:szCs w:val="21"/>
          <w:color w:val="auto"/>
        </w:rPr>
        <w:t>Although CRC believes the expectations and forecasts reflected in its forward-looking statements are reasonable, they are inherently subject to numerous risks and uncertainties, most of which are difficult to predict and many of which are beyond its control. No assurance can be given that such forward-looking statements will be correct or achieved or that the assumptions are accurate or will not change over time. Particular uncertainties that could cause CRC's actual results to be materially different than those expressed in its forward-looking statements include:</w:t>
      </w:r>
    </w:p>
    <w:p>
      <w:pPr>
        <w:spacing w:after="0" w:line="206" w:lineRule="exact"/>
        <w:rPr>
          <w:sz w:val="20"/>
          <w:szCs w:val="20"/>
          <w:color w:val="auto"/>
        </w:rPr>
      </w:pPr>
    </w:p>
    <w:p>
      <w:pPr>
        <w:ind w:left="580" w:hanging="254"/>
        <w:spacing w:after="0"/>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fluctuations in commodity prices, including supply and demand considerations for CRC's products and services;</w:t>
      </w:r>
    </w:p>
    <w:p>
      <w:pPr>
        <w:spacing w:after="0" w:line="31" w:lineRule="exact"/>
        <w:rPr>
          <w:rFonts w:ascii="Arial" w:cs="Arial" w:eastAsia="Arial" w:hAnsi="Arial"/>
          <w:sz w:val="21"/>
          <w:szCs w:val="21"/>
          <w:color w:val="auto"/>
        </w:rPr>
      </w:pPr>
    </w:p>
    <w:p>
      <w:pPr>
        <w:ind w:left="580" w:hanging="254"/>
        <w:spacing w:after="0"/>
        <w:tabs>
          <w:tab w:leader="none" w:pos="5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decisions as to production levels and/or pricing by OPEC or U.S. producers in future periods;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40"/>
          </w:cols>
          <w:pgMar w:left="320" w:top="886" w:right="339" w:bottom="1440" w:gutter="0" w:footer="0" w:header="0"/>
        </w:sectPr>
      </w:pPr>
    </w:p>
    <w:bookmarkStart w:id="11" w:name="page12"/>
    <w:bookmarkEnd w:id="11"/>
    <w:p>
      <w:pPr>
        <w:ind w:left="320" w:right="200" w:hanging="314"/>
        <w:spacing w:after="0" w:line="261" w:lineRule="auto"/>
        <w:tabs>
          <w:tab w:leader="none" w:pos="261" w:val="left"/>
        </w:tabs>
        <w:numPr>
          <w:ilvl w:val="0"/>
          <w:numId w:val="12"/>
        </w:numPr>
        <w:rPr>
          <w:rFonts w:ascii="Arial" w:cs="Arial" w:eastAsia="Arial" w:hAnsi="Arial"/>
          <w:sz w:val="21"/>
          <w:szCs w:val="21"/>
          <w:color w:val="auto"/>
        </w:rPr>
      </w:pPr>
      <w:r>
        <w:rPr>
          <w:rFonts w:ascii="Arial" w:cs="Arial" w:eastAsia="Arial" w:hAnsi="Arial"/>
          <w:sz w:val="21"/>
          <w:szCs w:val="21"/>
          <w:color w:val="auto"/>
        </w:rPr>
        <w:t>government policy, war and political conditions and events, including the military conflicts in Israel, Ukraine and Yemen and the Red Sea;</w:t>
      </w:r>
    </w:p>
    <w:p>
      <w:pPr>
        <w:spacing w:after="0" w:line="1" w:lineRule="exact"/>
        <w:rPr>
          <w:rFonts w:ascii="Arial" w:cs="Arial" w:eastAsia="Arial" w:hAnsi="Arial"/>
          <w:sz w:val="21"/>
          <w:szCs w:val="21"/>
          <w:color w:val="auto"/>
        </w:rPr>
      </w:pPr>
    </w:p>
    <w:p>
      <w:pPr>
        <w:ind w:left="260" w:hanging="254"/>
        <w:spacing w:after="0"/>
        <w:tabs>
          <w:tab w:leader="none" w:pos="260"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ability to successfully integrate the business of Aera once the Aera merger is completed;</w:t>
      </w:r>
    </w:p>
    <w:p>
      <w:pPr>
        <w:spacing w:after="0" w:line="19" w:lineRule="exact"/>
        <w:rPr>
          <w:rFonts w:ascii="Arial" w:cs="Arial" w:eastAsia="Arial" w:hAnsi="Arial"/>
          <w:sz w:val="21"/>
          <w:szCs w:val="21"/>
          <w:color w:val="auto"/>
        </w:rPr>
      </w:pPr>
    </w:p>
    <w:p>
      <w:pPr>
        <w:ind w:left="320" w:right="160" w:hanging="314"/>
        <w:spacing w:after="0" w:line="254" w:lineRule="auto"/>
        <w:tabs>
          <w:tab w:leader="none" w:pos="261"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timing, receipt and terms and conditions of any required governmental and regulatory approvals of the Aera merger that could reduce anticipated benefits or cause the parties to abandon the Aera merger;</w:t>
      </w:r>
    </w:p>
    <w:p>
      <w:pPr>
        <w:ind w:left="320" w:right="100" w:hanging="314"/>
        <w:spacing w:after="0" w:line="251" w:lineRule="auto"/>
        <w:tabs>
          <w:tab w:leader="none" w:pos="261"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occurrence of any event, change or other circumstances that could give rise to the termination of the Merger Agreement;</w:t>
      </w:r>
    </w:p>
    <w:p>
      <w:pPr>
        <w:spacing w:after="0" w:line="1" w:lineRule="exact"/>
        <w:rPr>
          <w:rFonts w:ascii="Arial" w:cs="Arial" w:eastAsia="Arial" w:hAnsi="Arial"/>
          <w:sz w:val="21"/>
          <w:szCs w:val="21"/>
          <w:color w:val="auto"/>
        </w:rPr>
      </w:pPr>
    </w:p>
    <w:p>
      <w:pPr>
        <w:ind w:left="320" w:right="20" w:hanging="314"/>
        <w:spacing w:after="0" w:line="258" w:lineRule="auto"/>
        <w:tabs>
          <w:tab w:leader="none" w:pos="261"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possibility that the stockholders of CRC may not approve the issuance of new shares of common stock in the Aera merger;</w:t>
      </w:r>
    </w:p>
    <w:p>
      <w:pPr>
        <w:ind w:left="320" w:right="120" w:hanging="314"/>
        <w:spacing w:after="0" w:line="251" w:lineRule="auto"/>
        <w:tabs>
          <w:tab w:leader="none" w:pos="261"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ability to obtain the required debt financing in connection with the Aera merger and, if obtained, the potential impact of additional debt on its business and the financial impacts and restrictions due to the additional debt;</w:t>
      </w:r>
    </w:p>
    <w:p>
      <w:pPr>
        <w:spacing w:after="0" w:line="1" w:lineRule="exact"/>
        <w:rPr>
          <w:rFonts w:ascii="Arial" w:cs="Arial" w:eastAsia="Arial" w:hAnsi="Arial"/>
          <w:sz w:val="21"/>
          <w:szCs w:val="21"/>
          <w:color w:val="auto"/>
        </w:rPr>
      </w:pPr>
    </w:p>
    <w:p>
      <w:pPr>
        <w:ind w:left="320" w:right="140" w:hanging="314"/>
        <w:spacing w:after="0" w:line="254" w:lineRule="auto"/>
        <w:tabs>
          <w:tab w:leader="none" w:pos="261" w:val="left"/>
        </w:tabs>
        <w:numPr>
          <w:ilvl w:val="0"/>
          <w:numId w:val="12"/>
        </w:numPr>
        <w:rPr>
          <w:rFonts w:ascii="Arial" w:cs="Arial" w:eastAsia="Arial" w:hAnsi="Arial"/>
          <w:sz w:val="21"/>
          <w:szCs w:val="21"/>
          <w:color w:val="auto"/>
        </w:rPr>
      </w:pPr>
      <w:r>
        <w:rPr>
          <w:rFonts w:ascii="Arial" w:cs="Arial" w:eastAsia="Arial" w:hAnsi="Arial"/>
          <w:sz w:val="21"/>
          <w:szCs w:val="21"/>
          <w:color w:val="auto"/>
        </w:rPr>
        <w:t>regulatory actions and changes that affect the oil and gas industry generally and CRC in particular, including (1) the availability or timing of, or conditions imposed on, permits and approvals necessary for drilling or development activities or its carbon management business; (2) the management of energy, water, land, greenhouse gases (GHGs) or other emissions, (3) the protection of health, safety and the environment, or (4) the transportation, marketing and sale of CRC's products;</w:t>
      </w:r>
    </w:p>
    <w:p>
      <w:pPr>
        <w:spacing w:after="0" w:line="1" w:lineRule="exact"/>
        <w:rPr>
          <w:rFonts w:ascii="Arial" w:cs="Arial" w:eastAsia="Arial" w:hAnsi="Arial"/>
          <w:sz w:val="21"/>
          <w:szCs w:val="21"/>
          <w:color w:val="auto"/>
        </w:rPr>
      </w:pPr>
    </w:p>
    <w:p>
      <w:pPr>
        <w:ind w:left="260" w:hanging="254"/>
        <w:spacing w:after="0"/>
        <w:tabs>
          <w:tab w:leader="none" w:pos="260"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impact of inflation on future expenses and changes generally in the prices of goods and services;</w:t>
      </w:r>
    </w:p>
    <w:p>
      <w:pPr>
        <w:spacing w:after="0" w:line="11" w:lineRule="exact"/>
        <w:rPr>
          <w:rFonts w:ascii="Arial" w:cs="Arial" w:eastAsia="Arial" w:hAnsi="Arial"/>
          <w:sz w:val="21"/>
          <w:szCs w:val="21"/>
          <w:color w:val="auto"/>
        </w:rPr>
      </w:pPr>
    </w:p>
    <w:p>
      <w:pPr>
        <w:ind w:left="260" w:hanging="254"/>
        <w:spacing w:after="0"/>
        <w:tabs>
          <w:tab w:leader="none" w:pos="260" w:val="left"/>
        </w:tabs>
        <w:numPr>
          <w:ilvl w:val="0"/>
          <w:numId w:val="12"/>
        </w:numPr>
        <w:rPr>
          <w:rFonts w:ascii="Arial" w:cs="Arial" w:eastAsia="Arial" w:hAnsi="Arial"/>
          <w:sz w:val="21"/>
          <w:szCs w:val="21"/>
          <w:color w:val="auto"/>
        </w:rPr>
      </w:pPr>
      <w:r>
        <w:rPr>
          <w:rFonts w:ascii="Arial" w:cs="Arial" w:eastAsia="Arial" w:hAnsi="Arial"/>
          <w:sz w:val="21"/>
          <w:szCs w:val="21"/>
          <w:color w:val="auto"/>
        </w:rPr>
        <w:t>changes in business strategy and CRC's capital plan;</w:t>
      </w:r>
    </w:p>
    <w:p>
      <w:pPr>
        <w:spacing w:after="0" w:line="11" w:lineRule="exact"/>
        <w:rPr>
          <w:rFonts w:ascii="Arial" w:cs="Arial" w:eastAsia="Arial" w:hAnsi="Arial"/>
          <w:sz w:val="21"/>
          <w:szCs w:val="21"/>
          <w:color w:val="auto"/>
        </w:rPr>
      </w:pPr>
    </w:p>
    <w:p>
      <w:pPr>
        <w:ind w:left="260" w:hanging="254"/>
        <w:spacing w:after="0"/>
        <w:tabs>
          <w:tab w:leader="none" w:pos="260" w:val="left"/>
        </w:tabs>
        <w:numPr>
          <w:ilvl w:val="0"/>
          <w:numId w:val="12"/>
        </w:numPr>
        <w:rPr>
          <w:rFonts w:ascii="Arial" w:cs="Arial" w:eastAsia="Arial" w:hAnsi="Arial"/>
          <w:sz w:val="21"/>
          <w:szCs w:val="21"/>
          <w:color w:val="auto"/>
        </w:rPr>
      </w:pPr>
      <w:r>
        <w:rPr>
          <w:rFonts w:ascii="Arial" w:cs="Arial" w:eastAsia="Arial" w:hAnsi="Arial"/>
          <w:sz w:val="21"/>
          <w:szCs w:val="21"/>
          <w:color w:val="auto"/>
        </w:rPr>
        <w:t>lower-than-expected production or higher-than-expected production decline rates;</w:t>
      </w:r>
    </w:p>
    <w:p>
      <w:pPr>
        <w:spacing w:after="0" w:line="19" w:lineRule="exact"/>
        <w:rPr>
          <w:rFonts w:ascii="Arial" w:cs="Arial" w:eastAsia="Arial" w:hAnsi="Arial"/>
          <w:sz w:val="21"/>
          <w:szCs w:val="21"/>
          <w:color w:val="auto"/>
        </w:rPr>
      </w:pPr>
    </w:p>
    <w:p>
      <w:pPr>
        <w:ind w:left="320" w:hanging="314"/>
        <w:spacing w:after="0" w:line="254" w:lineRule="auto"/>
        <w:tabs>
          <w:tab w:leader="none" w:pos="261" w:val="left"/>
        </w:tabs>
        <w:numPr>
          <w:ilvl w:val="0"/>
          <w:numId w:val="12"/>
        </w:numPr>
        <w:rPr>
          <w:rFonts w:ascii="Arial" w:cs="Arial" w:eastAsia="Arial" w:hAnsi="Arial"/>
          <w:sz w:val="21"/>
          <w:szCs w:val="21"/>
          <w:color w:val="auto"/>
        </w:rPr>
      </w:pPr>
      <w:r>
        <w:rPr>
          <w:rFonts w:ascii="Arial" w:cs="Arial" w:eastAsia="Arial" w:hAnsi="Arial"/>
          <w:sz w:val="21"/>
          <w:szCs w:val="21"/>
          <w:color w:val="auto"/>
        </w:rPr>
        <w:t>changes to CRC's estimates of reserves and related future cash flows, including changes arising from its inability to develop such reserves in a timely manner, and any inability to replace such reserves;</w:t>
      </w:r>
    </w:p>
    <w:p>
      <w:pPr>
        <w:ind w:left="260" w:hanging="254"/>
        <w:spacing w:after="0"/>
        <w:tabs>
          <w:tab w:leader="none" w:pos="260"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recoverability of resources and unexpected geologic conditions;</w:t>
      </w:r>
    </w:p>
    <w:p>
      <w:pPr>
        <w:spacing w:after="0" w:line="11" w:lineRule="exact"/>
        <w:rPr>
          <w:rFonts w:ascii="Arial" w:cs="Arial" w:eastAsia="Arial" w:hAnsi="Arial"/>
          <w:sz w:val="21"/>
          <w:szCs w:val="21"/>
          <w:color w:val="auto"/>
        </w:rPr>
      </w:pPr>
    </w:p>
    <w:p>
      <w:pPr>
        <w:ind w:left="320" w:right="860" w:hanging="314"/>
        <w:spacing w:after="0" w:line="255" w:lineRule="auto"/>
        <w:tabs>
          <w:tab w:leader="none" w:pos="261" w:val="left"/>
        </w:tabs>
        <w:numPr>
          <w:ilvl w:val="0"/>
          <w:numId w:val="12"/>
        </w:numPr>
        <w:rPr>
          <w:rFonts w:ascii="Arial" w:cs="Arial" w:eastAsia="Arial" w:hAnsi="Arial"/>
          <w:sz w:val="21"/>
          <w:szCs w:val="21"/>
          <w:color w:val="auto"/>
        </w:rPr>
      </w:pPr>
      <w:r>
        <w:rPr>
          <w:rFonts w:ascii="Arial" w:cs="Arial" w:eastAsia="Arial" w:hAnsi="Arial"/>
          <w:sz w:val="21"/>
          <w:szCs w:val="21"/>
          <w:color w:val="auto"/>
        </w:rPr>
        <w:t>general economic conditions and trends, including conditions in the worldwide financial, trade and credit markets;</w:t>
      </w:r>
    </w:p>
    <w:p>
      <w:pPr>
        <w:spacing w:after="0" w:line="1" w:lineRule="exact"/>
        <w:rPr>
          <w:rFonts w:ascii="Arial" w:cs="Arial" w:eastAsia="Arial" w:hAnsi="Arial"/>
          <w:sz w:val="21"/>
          <w:szCs w:val="21"/>
          <w:color w:val="auto"/>
        </w:rPr>
      </w:pPr>
    </w:p>
    <w:p>
      <w:pPr>
        <w:ind w:left="260" w:hanging="254"/>
        <w:spacing w:after="0"/>
        <w:tabs>
          <w:tab w:leader="none" w:pos="260" w:val="left"/>
        </w:tabs>
        <w:numPr>
          <w:ilvl w:val="0"/>
          <w:numId w:val="12"/>
        </w:numPr>
        <w:rPr>
          <w:rFonts w:ascii="Arial" w:cs="Arial" w:eastAsia="Arial" w:hAnsi="Arial"/>
          <w:sz w:val="21"/>
          <w:szCs w:val="21"/>
          <w:color w:val="auto"/>
        </w:rPr>
      </w:pPr>
      <w:r>
        <w:rPr>
          <w:rFonts w:ascii="Arial" w:cs="Arial" w:eastAsia="Arial" w:hAnsi="Arial"/>
          <w:sz w:val="21"/>
          <w:szCs w:val="21"/>
          <w:color w:val="auto"/>
        </w:rPr>
        <w:t>production-sharing contracts' effects on production and operating costs;</w:t>
      </w:r>
    </w:p>
    <w:p>
      <w:pPr>
        <w:spacing w:after="0" w:line="17" w:lineRule="exact"/>
        <w:rPr>
          <w:rFonts w:ascii="Arial" w:cs="Arial" w:eastAsia="Arial" w:hAnsi="Arial"/>
          <w:sz w:val="21"/>
          <w:szCs w:val="21"/>
          <w:color w:val="auto"/>
        </w:rPr>
      </w:pPr>
    </w:p>
    <w:p>
      <w:pPr>
        <w:ind w:left="260" w:hanging="254"/>
        <w:spacing w:after="0"/>
        <w:tabs>
          <w:tab w:leader="none" w:pos="260"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lack of available equipment, service or labor price inflation;</w:t>
      </w:r>
    </w:p>
    <w:p>
      <w:pPr>
        <w:spacing w:after="0" w:line="11" w:lineRule="exact"/>
        <w:rPr>
          <w:rFonts w:ascii="Arial" w:cs="Arial" w:eastAsia="Arial" w:hAnsi="Arial"/>
          <w:sz w:val="21"/>
          <w:szCs w:val="21"/>
          <w:color w:val="auto"/>
        </w:rPr>
      </w:pPr>
    </w:p>
    <w:p>
      <w:pPr>
        <w:ind w:left="260" w:hanging="254"/>
        <w:spacing w:after="0" w:line="238" w:lineRule="auto"/>
        <w:tabs>
          <w:tab w:leader="none" w:pos="260" w:val="left"/>
        </w:tabs>
        <w:numPr>
          <w:ilvl w:val="0"/>
          <w:numId w:val="12"/>
        </w:numPr>
        <w:rPr>
          <w:rFonts w:ascii="Arial" w:cs="Arial" w:eastAsia="Arial" w:hAnsi="Arial"/>
          <w:sz w:val="21"/>
          <w:szCs w:val="21"/>
          <w:color w:val="auto"/>
        </w:rPr>
      </w:pPr>
      <w:r>
        <w:rPr>
          <w:rFonts w:ascii="Arial" w:cs="Arial" w:eastAsia="Arial" w:hAnsi="Arial"/>
          <w:sz w:val="21"/>
          <w:szCs w:val="21"/>
          <w:color w:val="auto"/>
        </w:rPr>
        <w:t>limitations on transportation or storage capacity and the need to shut-in wells;</w:t>
      </w:r>
    </w:p>
    <w:p>
      <w:pPr>
        <w:ind w:left="260" w:hanging="254"/>
        <w:spacing w:after="0" w:line="238" w:lineRule="auto"/>
        <w:tabs>
          <w:tab w:leader="none" w:pos="260" w:val="left"/>
        </w:tabs>
        <w:numPr>
          <w:ilvl w:val="0"/>
          <w:numId w:val="12"/>
        </w:numPr>
        <w:rPr>
          <w:rFonts w:ascii="Arial" w:cs="Arial" w:eastAsia="Arial" w:hAnsi="Arial"/>
          <w:sz w:val="21"/>
          <w:szCs w:val="21"/>
          <w:color w:val="auto"/>
        </w:rPr>
      </w:pPr>
      <w:r>
        <w:rPr>
          <w:rFonts w:ascii="Arial" w:cs="Arial" w:eastAsia="Arial" w:hAnsi="Arial"/>
          <w:sz w:val="21"/>
          <w:szCs w:val="21"/>
          <w:color w:val="auto"/>
        </w:rPr>
        <w:t>any failure of risk management;</w:t>
      </w:r>
    </w:p>
    <w:p>
      <w:pPr>
        <w:ind w:left="260" w:hanging="254"/>
        <w:spacing w:after="0" w:line="238" w:lineRule="auto"/>
        <w:tabs>
          <w:tab w:leader="none" w:pos="260" w:val="left"/>
        </w:tabs>
        <w:numPr>
          <w:ilvl w:val="0"/>
          <w:numId w:val="12"/>
        </w:numPr>
        <w:rPr>
          <w:rFonts w:ascii="Arial" w:cs="Arial" w:eastAsia="Arial" w:hAnsi="Arial"/>
          <w:sz w:val="21"/>
          <w:szCs w:val="21"/>
          <w:color w:val="auto"/>
        </w:rPr>
      </w:pPr>
      <w:r>
        <w:rPr>
          <w:rFonts w:ascii="Arial" w:cs="Arial" w:eastAsia="Arial" w:hAnsi="Arial"/>
          <w:sz w:val="21"/>
          <w:szCs w:val="21"/>
          <w:color w:val="auto"/>
        </w:rPr>
        <w:t>results from operations and competition in the industries in which CRC operates;</w:t>
      </w:r>
    </w:p>
    <w:p>
      <w:pPr>
        <w:ind w:left="260" w:hanging="254"/>
        <w:spacing w:after="0" w:line="238" w:lineRule="auto"/>
        <w:tabs>
          <w:tab w:leader="none" w:pos="260" w:val="left"/>
        </w:tabs>
        <w:numPr>
          <w:ilvl w:val="0"/>
          <w:numId w:val="12"/>
        </w:numPr>
        <w:rPr>
          <w:rFonts w:ascii="Arial" w:cs="Arial" w:eastAsia="Arial" w:hAnsi="Arial"/>
          <w:sz w:val="21"/>
          <w:szCs w:val="21"/>
          <w:color w:val="auto"/>
        </w:rPr>
      </w:pPr>
      <w:r>
        <w:rPr>
          <w:rFonts w:ascii="Arial" w:cs="Arial" w:eastAsia="Arial" w:hAnsi="Arial"/>
          <w:sz w:val="21"/>
          <w:szCs w:val="21"/>
          <w:color w:val="auto"/>
        </w:rPr>
        <w:t>CRC's ability to realize the anticipated benefits from prior or future efforts to reduce costs;</w:t>
      </w:r>
    </w:p>
    <w:p>
      <w:pPr>
        <w:ind w:left="320" w:right="1120" w:hanging="314"/>
        <w:spacing w:after="0" w:line="238" w:lineRule="auto"/>
        <w:tabs>
          <w:tab w:leader="none" w:pos="261" w:val="left"/>
        </w:tabs>
        <w:numPr>
          <w:ilvl w:val="0"/>
          <w:numId w:val="12"/>
        </w:numPr>
        <w:rPr>
          <w:rFonts w:ascii="Arial" w:cs="Arial" w:eastAsia="Arial" w:hAnsi="Arial"/>
          <w:sz w:val="21"/>
          <w:szCs w:val="21"/>
          <w:color w:val="auto"/>
        </w:rPr>
      </w:pPr>
      <w:r>
        <w:rPr>
          <w:rFonts w:ascii="Arial" w:cs="Arial" w:eastAsia="Arial" w:hAnsi="Arial"/>
          <w:sz w:val="21"/>
          <w:szCs w:val="21"/>
          <w:color w:val="auto"/>
        </w:rPr>
        <w:t>environmental risks and liability under federal, regional, state, provincial, tribal, local and international environmental laws and regulations (including remedial actions);</w:t>
      </w:r>
    </w:p>
    <w:p>
      <w:pPr>
        <w:ind w:left="320" w:right="880" w:hanging="314"/>
        <w:spacing w:after="0" w:line="231" w:lineRule="auto"/>
        <w:tabs>
          <w:tab w:leader="none" w:pos="261"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creditworthiness and performance of CRC's counterparties, including financial institutions, operating partners, CCS project participants and other parties;</w:t>
      </w:r>
    </w:p>
    <w:p>
      <w:pPr>
        <w:spacing w:after="0" w:line="1" w:lineRule="exact"/>
        <w:rPr>
          <w:rFonts w:ascii="Arial" w:cs="Arial" w:eastAsia="Arial" w:hAnsi="Arial"/>
          <w:sz w:val="21"/>
          <w:szCs w:val="21"/>
          <w:color w:val="auto"/>
        </w:rPr>
      </w:pPr>
    </w:p>
    <w:p>
      <w:pPr>
        <w:ind w:left="260" w:hanging="254"/>
        <w:spacing w:after="0"/>
        <w:tabs>
          <w:tab w:leader="none" w:pos="260" w:val="left"/>
        </w:tabs>
        <w:numPr>
          <w:ilvl w:val="0"/>
          <w:numId w:val="12"/>
        </w:numPr>
        <w:rPr>
          <w:rFonts w:ascii="Arial" w:cs="Arial" w:eastAsia="Arial" w:hAnsi="Arial"/>
          <w:sz w:val="21"/>
          <w:szCs w:val="21"/>
          <w:color w:val="auto"/>
        </w:rPr>
      </w:pPr>
      <w:r>
        <w:rPr>
          <w:rFonts w:ascii="Arial" w:cs="Arial" w:eastAsia="Arial" w:hAnsi="Arial"/>
          <w:sz w:val="21"/>
          <w:szCs w:val="21"/>
          <w:color w:val="auto"/>
        </w:rPr>
        <w:t>reorganization or restructuring of CRC's operations;</w:t>
      </w:r>
    </w:p>
    <w:p>
      <w:pPr>
        <w:spacing w:after="0" w:line="11" w:lineRule="exact"/>
        <w:rPr>
          <w:rFonts w:ascii="Arial" w:cs="Arial" w:eastAsia="Arial" w:hAnsi="Arial"/>
          <w:sz w:val="21"/>
          <w:szCs w:val="21"/>
          <w:color w:val="auto"/>
        </w:rPr>
      </w:pPr>
    </w:p>
    <w:p>
      <w:pPr>
        <w:ind w:left="260" w:hanging="254"/>
        <w:spacing w:after="0"/>
        <w:tabs>
          <w:tab w:leader="none" w:pos="260" w:val="left"/>
        </w:tabs>
        <w:numPr>
          <w:ilvl w:val="0"/>
          <w:numId w:val="12"/>
        </w:numPr>
        <w:rPr>
          <w:rFonts w:ascii="Arial" w:cs="Arial" w:eastAsia="Arial" w:hAnsi="Arial"/>
          <w:sz w:val="21"/>
          <w:szCs w:val="21"/>
          <w:color w:val="auto"/>
        </w:rPr>
      </w:pPr>
      <w:r>
        <w:rPr>
          <w:rFonts w:ascii="Arial" w:cs="Arial" w:eastAsia="Arial" w:hAnsi="Arial"/>
          <w:sz w:val="21"/>
          <w:szCs w:val="21"/>
          <w:color w:val="auto"/>
        </w:rPr>
        <w:t>CRC's ability to claim and utilize tax credits or other incentives in connection with its CCS projects;</w:t>
      </w:r>
    </w:p>
    <w:p>
      <w:pPr>
        <w:spacing w:after="0" w:line="19" w:lineRule="exact"/>
        <w:rPr>
          <w:rFonts w:ascii="Arial" w:cs="Arial" w:eastAsia="Arial" w:hAnsi="Arial"/>
          <w:sz w:val="21"/>
          <w:szCs w:val="21"/>
          <w:color w:val="auto"/>
        </w:rPr>
      </w:pPr>
    </w:p>
    <w:p>
      <w:pPr>
        <w:ind w:left="320" w:hanging="314"/>
        <w:spacing w:after="0" w:line="254" w:lineRule="auto"/>
        <w:tabs>
          <w:tab w:leader="none" w:pos="261" w:val="left"/>
        </w:tabs>
        <w:numPr>
          <w:ilvl w:val="0"/>
          <w:numId w:val="12"/>
        </w:numPr>
        <w:rPr>
          <w:rFonts w:ascii="Arial" w:cs="Arial" w:eastAsia="Arial" w:hAnsi="Arial"/>
          <w:sz w:val="21"/>
          <w:szCs w:val="21"/>
          <w:color w:val="auto"/>
        </w:rPr>
      </w:pPr>
      <w:r>
        <w:rPr>
          <w:rFonts w:ascii="Arial" w:cs="Arial" w:eastAsia="Arial" w:hAnsi="Arial"/>
          <w:sz w:val="21"/>
          <w:szCs w:val="21"/>
          <w:color w:val="auto"/>
        </w:rPr>
        <w:t>CRC's ability to realize the benefits contemplated by its energy transition strategies and initiatives, including CCS projects and other renewable energy efforts;</w:t>
      </w:r>
    </w:p>
    <w:p>
      <w:pPr>
        <w:ind w:left="320" w:right="180" w:hanging="314"/>
        <w:spacing w:after="0" w:line="261" w:lineRule="auto"/>
        <w:tabs>
          <w:tab w:leader="none" w:pos="261" w:val="left"/>
        </w:tabs>
        <w:numPr>
          <w:ilvl w:val="0"/>
          <w:numId w:val="12"/>
        </w:numPr>
        <w:rPr>
          <w:rFonts w:ascii="Arial" w:cs="Arial" w:eastAsia="Arial" w:hAnsi="Arial"/>
          <w:sz w:val="21"/>
          <w:szCs w:val="21"/>
          <w:color w:val="auto"/>
        </w:rPr>
      </w:pPr>
      <w:r>
        <w:rPr>
          <w:rFonts w:ascii="Arial" w:cs="Arial" w:eastAsia="Arial" w:hAnsi="Arial"/>
          <w:sz w:val="21"/>
          <w:szCs w:val="21"/>
          <w:color w:val="auto"/>
        </w:rPr>
        <w:t>CRC's ability to successfully identify, develop and finance carbon capture and storage projects and other renewable energy efforts, including those in connection with the Carbon TerraVault JV, and its ability to convert its CDMAs to definitive agreements and enter into other offtake agreements;</w:t>
      </w:r>
    </w:p>
    <w:p>
      <w:pPr>
        <w:spacing w:after="0" w:line="200" w:lineRule="exact"/>
        <w:rPr>
          <w:sz w:val="20"/>
          <w:szCs w:val="20"/>
          <w:color w:val="auto"/>
        </w:rPr>
      </w:pPr>
    </w:p>
    <w:p>
      <w:pPr>
        <w:spacing w:after="0" w:line="29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0900"/>
          </w:cols>
          <w:pgMar w:left="640" w:top="886" w:right="359" w:bottom="1440" w:gutter="0" w:footer="0" w:header="0"/>
        </w:sectPr>
      </w:pPr>
    </w:p>
    <w:bookmarkStart w:id="12" w:name="page13"/>
    <w:bookmarkEnd w:id="12"/>
    <w:p>
      <w:pPr>
        <w:ind w:left="580" w:hanging="254"/>
        <w:spacing w:after="0"/>
        <w:tabs>
          <w:tab w:leader="none" w:pos="580" w:val="left"/>
        </w:tabs>
        <w:numPr>
          <w:ilvl w:val="0"/>
          <w:numId w:val="13"/>
        </w:numPr>
        <w:rPr>
          <w:rFonts w:ascii="Arial" w:cs="Arial" w:eastAsia="Arial" w:hAnsi="Arial"/>
          <w:sz w:val="21"/>
          <w:szCs w:val="21"/>
          <w:color w:val="auto"/>
        </w:rPr>
      </w:pPr>
      <w:r>
        <w:rPr>
          <w:rFonts w:ascii="Arial" w:cs="Arial" w:eastAsia="Arial" w:hAnsi="Arial"/>
          <w:sz w:val="21"/>
          <w:szCs w:val="21"/>
          <w:color w:val="auto"/>
        </w:rPr>
        <w:t>CRC's ability to maximize the value of its carbon management business and operate it on a stand alone basis;</w:t>
      </w:r>
    </w:p>
    <w:p>
      <w:pPr>
        <w:spacing w:after="0" w:line="31" w:lineRule="exact"/>
        <w:rPr>
          <w:rFonts w:ascii="Arial" w:cs="Arial" w:eastAsia="Arial" w:hAnsi="Arial"/>
          <w:sz w:val="21"/>
          <w:szCs w:val="21"/>
          <w:color w:val="auto"/>
        </w:rPr>
      </w:pPr>
    </w:p>
    <w:p>
      <w:pPr>
        <w:ind w:left="640" w:right="140" w:hanging="314"/>
        <w:spacing w:after="0" w:line="255" w:lineRule="auto"/>
        <w:tabs>
          <w:tab w:leader="none" w:pos="581" w:val="left"/>
        </w:tabs>
        <w:numPr>
          <w:ilvl w:val="0"/>
          <w:numId w:val="13"/>
        </w:numPr>
        <w:rPr>
          <w:rFonts w:ascii="Arial" w:cs="Arial" w:eastAsia="Arial" w:hAnsi="Arial"/>
          <w:sz w:val="21"/>
          <w:szCs w:val="21"/>
          <w:color w:val="auto"/>
        </w:rPr>
      </w:pPr>
      <w:r>
        <w:rPr>
          <w:rFonts w:ascii="Arial" w:cs="Arial" w:eastAsia="Arial" w:hAnsi="Arial"/>
          <w:sz w:val="21"/>
          <w:szCs w:val="21"/>
          <w:color w:val="auto"/>
        </w:rPr>
        <w:t>CRC's ability to successfully develop infrastructure projects and enter into third party contracts on contemplated terms;</w:t>
      </w:r>
    </w:p>
    <w:p>
      <w:pPr>
        <w:spacing w:after="0" w:line="1" w:lineRule="exact"/>
        <w:rPr>
          <w:rFonts w:ascii="Arial" w:cs="Arial" w:eastAsia="Arial" w:hAnsi="Arial"/>
          <w:sz w:val="21"/>
          <w:szCs w:val="21"/>
          <w:color w:val="auto"/>
        </w:rPr>
      </w:pPr>
    </w:p>
    <w:p>
      <w:pPr>
        <w:ind w:left="640" w:right="320" w:hanging="314"/>
        <w:spacing w:after="0" w:line="254" w:lineRule="auto"/>
        <w:tabs>
          <w:tab w:leader="none" w:pos="581" w:val="left"/>
        </w:tabs>
        <w:numPr>
          <w:ilvl w:val="0"/>
          <w:numId w:val="13"/>
        </w:numPr>
        <w:rPr>
          <w:rFonts w:ascii="Arial" w:cs="Arial" w:eastAsia="Arial" w:hAnsi="Arial"/>
          <w:sz w:val="21"/>
          <w:szCs w:val="21"/>
          <w:color w:val="auto"/>
        </w:rPr>
      </w:pPr>
      <w:r>
        <w:rPr>
          <w:rFonts w:ascii="Arial" w:cs="Arial" w:eastAsia="Arial" w:hAnsi="Arial"/>
          <w:sz w:val="21"/>
          <w:szCs w:val="21"/>
          <w:color w:val="auto"/>
        </w:rPr>
        <w:t>uncertainty around the accounting of emissions and its ability to successfully gather and verify emissions data and other environmental impacts;</w:t>
      </w:r>
    </w:p>
    <w:p>
      <w:pPr>
        <w:ind w:left="640" w:right="340" w:hanging="314"/>
        <w:spacing w:after="0" w:line="251" w:lineRule="auto"/>
        <w:tabs>
          <w:tab w:leader="none" w:pos="581" w:val="left"/>
        </w:tabs>
        <w:numPr>
          <w:ilvl w:val="0"/>
          <w:numId w:val="13"/>
        </w:numPr>
        <w:rPr>
          <w:rFonts w:ascii="Arial" w:cs="Arial" w:eastAsia="Arial" w:hAnsi="Arial"/>
          <w:sz w:val="21"/>
          <w:szCs w:val="21"/>
          <w:color w:val="auto"/>
        </w:rPr>
      </w:pPr>
      <w:r>
        <w:rPr>
          <w:rFonts w:ascii="Arial" w:cs="Arial" w:eastAsia="Arial" w:hAnsi="Arial"/>
          <w:sz w:val="21"/>
          <w:szCs w:val="21"/>
          <w:color w:val="auto"/>
        </w:rPr>
        <w:t>changes to CRC's dividend policy and share repurchase program, and its ability to declare future dividends or repurchase shares under its debt agreements;</w:t>
      </w:r>
    </w:p>
    <w:p>
      <w:pPr>
        <w:spacing w:after="0" w:line="1" w:lineRule="exact"/>
        <w:rPr>
          <w:rFonts w:ascii="Arial" w:cs="Arial" w:eastAsia="Arial" w:hAnsi="Arial"/>
          <w:sz w:val="21"/>
          <w:szCs w:val="21"/>
          <w:color w:val="auto"/>
        </w:rPr>
      </w:pPr>
    </w:p>
    <w:p>
      <w:pPr>
        <w:ind w:left="580" w:hanging="254"/>
        <w:spacing w:after="0"/>
        <w:tabs>
          <w:tab w:leader="none" w:pos="580" w:val="left"/>
        </w:tabs>
        <w:numPr>
          <w:ilvl w:val="0"/>
          <w:numId w:val="13"/>
        </w:numPr>
        <w:rPr>
          <w:rFonts w:ascii="Arial" w:cs="Arial" w:eastAsia="Arial" w:hAnsi="Arial"/>
          <w:sz w:val="21"/>
          <w:szCs w:val="21"/>
          <w:color w:val="auto"/>
        </w:rPr>
      </w:pPr>
      <w:r>
        <w:rPr>
          <w:rFonts w:ascii="Arial" w:cs="Arial" w:eastAsia="Arial" w:hAnsi="Arial"/>
          <w:sz w:val="21"/>
          <w:szCs w:val="21"/>
          <w:color w:val="auto"/>
        </w:rPr>
        <w:t>limitations on CRC's financial flexibility due to existing and future debt;</w:t>
      </w:r>
    </w:p>
    <w:p>
      <w:pPr>
        <w:spacing w:after="0" w:line="19" w:lineRule="exact"/>
        <w:rPr>
          <w:rFonts w:ascii="Arial" w:cs="Arial" w:eastAsia="Arial" w:hAnsi="Arial"/>
          <w:sz w:val="21"/>
          <w:szCs w:val="21"/>
          <w:color w:val="auto"/>
        </w:rPr>
      </w:pPr>
    </w:p>
    <w:p>
      <w:pPr>
        <w:ind w:left="640" w:right="1260" w:hanging="314"/>
        <w:spacing w:after="0" w:line="254" w:lineRule="auto"/>
        <w:tabs>
          <w:tab w:leader="none" w:pos="581" w:val="left"/>
        </w:tabs>
        <w:numPr>
          <w:ilvl w:val="0"/>
          <w:numId w:val="13"/>
        </w:numPr>
        <w:rPr>
          <w:rFonts w:ascii="Arial" w:cs="Arial" w:eastAsia="Arial" w:hAnsi="Arial"/>
          <w:sz w:val="21"/>
          <w:szCs w:val="21"/>
          <w:color w:val="auto"/>
        </w:rPr>
      </w:pPr>
      <w:r>
        <w:rPr>
          <w:rFonts w:ascii="Arial" w:cs="Arial" w:eastAsia="Arial" w:hAnsi="Arial"/>
          <w:sz w:val="21"/>
          <w:szCs w:val="21"/>
          <w:color w:val="auto"/>
        </w:rPr>
        <w:t>insufficient cash flow to fund CRC's capital plan and other planned investments and return capital to shareholders;</w:t>
      </w:r>
    </w:p>
    <w:p>
      <w:pPr>
        <w:ind w:left="580" w:hanging="254"/>
        <w:spacing w:after="0"/>
        <w:tabs>
          <w:tab w:leader="none" w:pos="580" w:val="left"/>
        </w:tabs>
        <w:numPr>
          <w:ilvl w:val="0"/>
          <w:numId w:val="13"/>
        </w:numPr>
        <w:rPr>
          <w:rFonts w:ascii="Arial" w:cs="Arial" w:eastAsia="Arial" w:hAnsi="Arial"/>
          <w:sz w:val="21"/>
          <w:szCs w:val="21"/>
          <w:color w:val="auto"/>
        </w:rPr>
      </w:pPr>
      <w:r>
        <w:rPr>
          <w:rFonts w:ascii="Arial" w:cs="Arial" w:eastAsia="Arial" w:hAnsi="Arial"/>
          <w:sz w:val="21"/>
          <w:szCs w:val="21"/>
          <w:color w:val="auto"/>
        </w:rPr>
        <w:t>changes in interest rates;</w:t>
      </w:r>
    </w:p>
    <w:p>
      <w:pPr>
        <w:spacing w:after="0" w:line="11" w:lineRule="exact"/>
        <w:rPr>
          <w:rFonts w:ascii="Arial" w:cs="Arial" w:eastAsia="Arial" w:hAnsi="Arial"/>
          <w:sz w:val="21"/>
          <w:szCs w:val="21"/>
          <w:color w:val="auto"/>
        </w:rPr>
      </w:pPr>
    </w:p>
    <w:p>
      <w:pPr>
        <w:ind w:left="640" w:right="740" w:hanging="314"/>
        <w:spacing w:after="0" w:line="251" w:lineRule="auto"/>
        <w:tabs>
          <w:tab w:leader="none" w:pos="581" w:val="left"/>
        </w:tabs>
        <w:numPr>
          <w:ilvl w:val="0"/>
          <w:numId w:val="13"/>
        </w:numPr>
        <w:rPr>
          <w:rFonts w:ascii="Arial" w:cs="Arial" w:eastAsia="Arial" w:hAnsi="Arial"/>
          <w:sz w:val="21"/>
          <w:szCs w:val="21"/>
          <w:color w:val="auto"/>
        </w:rPr>
      </w:pPr>
      <w:r>
        <w:rPr>
          <w:rFonts w:ascii="Arial" w:cs="Arial" w:eastAsia="Arial" w:hAnsi="Arial"/>
          <w:sz w:val="21"/>
          <w:szCs w:val="21"/>
          <w:color w:val="auto"/>
        </w:rPr>
        <w:t>CRC's access to and the terms of credit in commercial banking and capital markets, including its ability to refinance its debt or obtain separate financing for its carbon management business;</w:t>
      </w:r>
    </w:p>
    <w:p>
      <w:pPr>
        <w:spacing w:after="0" w:line="1" w:lineRule="exact"/>
        <w:rPr>
          <w:rFonts w:ascii="Arial" w:cs="Arial" w:eastAsia="Arial" w:hAnsi="Arial"/>
          <w:sz w:val="21"/>
          <w:szCs w:val="21"/>
          <w:color w:val="auto"/>
        </w:rPr>
      </w:pPr>
    </w:p>
    <w:p>
      <w:pPr>
        <w:ind w:left="640" w:right="900" w:hanging="314"/>
        <w:spacing w:after="0" w:line="258" w:lineRule="auto"/>
        <w:tabs>
          <w:tab w:leader="none" w:pos="581" w:val="left"/>
        </w:tabs>
        <w:numPr>
          <w:ilvl w:val="0"/>
          <w:numId w:val="13"/>
        </w:numPr>
        <w:rPr>
          <w:rFonts w:ascii="Arial" w:cs="Arial" w:eastAsia="Arial" w:hAnsi="Arial"/>
          <w:sz w:val="21"/>
          <w:szCs w:val="21"/>
          <w:color w:val="auto"/>
        </w:rPr>
      </w:pPr>
      <w:r>
        <w:rPr>
          <w:rFonts w:ascii="Arial" w:cs="Arial" w:eastAsia="Arial" w:hAnsi="Arial"/>
          <w:sz w:val="21"/>
          <w:szCs w:val="21"/>
          <w:color w:val="auto"/>
        </w:rPr>
        <w:t>changes in state, federal or international tax rates, including CRC's ability to utilize its net operating loss carryforwards to reduce its income tax obligations;</w:t>
      </w:r>
    </w:p>
    <w:p>
      <w:pPr>
        <w:ind w:left="580" w:hanging="254"/>
        <w:spacing w:after="0"/>
        <w:tabs>
          <w:tab w:leader="none" w:pos="580" w:val="left"/>
        </w:tabs>
        <w:numPr>
          <w:ilvl w:val="0"/>
          <w:numId w:val="13"/>
        </w:numPr>
        <w:rPr>
          <w:rFonts w:ascii="Arial" w:cs="Arial" w:eastAsia="Arial" w:hAnsi="Arial"/>
          <w:sz w:val="21"/>
          <w:szCs w:val="21"/>
          <w:color w:val="auto"/>
        </w:rPr>
      </w:pPr>
      <w:r>
        <w:rPr>
          <w:rFonts w:ascii="Arial" w:cs="Arial" w:eastAsia="Arial" w:hAnsi="Arial"/>
          <w:sz w:val="21"/>
          <w:szCs w:val="21"/>
          <w:color w:val="auto"/>
        </w:rPr>
        <w:t>effects of hedging transactions;</w:t>
      </w:r>
    </w:p>
    <w:p>
      <w:pPr>
        <w:spacing w:after="0" w:line="11" w:lineRule="exact"/>
        <w:rPr>
          <w:rFonts w:ascii="Arial" w:cs="Arial" w:eastAsia="Arial" w:hAnsi="Arial"/>
          <w:sz w:val="21"/>
          <w:szCs w:val="21"/>
          <w:color w:val="auto"/>
        </w:rPr>
      </w:pPr>
    </w:p>
    <w:p>
      <w:pPr>
        <w:ind w:left="580" w:hanging="254"/>
        <w:spacing w:after="0"/>
        <w:tabs>
          <w:tab w:leader="none" w:pos="580" w:val="left"/>
        </w:tabs>
        <w:numPr>
          <w:ilvl w:val="0"/>
          <w:numId w:val="13"/>
        </w:numPr>
        <w:rPr>
          <w:rFonts w:ascii="Arial" w:cs="Arial" w:eastAsia="Arial" w:hAnsi="Arial"/>
          <w:sz w:val="21"/>
          <w:szCs w:val="21"/>
          <w:color w:val="auto"/>
        </w:rPr>
      </w:pPr>
      <w:r>
        <w:rPr>
          <w:rFonts w:ascii="Arial" w:cs="Arial" w:eastAsia="Arial" w:hAnsi="Arial"/>
          <w:sz w:val="21"/>
          <w:szCs w:val="21"/>
          <w:color w:val="auto"/>
        </w:rPr>
        <w:t>the effect of CRC's stock price on costs associated with incentive compensation;</w:t>
      </w:r>
    </w:p>
    <w:p>
      <w:pPr>
        <w:spacing w:after="0" w:line="11" w:lineRule="exact"/>
        <w:rPr>
          <w:rFonts w:ascii="Arial" w:cs="Arial" w:eastAsia="Arial" w:hAnsi="Arial"/>
          <w:sz w:val="21"/>
          <w:szCs w:val="21"/>
          <w:color w:val="auto"/>
        </w:rPr>
      </w:pPr>
    </w:p>
    <w:p>
      <w:pPr>
        <w:ind w:left="640" w:right="100" w:hanging="314"/>
        <w:spacing w:after="0" w:line="255" w:lineRule="auto"/>
        <w:tabs>
          <w:tab w:leader="none" w:pos="581" w:val="left"/>
        </w:tabs>
        <w:numPr>
          <w:ilvl w:val="0"/>
          <w:numId w:val="13"/>
        </w:numPr>
        <w:rPr>
          <w:rFonts w:ascii="Arial" w:cs="Arial" w:eastAsia="Arial" w:hAnsi="Arial"/>
          <w:sz w:val="21"/>
          <w:szCs w:val="21"/>
          <w:color w:val="auto"/>
        </w:rPr>
      </w:pPr>
      <w:r>
        <w:rPr>
          <w:rFonts w:ascii="Arial" w:cs="Arial" w:eastAsia="Arial" w:hAnsi="Arial"/>
          <w:sz w:val="21"/>
          <w:szCs w:val="21"/>
          <w:color w:val="auto"/>
        </w:rPr>
        <w:t>inability to enter into desirable transactions, including joint ventures, divestitures of oil and natural gas properties and real estate, and acquisitions, and CRC's ability to achieve any expected synergies;</w:t>
      </w:r>
    </w:p>
    <w:p>
      <w:pPr>
        <w:spacing w:after="0" w:line="1" w:lineRule="exact"/>
        <w:rPr>
          <w:rFonts w:ascii="Arial" w:cs="Arial" w:eastAsia="Arial" w:hAnsi="Arial"/>
          <w:sz w:val="21"/>
          <w:szCs w:val="21"/>
          <w:color w:val="auto"/>
        </w:rPr>
      </w:pPr>
    </w:p>
    <w:p>
      <w:pPr>
        <w:ind w:left="640" w:right="760" w:hanging="314"/>
        <w:spacing w:after="0" w:line="253" w:lineRule="auto"/>
        <w:tabs>
          <w:tab w:leader="none" w:pos="581" w:val="left"/>
        </w:tabs>
        <w:numPr>
          <w:ilvl w:val="0"/>
          <w:numId w:val="13"/>
        </w:numPr>
        <w:rPr>
          <w:rFonts w:ascii="Arial" w:cs="Arial" w:eastAsia="Arial" w:hAnsi="Arial"/>
          <w:sz w:val="21"/>
          <w:szCs w:val="21"/>
          <w:color w:val="auto"/>
        </w:rPr>
      </w:pPr>
      <w:r>
        <w:rPr>
          <w:rFonts w:ascii="Arial" w:cs="Arial" w:eastAsia="Arial" w:hAnsi="Arial"/>
          <w:sz w:val="21"/>
          <w:szCs w:val="21"/>
          <w:color w:val="auto"/>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spacing w:after="0" w:line="1" w:lineRule="exact"/>
        <w:rPr>
          <w:rFonts w:ascii="Arial" w:cs="Arial" w:eastAsia="Arial" w:hAnsi="Arial"/>
          <w:sz w:val="21"/>
          <w:szCs w:val="21"/>
          <w:color w:val="auto"/>
        </w:rPr>
      </w:pPr>
    </w:p>
    <w:p>
      <w:pPr>
        <w:ind w:left="580" w:hanging="254"/>
        <w:spacing w:after="0"/>
        <w:tabs>
          <w:tab w:leader="none" w:pos="580" w:val="left"/>
        </w:tabs>
        <w:numPr>
          <w:ilvl w:val="0"/>
          <w:numId w:val="13"/>
        </w:numPr>
        <w:rPr>
          <w:rFonts w:ascii="Arial" w:cs="Arial" w:eastAsia="Arial" w:hAnsi="Arial"/>
          <w:sz w:val="21"/>
          <w:szCs w:val="21"/>
          <w:color w:val="auto"/>
        </w:rPr>
      </w:pPr>
      <w:r>
        <w:rPr>
          <w:rFonts w:ascii="Arial" w:cs="Arial" w:eastAsia="Arial" w:hAnsi="Arial"/>
          <w:sz w:val="21"/>
          <w:szCs w:val="21"/>
          <w:color w:val="auto"/>
        </w:rPr>
        <w:t>pandemics, epidemics, outbreaks, or other public health events, such as the COVID-19 pandemic; and</w:t>
      </w:r>
    </w:p>
    <w:p>
      <w:pPr>
        <w:spacing w:after="0" w:line="11" w:lineRule="exact"/>
        <w:rPr>
          <w:rFonts w:ascii="Arial" w:cs="Arial" w:eastAsia="Arial" w:hAnsi="Arial"/>
          <w:sz w:val="21"/>
          <w:szCs w:val="21"/>
          <w:color w:val="auto"/>
        </w:rPr>
      </w:pPr>
    </w:p>
    <w:p>
      <w:pPr>
        <w:ind w:left="640" w:right="480" w:hanging="314"/>
        <w:spacing w:after="0" w:line="284" w:lineRule="auto"/>
        <w:tabs>
          <w:tab w:leader="none" w:pos="581" w:val="left"/>
        </w:tabs>
        <w:numPr>
          <w:ilvl w:val="0"/>
          <w:numId w:val="13"/>
        </w:numPr>
        <w:rPr>
          <w:rFonts w:ascii="Arial" w:cs="Arial" w:eastAsia="Arial" w:hAnsi="Arial"/>
          <w:sz w:val="21"/>
          <w:szCs w:val="21"/>
          <w:color w:val="auto"/>
        </w:rPr>
      </w:pPr>
      <w:r>
        <w:rPr>
          <w:rFonts w:ascii="Arial" w:cs="Arial" w:eastAsia="Arial" w:hAnsi="Arial"/>
          <w:sz w:val="21"/>
          <w:szCs w:val="21"/>
          <w:color w:val="auto"/>
        </w:rPr>
        <w:t>other factors discussed in Part I, Item 1A – Risk Factors in CRC's Annual Report on Form 10-K and its other SEC filings available at www.crc.com.</w:t>
      </w:r>
    </w:p>
    <w:p>
      <w:pPr>
        <w:spacing w:after="0" w:line="168" w:lineRule="exact"/>
        <w:rPr>
          <w:sz w:val="20"/>
          <w:szCs w:val="20"/>
          <w:color w:val="auto"/>
        </w:rPr>
      </w:pPr>
    </w:p>
    <w:p>
      <w:pPr>
        <w:jc w:val="both"/>
        <w:ind w:firstLine="320"/>
        <w:spacing w:after="0" w:line="261" w:lineRule="auto"/>
        <w:rPr>
          <w:sz w:val="20"/>
          <w:szCs w:val="20"/>
          <w:color w:val="auto"/>
        </w:rPr>
      </w:pPr>
      <w:r>
        <w:rPr>
          <w:rFonts w:ascii="Arial" w:cs="Arial" w:eastAsia="Arial" w:hAnsi="Arial"/>
          <w:sz w:val="21"/>
          <w:szCs w:val="21"/>
          <w:color w:val="auto"/>
        </w:rPr>
        <w:t>CRC cautions you not to place undue reliance on forward-looking statements contained in this document, which speak only as of the filing date, and the company undertakes no obligation to update this information. This document may also contain information from third party sources. This data may involve a number of assumptions and limitations, and CRC has not independently verified them and does not warrant the accuracy or completeness of such third-party information.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gridSpan w:val="4"/>
          </w:tcPr>
          <w:p>
            <w:pPr>
              <w:spacing w:after="0"/>
              <w:rPr>
                <w:sz w:val="20"/>
                <w:szCs w:val="20"/>
                <w:color w:val="auto"/>
              </w:rPr>
            </w:pPr>
            <w:r>
              <w:rPr>
                <w:rFonts w:ascii="Arial" w:cs="Arial" w:eastAsia="Arial" w:hAnsi="Arial"/>
                <w:sz w:val="21"/>
                <w:szCs w:val="21"/>
                <w:b w:val="1"/>
                <w:bCs w:val="1"/>
                <w:color w:val="auto"/>
              </w:rPr>
              <w:t>Contacts:</w:t>
            </w:r>
          </w:p>
        </w:tc>
        <w:tc>
          <w:tcPr>
            <w:tcW w:w="2260" w:type="dxa"/>
            <w:vAlign w:val="bottom"/>
          </w:tcPr>
          <w:p>
            <w:pPr>
              <w:spacing w:after="0"/>
              <w:rPr>
                <w:sz w:val="20"/>
                <w:szCs w:val="20"/>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87"/>
        </w:trPr>
        <w:tc>
          <w:tcPr>
            <w:tcW w:w="20" w:type="dxa"/>
            <w:vAlign w:val="bottom"/>
          </w:tcPr>
          <w:p>
            <w:pPr>
              <w:spacing w:after="0"/>
              <w:rPr>
                <w:sz w:val="24"/>
                <w:szCs w:val="24"/>
                <w:color w:val="auto"/>
              </w:rPr>
            </w:pPr>
          </w:p>
        </w:tc>
        <w:tc>
          <w:tcPr>
            <w:tcW w:w="5540" w:type="dxa"/>
            <w:vAlign w:val="bottom"/>
            <w:gridSpan w:val="3"/>
          </w:tcPr>
          <w:p>
            <w:pPr>
              <w:spacing w:after="0"/>
              <w:rPr>
                <w:sz w:val="20"/>
                <w:szCs w:val="20"/>
                <w:color w:val="auto"/>
              </w:rPr>
            </w:pPr>
            <w:r>
              <w:rPr>
                <w:rFonts w:ascii="Arial" w:cs="Arial" w:eastAsia="Arial" w:hAnsi="Arial"/>
                <w:sz w:val="21"/>
                <w:szCs w:val="21"/>
                <w:color w:val="auto"/>
              </w:rPr>
              <w:t>Joanna Park (Investor Relations)</w:t>
            </w:r>
          </w:p>
        </w:tc>
        <w:tc>
          <w:tcPr>
            <w:tcW w:w="2260" w:type="dxa"/>
            <w:vAlign w:val="bottom"/>
          </w:tcPr>
          <w:p>
            <w:pPr>
              <w:spacing w:after="0"/>
              <w:rPr>
                <w:sz w:val="20"/>
                <w:szCs w:val="20"/>
                <w:color w:val="auto"/>
              </w:rPr>
            </w:pPr>
            <w:r>
              <w:rPr>
                <w:rFonts w:ascii="Arial" w:cs="Arial" w:eastAsia="Arial" w:hAnsi="Arial"/>
                <w:sz w:val="21"/>
                <w:szCs w:val="21"/>
                <w:color w:val="auto"/>
              </w:rPr>
              <w:t>Richard Venn (Media)</w:t>
            </w:r>
          </w:p>
        </w:tc>
      </w:tr>
      <w:tr>
        <w:trPr>
          <w:trHeight w:val="240"/>
        </w:trPr>
        <w:tc>
          <w:tcPr>
            <w:tcW w:w="2180" w:type="dxa"/>
            <w:vAlign w:val="bottom"/>
            <w:gridSpan w:val="3"/>
          </w:tcPr>
          <w:p>
            <w:pPr>
              <w:ind w:left="20"/>
              <w:spacing w:after="0" w:line="240" w:lineRule="exact"/>
              <w:rPr>
                <w:sz w:val="20"/>
                <w:szCs w:val="20"/>
                <w:color w:val="auto"/>
              </w:rPr>
            </w:pPr>
            <w:r>
              <w:rPr>
                <w:rFonts w:ascii="Arial" w:cs="Arial" w:eastAsia="Arial" w:hAnsi="Arial"/>
                <w:sz w:val="21"/>
                <w:szCs w:val="21"/>
                <w:color w:val="auto"/>
              </w:rPr>
              <w:t>818-661-3731</w:t>
            </w:r>
          </w:p>
        </w:tc>
        <w:tc>
          <w:tcPr>
            <w:tcW w:w="3380" w:type="dxa"/>
            <w:vAlign w:val="bottom"/>
          </w:tcPr>
          <w:p>
            <w:pPr>
              <w:spacing w:after="0"/>
              <w:rPr>
                <w:sz w:val="20"/>
                <w:szCs w:val="20"/>
                <w:color w:val="auto"/>
              </w:rPr>
            </w:pPr>
          </w:p>
        </w:tc>
        <w:tc>
          <w:tcPr>
            <w:tcW w:w="2260" w:type="dxa"/>
            <w:vAlign w:val="bottom"/>
          </w:tcPr>
          <w:p>
            <w:pPr>
              <w:spacing w:after="0" w:line="240" w:lineRule="exact"/>
              <w:rPr>
                <w:sz w:val="20"/>
                <w:szCs w:val="20"/>
                <w:color w:val="auto"/>
              </w:rPr>
            </w:pPr>
            <w:r>
              <w:rPr>
                <w:rFonts w:ascii="Arial" w:cs="Arial" w:eastAsia="Arial" w:hAnsi="Arial"/>
                <w:sz w:val="21"/>
                <w:szCs w:val="21"/>
                <w:color w:val="auto"/>
              </w:rPr>
              <w:t>818-661-6014</w:t>
            </w:r>
          </w:p>
        </w:tc>
      </w:tr>
      <w:tr>
        <w:trPr>
          <w:trHeight w:val="226"/>
        </w:trPr>
        <w:tc>
          <w:tcPr>
            <w:tcW w:w="20" w:type="dxa"/>
            <w:vAlign w:val="bottom"/>
          </w:tcPr>
          <w:p>
            <w:pPr>
              <w:spacing w:after="0"/>
              <w:rPr>
                <w:sz w:val="19"/>
                <w:szCs w:val="19"/>
                <w:color w:val="auto"/>
              </w:rPr>
            </w:pPr>
          </w:p>
        </w:tc>
        <w:tc>
          <w:tcPr>
            <w:tcW w:w="5540" w:type="dxa"/>
            <w:vAlign w:val="bottom"/>
            <w:gridSpan w:val="3"/>
          </w:tcPr>
          <w:p>
            <w:pPr>
              <w:spacing w:after="0" w:line="226" w:lineRule="exact"/>
              <w:rPr>
                <w:sz w:val="20"/>
                <w:szCs w:val="20"/>
                <w:color w:val="auto"/>
              </w:rPr>
            </w:pPr>
            <w:r>
              <w:rPr>
                <w:rFonts w:ascii="Arial" w:cs="Arial" w:eastAsia="Arial" w:hAnsi="Arial"/>
                <w:sz w:val="21"/>
                <w:szCs w:val="21"/>
                <w:color w:val="421BFF"/>
              </w:rPr>
              <w:t>Joanna.Park@crc.com</w:t>
            </w:r>
          </w:p>
        </w:tc>
        <w:tc>
          <w:tcPr>
            <w:tcW w:w="2260" w:type="dxa"/>
            <w:vAlign w:val="bottom"/>
          </w:tcPr>
          <w:p>
            <w:pPr>
              <w:spacing w:after="0" w:line="226" w:lineRule="exact"/>
              <w:rPr>
                <w:sz w:val="20"/>
                <w:szCs w:val="20"/>
                <w:color w:val="auto"/>
              </w:rPr>
            </w:pPr>
            <w:r>
              <w:rPr>
                <w:rFonts w:ascii="Arial" w:cs="Arial" w:eastAsia="Arial" w:hAnsi="Arial"/>
                <w:sz w:val="21"/>
                <w:szCs w:val="21"/>
                <w:color w:val="421BFF"/>
              </w:rPr>
              <w:t>Richard.Venn@crc.com</w:t>
            </w: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421BFF"/>
          </w:tcPr>
          <w:p>
            <w:pPr>
              <w:spacing w:after="0" w:line="20" w:lineRule="exact"/>
              <w:rPr>
                <w:sz w:val="1"/>
                <w:szCs w:val="1"/>
                <w:color w:val="auto"/>
              </w:rPr>
            </w:pPr>
          </w:p>
        </w:tc>
        <w:tc>
          <w:tcPr>
            <w:tcW w:w="1200" w:type="dxa"/>
            <w:vAlign w:val="bottom"/>
            <w:shd w:val="clear" w:color="auto" w:fill="421BFF"/>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60" w:type="dxa"/>
            <w:vAlign w:val="bottom"/>
            <w:shd w:val="clear" w:color="auto" w:fill="421B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320"/>
        <w:spacing w:after="0"/>
        <w:rPr>
          <w:sz w:val="20"/>
          <w:szCs w:val="20"/>
          <w:color w:val="auto"/>
        </w:rPr>
      </w:pPr>
      <w:r>
        <w:rPr>
          <w:rFonts w:ascii="Arial" w:cs="Arial" w:eastAsia="Arial" w:hAnsi="Arial"/>
          <w:sz w:val="14"/>
          <w:szCs w:val="14"/>
          <w:b w:val="1"/>
          <w:bCs w:val="1"/>
          <w:color w:val="auto"/>
        </w:rPr>
        <w:t>Attachment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47625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SUMMARY OF RESULTS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40"/>
          </w:cols>
          <w:pgMar w:left="320" w:top="88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Year</w:t>
            </w:r>
          </w:p>
        </w:tc>
        <w:tc>
          <w:tcPr>
            <w:tcW w:w="200" w:type="dxa"/>
            <w:vAlign w:val="bottom"/>
          </w:tcPr>
          <w:p>
            <w:pPr>
              <w:spacing w:after="0"/>
              <w:rPr>
                <w:sz w:val="16"/>
                <w:szCs w:val="16"/>
                <w:color w:val="auto"/>
              </w:rPr>
            </w:pPr>
          </w:p>
        </w:tc>
        <w:tc>
          <w:tcPr>
            <w:tcW w:w="110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 Year</w:t>
            </w:r>
          </w:p>
        </w:tc>
      </w:tr>
      <w:tr>
        <w:trPr>
          <w:trHeight w:val="201"/>
        </w:trPr>
        <w:tc>
          <w:tcPr>
            <w:tcW w:w="2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 except per share amounts)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r>
      <w:tr>
        <w:trPr>
          <w:trHeight w:val="287"/>
        </w:trPr>
        <w:tc>
          <w:tcPr>
            <w:tcW w:w="2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Statements of Operations:</w:t>
            </w:r>
          </w:p>
        </w:tc>
        <w:tc>
          <w:tcPr>
            <w:tcW w:w="2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Oil, natural gas and NGL sales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483</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510</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617</w:t>
            </w:r>
          </w:p>
        </w:tc>
        <w:tc>
          <w:tcPr>
            <w:tcW w:w="2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2,155</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2,643</w:t>
            </w: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Net gain (loss) from commodity derivatives</w:t>
            </w:r>
          </w:p>
        </w:tc>
        <w:tc>
          <w:tcPr>
            <w:tcW w:w="180" w:type="dxa"/>
            <w:vAlign w:val="bottom"/>
          </w:tcPr>
          <w:p>
            <w:pPr>
              <w:spacing w:after="0"/>
              <w:rPr>
                <w:sz w:val="17"/>
                <w:szCs w:val="17"/>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119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b w:val="1"/>
                <w:bCs w:val="1"/>
                <w:color w:val="auto"/>
              </w:rPr>
              <w:t>(204)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b w:val="1"/>
                <w:bCs w:val="1"/>
                <w:color w:val="auto"/>
              </w:rPr>
              <w:t>(132)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b w:val="1"/>
                <w:bCs w:val="1"/>
                <w:color w:val="auto"/>
              </w:rPr>
              <w:t>(551)</w:t>
            </w: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Marketing of purchased natural gas</w:t>
            </w:r>
          </w:p>
        </w:tc>
        <w:tc>
          <w:tcPr>
            <w:tcW w:w="180" w:type="dxa"/>
            <w:vAlign w:val="bottom"/>
          </w:tcPr>
          <w:p>
            <w:pPr>
              <w:spacing w:after="0"/>
              <w:rPr>
                <w:sz w:val="17"/>
                <w:szCs w:val="17"/>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78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94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401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314</w:t>
            </w: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Electricity sales</w:t>
            </w:r>
          </w:p>
        </w:tc>
        <w:tc>
          <w:tcPr>
            <w:tcW w:w="180" w:type="dxa"/>
            <w:vAlign w:val="bottom"/>
          </w:tcPr>
          <w:p>
            <w:pPr>
              <w:spacing w:after="0"/>
              <w:rPr>
                <w:sz w:val="17"/>
                <w:szCs w:val="17"/>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42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90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211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261</w:t>
            </w: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40</w:t>
            </w:r>
          </w:p>
        </w:tc>
      </w:tr>
      <w:tr>
        <w:trPr>
          <w:trHeight w:val="193"/>
        </w:trPr>
        <w:tc>
          <w:tcPr>
            <w:tcW w:w="20" w:type="dxa"/>
            <w:vAlign w:val="bottom"/>
          </w:tcPr>
          <w:p>
            <w:pPr>
              <w:spacing w:after="0"/>
              <w:rPr>
                <w:sz w:val="16"/>
                <w:szCs w:val="16"/>
                <w:color w:val="auto"/>
              </w:rPr>
            </w:pPr>
          </w:p>
        </w:tc>
        <w:tc>
          <w:tcPr>
            <w:tcW w:w="4320" w:type="dxa"/>
            <w:vAlign w:val="bottom"/>
            <w:gridSpan w:val="2"/>
          </w:tcPr>
          <w:p>
            <w:pPr>
              <w:ind w:left="200"/>
              <w:spacing w:after="0"/>
              <w:rPr>
                <w:sz w:val="20"/>
                <w:szCs w:val="20"/>
                <w:color w:val="auto"/>
              </w:rPr>
            </w:pPr>
            <w:r>
              <w:rPr>
                <w:rFonts w:ascii="Arial" w:cs="Arial" w:eastAsia="Arial" w:hAnsi="Arial"/>
                <w:sz w:val="14"/>
                <w:szCs w:val="14"/>
                <w:color w:val="auto"/>
              </w:rPr>
              <w:t>Total operating revenues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726</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460</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682</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2,801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2,707</w:t>
            </w:r>
          </w:p>
        </w:tc>
      </w:tr>
      <w:tr>
        <w:trPr>
          <w:trHeight w:val="287"/>
        </w:trPr>
        <w:tc>
          <w:tcPr>
            <w:tcW w:w="2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Operating costs</w:t>
            </w:r>
          </w:p>
        </w:tc>
        <w:tc>
          <w:tcPr>
            <w:tcW w:w="180" w:type="dxa"/>
            <w:vAlign w:val="bottom"/>
          </w:tcPr>
          <w:p>
            <w:pPr>
              <w:spacing w:after="0"/>
              <w:rPr>
                <w:sz w:val="17"/>
                <w:szCs w:val="17"/>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186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196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199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822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785</w:t>
            </w: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General and administrative expenses</w:t>
            </w:r>
          </w:p>
        </w:tc>
        <w:tc>
          <w:tcPr>
            <w:tcW w:w="180" w:type="dxa"/>
            <w:vAlign w:val="bottom"/>
          </w:tcPr>
          <w:p>
            <w:pPr>
              <w:spacing w:after="0"/>
              <w:rPr>
                <w:sz w:val="17"/>
                <w:szCs w:val="17"/>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66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65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59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267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222</w:t>
            </w: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55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56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49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225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198</w:t>
            </w: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Asset impairment</w:t>
            </w:r>
          </w:p>
        </w:tc>
        <w:tc>
          <w:tcPr>
            <w:tcW w:w="18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2</w:t>
            </w: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Taxes other than on income</w:t>
            </w:r>
          </w:p>
        </w:tc>
        <w:tc>
          <w:tcPr>
            <w:tcW w:w="180" w:type="dxa"/>
            <w:vAlign w:val="bottom"/>
          </w:tcPr>
          <w:p>
            <w:pPr>
              <w:spacing w:after="0"/>
              <w:rPr>
                <w:sz w:val="17"/>
                <w:szCs w:val="17"/>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48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42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165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162</w:t>
            </w: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17"/>
                <w:szCs w:val="17"/>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4</w:t>
            </w: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Purchased natural gas marketing expense</w:t>
            </w:r>
          </w:p>
        </w:tc>
        <w:tc>
          <w:tcPr>
            <w:tcW w:w="180" w:type="dxa"/>
            <w:vAlign w:val="bottom"/>
          </w:tcPr>
          <w:p>
            <w:pPr>
              <w:spacing w:after="0"/>
              <w:rPr>
                <w:sz w:val="17"/>
                <w:szCs w:val="17"/>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39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87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221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273</w:t>
            </w: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Electricity generation expenses</w:t>
            </w:r>
          </w:p>
        </w:tc>
        <w:tc>
          <w:tcPr>
            <w:tcW w:w="180" w:type="dxa"/>
            <w:vAlign w:val="bottom"/>
          </w:tcPr>
          <w:p>
            <w:pPr>
              <w:spacing w:after="0"/>
              <w:rPr>
                <w:sz w:val="17"/>
                <w:szCs w:val="17"/>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68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103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167</w:t>
            </w: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Transportation costs</w:t>
            </w:r>
          </w:p>
        </w:tc>
        <w:tc>
          <w:tcPr>
            <w:tcW w:w="180" w:type="dxa"/>
            <w:vAlign w:val="bottom"/>
          </w:tcPr>
          <w:p>
            <w:pPr>
              <w:spacing w:after="0"/>
              <w:rPr>
                <w:sz w:val="17"/>
                <w:szCs w:val="17"/>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16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50</w:t>
            </w:r>
          </w:p>
        </w:tc>
      </w:tr>
      <w:tr>
        <w:trPr>
          <w:trHeight w:val="200"/>
        </w:trPr>
        <w:tc>
          <w:tcPr>
            <w:tcW w:w="20" w:type="dxa"/>
            <w:vAlign w:val="bottom"/>
          </w:tcPr>
          <w:p>
            <w:pPr>
              <w:spacing w:after="0"/>
              <w:rPr>
                <w:sz w:val="17"/>
                <w:szCs w:val="17"/>
                <w:color w:val="auto"/>
              </w:rPr>
            </w:pPr>
          </w:p>
        </w:tc>
        <w:tc>
          <w:tcPr>
            <w:tcW w:w="4320" w:type="dxa"/>
            <w:vAlign w:val="bottom"/>
            <w:gridSpan w:val="2"/>
          </w:tcPr>
          <w:p>
            <w:pPr>
              <w:ind w:left="40"/>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7"/>
                <w:szCs w:val="17"/>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11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43</w:t>
            </w: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Carbon management business expenses</w:t>
            </w:r>
          </w:p>
        </w:tc>
        <w:tc>
          <w:tcPr>
            <w:tcW w:w="180" w:type="dxa"/>
            <w:vAlign w:val="bottom"/>
          </w:tcPr>
          <w:p>
            <w:pPr>
              <w:spacing w:after="0"/>
              <w:rPr>
                <w:sz w:val="17"/>
                <w:szCs w:val="17"/>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11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14</w:t>
            </w: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Other operating expenses, net</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24</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19</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9</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66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34</w:t>
            </w:r>
          </w:p>
        </w:tc>
      </w:tr>
      <w:tr>
        <w:trPr>
          <w:trHeight w:val="193"/>
        </w:trPr>
        <w:tc>
          <w:tcPr>
            <w:tcW w:w="20" w:type="dxa"/>
            <w:vAlign w:val="bottom"/>
          </w:tcPr>
          <w:p>
            <w:pPr>
              <w:spacing w:after="0"/>
              <w:rPr>
                <w:sz w:val="16"/>
                <w:szCs w:val="16"/>
                <w:color w:val="auto"/>
              </w:rPr>
            </w:pPr>
          </w:p>
        </w:tc>
        <w:tc>
          <w:tcPr>
            <w:tcW w:w="4320" w:type="dxa"/>
            <w:vAlign w:val="bottom"/>
            <w:gridSpan w:val="2"/>
          </w:tcPr>
          <w:p>
            <w:pPr>
              <w:ind w:left="20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468</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475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549</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1,954</w:t>
            </w:r>
          </w:p>
        </w:tc>
      </w:tr>
      <w:tr>
        <w:trPr>
          <w:trHeight w:val="193"/>
        </w:trPr>
        <w:tc>
          <w:tcPr>
            <w:tcW w:w="20" w:type="dxa"/>
            <w:vAlign w:val="bottom"/>
          </w:tcPr>
          <w:p>
            <w:pPr>
              <w:spacing w:after="0"/>
              <w:rPr>
                <w:sz w:val="16"/>
                <w:szCs w:val="16"/>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Net gain on asset divestitures</w:t>
            </w:r>
          </w:p>
        </w:tc>
        <w:tc>
          <w:tcPr>
            <w:tcW w:w="180" w:type="dxa"/>
            <w:vAlign w:val="bottom"/>
          </w:tcPr>
          <w:p>
            <w:pPr>
              <w:spacing w:after="0"/>
              <w:rPr>
                <w:sz w:val="16"/>
                <w:szCs w:val="16"/>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59</w:t>
            </w:r>
          </w:p>
        </w:tc>
      </w:tr>
      <w:tr>
        <w:trPr>
          <w:trHeight w:val="193"/>
        </w:trPr>
        <w:tc>
          <w:tcPr>
            <w:tcW w:w="20" w:type="dxa"/>
            <w:vAlign w:val="bottom"/>
          </w:tcPr>
          <w:p>
            <w:pPr>
              <w:spacing w:after="0"/>
              <w:rPr>
                <w:sz w:val="16"/>
                <w:szCs w:val="16"/>
                <w:color w:val="auto"/>
              </w:rPr>
            </w:pPr>
          </w:p>
        </w:tc>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Operating Income (Loss)</w:t>
            </w: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283</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132</w:t>
            </w: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808</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812</w:t>
            </w:r>
          </w:p>
        </w:tc>
      </w:tr>
      <w:tr>
        <w:trPr>
          <w:trHeight w:val="347"/>
        </w:trPr>
        <w:tc>
          <w:tcPr>
            <w:tcW w:w="2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Non-Operating (Expenses) Income</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Interest and debt expense</w:t>
            </w:r>
          </w:p>
        </w:tc>
        <w:tc>
          <w:tcPr>
            <w:tcW w:w="180" w:type="dxa"/>
            <w:vAlign w:val="bottom"/>
          </w:tcPr>
          <w:p>
            <w:pPr>
              <w:spacing w:after="0"/>
              <w:rPr>
                <w:sz w:val="17"/>
                <w:szCs w:val="17"/>
                <w:color w:val="auto"/>
              </w:rPr>
            </w:pPr>
          </w:p>
        </w:tc>
        <w:tc>
          <w:tcPr>
            <w:tcW w:w="1120" w:type="dxa"/>
            <w:vAlign w:val="bottom"/>
          </w:tcPr>
          <w:p>
            <w:pPr>
              <w:jc w:val="right"/>
              <w:ind w:right="89"/>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b w:val="1"/>
                <w:bCs w:val="1"/>
                <w:color w:val="auto"/>
              </w:rPr>
              <w:t>(14)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b w:val="1"/>
                <w:bCs w:val="1"/>
                <w:color w:val="auto"/>
              </w:rPr>
              <w:t>(53)</w:t>
            </w: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Loss from investment in unconsolidated subsidiary</w:t>
            </w:r>
          </w:p>
        </w:tc>
        <w:tc>
          <w:tcPr>
            <w:tcW w:w="180" w:type="dxa"/>
            <w:vAlign w:val="bottom"/>
          </w:tcPr>
          <w:p>
            <w:pPr>
              <w:spacing w:after="0"/>
              <w:rPr>
                <w:sz w:val="17"/>
                <w:szCs w:val="17"/>
                <w:color w:val="auto"/>
              </w:rPr>
            </w:pPr>
          </w:p>
        </w:tc>
        <w:tc>
          <w:tcPr>
            <w:tcW w:w="1120" w:type="dxa"/>
            <w:vAlign w:val="bottom"/>
          </w:tcPr>
          <w:p>
            <w:pPr>
              <w:jc w:val="right"/>
              <w:ind w:right="89"/>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b w:val="1"/>
                <w:bCs w:val="1"/>
                <w:color w:val="auto"/>
              </w:rPr>
              <w:t>(1)</w:t>
            </w: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Net loss on early extinguishment of debt</w:t>
            </w:r>
          </w:p>
        </w:tc>
        <w:tc>
          <w:tcPr>
            <w:tcW w:w="180" w:type="dxa"/>
            <w:vAlign w:val="bottom"/>
          </w:tcPr>
          <w:p>
            <w:pPr>
              <w:spacing w:after="0"/>
              <w:rPr>
                <w:sz w:val="17"/>
                <w:szCs w:val="17"/>
                <w:color w:val="auto"/>
              </w:rPr>
            </w:pPr>
          </w:p>
        </w:tc>
        <w:tc>
          <w:tcPr>
            <w:tcW w:w="1120" w:type="dxa"/>
            <w:vAlign w:val="bottom"/>
          </w:tcPr>
          <w:p>
            <w:pPr>
              <w:jc w:val="right"/>
              <w:ind w:right="8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r>
      <w:tr>
        <w:trPr>
          <w:trHeight w:val="201"/>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Other non-operating income, net</w:t>
            </w:r>
          </w:p>
        </w:tc>
        <w:tc>
          <w:tcPr>
            <w:tcW w:w="180" w:type="dxa"/>
            <w:vAlign w:val="bottom"/>
          </w:tcPr>
          <w:p>
            <w:pPr>
              <w:spacing w:after="0"/>
              <w:rPr>
                <w:sz w:val="17"/>
                <w:szCs w:val="17"/>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3</w:t>
            </w:r>
          </w:p>
        </w:tc>
      </w:tr>
      <w:tr>
        <w:trPr>
          <w:trHeight w:val="326"/>
        </w:trPr>
        <w:tc>
          <w:tcPr>
            <w:tcW w:w="2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267</w:t>
            </w: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117</w:t>
            </w: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748</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761</w:t>
            </w: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Income tax (provision) benefit</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(79)</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(34)</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(184)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(237)</w:t>
            </w:r>
          </w:p>
        </w:tc>
      </w:tr>
      <w:tr>
        <w:trPr>
          <w:trHeight w:val="168"/>
        </w:trPr>
        <w:tc>
          <w:tcPr>
            <w:tcW w:w="20" w:type="dxa"/>
            <w:vAlign w:val="bottom"/>
          </w:tcPr>
          <w:p>
            <w:pPr>
              <w:spacing w:after="0"/>
              <w:rPr>
                <w:sz w:val="14"/>
                <w:szCs w:val="14"/>
                <w:color w:val="auto"/>
              </w:rPr>
            </w:pPr>
          </w:p>
        </w:tc>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188</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(22)</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83</w:t>
            </w:r>
          </w:p>
        </w:tc>
        <w:tc>
          <w:tcPr>
            <w:tcW w:w="2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564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524</w:t>
            </w: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Net income (loss) per share - basic</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2.74</w:t>
            </w:r>
          </w:p>
        </w:tc>
        <w:tc>
          <w:tcPr>
            <w:tcW w:w="80" w:type="dxa"/>
            <w:vAlign w:val="bottom"/>
          </w:tcPr>
          <w:p>
            <w:pPr>
              <w:spacing w:after="0"/>
              <w:rPr>
                <w:sz w:val="23"/>
                <w:szCs w:val="23"/>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89"/>
              <w:spacing w:after="0"/>
              <w:rPr>
                <w:sz w:val="20"/>
                <w:szCs w:val="20"/>
                <w:color w:val="auto"/>
              </w:rPr>
            </w:pPr>
            <w:r>
              <w:rPr>
                <w:rFonts w:ascii="Arial" w:cs="Arial" w:eastAsia="Arial" w:hAnsi="Arial"/>
                <w:sz w:val="14"/>
                <w:szCs w:val="14"/>
                <w:b w:val="1"/>
                <w:bCs w:val="1"/>
                <w:color w:val="auto"/>
              </w:rPr>
              <w:t>(0.32)</w:t>
            </w:r>
          </w:p>
        </w:tc>
        <w:tc>
          <w:tcPr>
            <w:tcW w:w="80" w:type="dxa"/>
            <w:vAlign w:val="bottom"/>
          </w:tcPr>
          <w:p>
            <w:pPr>
              <w:spacing w:after="0"/>
              <w:rPr>
                <w:sz w:val="23"/>
                <w:szCs w:val="23"/>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1.14</w:t>
            </w:r>
          </w:p>
        </w:tc>
        <w:tc>
          <w:tcPr>
            <w:tcW w:w="200" w:type="dxa"/>
            <w:vAlign w:val="bottom"/>
          </w:tcPr>
          <w:p>
            <w:pPr>
              <w:spacing w:after="0"/>
              <w:rPr>
                <w:sz w:val="23"/>
                <w:szCs w:val="23"/>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8.10</w:t>
            </w:r>
          </w:p>
        </w:tc>
        <w:tc>
          <w:tcPr>
            <w:tcW w:w="100" w:type="dxa"/>
            <w:vAlign w:val="bottom"/>
          </w:tcPr>
          <w:p>
            <w:pPr>
              <w:spacing w:after="0"/>
              <w:rPr>
                <w:sz w:val="23"/>
                <w:szCs w:val="23"/>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6.94</w:t>
            </w: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Net income (loss) per share - diluted</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2.60</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89"/>
              <w:spacing w:after="0"/>
              <w:rPr>
                <w:sz w:val="20"/>
                <w:szCs w:val="20"/>
                <w:color w:val="auto"/>
              </w:rPr>
            </w:pPr>
            <w:r>
              <w:rPr>
                <w:rFonts w:ascii="Arial" w:cs="Arial" w:eastAsia="Arial" w:hAnsi="Arial"/>
                <w:sz w:val="14"/>
                <w:szCs w:val="14"/>
                <w:b w:val="1"/>
                <w:bCs w:val="1"/>
                <w:color w:val="auto"/>
              </w:rPr>
              <w:t>(0.32)</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1.11</w:t>
            </w:r>
          </w:p>
        </w:tc>
        <w:tc>
          <w:tcPr>
            <w:tcW w:w="2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7.78</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6.75</w:t>
            </w:r>
          </w:p>
        </w:tc>
      </w:tr>
      <w:tr>
        <w:trPr>
          <w:trHeight w:val="360"/>
        </w:trPr>
        <w:tc>
          <w:tcPr>
            <w:tcW w:w="2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Adjusted net income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67</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74</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93</w:t>
            </w:r>
          </w:p>
        </w:tc>
        <w:tc>
          <w:tcPr>
            <w:tcW w:w="2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372</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384</w:t>
            </w: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Adjusted net income per share - basic</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0.98</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1.08</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1.28</w:t>
            </w:r>
          </w:p>
        </w:tc>
        <w:tc>
          <w:tcPr>
            <w:tcW w:w="2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5.34</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5.09</w:t>
            </w: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Adjusted net income per share - diluted</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0.93</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1.02</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1.24</w:t>
            </w:r>
          </w:p>
        </w:tc>
        <w:tc>
          <w:tcPr>
            <w:tcW w:w="2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5.13</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4.95</w:t>
            </w:r>
          </w:p>
        </w:tc>
      </w:tr>
      <w:tr>
        <w:trPr>
          <w:trHeight w:val="293"/>
        </w:trPr>
        <w:tc>
          <w:tcPr>
            <w:tcW w:w="2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basic</w:t>
            </w:r>
          </w:p>
        </w:tc>
        <w:tc>
          <w:tcPr>
            <w:tcW w:w="180" w:type="dxa"/>
            <w:vAlign w:val="bottom"/>
          </w:tcPr>
          <w:p>
            <w:pPr>
              <w:spacing w:after="0"/>
              <w:rPr>
                <w:sz w:val="24"/>
                <w:szCs w:val="24"/>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68.7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68.7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72.7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69.6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75.5</w:t>
            </w: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diluted</w:t>
            </w:r>
          </w:p>
        </w:tc>
        <w:tc>
          <w:tcPr>
            <w:tcW w:w="180" w:type="dxa"/>
            <w:vAlign w:val="bottom"/>
          </w:tcPr>
          <w:p>
            <w:pPr>
              <w:spacing w:after="0"/>
              <w:rPr>
                <w:sz w:val="17"/>
                <w:szCs w:val="17"/>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72.3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68.7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75.0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72.5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77.6</w:t>
            </w:r>
          </w:p>
        </w:tc>
      </w:tr>
      <w:tr>
        <w:trPr>
          <w:trHeight w:val="253"/>
        </w:trPr>
        <w:tc>
          <w:tcPr>
            <w:tcW w:w="20" w:type="dxa"/>
            <w:vAlign w:val="bottom"/>
          </w:tcPr>
          <w:p>
            <w:pPr>
              <w:spacing w:after="0"/>
              <w:rPr>
                <w:sz w:val="22"/>
                <w:szCs w:val="22"/>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Adjusted EBITDAX</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29"/>
              <w:spacing w:after="0"/>
              <w:rPr>
                <w:sz w:val="20"/>
                <w:szCs w:val="20"/>
                <w:color w:val="auto"/>
              </w:rPr>
            </w:pPr>
            <w:r>
              <w:rPr>
                <w:rFonts w:ascii="Arial" w:cs="Arial" w:eastAsia="Arial" w:hAnsi="Arial"/>
                <w:sz w:val="14"/>
                <w:szCs w:val="14"/>
                <w:b w:val="1"/>
                <w:bCs w:val="1"/>
                <w:color w:val="auto"/>
              </w:rPr>
              <w:t>179</w:t>
            </w:r>
          </w:p>
        </w:tc>
        <w:tc>
          <w:tcPr>
            <w:tcW w:w="80" w:type="dxa"/>
            <w:vAlign w:val="bottom"/>
          </w:tcPr>
          <w:p>
            <w:pPr>
              <w:spacing w:after="0"/>
              <w:rPr>
                <w:sz w:val="22"/>
                <w:szCs w:val="22"/>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187</w:t>
            </w:r>
          </w:p>
        </w:tc>
        <w:tc>
          <w:tcPr>
            <w:tcW w:w="80" w:type="dxa"/>
            <w:vAlign w:val="bottom"/>
          </w:tcPr>
          <w:p>
            <w:pPr>
              <w:spacing w:after="0"/>
              <w:rPr>
                <w:sz w:val="22"/>
                <w:szCs w:val="22"/>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208</w:t>
            </w:r>
          </w:p>
        </w:tc>
        <w:tc>
          <w:tcPr>
            <w:tcW w:w="200" w:type="dxa"/>
            <w:vAlign w:val="bottom"/>
          </w:tcPr>
          <w:p>
            <w:pPr>
              <w:spacing w:after="0"/>
              <w:rPr>
                <w:sz w:val="22"/>
                <w:szCs w:val="22"/>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rPr>
              <w:t>862</w:t>
            </w:r>
          </w:p>
        </w:tc>
        <w:tc>
          <w:tcPr>
            <w:tcW w:w="100" w:type="dxa"/>
            <w:vAlign w:val="bottom"/>
          </w:tcPr>
          <w:p>
            <w:pPr>
              <w:spacing w:after="0"/>
              <w:rPr>
                <w:sz w:val="22"/>
                <w:szCs w:val="22"/>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852</w:t>
            </w:r>
          </w:p>
        </w:tc>
      </w:tr>
      <w:tr>
        <w:trPr>
          <w:trHeight w:val="200"/>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4"/>
                <w:szCs w:val="14"/>
                <w:color w:val="auto"/>
              </w:rPr>
              <w:t>Effective tax rate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30 %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27 %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29 %</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25 %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40"/>
          </w:cols>
          <w:pgMar w:left="320" w:top="930" w:right="339" w:bottom="1440" w:gutter="0" w:footer="0" w:header="0"/>
        </w:sectPr>
      </w:pPr>
    </w:p>
    <w:bookmarkStart w:id="14" w:name="page15"/>
    <w:bookmarkEnd w:id="14"/>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4th Quarter</w:t>
            </w:r>
          </w:p>
        </w:tc>
        <w:tc>
          <w:tcPr>
            <w:tcW w:w="120" w:type="dxa"/>
            <w:vAlign w:val="bottom"/>
          </w:tcPr>
          <w:p>
            <w:pPr>
              <w:spacing w:after="0"/>
              <w:rPr>
                <w:sz w:val="16"/>
                <w:szCs w:val="16"/>
                <w:color w:val="auto"/>
              </w:rPr>
            </w:pPr>
          </w:p>
        </w:tc>
        <w:tc>
          <w:tcPr>
            <w:tcW w:w="1120" w:type="dxa"/>
            <w:vAlign w:val="bottom"/>
          </w:tcPr>
          <w:p>
            <w:pPr>
              <w:jc w:val="center"/>
              <w:ind w:right="29"/>
              <w:spacing w:after="0"/>
              <w:rPr>
                <w:sz w:val="20"/>
                <w:szCs w:val="20"/>
                <w:color w:val="auto"/>
              </w:rPr>
            </w:pPr>
            <w:r>
              <w:rPr>
                <w:rFonts w:ascii="Arial" w:cs="Arial" w:eastAsia="Arial" w:hAnsi="Arial"/>
                <w:sz w:val="14"/>
                <w:szCs w:val="14"/>
                <w:b w:val="1"/>
                <w:bCs w:val="1"/>
                <w:color w:val="auto"/>
              </w:rPr>
              <w:t>3rd Quarter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Total Year</w:t>
            </w:r>
          </w:p>
        </w:tc>
        <w:tc>
          <w:tcPr>
            <w:tcW w:w="200" w:type="dxa"/>
            <w:vAlign w:val="bottom"/>
          </w:tcPr>
          <w:p>
            <w:pPr>
              <w:spacing w:after="0"/>
              <w:rPr>
                <w:sz w:val="16"/>
                <w:szCs w:val="16"/>
                <w:color w:val="auto"/>
              </w:rPr>
            </w:pPr>
          </w:p>
        </w:tc>
        <w:tc>
          <w:tcPr>
            <w:tcW w:w="1040" w:type="dxa"/>
            <w:vAlign w:val="bottom"/>
          </w:tcPr>
          <w:p>
            <w:pPr>
              <w:jc w:val="center"/>
              <w:ind w:right="129"/>
              <w:spacing w:after="0"/>
              <w:rPr>
                <w:sz w:val="20"/>
                <w:szCs w:val="20"/>
                <w:color w:val="auto"/>
              </w:rPr>
            </w:pPr>
            <w:r>
              <w:rPr>
                <w:rFonts w:ascii="Arial" w:cs="Arial" w:eastAsia="Arial" w:hAnsi="Arial"/>
                <w:sz w:val="14"/>
                <w:szCs w:val="14"/>
                <w:b w:val="1"/>
                <w:bCs w:val="1"/>
                <w:color w:val="auto"/>
              </w:rPr>
              <w:t>Total Year</w:t>
            </w:r>
          </w:p>
        </w:tc>
      </w:tr>
      <w:tr>
        <w:trPr>
          <w:trHeight w:val="201"/>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millions)</w:t>
            </w:r>
          </w:p>
        </w:tc>
        <w:tc>
          <w:tcPr>
            <w:tcW w:w="1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r>
      <w:tr>
        <w:trPr>
          <w:trHeight w:val="193"/>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Cash Flow Data:</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0"/>
        </w:trPr>
        <w:tc>
          <w:tcPr>
            <w:tcW w:w="362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104</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ind w:left="740"/>
              <w:spacing w:after="0"/>
              <w:rPr>
                <w:sz w:val="20"/>
                <w:szCs w:val="20"/>
                <w:color w:val="auto"/>
              </w:rPr>
            </w:pPr>
            <w:r>
              <w:rPr>
                <w:rFonts w:ascii="Arial" w:cs="Arial" w:eastAsia="Arial" w:hAnsi="Arial"/>
                <w:sz w:val="14"/>
                <w:szCs w:val="14"/>
                <w:b w:val="1"/>
                <w:bCs w:val="1"/>
                <w:color w:val="auto"/>
              </w:rPr>
              <w:t>114</w:t>
            </w:r>
          </w:p>
        </w:tc>
        <w:tc>
          <w:tcPr>
            <w:tcW w:w="1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center"/>
              <w:ind w:left="569"/>
              <w:spacing w:after="0"/>
              <w:rPr>
                <w:sz w:val="20"/>
                <w:szCs w:val="20"/>
                <w:color w:val="auto"/>
              </w:rPr>
            </w:pPr>
            <w:r>
              <w:rPr>
                <w:rFonts w:ascii="Arial" w:cs="Arial" w:eastAsia="Arial" w:hAnsi="Arial"/>
                <w:sz w:val="14"/>
                <w:szCs w:val="14"/>
                <w:b w:val="1"/>
                <w:bCs w:val="1"/>
                <w:color w:val="auto"/>
              </w:rPr>
              <w:t>653</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ind w:left="609"/>
              <w:spacing w:after="0"/>
              <w:rPr>
                <w:sz w:val="20"/>
                <w:szCs w:val="20"/>
                <w:color w:val="auto"/>
              </w:rPr>
            </w:pPr>
            <w:r>
              <w:rPr>
                <w:rFonts w:ascii="Arial" w:cs="Arial" w:eastAsia="Arial" w:hAnsi="Arial"/>
                <w:sz w:val="14"/>
                <w:szCs w:val="14"/>
                <w:b w:val="1"/>
                <w:bCs w:val="1"/>
                <w:color w:val="auto"/>
              </w:rPr>
              <w:t>690</w:t>
            </w:r>
          </w:p>
        </w:tc>
      </w:tr>
      <w:tr>
        <w:trPr>
          <w:trHeight w:val="200"/>
        </w:trPr>
        <w:tc>
          <w:tcPr>
            <w:tcW w:w="362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ind w:left="760"/>
              <w:spacing w:after="0"/>
              <w:rPr>
                <w:sz w:val="20"/>
                <w:szCs w:val="20"/>
                <w:color w:val="auto"/>
              </w:rPr>
            </w:pPr>
            <w:r>
              <w:rPr>
                <w:rFonts w:ascii="Arial" w:cs="Arial" w:eastAsia="Arial" w:hAnsi="Arial"/>
                <w:sz w:val="14"/>
                <w:szCs w:val="14"/>
                <w:b w:val="1"/>
                <w:bCs w:val="1"/>
                <w:color w:val="auto"/>
              </w:rPr>
              <w:t>(79)</w:t>
            </w:r>
          </w:p>
        </w:tc>
        <w:tc>
          <w:tcPr>
            <w:tcW w:w="1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center"/>
              <w:ind w:left="569"/>
              <w:spacing w:after="0"/>
              <w:rPr>
                <w:sz w:val="20"/>
                <w:szCs w:val="20"/>
                <w:color w:val="auto"/>
              </w:rPr>
            </w:pPr>
            <w:r>
              <w:rPr>
                <w:rFonts w:ascii="Arial" w:cs="Arial" w:eastAsia="Arial" w:hAnsi="Arial"/>
                <w:sz w:val="14"/>
                <w:szCs w:val="14"/>
                <w:b w:val="1"/>
                <w:bCs w:val="1"/>
                <w:color w:val="auto"/>
                <w:w w:val="97"/>
              </w:rPr>
              <w:t>(175)</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ind w:left="589"/>
              <w:spacing w:after="0"/>
              <w:rPr>
                <w:sz w:val="20"/>
                <w:szCs w:val="20"/>
                <w:color w:val="auto"/>
              </w:rPr>
            </w:pPr>
            <w:r>
              <w:rPr>
                <w:rFonts w:ascii="Arial" w:cs="Arial" w:eastAsia="Arial" w:hAnsi="Arial"/>
                <w:sz w:val="14"/>
                <w:szCs w:val="14"/>
                <w:b w:val="1"/>
                <w:bCs w:val="1"/>
                <w:color w:val="auto"/>
              </w:rPr>
              <w:t>(317)</w:t>
            </w:r>
          </w:p>
        </w:tc>
      </w:tr>
      <w:tr>
        <w:trPr>
          <w:trHeight w:val="200"/>
        </w:trPr>
        <w:tc>
          <w:tcPr>
            <w:tcW w:w="3620" w:type="dxa"/>
            <w:vAlign w:val="bottom"/>
          </w:tcPr>
          <w:p>
            <w:pPr>
              <w:ind w:left="20"/>
              <w:spacing w:after="0"/>
              <w:rPr>
                <w:sz w:val="20"/>
                <w:szCs w:val="20"/>
                <w:color w:val="auto"/>
              </w:rPr>
            </w:pPr>
            <w:r>
              <w:rPr>
                <w:rFonts w:ascii="Arial" w:cs="Arial" w:eastAsia="Arial" w:hAnsi="Arial"/>
                <w:sz w:val="14"/>
                <w:szCs w:val="14"/>
                <w:color w:val="auto"/>
              </w:rPr>
              <w:t>Net cash used in financing activities</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ind w:left="760"/>
              <w:spacing w:after="0"/>
              <w:rPr>
                <w:sz w:val="20"/>
                <w:szCs w:val="20"/>
                <w:color w:val="auto"/>
              </w:rPr>
            </w:pPr>
            <w:r>
              <w:rPr>
                <w:rFonts w:ascii="Arial" w:cs="Arial" w:eastAsia="Arial" w:hAnsi="Arial"/>
                <w:sz w:val="14"/>
                <w:szCs w:val="14"/>
                <w:b w:val="1"/>
                <w:bCs w:val="1"/>
                <w:color w:val="auto"/>
              </w:rPr>
              <w:t>(86)</w:t>
            </w:r>
          </w:p>
        </w:tc>
        <w:tc>
          <w:tcPr>
            <w:tcW w:w="1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center"/>
              <w:ind w:left="569"/>
              <w:spacing w:after="0"/>
              <w:rPr>
                <w:sz w:val="20"/>
                <w:szCs w:val="20"/>
                <w:color w:val="auto"/>
              </w:rPr>
            </w:pPr>
            <w:r>
              <w:rPr>
                <w:rFonts w:ascii="Arial" w:cs="Arial" w:eastAsia="Arial" w:hAnsi="Arial"/>
                <w:sz w:val="14"/>
                <w:szCs w:val="14"/>
                <w:b w:val="1"/>
                <w:bCs w:val="1"/>
                <w:color w:val="auto"/>
                <w:w w:val="97"/>
              </w:rPr>
              <w:t>(289)</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ind w:left="589"/>
              <w:spacing w:after="0"/>
              <w:rPr>
                <w:sz w:val="20"/>
                <w:szCs w:val="20"/>
                <w:color w:val="auto"/>
              </w:rPr>
            </w:pPr>
            <w:r>
              <w:rPr>
                <w:rFonts w:ascii="Arial" w:cs="Arial" w:eastAsia="Arial" w:hAnsi="Arial"/>
                <w:sz w:val="14"/>
                <w:szCs w:val="14"/>
                <w:b w:val="1"/>
                <w:bCs w:val="1"/>
                <w:color w:val="auto"/>
              </w:rPr>
              <w:t>(371)</w:t>
            </w:r>
          </w:p>
        </w:tc>
      </w:tr>
      <w:tr>
        <w:trPr>
          <w:trHeight w:val="466"/>
        </w:trPr>
        <w:tc>
          <w:tcPr>
            <w:tcW w:w="3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24"/>
                <w:szCs w:val="24"/>
                <w:color w:val="auto"/>
              </w:rPr>
            </w:pPr>
          </w:p>
        </w:tc>
        <w:tc>
          <w:tcPr>
            <w:tcW w:w="1120" w:type="dxa"/>
            <w:vAlign w:val="bottom"/>
          </w:tcPr>
          <w:p>
            <w:pPr>
              <w:jc w:val="center"/>
              <w:ind w:right="49"/>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1"/>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millions)</w:t>
            </w:r>
          </w:p>
        </w:tc>
        <w:tc>
          <w:tcPr>
            <w:tcW w:w="1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3"/>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Selected Balance Sheet Data:</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0"/>
        </w:trPr>
        <w:tc>
          <w:tcPr>
            <w:tcW w:w="362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929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362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2,770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2,786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3620" w:type="dxa"/>
            <w:vAlign w:val="bottom"/>
          </w:tcPr>
          <w:p>
            <w:pPr>
              <w:ind w:left="20"/>
              <w:spacing w:after="0"/>
              <w:rPr>
                <w:sz w:val="20"/>
                <w:szCs w:val="20"/>
                <w:color w:val="auto"/>
              </w:rPr>
            </w:pPr>
            <w:r>
              <w:rPr>
                <w:rFonts w:ascii="Arial" w:cs="Arial" w:eastAsia="Arial" w:hAnsi="Arial"/>
                <w:sz w:val="14"/>
                <w:szCs w:val="14"/>
                <w:color w:val="auto"/>
              </w:rPr>
              <w:t>Deferred tax asset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362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616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3620" w:type="dxa"/>
            <w:vAlign w:val="bottom"/>
          </w:tcPr>
          <w:p>
            <w:pPr>
              <w:ind w:left="20"/>
              <w:spacing w:after="0"/>
              <w:rPr>
                <w:sz w:val="20"/>
                <w:szCs w:val="20"/>
                <w:color w:val="auto"/>
              </w:rPr>
            </w:pPr>
            <w:r>
              <w:rPr>
                <w:rFonts w:ascii="Arial" w:cs="Arial" w:eastAsia="Arial" w:hAnsi="Arial"/>
                <w:sz w:val="14"/>
                <w:szCs w:val="14"/>
                <w:color w:val="auto"/>
              </w:rPr>
              <w:t>Long-term debt, net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540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3620" w:type="dxa"/>
            <w:vAlign w:val="bottom"/>
          </w:tcPr>
          <w:p>
            <w:pPr>
              <w:ind w:left="20"/>
              <w:spacing w:after="0"/>
              <w:rPr>
                <w:sz w:val="20"/>
                <w:szCs w:val="20"/>
                <w:color w:val="auto"/>
              </w:rPr>
            </w:pPr>
            <w:r>
              <w:rPr>
                <w:rFonts w:ascii="Arial" w:cs="Arial" w:eastAsia="Arial" w:hAnsi="Arial"/>
                <w:sz w:val="14"/>
                <w:szCs w:val="14"/>
                <w:color w:val="auto"/>
              </w:rPr>
              <w:t>Noncurrent asset retirement obligations</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422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362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2,219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483235</wp:posOffset>
            </wp:positionV>
            <wp:extent cx="69818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81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39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GAINS AND LOSSES FROM COMMODITY DERIVATIVES</w:t>
            </w:r>
          </w:p>
        </w:tc>
        <w:tc>
          <w:tcPr>
            <w:tcW w:w="4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9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80" w:type="dxa"/>
            <w:vAlign w:val="bottom"/>
            <w:gridSpan w:val="3"/>
          </w:tcPr>
          <w:p>
            <w:pPr>
              <w:ind w:left="26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22"/>
                <w:szCs w:val="22"/>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22"/>
                <w:szCs w:val="22"/>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Year</w:t>
            </w:r>
          </w:p>
        </w:tc>
        <w:tc>
          <w:tcPr>
            <w:tcW w:w="220" w:type="dxa"/>
            <w:vAlign w:val="bottom"/>
          </w:tcPr>
          <w:p>
            <w:pPr>
              <w:spacing w:after="0"/>
              <w:rPr>
                <w:sz w:val="22"/>
                <w:szCs w:val="22"/>
                <w:color w:val="auto"/>
              </w:rPr>
            </w:pPr>
          </w:p>
        </w:tc>
        <w:tc>
          <w:tcPr>
            <w:tcW w:w="108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201"/>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4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73"/>
        </w:trPr>
        <w:tc>
          <w:tcPr>
            <w:tcW w:w="3920" w:type="dxa"/>
            <w:vAlign w:val="bottom"/>
          </w:tcPr>
          <w:p>
            <w:pPr>
              <w:ind w:left="140"/>
              <w:spacing w:after="0"/>
              <w:rPr>
                <w:sz w:val="20"/>
                <w:szCs w:val="20"/>
                <w:color w:val="auto"/>
              </w:rPr>
            </w:pPr>
            <w:r>
              <w:rPr>
                <w:rFonts w:ascii="Arial" w:cs="Arial" w:eastAsia="Arial" w:hAnsi="Arial"/>
                <w:sz w:val="14"/>
                <w:szCs w:val="14"/>
                <w:color w:val="auto"/>
              </w:rPr>
              <w:t>Non-cash derivative gain (loss)</w:t>
            </w:r>
          </w:p>
        </w:tc>
        <w:tc>
          <w:tcPr>
            <w:tcW w:w="940" w:type="dxa"/>
            <w:vAlign w:val="bottom"/>
            <w:gridSpan w:val="2"/>
          </w:tcPr>
          <w:p>
            <w:pPr>
              <w:jc w:val="center"/>
              <w:ind w:left="2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168</w:t>
            </w:r>
          </w:p>
        </w:tc>
        <w:tc>
          <w:tcPr>
            <w:tcW w:w="100" w:type="dxa"/>
            <w:vAlign w:val="bottom"/>
          </w:tcPr>
          <w:p>
            <w:pPr>
              <w:spacing w:after="0"/>
              <w:rPr>
                <w:sz w:val="23"/>
                <w:szCs w:val="23"/>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260</w:t>
            </w:r>
          </w:p>
        </w:tc>
        <w:tc>
          <w:tcPr>
            <w:tcW w:w="80" w:type="dxa"/>
            <w:vAlign w:val="bottom"/>
          </w:tcPr>
          <w:p>
            <w:pPr>
              <w:spacing w:after="0"/>
              <w:rPr>
                <w:sz w:val="23"/>
                <w:szCs w:val="23"/>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187</w:t>
            </w:r>
          </w:p>
        </w:tc>
        <w:tc>
          <w:tcPr>
            <w:tcW w:w="0" w:type="dxa"/>
            <w:vAlign w:val="bottom"/>
          </w:tcPr>
          <w:p>
            <w:pPr>
              <w:spacing w:after="0"/>
              <w:rPr>
                <w:sz w:val="1"/>
                <w:szCs w:val="1"/>
                <w:color w:val="auto"/>
              </w:rPr>
            </w:pPr>
          </w:p>
        </w:tc>
      </w:tr>
      <w:tr>
        <w:trPr>
          <w:trHeight w:val="200"/>
        </w:trPr>
        <w:tc>
          <w:tcPr>
            <w:tcW w:w="3920" w:type="dxa"/>
            <w:vAlign w:val="bottom"/>
          </w:tcPr>
          <w:p>
            <w:pPr>
              <w:ind w:left="140"/>
              <w:spacing w:after="0"/>
              <w:rPr>
                <w:sz w:val="20"/>
                <w:szCs w:val="20"/>
                <w:color w:val="auto"/>
              </w:rPr>
            </w:pPr>
            <w:r>
              <w:rPr>
                <w:rFonts w:ascii="Arial" w:cs="Arial" w:eastAsia="Arial" w:hAnsi="Arial"/>
                <w:sz w:val="14"/>
                <w:szCs w:val="14"/>
                <w:color w:val="auto"/>
              </w:rPr>
              <w:t>Non-cash gas supply derivative loss</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3920" w:type="dxa"/>
            <w:vAlign w:val="bottom"/>
          </w:tcPr>
          <w:p>
            <w:pPr>
              <w:ind w:left="140"/>
              <w:spacing w:after="0"/>
              <w:rPr>
                <w:sz w:val="20"/>
                <w:szCs w:val="20"/>
                <w:color w:val="auto"/>
              </w:rPr>
            </w:pPr>
            <w:r>
              <w:rPr>
                <w:rFonts w:ascii="Arial" w:cs="Arial" w:eastAsia="Arial" w:hAnsi="Arial"/>
                <w:sz w:val="14"/>
                <w:szCs w:val="14"/>
                <w:color w:val="auto"/>
              </w:rPr>
              <w:t>Net payments on settled commodity derivatives</w:t>
            </w:r>
          </w:p>
        </w:tc>
        <w:tc>
          <w:tcPr>
            <w:tcW w:w="4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(272)</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(738)</w:t>
            </w:r>
          </w:p>
        </w:tc>
        <w:tc>
          <w:tcPr>
            <w:tcW w:w="0" w:type="dxa"/>
            <w:vAlign w:val="bottom"/>
          </w:tcPr>
          <w:p>
            <w:pPr>
              <w:spacing w:after="0"/>
              <w:rPr>
                <w:sz w:val="1"/>
                <w:szCs w:val="1"/>
                <w:color w:val="auto"/>
              </w:rPr>
            </w:pPr>
          </w:p>
        </w:tc>
      </w:tr>
      <w:tr>
        <w:trPr>
          <w:trHeight w:val="194"/>
        </w:trPr>
        <w:tc>
          <w:tcPr>
            <w:tcW w:w="3920" w:type="dxa"/>
            <w:vAlign w:val="bottom"/>
          </w:tcPr>
          <w:p>
            <w:pPr>
              <w:ind w:left="260"/>
              <w:spacing w:after="0"/>
              <w:rPr>
                <w:sz w:val="20"/>
                <w:szCs w:val="20"/>
                <w:color w:val="auto"/>
              </w:rPr>
            </w:pPr>
            <w:r>
              <w:rPr>
                <w:rFonts w:ascii="Arial" w:cs="Arial" w:eastAsia="Arial" w:hAnsi="Arial"/>
                <w:sz w:val="14"/>
                <w:szCs w:val="14"/>
                <w:color w:val="auto"/>
              </w:rPr>
              <w:t>Net gain (loss) from commodity derivatives</w:t>
            </w:r>
          </w:p>
        </w:tc>
        <w:tc>
          <w:tcPr>
            <w:tcW w:w="940" w:type="dxa"/>
            <w:vAlign w:val="bottom"/>
            <w:gridSpan w:val="2"/>
          </w:tcPr>
          <w:p>
            <w:pPr>
              <w:jc w:val="center"/>
              <w:ind w:left="2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8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(551)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920" w:type="dxa"/>
            <w:vAlign w:val="bottom"/>
          </w:tcPr>
          <w:p>
            <w:pPr>
              <w:spacing w:after="0"/>
              <w:rPr>
                <w:sz w:val="24"/>
                <w:szCs w:val="24"/>
                <w:color w:val="auto"/>
              </w:rPr>
            </w:pPr>
          </w:p>
        </w:tc>
        <w:tc>
          <w:tcPr>
            <w:tcW w:w="940" w:type="dxa"/>
            <w:vAlign w:val="bottom"/>
            <w:gridSpan w:val="2"/>
            <w:vMerge w:val="restart"/>
          </w:tcPr>
          <w:p>
            <w:pPr>
              <w:jc w:val="center"/>
              <w:ind w:left="29"/>
              <w:spacing w:after="0"/>
              <w:rPr>
                <w:sz w:val="20"/>
                <w:szCs w:val="20"/>
                <w:color w:val="auto"/>
              </w:rPr>
            </w:pPr>
            <w:r>
              <w:rPr>
                <w:rFonts w:ascii="Arial" w:cs="Arial" w:eastAsia="Arial" w:hAnsi="Arial"/>
                <w:sz w:val="14"/>
                <w:szCs w:val="14"/>
                <w:b w:val="1"/>
                <w:bCs w:val="1"/>
                <w:color w:val="auto"/>
              </w:rPr>
              <w:t>1st Quarter</w:t>
            </w:r>
          </w:p>
        </w:tc>
        <w:tc>
          <w:tcPr>
            <w:tcW w:w="1100" w:type="dxa"/>
            <w:vAlign w:val="bottom"/>
            <w:gridSpan w:val="3"/>
            <w:vMerge w:val="restart"/>
          </w:tcPr>
          <w:p>
            <w:pPr>
              <w:jc w:val="right"/>
              <w:ind w:right="29"/>
              <w:spacing w:after="0"/>
              <w:rPr>
                <w:sz w:val="20"/>
                <w:szCs w:val="20"/>
                <w:color w:val="auto"/>
              </w:rPr>
            </w:pPr>
            <w:r>
              <w:rPr>
                <w:rFonts w:ascii="Arial" w:cs="Arial" w:eastAsia="Arial" w:hAnsi="Arial"/>
                <w:sz w:val="14"/>
                <w:szCs w:val="14"/>
                <w:color w:val="auto"/>
              </w:rPr>
              <w:t>1st Quarter</w:t>
            </w: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4th</w:t>
            </w:r>
          </w:p>
        </w:tc>
        <w:tc>
          <w:tcPr>
            <w:tcW w:w="160" w:type="dxa"/>
            <w:vAlign w:val="bottom"/>
          </w:tcPr>
          <w:p>
            <w:pPr>
              <w:spacing w:after="0"/>
              <w:rPr>
                <w:sz w:val="24"/>
                <w:szCs w:val="24"/>
                <w:color w:val="auto"/>
              </w:rPr>
            </w:pPr>
          </w:p>
        </w:tc>
        <w:tc>
          <w:tcPr>
            <w:tcW w:w="1060" w:type="dxa"/>
            <w:vAlign w:val="bottom"/>
          </w:tcPr>
          <w:p>
            <w:pPr>
              <w:jc w:val="right"/>
              <w:ind w:right="569"/>
              <w:spacing w:after="0"/>
              <w:rPr>
                <w:sz w:val="20"/>
                <w:szCs w:val="20"/>
                <w:color w:val="auto"/>
              </w:rPr>
            </w:pPr>
            <w:r>
              <w:rPr>
                <w:rFonts w:ascii="Arial" w:cs="Arial" w:eastAsia="Arial" w:hAnsi="Arial"/>
                <w:sz w:val="14"/>
                <w:szCs w:val="14"/>
                <w:b w:val="1"/>
                <w:bCs w:val="1"/>
                <w:color w:val="auto"/>
              </w:rPr>
              <w:t>4th</w:t>
            </w:r>
          </w:p>
        </w:tc>
        <w:tc>
          <w:tcPr>
            <w:tcW w:w="180" w:type="dxa"/>
            <w:vAlign w:val="bottom"/>
          </w:tcPr>
          <w:p>
            <w:pPr>
              <w:spacing w:after="0"/>
              <w:rPr>
                <w:sz w:val="24"/>
                <w:szCs w:val="24"/>
                <w:color w:val="auto"/>
              </w:rPr>
            </w:pPr>
          </w:p>
        </w:tc>
        <w:tc>
          <w:tcPr>
            <w:tcW w:w="1340" w:type="dxa"/>
            <w:vAlign w:val="bottom"/>
            <w:gridSpan w:val="3"/>
            <w:vMerge w:val="restart"/>
          </w:tcPr>
          <w:p>
            <w:pPr>
              <w:jc w:val="right"/>
              <w:ind w:right="89"/>
              <w:spacing w:after="0"/>
              <w:rPr>
                <w:sz w:val="20"/>
                <w:szCs w:val="20"/>
                <w:color w:val="auto"/>
              </w:rPr>
            </w:pPr>
            <w:r>
              <w:rPr>
                <w:rFonts w:ascii="Arial" w:cs="Arial" w:eastAsia="Arial" w:hAnsi="Arial"/>
                <w:sz w:val="14"/>
                <w:szCs w:val="14"/>
                <w:color w:val="auto"/>
              </w:rPr>
              <w:t>4th Quarter</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9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6"/>
                <w:szCs w:val="16"/>
                <w:color w:val="auto"/>
              </w:rPr>
            </w:pPr>
          </w:p>
        </w:tc>
        <w:tc>
          <w:tcPr>
            <w:tcW w:w="1060" w:type="dxa"/>
            <w:vAlign w:val="bottom"/>
          </w:tcPr>
          <w:p>
            <w:pPr>
              <w:ind w:left="6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240"/>
          </w:cols>
          <w:pgMar w:left="320" w:top="144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2"/>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CAPITAL INVESTMENTS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53"/>
        </w:trPr>
        <w:tc>
          <w:tcPr>
            <w:tcW w:w="4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4th Quarter</w:t>
            </w:r>
          </w:p>
        </w:tc>
        <w:tc>
          <w:tcPr>
            <w:tcW w:w="140" w:type="dxa"/>
            <w:vAlign w:val="bottom"/>
          </w:tcPr>
          <w:p>
            <w:pPr>
              <w:spacing w:after="0"/>
              <w:rPr>
                <w:sz w:val="22"/>
                <w:szCs w:val="22"/>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22"/>
                <w:szCs w:val="22"/>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Year</w:t>
            </w:r>
          </w:p>
        </w:tc>
        <w:tc>
          <w:tcPr>
            <w:tcW w:w="160" w:type="dxa"/>
            <w:vAlign w:val="bottom"/>
          </w:tcPr>
          <w:p>
            <w:pPr>
              <w:spacing w:after="0"/>
              <w:rPr>
                <w:sz w:val="22"/>
                <w:szCs w:val="22"/>
                <w:color w:val="auto"/>
              </w:rPr>
            </w:pPr>
          </w:p>
        </w:tc>
        <w:tc>
          <w:tcPr>
            <w:tcW w:w="1000" w:type="dxa"/>
            <w:vAlign w:val="bottom"/>
          </w:tcPr>
          <w:p>
            <w:pPr>
              <w:jc w:val="right"/>
              <w:ind w:right="189"/>
              <w:spacing w:after="0"/>
              <w:rPr>
                <w:sz w:val="20"/>
                <w:szCs w:val="20"/>
                <w:color w:val="auto"/>
              </w:rPr>
            </w:pPr>
            <w:r>
              <w:rPr>
                <w:rFonts w:ascii="Arial" w:cs="Arial" w:eastAsia="Arial" w:hAnsi="Arial"/>
                <w:sz w:val="14"/>
                <w:szCs w:val="14"/>
                <w:b w:val="1"/>
                <w:bCs w:val="1"/>
                <w:color w:val="auto"/>
              </w:rPr>
              <w:t>Total Year</w:t>
            </w:r>
          </w:p>
        </w:tc>
      </w:tr>
      <w:tr>
        <w:trPr>
          <w:trHeight w:val="201"/>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r>
      <w:tr>
        <w:trPr>
          <w:trHeight w:val="278"/>
        </w:trPr>
        <w:tc>
          <w:tcPr>
            <w:tcW w:w="4580" w:type="dxa"/>
            <w:vAlign w:val="bottom"/>
          </w:tcPr>
          <w:p>
            <w:pPr>
              <w:ind w:left="140"/>
              <w:spacing w:after="0"/>
              <w:rPr>
                <w:sz w:val="20"/>
                <w:szCs w:val="20"/>
                <w:color w:val="auto"/>
              </w:rPr>
            </w:pPr>
            <w:r>
              <w:rPr>
                <w:rFonts w:ascii="Arial" w:cs="Arial" w:eastAsia="Arial" w:hAnsi="Arial"/>
                <w:sz w:val="14"/>
                <w:szCs w:val="14"/>
                <w:color w:val="auto"/>
              </w:rPr>
              <w:t xml:space="preserve">Facilities </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19</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47</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71</w:t>
            </w:r>
          </w:p>
        </w:tc>
      </w:tr>
      <w:tr>
        <w:trPr>
          <w:trHeight w:val="195"/>
        </w:trPr>
        <w:tc>
          <w:tcPr>
            <w:tcW w:w="4580" w:type="dxa"/>
            <w:vAlign w:val="bottom"/>
          </w:tcPr>
          <w:p>
            <w:pPr>
              <w:ind w:left="140"/>
              <w:spacing w:after="0"/>
              <w:rPr>
                <w:sz w:val="20"/>
                <w:szCs w:val="20"/>
                <w:color w:val="auto"/>
              </w:rPr>
            </w:pPr>
            <w:r>
              <w:rPr>
                <w:rFonts w:ascii="Arial" w:cs="Arial" w:eastAsia="Arial" w:hAnsi="Arial"/>
                <w:sz w:val="14"/>
                <w:szCs w:val="14"/>
                <w:color w:val="auto"/>
              </w:rPr>
              <w:t>Drilling</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48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242</w:t>
            </w:r>
          </w:p>
        </w:tc>
      </w:tr>
      <w:tr>
        <w:trPr>
          <w:trHeight w:val="200"/>
        </w:trPr>
        <w:tc>
          <w:tcPr>
            <w:tcW w:w="4580" w:type="dxa"/>
            <w:vAlign w:val="bottom"/>
          </w:tcPr>
          <w:p>
            <w:pPr>
              <w:ind w:left="140"/>
              <w:spacing w:after="0"/>
              <w:rPr>
                <w:sz w:val="20"/>
                <w:szCs w:val="20"/>
                <w:color w:val="auto"/>
              </w:rPr>
            </w:pPr>
            <w:r>
              <w:rPr>
                <w:rFonts w:ascii="Arial" w:cs="Arial" w:eastAsia="Arial" w:hAnsi="Arial"/>
                <w:sz w:val="14"/>
                <w:szCs w:val="14"/>
                <w:color w:val="auto"/>
              </w:rPr>
              <w:t>Workovers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39</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36</w:t>
            </w:r>
          </w:p>
        </w:tc>
      </w:tr>
      <w:tr>
        <w:trPr>
          <w:trHeight w:val="193"/>
        </w:trPr>
        <w:tc>
          <w:tcPr>
            <w:tcW w:w="4580" w:type="dxa"/>
            <w:vAlign w:val="bottom"/>
          </w:tcPr>
          <w:p>
            <w:pPr>
              <w:ind w:left="20"/>
              <w:spacing w:after="0"/>
              <w:rPr>
                <w:sz w:val="20"/>
                <w:szCs w:val="20"/>
                <w:color w:val="auto"/>
              </w:rPr>
            </w:pPr>
            <w:r>
              <w:rPr>
                <w:rFonts w:ascii="Arial" w:cs="Arial" w:eastAsia="Arial" w:hAnsi="Arial"/>
                <w:sz w:val="14"/>
                <w:szCs w:val="14"/>
                <w:color w:val="auto"/>
              </w:rPr>
              <w:t>Total E&amp;P capital</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81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153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349</w:t>
            </w:r>
          </w:p>
        </w:tc>
      </w:tr>
      <w:tr>
        <w:trPr>
          <w:trHeight w:val="205"/>
        </w:trPr>
        <w:tc>
          <w:tcPr>
            <w:tcW w:w="4580" w:type="dxa"/>
            <w:vAlign w:val="bottom"/>
          </w:tcPr>
          <w:p>
            <w:pPr>
              <w:ind w:left="140"/>
              <w:spacing w:after="0" w:line="205" w:lineRule="exact"/>
              <w:rPr>
                <w:sz w:val="20"/>
                <w:szCs w:val="20"/>
                <w:color w:val="auto"/>
              </w:rPr>
            </w:pPr>
            <w:r>
              <w:rPr>
                <w:rFonts w:ascii="Arial" w:cs="Arial" w:eastAsia="Arial" w:hAnsi="Arial"/>
                <w:sz w:val="14"/>
                <w:szCs w:val="14"/>
                <w:color w:val="auto"/>
              </w:rPr>
              <w:t xml:space="preserve">CMB </w:t>
            </w:r>
            <w:r>
              <w:rPr>
                <w:rFonts w:ascii="Arial" w:cs="Arial" w:eastAsia="Arial" w:hAnsi="Arial"/>
                <w:sz w:val="18"/>
                <w:szCs w:val="18"/>
                <w:color w:val="auto"/>
                <w:vertAlign w:val="superscript"/>
              </w:rPr>
              <w:t>(1)</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4</w:t>
            </w:r>
          </w:p>
        </w:tc>
      </w:tr>
      <w:tr>
        <w:trPr>
          <w:trHeight w:val="195"/>
        </w:trPr>
        <w:tc>
          <w:tcPr>
            <w:tcW w:w="4580" w:type="dxa"/>
            <w:vAlign w:val="bottom"/>
          </w:tcPr>
          <w:p>
            <w:pPr>
              <w:ind w:left="140"/>
              <w:spacing w:after="0"/>
              <w:rPr>
                <w:sz w:val="20"/>
                <w:szCs w:val="20"/>
                <w:color w:val="auto"/>
              </w:rPr>
            </w:pPr>
            <w:r>
              <w:rPr>
                <w:rFonts w:ascii="Arial" w:cs="Arial" w:eastAsia="Arial" w:hAnsi="Arial"/>
                <w:sz w:val="14"/>
                <w:szCs w:val="14"/>
                <w:color w:val="auto"/>
              </w:rPr>
              <w:t>Corporate and other</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27</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26</w:t>
            </w:r>
          </w:p>
        </w:tc>
      </w:tr>
      <w:tr>
        <w:trPr>
          <w:trHeight w:val="194"/>
        </w:trPr>
        <w:tc>
          <w:tcPr>
            <w:tcW w:w="4580" w:type="dxa"/>
            <w:vAlign w:val="bottom"/>
          </w:tcPr>
          <w:p>
            <w:pPr>
              <w:ind w:left="20"/>
              <w:spacing w:after="0"/>
              <w:rPr>
                <w:sz w:val="20"/>
                <w:szCs w:val="20"/>
                <w:color w:val="auto"/>
              </w:rPr>
            </w:pPr>
            <w:r>
              <w:rPr>
                <w:rFonts w:ascii="Arial" w:cs="Arial" w:eastAsia="Arial" w:hAnsi="Arial"/>
                <w:sz w:val="14"/>
                <w:szCs w:val="14"/>
                <w:color w:val="auto"/>
              </w:rPr>
              <w:t>Total capital program</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75</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185</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379</w:t>
            </w: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360045</wp:posOffset>
            </wp:positionH>
            <wp:positionV relativeFrom="page">
              <wp:posOffset>588010</wp:posOffset>
            </wp:positionV>
            <wp:extent cx="68376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7680" cy="8255"/>
                    </a:xfrm>
                    <a:prstGeom prst="rect">
                      <a:avLst/>
                    </a:prstGeom>
                    <a:noFill/>
                  </pic:spPr>
                </pic:pic>
              </a:graphicData>
            </a:graphic>
          </wp:anchor>
        </w:drawing>
      </w:r>
    </w:p>
    <w:p>
      <w:pPr>
        <w:jc w:val="both"/>
        <w:ind w:left="20" w:right="40" w:hanging="2"/>
        <w:spacing w:after="0" w:line="214" w:lineRule="auto"/>
        <w:tabs>
          <w:tab w:leader="none" w:pos="172"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Facilities capital includes $1 million, $1 million and $3 million in the fourth and third quarter of 2023 and fourth quarter of 2022, respectively, and $4 million and $12 million for the years 2023 and 2022, respectively to build replacement water injection facilities which will allow CRC to divert produced water away from a depleted oil and natural gas reservoir held by the Carbon TerraVault JV. Construction of these facilities supports the advancement of CRC’s carbon management business and CRC reported these amounts as part of adjusted CMB capital in this Earnings Release. Where adjusted CMB capital is presented, CRC removed the amounts from facilities capital and presented adjusted E&amp;P, Corporate and Other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0780"/>
          </w:cols>
          <w:pgMar w:left="560" w:top="946" w:right="559" w:bottom="1440" w:gutter="0" w:footer="0" w:header="0"/>
        </w:sectPr>
      </w:pPr>
    </w:p>
    <w:bookmarkStart w:id="16" w:name="page17"/>
    <w:bookmarkEnd w:id="16"/>
    <w:p>
      <w:pPr>
        <w:ind w:left="10320"/>
        <w:spacing w:after="0"/>
        <w:rPr>
          <w:sz w:val="20"/>
          <w:szCs w:val="20"/>
          <w:color w:val="auto"/>
        </w:rPr>
      </w:pPr>
      <w:r>
        <w:rPr>
          <w:rFonts w:ascii="Arial" w:cs="Arial" w:eastAsia="Arial" w:hAnsi="Arial"/>
          <w:sz w:val="14"/>
          <w:szCs w:val="14"/>
          <w:b w:val="1"/>
          <w:bCs w:val="1"/>
          <w:color w:val="auto"/>
        </w:rPr>
        <w:t>Attachment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2024 PRELIMINARY OUTLOOK</w:t>
            </w:r>
            <w:r>
              <w:rPr>
                <w:rFonts w:ascii="Arial" w:cs="Arial" w:eastAsia="Arial" w:hAnsi="Arial"/>
                <w:sz w:val="18"/>
                <w:szCs w:val="18"/>
                <w:b w:val="1"/>
                <w:bCs w:val="1"/>
                <w:color w:val="auto"/>
                <w:vertAlign w:val="superscript"/>
              </w:rPr>
              <w:t>1</w:t>
            </w:r>
          </w:p>
        </w:tc>
        <w:tc>
          <w:tcPr>
            <w:tcW w:w="1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Total 2024E</w:t>
            </w:r>
          </w:p>
        </w:tc>
        <w:tc>
          <w:tcPr>
            <w:tcW w:w="10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DBDBDB"/>
            </w:tcBorders>
          </w:tcPr>
          <w:p>
            <w:pPr>
              <w:spacing w:after="0"/>
              <w:rPr>
                <w:sz w:val="18"/>
                <w:szCs w:val="18"/>
                <w:color w:val="auto"/>
              </w:rPr>
            </w:pPr>
          </w:p>
        </w:tc>
      </w:tr>
      <w:tr>
        <w:trPr>
          <w:trHeight w:val="193"/>
        </w:trPr>
        <w:tc>
          <w:tcPr>
            <w:tcW w:w="742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Net Total Production (MBoe/d)</w:t>
            </w:r>
          </w:p>
        </w:tc>
        <w:tc>
          <w:tcPr>
            <w:tcW w:w="120" w:type="dxa"/>
            <w:vAlign w:val="bottom"/>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78</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- 82</w:t>
            </w:r>
          </w:p>
        </w:tc>
        <w:tc>
          <w:tcPr>
            <w:tcW w:w="100" w:type="dxa"/>
            <w:vAlign w:val="bottom"/>
          </w:tcPr>
          <w:p>
            <w:pPr>
              <w:spacing w:after="0"/>
              <w:rPr>
                <w:sz w:val="16"/>
                <w:szCs w:val="16"/>
                <w:color w:val="auto"/>
              </w:rPr>
            </w:pPr>
          </w:p>
        </w:tc>
        <w:tc>
          <w:tcPr>
            <w:tcW w:w="2040" w:type="dxa"/>
            <w:vAlign w:val="bottom"/>
            <w:shd w:val="clear" w:color="auto" w:fill="DBDBDB"/>
          </w:tcPr>
          <w:p>
            <w:pPr>
              <w:spacing w:after="0"/>
              <w:rPr>
                <w:sz w:val="16"/>
                <w:szCs w:val="16"/>
                <w:color w:val="auto"/>
              </w:rPr>
            </w:pPr>
          </w:p>
        </w:tc>
      </w:tr>
      <w:tr>
        <w:trPr>
          <w:trHeight w:val="196"/>
        </w:trPr>
        <w:tc>
          <w:tcPr>
            <w:tcW w:w="7420" w:type="dxa"/>
            <w:vAlign w:val="bottom"/>
          </w:tcPr>
          <w:p>
            <w:pPr>
              <w:ind w:left="140"/>
              <w:spacing w:after="0"/>
              <w:rPr>
                <w:sz w:val="20"/>
                <w:szCs w:val="20"/>
                <w:color w:val="auto"/>
              </w:rPr>
            </w:pPr>
            <w:r>
              <w:rPr>
                <w:rFonts w:ascii="Arial" w:cs="Arial" w:eastAsia="Arial" w:hAnsi="Arial"/>
                <w:sz w:val="14"/>
                <w:szCs w:val="14"/>
                <w:color w:val="auto"/>
              </w:rPr>
              <w:t>Oil Production (%)</w:t>
            </w:r>
          </w:p>
        </w:tc>
        <w:tc>
          <w:tcPr>
            <w:tcW w:w="1680" w:type="dxa"/>
            <w:vAlign w:val="bottom"/>
            <w:gridSpan w:val="3"/>
          </w:tcPr>
          <w:p>
            <w:pPr>
              <w:jc w:val="right"/>
              <w:ind w:right="529"/>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4"/>
        </w:trPr>
        <w:tc>
          <w:tcPr>
            <w:tcW w:w="742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Capital ($ millions)</w:t>
            </w:r>
          </w:p>
        </w:tc>
        <w:tc>
          <w:tcPr>
            <w:tcW w:w="120" w:type="dxa"/>
            <w:vAlign w:val="bottom"/>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$300</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$340</w:t>
            </w:r>
          </w:p>
        </w:tc>
        <w:tc>
          <w:tcPr>
            <w:tcW w:w="100" w:type="dxa"/>
            <w:vAlign w:val="bottom"/>
          </w:tcPr>
          <w:p>
            <w:pPr>
              <w:spacing w:after="0"/>
              <w:rPr>
                <w:sz w:val="17"/>
                <w:szCs w:val="17"/>
                <w:color w:val="auto"/>
              </w:rPr>
            </w:pPr>
          </w:p>
        </w:tc>
        <w:tc>
          <w:tcPr>
            <w:tcW w:w="2040" w:type="dxa"/>
            <w:vAlign w:val="bottom"/>
            <w:shd w:val="clear" w:color="auto" w:fill="DBDBDB"/>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088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8825" cy="8255"/>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0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CRC GUIDANCE</w:t>
            </w:r>
          </w:p>
        </w:tc>
        <w:tc>
          <w:tcPr>
            <w:tcW w:w="2340" w:type="dxa"/>
            <w:vAlign w:val="bottom"/>
            <w:tcBorders>
              <w:top w:val="single" w:sz="8" w:color="auto"/>
            </w:tcBorders>
            <w:gridSpan w:val="2"/>
          </w:tcPr>
          <w:p>
            <w:pPr>
              <w:ind w:left="1380"/>
              <w:spacing w:after="0" w:line="160"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ind w:left="600"/>
              <w:spacing w:after="0" w:line="160" w:lineRule="exact"/>
              <w:rPr>
                <w:sz w:val="20"/>
                <w:szCs w:val="20"/>
                <w:color w:val="auto"/>
              </w:rPr>
            </w:pPr>
            <w:r>
              <w:rPr>
                <w:rFonts w:ascii="Arial" w:cs="Arial" w:eastAsia="Arial" w:hAnsi="Arial"/>
                <w:sz w:val="14"/>
                <w:szCs w:val="14"/>
                <w:b w:val="1"/>
                <w:bCs w:val="1"/>
                <w:color w:val="auto"/>
              </w:rPr>
              <w:t>CMB</w:t>
            </w:r>
          </w:p>
        </w:tc>
        <w:tc>
          <w:tcPr>
            <w:tcW w:w="10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E&amp;P, Corp. &amp; Other 1Q24E</w:t>
            </w:r>
          </w:p>
        </w:tc>
        <w:tc>
          <w:tcPr>
            <w:tcW w:w="0" w:type="dxa"/>
            <w:vAlign w:val="bottom"/>
          </w:tcPr>
          <w:p>
            <w:pPr>
              <w:spacing w:after="0"/>
              <w:rPr>
                <w:sz w:val="1"/>
                <w:szCs w:val="1"/>
                <w:color w:val="auto"/>
              </w:rPr>
            </w:pPr>
          </w:p>
        </w:tc>
      </w:tr>
      <w:tr>
        <w:trPr>
          <w:trHeight w:val="187"/>
        </w:trPr>
        <w:tc>
          <w:tcPr>
            <w:tcW w:w="5080" w:type="dxa"/>
            <w:vAlign w:val="bottom"/>
            <w:tcBorders>
              <w:bottom w:val="single" w:sz="8" w:color="auto"/>
            </w:tcBorders>
            <w:vMerge w:val="continue"/>
          </w:tcPr>
          <w:p>
            <w:pPr>
              <w:spacing w:after="0"/>
              <w:rPr>
                <w:sz w:val="16"/>
                <w:szCs w:val="16"/>
                <w:color w:val="auto"/>
              </w:rPr>
            </w:pPr>
          </w:p>
        </w:tc>
        <w:tc>
          <w:tcPr>
            <w:tcW w:w="2340" w:type="dxa"/>
            <w:vAlign w:val="bottom"/>
            <w:tcBorders>
              <w:bottom w:val="single" w:sz="8" w:color="auto"/>
            </w:tcBorders>
            <w:gridSpan w:val="2"/>
          </w:tcPr>
          <w:p>
            <w:pPr>
              <w:jc w:val="center"/>
              <w:ind w:left="729"/>
              <w:spacing w:after="0"/>
              <w:rPr>
                <w:sz w:val="20"/>
                <w:szCs w:val="20"/>
                <w:color w:val="auto"/>
              </w:rPr>
            </w:pPr>
            <w:r>
              <w:rPr>
                <w:rFonts w:ascii="Arial" w:cs="Arial" w:eastAsia="Arial" w:hAnsi="Arial"/>
                <w:sz w:val="14"/>
                <w:szCs w:val="14"/>
                <w:b w:val="1"/>
                <w:bCs w:val="1"/>
                <w:color w:val="auto"/>
              </w:rPr>
              <w:t>1Q24E</w:t>
            </w:r>
          </w:p>
        </w:tc>
        <w:tc>
          <w:tcPr>
            <w:tcW w:w="12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1Q24E</w:t>
            </w:r>
          </w:p>
        </w:tc>
        <w:tc>
          <w:tcPr>
            <w:tcW w:w="100" w:type="dxa"/>
            <w:vAlign w:val="bottom"/>
          </w:tcPr>
          <w:p>
            <w:pPr>
              <w:spacing w:after="0"/>
              <w:rPr>
                <w:sz w:val="16"/>
                <w:szCs w:val="16"/>
                <w:color w:val="auto"/>
              </w:rPr>
            </w:pPr>
          </w:p>
        </w:tc>
        <w:tc>
          <w:tcPr>
            <w:tcW w:w="20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Net Total Production (MBoe/d)</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76</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- 80</w:t>
            </w:r>
          </w:p>
        </w:tc>
        <w:tc>
          <w:tcPr>
            <w:tcW w:w="120" w:type="dxa"/>
            <w:vAlign w:val="bottom"/>
          </w:tcPr>
          <w:p>
            <w:pPr>
              <w:spacing w:after="0"/>
              <w:rPr>
                <w:sz w:val="16"/>
                <w:szCs w:val="16"/>
                <w:color w:val="auto"/>
              </w:rPr>
            </w:pPr>
          </w:p>
        </w:tc>
        <w:tc>
          <w:tcPr>
            <w:tcW w:w="15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76</w:t>
            </w:r>
          </w:p>
        </w:tc>
        <w:tc>
          <w:tcPr>
            <w:tcW w:w="1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- 80</w:t>
            </w:r>
          </w:p>
        </w:tc>
        <w:tc>
          <w:tcPr>
            <w:tcW w:w="0" w:type="dxa"/>
            <w:vAlign w:val="bottom"/>
          </w:tcPr>
          <w:p>
            <w:pPr>
              <w:spacing w:after="0"/>
              <w:rPr>
                <w:sz w:val="1"/>
                <w:szCs w:val="1"/>
                <w:color w:val="auto"/>
              </w:rPr>
            </w:pPr>
          </w:p>
        </w:tc>
      </w:tr>
      <w:tr>
        <w:trPr>
          <w:trHeight w:val="196"/>
        </w:trPr>
        <w:tc>
          <w:tcPr>
            <w:tcW w:w="5080" w:type="dxa"/>
            <w:vAlign w:val="bottom"/>
          </w:tcPr>
          <w:p>
            <w:pPr>
              <w:ind w:left="140"/>
              <w:spacing w:after="0"/>
              <w:rPr>
                <w:sz w:val="20"/>
                <w:szCs w:val="20"/>
                <w:color w:val="auto"/>
              </w:rPr>
            </w:pPr>
            <w:r>
              <w:rPr>
                <w:rFonts w:ascii="Arial" w:cs="Arial" w:eastAsia="Arial" w:hAnsi="Arial"/>
                <w:sz w:val="14"/>
                <w:szCs w:val="14"/>
                <w:color w:val="auto"/>
              </w:rPr>
              <w:t>Oil Production (%)</w:t>
            </w:r>
          </w:p>
        </w:tc>
        <w:tc>
          <w:tcPr>
            <w:tcW w:w="2340" w:type="dxa"/>
            <w:vAlign w:val="bottom"/>
            <w:gridSpan w:val="2"/>
          </w:tcPr>
          <w:p>
            <w:pPr>
              <w:jc w:val="center"/>
              <w:ind w:left="729"/>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100" w:type="dxa"/>
            <w:vAlign w:val="bottom"/>
            <w:gridSpan w:val="3"/>
          </w:tcPr>
          <w:p>
            <w:pPr>
              <w:jc w:val="center"/>
              <w:ind w:left="29"/>
              <w:spacing w:after="0"/>
              <w:rPr>
                <w:sz w:val="20"/>
                <w:szCs w:val="20"/>
                <w:color w:val="auto"/>
              </w:rPr>
            </w:pPr>
            <w:r>
              <w:rPr>
                <w:rFonts w:ascii="Arial" w:cs="Arial" w:eastAsia="Arial" w:hAnsi="Arial"/>
                <w:sz w:val="14"/>
                <w:szCs w:val="14"/>
                <w:color w:val="auto"/>
                <w:w w:val="99"/>
              </w:rPr>
              <w:t>~60%</w:t>
            </w:r>
          </w:p>
        </w:tc>
        <w:tc>
          <w:tcPr>
            <w:tcW w:w="0" w:type="dxa"/>
            <w:vAlign w:val="bottom"/>
          </w:tcPr>
          <w:p>
            <w:pPr>
              <w:spacing w:after="0"/>
              <w:rPr>
                <w:sz w:val="1"/>
                <w:szCs w:val="1"/>
                <w:color w:val="auto"/>
              </w:rPr>
            </w:pPr>
          </w:p>
        </w:tc>
      </w:tr>
      <w:tr>
        <w:trPr>
          <w:trHeight w:val="204"/>
        </w:trPr>
        <w:tc>
          <w:tcPr>
            <w:tcW w:w="50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CMB Expenses &amp; Operating Costs ($ millions)</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$175</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$185</w:t>
            </w:r>
          </w:p>
        </w:tc>
        <w:tc>
          <w:tcPr>
            <w:tcW w:w="120" w:type="dxa"/>
            <w:vAlign w:val="bottom"/>
          </w:tcPr>
          <w:p>
            <w:pPr>
              <w:spacing w:after="0"/>
              <w:rPr>
                <w:sz w:val="17"/>
                <w:szCs w:val="17"/>
                <w:color w:val="auto"/>
              </w:rPr>
            </w:pPr>
          </w:p>
        </w:tc>
        <w:tc>
          <w:tcPr>
            <w:tcW w:w="15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$6 - $10</w:t>
            </w:r>
          </w:p>
        </w:tc>
        <w:tc>
          <w:tcPr>
            <w:tcW w:w="100" w:type="dxa"/>
            <w:vAlign w:val="bottom"/>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$169</w:t>
            </w:r>
          </w:p>
        </w:tc>
        <w:tc>
          <w:tcPr>
            <w:tcW w:w="1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$175</w:t>
            </w:r>
          </w:p>
        </w:tc>
        <w:tc>
          <w:tcPr>
            <w:tcW w:w="0" w:type="dxa"/>
            <w:vAlign w:val="bottom"/>
          </w:tcPr>
          <w:p>
            <w:pPr>
              <w:spacing w:after="0"/>
              <w:rPr>
                <w:sz w:val="1"/>
                <w:szCs w:val="1"/>
                <w:color w:val="auto"/>
              </w:rPr>
            </w:pPr>
          </w:p>
        </w:tc>
      </w:tr>
      <w:tr>
        <w:trPr>
          <w:trHeight w:val="196"/>
        </w:trPr>
        <w:tc>
          <w:tcPr>
            <w:tcW w:w="5080" w:type="dxa"/>
            <w:vAlign w:val="bottom"/>
          </w:tcPr>
          <w:p>
            <w:pPr>
              <w:ind w:left="140"/>
              <w:spacing w:after="0"/>
              <w:rPr>
                <w:sz w:val="20"/>
                <w:szCs w:val="20"/>
                <w:color w:val="auto"/>
              </w:rPr>
            </w:pPr>
            <w:r>
              <w:rPr>
                <w:rFonts w:ascii="Arial" w:cs="Arial" w:eastAsia="Arial" w:hAnsi="Arial"/>
                <w:sz w:val="14"/>
                <w:szCs w:val="14"/>
                <w:color w:val="auto"/>
              </w:rPr>
              <w:t>General and Administrative Expenses ($ millions)</w:t>
            </w:r>
          </w:p>
        </w:tc>
        <w:tc>
          <w:tcPr>
            <w:tcW w:w="1520" w:type="dxa"/>
            <w:vAlign w:val="bottom"/>
          </w:tcPr>
          <w:p>
            <w:pPr>
              <w:jc w:val="right"/>
              <w:spacing w:after="0"/>
              <w:rPr>
                <w:sz w:val="20"/>
                <w:szCs w:val="20"/>
                <w:color w:val="auto"/>
              </w:rPr>
            </w:pPr>
            <w:r>
              <w:rPr>
                <w:rFonts w:ascii="Arial" w:cs="Arial" w:eastAsia="Arial" w:hAnsi="Arial"/>
                <w:sz w:val="14"/>
                <w:szCs w:val="14"/>
                <w:color w:val="auto"/>
              </w:rPr>
              <w:t>$61</w:t>
            </w:r>
          </w:p>
        </w:tc>
        <w:tc>
          <w:tcPr>
            <w:tcW w:w="820" w:type="dxa"/>
            <w:vAlign w:val="bottom"/>
          </w:tcPr>
          <w:p>
            <w:pPr>
              <w:ind w:left="20"/>
              <w:spacing w:after="0"/>
              <w:rPr>
                <w:sz w:val="20"/>
                <w:szCs w:val="20"/>
                <w:color w:val="auto"/>
              </w:rPr>
            </w:pPr>
            <w:r>
              <w:rPr>
                <w:rFonts w:ascii="Arial" w:cs="Arial" w:eastAsia="Arial" w:hAnsi="Arial"/>
                <w:sz w:val="14"/>
                <w:szCs w:val="14"/>
                <w:color w:val="auto"/>
              </w:rPr>
              <w:t>- $72</w:t>
            </w:r>
          </w:p>
        </w:tc>
        <w:tc>
          <w:tcPr>
            <w:tcW w:w="1680" w:type="dxa"/>
            <w:vAlign w:val="bottom"/>
            <w:gridSpan w:val="2"/>
          </w:tcPr>
          <w:p>
            <w:pPr>
              <w:jc w:val="center"/>
              <w:ind w:left="49"/>
              <w:spacing w:after="0"/>
              <w:rPr>
                <w:sz w:val="20"/>
                <w:szCs w:val="20"/>
                <w:color w:val="auto"/>
              </w:rPr>
            </w:pPr>
            <w:r>
              <w:rPr>
                <w:rFonts w:ascii="Arial" w:cs="Arial" w:eastAsia="Arial" w:hAnsi="Arial"/>
                <w:sz w:val="14"/>
                <w:szCs w:val="14"/>
                <w:color w:val="auto"/>
              </w:rPr>
              <w:t>$2 - $3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1040" w:type="dxa"/>
            <w:vAlign w:val="bottom"/>
          </w:tcPr>
          <w:p>
            <w:pPr>
              <w:ind w:left="20"/>
              <w:spacing w:after="0"/>
              <w:rPr>
                <w:sz w:val="20"/>
                <w:szCs w:val="20"/>
                <w:color w:val="auto"/>
              </w:rPr>
            </w:pPr>
            <w:r>
              <w:rPr>
                <w:rFonts w:ascii="Arial" w:cs="Arial" w:eastAsia="Arial" w:hAnsi="Arial"/>
                <w:sz w:val="14"/>
                <w:szCs w:val="14"/>
                <w:color w:val="auto"/>
              </w:rPr>
              <w:t>- $69</w:t>
            </w:r>
          </w:p>
        </w:tc>
        <w:tc>
          <w:tcPr>
            <w:tcW w:w="0" w:type="dxa"/>
            <w:vAlign w:val="bottom"/>
          </w:tcPr>
          <w:p>
            <w:pPr>
              <w:spacing w:after="0"/>
              <w:rPr>
                <w:sz w:val="1"/>
                <w:szCs w:val="1"/>
                <w:color w:val="auto"/>
              </w:rPr>
            </w:pPr>
          </w:p>
        </w:tc>
      </w:tr>
      <w:tr>
        <w:trPr>
          <w:trHeight w:val="204"/>
        </w:trPr>
        <w:tc>
          <w:tcPr>
            <w:tcW w:w="5080" w:type="dxa"/>
            <w:vAlign w:val="bottom"/>
            <w:shd w:val="clear" w:color="auto" w:fill="DBDBDB"/>
          </w:tcPr>
          <w:p>
            <w:pPr>
              <w:ind w:left="260"/>
              <w:spacing w:after="0"/>
              <w:rPr>
                <w:sz w:val="20"/>
                <w:szCs w:val="20"/>
                <w:color w:val="auto"/>
              </w:rPr>
            </w:pPr>
            <w:r>
              <w:rPr>
                <w:rFonts w:ascii="Arial" w:cs="Arial" w:eastAsia="Arial" w:hAnsi="Arial"/>
                <w:sz w:val="14"/>
                <w:szCs w:val="14"/>
                <w:i w:val="1"/>
                <w:iCs w:val="1"/>
                <w:color w:val="auto"/>
              </w:rPr>
              <w:t>Adjusted General and Administrative Expenses ($ millions)</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$48</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$58</w:t>
            </w:r>
          </w:p>
        </w:tc>
        <w:tc>
          <w:tcPr>
            <w:tcW w:w="120" w:type="dxa"/>
            <w:vAlign w:val="bottom"/>
          </w:tcPr>
          <w:p>
            <w:pPr>
              <w:spacing w:after="0"/>
              <w:rPr>
                <w:sz w:val="17"/>
                <w:szCs w:val="17"/>
                <w:color w:val="auto"/>
              </w:rPr>
            </w:pPr>
          </w:p>
        </w:tc>
        <w:tc>
          <w:tcPr>
            <w:tcW w:w="1560" w:type="dxa"/>
            <w:vAlign w:val="bottom"/>
            <w:shd w:val="clear" w:color="auto" w:fill="DBDBDB"/>
          </w:tcPr>
          <w:p>
            <w:pPr>
              <w:jc w:val="center"/>
              <w:spacing w:after="0"/>
              <w:rPr>
                <w:sz w:val="20"/>
                <w:szCs w:val="20"/>
                <w:color w:val="auto"/>
              </w:rPr>
            </w:pPr>
            <w:r>
              <w:rPr>
                <w:rFonts w:ascii="Arial" w:cs="Arial" w:eastAsia="Arial" w:hAnsi="Arial"/>
                <w:sz w:val="14"/>
                <w:szCs w:val="14"/>
                <w:i w:val="1"/>
                <w:iCs w:val="1"/>
                <w:color w:val="auto"/>
              </w:rPr>
              <w:t>$2 - $3</w:t>
            </w:r>
          </w:p>
        </w:tc>
        <w:tc>
          <w:tcPr>
            <w:tcW w:w="100" w:type="dxa"/>
            <w:vAlign w:val="bottom"/>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$46</w:t>
            </w:r>
          </w:p>
        </w:tc>
        <w:tc>
          <w:tcPr>
            <w:tcW w:w="104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$55</w:t>
            </w:r>
          </w:p>
        </w:tc>
        <w:tc>
          <w:tcPr>
            <w:tcW w:w="0" w:type="dxa"/>
            <w:vAlign w:val="bottom"/>
          </w:tcPr>
          <w:p>
            <w:pPr>
              <w:spacing w:after="0"/>
              <w:rPr>
                <w:sz w:val="1"/>
                <w:szCs w:val="1"/>
                <w:color w:val="auto"/>
              </w:rPr>
            </w:pPr>
          </w:p>
        </w:tc>
      </w:tr>
      <w:tr>
        <w:trPr>
          <w:trHeight w:val="196"/>
        </w:trPr>
        <w:tc>
          <w:tcPr>
            <w:tcW w:w="5080" w:type="dxa"/>
            <w:vAlign w:val="bottom"/>
          </w:tcPr>
          <w:p>
            <w:pPr>
              <w:ind w:left="140"/>
              <w:spacing w:after="0"/>
              <w:rPr>
                <w:sz w:val="20"/>
                <w:szCs w:val="20"/>
                <w:color w:val="auto"/>
              </w:rPr>
            </w:pPr>
            <w:r>
              <w:rPr>
                <w:rFonts w:ascii="Arial" w:cs="Arial" w:eastAsia="Arial" w:hAnsi="Arial"/>
                <w:sz w:val="14"/>
                <w:szCs w:val="14"/>
                <w:color w:val="auto"/>
              </w:rPr>
              <w:t>Capital ($ millions)</w:t>
            </w:r>
          </w:p>
        </w:tc>
        <w:tc>
          <w:tcPr>
            <w:tcW w:w="1520" w:type="dxa"/>
            <w:vAlign w:val="bottom"/>
          </w:tcPr>
          <w:p>
            <w:pPr>
              <w:jc w:val="right"/>
              <w:spacing w:after="0"/>
              <w:rPr>
                <w:sz w:val="20"/>
                <w:szCs w:val="20"/>
                <w:color w:val="auto"/>
              </w:rPr>
            </w:pPr>
            <w:r>
              <w:rPr>
                <w:rFonts w:ascii="Arial" w:cs="Arial" w:eastAsia="Arial" w:hAnsi="Arial"/>
                <w:sz w:val="14"/>
                <w:szCs w:val="14"/>
                <w:color w:val="auto"/>
              </w:rPr>
              <w:t>$65</w:t>
            </w:r>
          </w:p>
        </w:tc>
        <w:tc>
          <w:tcPr>
            <w:tcW w:w="820" w:type="dxa"/>
            <w:vAlign w:val="bottom"/>
          </w:tcPr>
          <w:p>
            <w:pPr>
              <w:ind w:left="20"/>
              <w:spacing w:after="0"/>
              <w:rPr>
                <w:sz w:val="20"/>
                <w:szCs w:val="20"/>
                <w:color w:val="auto"/>
              </w:rPr>
            </w:pPr>
            <w:r>
              <w:rPr>
                <w:rFonts w:ascii="Arial" w:cs="Arial" w:eastAsia="Arial" w:hAnsi="Arial"/>
                <w:sz w:val="14"/>
                <w:szCs w:val="14"/>
                <w:color w:val="auto"/>
              </w:rPr>
              <w:t>- $75</w:t>
            </w:r>
          </w:p>
        </w:tc>
        <w:tc>
          <w:tcPr>
            <w:tcW w:w="1680" w:type="dxa"/>
            <w:vAlign w:val="bottom"/>
            <w:gridSpan w:val="2"/>
          </w:tcPr>
          <w:p>
            <w:pPr>
              <w:jc w:val="center"/>
              <w:ind w:left="49"/>
              <w:spacing w:after="0"/>
              <w:rPr>
                <w:sz w:val="20"/>
                <w:szCs w:val="20"/>
                <w:color w:val="auto"/>
              </w:rPr>
            </w:pPr>
            <w:r>
              <w:rPr>
                <w:rFonts w:ascii="Arial" w:cs="Arial" w:eastAsia="Arial" w:hAnsi="Arial"/>
                <w:sz w:val="14"/>
                <w:szCs w:val="14"/>
                <w:color w:val="auto"/>
              </w:rPr>
              <w:t>$4 - $6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$61</w:t>
            </w:r>
          </w:p>
        </w:tc>
        <w:tc>
          <w:tcPr>
            <w:tcW w:w="1040" w:type="dxa"/>
            <w:vAlign w:val="bottom"/>
          </w:tcPr>
          <w:p>
            <w:pPr>
              <w:ind w:left="20"/>
              <w:spacing w:after="0"/>
              <w:rPr>
                <w:sz w:val="20"/>
                <w:szCs w:val="20"/>
                <w:color w:val="auto"/>
              </w:rPr>
            </w:pPr>
            <w:r>
              <w:rPr>
                <w:rFonts w:ascii="Arial" w:cs="Arial" w:eastAsia="Arial" w:hAnsi="Arial"/>
                <w:sz w:val="14"/>
                <w:szCs w:val="14"/>
                <w:color w:val="auto"/>
              </w:rPr>
              <w:t>- $69</w:t>
            </w:r>
          </w:p>
        </w:tc>
        <w:tc>
          <w:tcPr>
            <w:tcW w:w="0" w:type="dxa"/>
            <w:vAlign w:val="bottom"/>
          </w:tcPr>
          <w:p>
            <w:pPr>
              <w:spacing w:after="0"/>
              <w:rPr>
                <w:sz w:val="1"/>
                <w:szCs w:val="1"/>
                <w:color w:val="auto"/>
              </w:rPr>
            </w:pPr>
          </w:p>
        </w:tc>
      </w:tr>
      <w:tr>
        <w:trPr>
          <w:trHeight w:val="257"/>
        </w:trPr>
        <w:tc>
          <w:tcPr>
            <w:tcW w:w="5080" w:type="dxa"/>
            <w:vAlign w:val="bottom"/>
            <w:shd w:val="clear" w:color="auto" w:fill="DBDBDB"/>
          </w:tcPr>
          <w:p>
            <w:pPr>
              <w:spacing w:after="0"/>
              <w:rPr>
                <w:sz w:val="22"/>
                <w:szCs w:val="22"/>
                <w:color w:val="auto"/>
              </w:rPr>
            </w:pPr>
          </w:p>
        </w:tc>
        <w:tc>
          <w:tcPr>
            <w:tcW w:w="2340" w:type="dxa"/>
            <w:vAlign w:val="bottom"/>
            <w:gridSpan w:val="2"/>
            <w:shd w:val="clear" w:color="auto" w:fill="DBDBDB"/>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gridSpan w:val="2"/>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140"/>
              <w:spacing w:after="0"/>
              <w:rPr>
                <w:sz w:val="20"/>
                <w:szCs w:val="20"/>
                <w:color w:val="auto"/>
              </w:rPr>
            </w:pPr>
            <w:r>
              <w:rPr>
                <w:rFonts w:ascii="Arial" w:cs="Arial" w:eastAsia="Arial" w:hAnsi="Arial"/>
                <w:sz w:val="14"/>
                <w:szCs w:val="14"/>
                <w:color w:val="auto"/>
              </w:rPr>
              <w:t>Natural Gas Marketing Margin ($ millions)</w:t>
            </w:r>
          </w:p>
        </w:tc>
        <w:tc>
          <w:tcPr>
            <w:tcW w:w="2340" w:type="dxa"/>
            <w:vAlign w:val="bottom"/>
            <w:gridSpan w:val="2"/>
          </w:tcPr>
          <w:p>
            <w:pPr>
              <w:jc w:val="center"/>
              <w:ind w:left="729"/>
              <w:spacing w:after="0"/>
              <w:rPr>
                <w:sz w:val="20"/>
                <w:szCs w:val="20"/>
                <w:color w:val="auto"/>
              </w:rPr>
            </w:pPr>
            <w:r>
              <w:rPr>
                <w:rFonts w:ascii="Arial" w:cs="Arial" w:eastAsia="Arial" w:hAnsi="Arial"/>
                <w:sz w:val="14"/>
                <w:szCs w:val="14"/>
                <w:color w:val="auto"/>
              </w:rPr>
              <w:t>$8 - $13</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100" w:type="dxa"/>
            <w:vAlign w:val="bottom"/>
            <w:gridSpan w:val="3"/>
          </w:tcPr>
          <w:p>
            <w:pPr>
              <w:jc w:val="center"/>
              <w:ind w:left="29"/>
              <w:spacing w:after="0"/>
              <w:rPr>
                <w:sz w:val="20"/>
                <w:szCs w:val="20"/>
                <w:color w:val="auto"/>
              </w:rPr>
            </w:pPr>
            <w:r>
              <w:rPr>
                <w:rFonts w:ascii="Arial" w:cs="Arial" w:eastAsia="Arial" w:hAnsi="Arial"/>
                <w:sz w:val="14"/>
                <w:szCs w:val="14"/>
                <w:color w:val="auto"/>
              </w:rPr>
              <w:t>$8 - $13</w:t>
            </w:r>
          </w:p>
        </w:tc>
        <w:tc>
          <w:tcPr>
            <w:tcW w:w="0" w:type="dxa"/>
            <w:vAlign w:val="bottom"/>
          </w:tcPr>
          <w:p>
            <w:pPr>
              <w:spacing w:after="0"/>
              <w:rPr>
                <w:sz w:val="1"/>
                <w:szCs w:val="1"/>
                <w:color w:val="auto"/>
              </w:rPr>
            </w:pPr>
          </w:p>
        </w:tc>
      </w:tr>
      <w:tr>
        <w:trPr>
          <w:trHeight w:val="204"/>
        </w:trPr>
        <w:tc>
          <w:tcPr>
            <w:tcW w:w="50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Electricity Margin ($ millions)</w:t>
            </w:r>
          </w:p>
        </w:tc>
        <w:tc>
          <w:tcPr>
            <w:tcW w:w="2340" w:type="dxa"/>
            <w:vAlign w:val="bottom"/>
            <w:gridSpan w:val="2"/>
            <w:shd w:val="clear" w:color="auto" w:fill="DBDBDB"/>
          </w:tcPr>
          <w:p>
            <w:pPr>
              <w:jc w:val="center"/>
              <w:ind w:left="729"/>
              <w:spacing w:after="0"/>
              <w:rPr>
                <w:sz w:val="20"/>
                <w:szCs w:val="20"/>
                <w:color w:val="auto"/>
              </w:rPr>
            </w:pPr>
            <w:r>
              <w:rPr>
                <w:rFonts w:ascii="Arial" w:cs="Arial" w:eastAsia="Arial" w:hAnsi="Arial"/>
                <w:sz w:val="14"/>
                <w:szCs w:val="14"/>
                <w:color w:val="auto"/>
              </w:rPr>
              <w:t>$5 - $10</w:t>
            </w:r>
          </w:p>
        </w:tc>
        <w:tc>
          <w:tcPr>
            <w:tcW w:w="120" w:type="dxa"/>
            <w:vAlign w:val="bottom"/>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shd w:val="clear" w:color="auto" w:fill="DBDBDB"/>
          </w:tcPr>
          <w:p>
            <w:pPr>
              <w:jc w:val="center"/>
              <w:spacing w:after="0"/>
              <w:rPr>
                <w:sz w:val="20"/>
                <w:szCs w:val="20"/>
                <w:color w:val="auto"/>
              </w:rPr>
            </w:pPr>
            <w:r>
              <w:rPr>
                <w:rFonts w:ascii="Arial" w:cs="Arial" w:eastAsia="Arial" w:hAnsi="Arial"/>
                <w:sz w:val="14"/>
                <w:szCs w:val="14"/>
                <w:color w:val="auto"/>
              </w:rPr>
              <w:t>$5 - $10</w:t>
            </w:r>
          </w:p>
        </w:tc>
        <w:tc>
          <w:tcPr>
            <w:tcW w:w="0" w:type="dxa"/>
            <w:vAlign w:val="bottom"/>
          </w:tcPr>
          <w:p>
            <w:pPr>
              <w:spacing w:after="0"/>
              <w:rPr>
                <w:sz w:val="1"/>
                <w:szCs w:val="1"/>
                <w:color w:val="auto"/>
              </w:rPr>
            </w:pPr>
          </w:p>
        </w:tc>
      </w:tr>
      <w:tr>
        <w:trPr>
          <w:trHeight w:val="196"/>
        </w:trPr>
        <w:tc>
          <w:tcPr>
            <w:tcW w:w="5080" w:type="dxa"/>
            <w:vAlign w:val="bottom"/>
          </w:tcPr>
          <w:p>
            <w:pPr>
              <w:ind w:left="140"/>
              <w:spacing w:after="0"/>
              <w:rPr>
                <w:sz w:val="20"/>
                <w:szCs w:val="20"/>
                <w:color w:val="auto"/>
              </w:rPr>
            </w:pPr>
            <w:r>
              <w:rPr>
                <w:rFonts w:ascii="Arial" w:cs="Arial" w:eastAsia="Arial" w:hAnsi="Arial"/>
                <w:sz w:val="14"/>
                <w:szCs w:val="14"/>
                <w:color w:val="auto"/>
              </w:rPr>
              <w:t>Other Operating Revenue &amp; Expenses, net ($ millions)</w:t>
            </w:r>
          </w:p>
        </w:tc>
        <w:tc>
          <w:tcPr>
            <w:tcW w:w="2340" w:type="dxa"/>
            <w:vAlign w:val="bottom"/>
            <w:gridSpan w:val="2"/>
          </w:tcPr>
          <w:p>
            <w:pPr>
              <w:jc w:val="center"/>
              <w:ind w:left="729"/>
              <w:spacing w:after="0"/>
              <w:rPr>
                <w:sz w:val="20"/>
                <w:szCs w:val="20"/>
                <w:color w:val="auto"/>
              </w:rPr>
            </w:pPr>
            <w:r>
              <w:rPr>
                <w:rFonts w:ascii="Arial" w:cs="Arial" w:eastAsia="Arial" w:hAnsi="Arial"/>
                <w:sz w:val="14"/>
                <w:szCs w:val="14"/>
                <w:color w:val="auto"/>
              </w:rPr>
              <w:t>$5 - $10</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100" w:type="dxa"/>
            <w:vAlign w:val="bottom"/>
            <w:gridSpan w:val="3"/>
          </w:tcPr>
          <w:p>
            <w:pPr>
              <w:jc w:val="center"/>
              <w:ind w:left="29"/>
              <w:spacing w:after="0"/>
              <w:rPr>
                <w:sz w:val="20"/>
                <w:szCs w:val="20"/>
                <w:color w:val="auto"/>
              </w:rPr>
            </w:pPr>
            <w:r>
              <w:rPr>
                <w:rFonts w:ascii="Arial" w:cs="Arial" w:eastAsia="Arial" w:hAnsi="Arial"/>
                <w:sz w:val="14"/>
                <w:szCs w:val="14"/>
                <w:color w:val="auto"/>
              </w:rPr>
              <w:t>$5 - $10</w:t>
            </w:r>
          </w:p>
        </w:tc>
        <w:tc>
          <w:tcPr>
            <w:tcW w:w="0" w:type="dxa"/>
            <w:vAlign w:val="bottom"/>
          </w:tcPr>
          <w:p>
            <w:pPr>
              <w:spacing w:after="0"/>
              <w:rPr>
                <w:sz w:val="1"/>
                <w:szCs w:val="1"/>
                <w:color w:val="auto"/>
              </w:rPr>
            </w:pPr>
          </w:p>
        </w:tc>
      </w:tr>
      <w:tr>
        <w:trPr>
          <w:trHeight w:val="204"/>
        </w:trPr>
        <w:tc>
          <w:tcPr>
            <w:tcW w:w="50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Transportation Expense ($ millions)</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$21</w:t>
            </w:r>
          </w:p>
        </w:tc>
        <w:tc>
          <w:tcPr>
            <w:tcW w:w="120" w:type="dxa"/>
            <w:vAlign w:val="bottom"/>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w:t>
            </w:r>
          </w:p>
        </w:tc>
        <w:tc>
          <w:tcPr>
            <w:tcW w:w="1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$21</w:t>
            </w:r>
          </w:p>
        </w:tc>
        <w:tc>
          <w:tcPr>
            <w:tcW w:w="0" w:type="dxa"/>
            <w:vAlign w:val="bottom"/>
          </w:tcPr>
          <w:p>
            <w:pPr>
              <w:spacing w:after="0"/>
              <w:rPr>
                <w:sz w:val="1"/>
                <w:szCs w:val="1"/>
                <w:color w:val="auto"/>
              </w:rPr>
            </w:pPr>
          </w:p>
        </w:tc>
      </w:tr>
      <w:tr>
        <w:trPr>
          <w:trHeight w:val="196"/>
        </w:trPr>
        <w:tc>
          <w:tcPr>
            <w:tcW w:w="5080" w:type="dxa"/>
            <w:vAlign w:val="bottom"/>
          </w:tcPr>
          <w:p>
            <w:pPr>
              <w:ind w:left="140"/>
              <w:spacing w:after="0"/>
              <w:rPr>
                <w:sz w:val="20"/>
                <w:szCs w:val="20"/>
                <w:color w:val="auto"/>
              </w:rPr>
            </w:pPr>
            <w:r>
              <w:rPr>
                <w:rFonts w:ascii="Arial" w:cs="Arial" w:eastAsia="Arial" w:hAnsi="Arial"/>
                <w:sz w:val="14"/>
                <w:szCs w:val="14"/>
                <w:color w:val="auto"/>
              </w:rPr>
              <w:t>Taxes Other Than on Income ($ millions)</w:t>
            </w:r>
          </w:p>
        </w:tc>
        <w:tc>
          <w:tcPr>
            <w:tcW w:w="1520" w:type="dxa"/>
            <w:vAlign w:val="bottom"/>
          </w:tcPr>
          <w:p>
            <w:pPr>
              <w:jc w:val="right"/>
              <w:spacing w:after="0"/>
              <w:rPr>
                <w:sz w:val="20"/>
                <w:szCs w:val="20"/>
                <w:color w:val="auto"/>
              </w:rPr>
            </w:pPr>
            <w:r>
              <w:rPr>
                <w:rFonts w:ascii="Arial" w:cs="Arial" w:eastAsia="Arial" w:hAnsi="Arial"/>
                <w:sz w:val="14"/>
                <w:szCs w:val="14"/>
                <w:color w:val="auto"/>
              </w:rPr>
              <w:t>$35</w:t>
            </w:r>
          </w:p>
        </w:tc>
        <w:tc>
          <w:tcPr>
            <w:tcW w:w="820" w:type="dxa"/>
            <w:vAlign w:val="bottom"/>
          </w:tcPr>
          <w:p>
            <w:pPr>
              <w:ind w:left="20"/>
              <w:spacing w:after="0"/>
              <w:rPr>
                <w:sz w:val="20"/>
                <w:szCs w:val="20"/>
                <w:color w:val="auto"/>
              </w:rPr>
            </w:pPr>
            <w:r>
              <w:rPr>
                <w:rFonts w:ascii="Arial" w:cs="Arial" w:eastAsia="Arial" w:hAnsi="Arial"/>
                <w:sz w:val="14"/>
                <w:szCs w:val="14"/>
                <w:color w:val="auto"/>
              </w:rPr>
              <w:t>- $50</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1040" w:type="dxa"/>
            <w:vAlign w:val="bottom"/>
          </w:tcPr>
          <w:p>
            <w:pPr>
              <w:ind w:left="20"/>
              <w:spacing w:after="0"/>
              <w:rPr>
                <w:sz w:val="20"/>
                <w:szCs w:val="20"/>
                <w:color w:val="auto"/>
              </w:rPr>
            </w:pPr>
            <w:r>
              <w:rPr>
                <w:rFonts w:ascii="Arial" w:cs="Arial" w:eastAsia="Arial" w:hAnsi="Arial"/>
                <w:sz w:val="14"/>
                <w:szCs w:val="14"/>
                <w:color w:val="auto"/>
              </w:rPr>
              <w:t>- $50</w:t>
            </w:r>
          </w:p>
        </w:tc>
        <w:tc>
          <w:tcPr>
            <w:tcW w:w="0" w:type="dxa"/>
            <w:vAlign w:val="bottom"/>
          </w:tcPr>
          <w:p>
            <w:pPr>
              <w:spacing w:after="0"/>
              <w:rPr>
                <w:sz w:val="1"/>
                <w:szCs w:val="1"/>
                <w:color w:val="auto"/>
              </w:rPr>
            </w:pPr>
          </w:p>
        </w:tc>
      </w:tr>
      <w:tr>
        <w:trPr>
          <w:trHeight w:val="204"/>
        </w:trPr>
        <w:tc>
          <w:tcPr>
            <w:tcW w:w="50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Interest and Debt Expense ($ millions)</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$14</w:t>
            </w:r>
          </w:p>
        </w:tc>
        <w:tc>
          <w:tcPr>
            <w:tcW w:w="120" w:type="dxa"/>
            <w:vAlign w:val="bottom"/>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w:t>
            </w:r>
          </w:p>
        </w:tc>
        <w:tc>
          <w:tcPr>
            <w:tcW w:w="1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$14</w:t>
            </w:r>
          </w:p>
        </w:tc>
        <w:tc>
          <w:tcPr>
            <w:tcW w:w="0" w:type="dxa"/>
            <w:vAlign w:val="bottom"/>
          </w:tcPr>
          <w:p>
            <w:pPr>
              <w:spacing w:after="0"/>
              <w:rPr>
                <w:sz w:val="1"/>
                <w:szCs w:val="1"/>
                <w:color w:val="auto"/>
              </w:rPr>
            </w:pPr>
          </w:p>
        </w:tc>
      </w:tr>
      <w:tr>
        <w:trPr>
          <w:trHeight w:val="253"/>
        </w:trPr>
        <w:tc>
          <w:tcPr>
            <w:tcW w:w="50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50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Commodity Assumptions:</w:t>
            </w:r>
          </w:p>
        </w:tc>
        <w:tc>
          <w:tcPr>
            <w:tcW w:w="152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260"/>
              <w:spacing w:after="0"/>
              <w:rPr>
                <w:sz w:val="20"/>
                <w:szCs w:val="20"/>
                <w:color w:val="auto"/>
              </w:rPr>
            </w:pPr>
            <w:r>
              <w:rPr>
                <w:rFonts w:ascii="Arial" w:cs="Arial" w:eastAsia="Arial" w:hAnsi="Arial"/>
                <w:sz w:val="14"/>
                <w:szCs w:val="14"/>
                <w:color w:val="auto"/>
              </w:rPr>
              <w:t>Brent ($/Bbl)</w:t>
            </w:r>
          </w:p>
        </w:tc>
        <w:tc>
          <w:tcPr>
            <w:tcW w:w="2340" w:type="dxa"/>
            <w:vAlign w:val="bottom"/>
            <w:gridSpan w:val="2"/>
          </w:tcPr>
          <w:p>
            <w:pPr>
              <w:jc w:val="center"/>
              <w:ind w:left="729"/>
              <w:spacing w:after="0"/>
              <w:rPr>
                <w:sz w:val="20"/>
                <w:szCs w:val="20"/>
                <w:color w:val="auto"/>
              </w:rPr>
            </w:pPr>
            <w:r>
              <w:rPr>
                <w:rFonts w:ascii="Arial" w:cs="Arial" w:eastAsia="Arial" w:hAnsi="Arial"/>
                <w:sz w:val="14"/>
                <w:szCs w:val="14"/>
                <w:color w:val="auto"/>
                <w:w w:val="97"/>
              </w:rPr>
              <w:t>$78.73</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100" w:type="dxa"/>
            <w:vAlign w:val="bottom"/>
            <w:gridSpan w:val="3"/>
          </w:tcPr>
          <w:p>
            <w:pPr>
              <w:jc w:val="center"/>
              <w:ind w:left="29"/>
              <w:spacing w:after="0"/>
              <w:rPr>
                <w:sz w:val="20"/>
                <w:szCs w:val="20"/>
                <w:color w:val="auto"/>
              </w:rPr>
            </w:pPr>
            <w:r>
              <w:rPr>
                <w:rFonts w:ascii="Arial" w:cs="Arial" w:eastAsia="Arial" w:hAnsi="Arial"/>
                <w:sz w:val="14"/>
                <w:szCs w:val="14"/>
                <w:color w:val="auto"/>
              </w:rPr>
              <w:t>$78.73</w:t>
            </w:r>
          </w:p>
        </w:tc>
        <w:tc>
          <w:tcPr>
            <w:tcW w:w="0" w:type="dxa"/>
            <w:vAlign w:val="bottom"/>
          </w:tcPr>
          <w:p>
            <w:pPr>
              <w:spacing w:after="0"/>
              <w:rPr>
                <w:sz w:val="1"/>
                <w:szCs w:val="1"/>
                <w:color w:val="auto"/>
              </w:rPr>
            </w:pPr>
          </w:p>
        </w:tc>
      </w:tr>
      <w:tr>
        <w:trPr>
          <w:trHeight w:val="204"/>
        </w:trPr>
        <w:tc>
          <w:tcPr>
            <w:tcW w:w="5080" w:type="dxa"/>
            <w:vAlign w:val="bottom"/>
            <w:shd w:val="clear" w:color="auto" w:fill="DBDBDB"/>
          </w:tcPr>
          <w:p>
            <w:pPr>
              <w:ind w:left="260"/>
              <w:spacing w:after="0"/>
              <w:rPr>
                <w:sz w:val="20"/>
                <w:szCs w:val="20"/>
                <w:color w:val="auto"/>
              </w:rPr>
            </w:pPr>
            <w:r>
              <w:rPr>
                <w:rFonts w:ascii="Arial" w:cs="Arial" w:eastAsia="Arial" w:hAnsi="Arial"/>
                <w:sz w:val="14"/>
                <w:szCs w:val="14"/>
                <w:color w:val="auto"/>
              </w:rPr>
              <w:t>NYMEX ($/Mcf)</w:t>
            </w:r>
          </w:p>
        </w:tc>
        <w:tc>
          <w:tcPr>
            <w:tcW w:w="2340" w:type="dxa"/>
            <w:vAlign w:val="bottom"/>
            <w:gridSpan w:val="2"/>
            <w:shd w:val="clear" w:color="auto" w:fill="DBDBDB"/>
          </w:tcPr>
          <w:p>
            <w:pPr>
              <w:jc w:val="center"/>
              <w:ind w:left="729"/>
              <w:spacing w:after="0"/>
              <w:rPr>
                <w:sz w:val="20"/>
                <w:szCs w:val="20"/>
                <w:color w:val="auto"/>
              </w:rPr>
            </w:pPr>
            <w:r>
              <w:rPr>
                <w:rFonts w:ascii="Arial" w:cs="Arial" w:eastAsia="Arial" w:hAnsi="Arial"/>
                <w:sz w:val="14"/>
                <w:szCs w:val="14"/>
                <w:color w:val="auto"/>
                <w:w w:val="96"/>
              </w:rPr>
              <w:t>$2.87</w:t>
            </w:r>
          </w:p>
        </w:tc>
        <w:tc>
          <w:tcPr>
            <w:tcW w:w="120" w:type="dxa"/>
            <w:vAlign w:val="bottom"/>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shd w:val="clear" w:color="auto" w:fill="DBDBDB"/>
          </w:tcPr>
          <w:p>
            <w:pPr>
              <w:jc w:val="center"/>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96"/>
        </w:trPr>
        <w:tc>
          <w:tcPr>
            <w:tcW w:w="5080" w:type="dxa"/>
            <w:vAlign w:val="bottom"/>
          </w:tcPr>
          <w:p>
            <w:pPr>
              <w:ind w:left="220"/>
              <w:spacing w:after="0"/>
              <w:rPr>
                <w:sz w:val="20"/>
                <w:szCs w:val="20"/>
                <w:color w:val="auto"/>
              </w:rPr>
            </w:pPr>
            <w:r>
              <w:rPr>
                <w:rFonts w:ascii="Arial" w:cs="Arial" w:eastAsia="Arial" w:hAnsi="Arial"/>
                <w:sz w:val="14"/>
                <w:szCs w:val="14"/>
                <w:color w:val="auto"/>
              </w:rPr>
              <w:t>Oil - % of Brent:</w:t>
            </w:r>
          </w:p>
        </w:tc>
        <w:tc>
          <w:tcPr>
            <w:tcW w:w="1520" w:type="dxa"/>
            <w:vAlign w:val="bottom"/>
          </w:tcPr>
          <w:p>
            <w:pPr>
              <w:jc w:val="right"/>
              <w:spacing w:after="0"/>
              <w:rPr>
                <w:sz w:val="20"/>
                <w:szCs w:val="20"/>
                <w:color w:val="auto"/>
              </w:rPr>
            </w:pPr>
            <w:r>
              <w:rPr>
                <w:rFonts w:ascii="Arial" w:cs="Arial" w:eastAsia="Arial" w:hAnsi="Arial"/>
                <w:sz w:val="14"/>
                <w:szCs w:val="14"/>
                <w:color w:val="auto"/>
              </w:rPr>
              <w:t>96%</w:t>
            </w:r>
          </w:p>
        </w:tc>
        <w:tc>
          <w:tcPr>
            <w:tcW w:w="820" w:type="dxa"/>
            <w:vAlign w:val="bottom"/>
          </w:tcPr>
          <w:p>
            <w:pPr>
              <w:ind w:left="20"/>
              <w:spacing w:after="0"/>
              <w:rPr>
                <w:sz w:val="20"/>
                <w:szCs w:val="20"/>
                <w:color w:val="auto"/>
              </w:rPr>
            </w:pPr>
            <w:r>
              <w:rPr>
                <w:rFonts w:ascii="Arial" w:cs="Arial" w:eastAsia="Arial" w:hAnsi="Arial"/>
                <w:sz w:val="14"/>
                <w:szCs w:val="14"/>
                <w:color w:val="auto"/>
              </w:rPr>
              <w:t>- 99%</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96%</w:t>
            </w:r>
          </w:p>
        </w:tc>
        <w:tc>
          <w:tcPr>
            <w:tcW w:w="1040" w:type="dxa"/>
            <w:vAlign w:val="bottom"/>
          </w:tcPr>
          <w:p>
            <w:pPr>
              <w:ind w:left="20"/>
              <w:spacing w:after="0"/>
              <w:rPr>
                <w:sz w:val="20"/>
                <w:szCs w:val="20"/>
                <w:color w:val="auto"/>
              </w:rPr>
            </w:pPr>
            <w:r>
              <w:rPr>
                <w:rFonts w:ascii="Arial" w:cs="Arial" w:eastAsia="Arial" w:hAnsi="Arial"/>
                <w:sz w:val="14"/>
                <w:szCs w:val="14"/>
                <w:color w:val="auto"/>
              </w:rPr>
              <w:t>- 99%</w:t>
            </w:r>
          </w:p>
        </w:tc>
        <w:tc>
          <w:tcPr>
            <w:tcW w:w="0" w:type="dxa"/>
            <w:vAlign w:val="bottom"/>
          </w:tcPr>
          <w:p>
            <w:pPr>
              <w:spacing w:after="0"/>
              <w:rPr>
                <w:sz w:val="1"/>
                <w:szCs w:val="1"/>
                <w:color w:val="auto"/>
              </w:rPr>
            </w:pPr>
          </w:p>
        </w:tc>
      </w:tr>
      <w:tr>
        <w:trPr>
          <w:trHeight w:val="204"/>
        </w:trPr>
        <w:tc>
          <w:tcPr>
            <w:tcW w:w="50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NGL - % of Brent: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- 66%</w:t>
            </w:r>
          </w:p>
        </w:tc>
        <w:tc>
          <w:tcPr>
            <w:tcW w:w="120" w:type="dxa"/>
            <w:vAlign w:val="bottom"/>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w:t>
            </w:r>
          </w:p>
        </w:tc>
        <w:tc>
          <w:tcPr>
            <w:tcW w:w="1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- 66%</w:t>
            </w:r>
          </w:p>
        </w:tc>
        <w:tc>
          <w:tcPr>
            <w:tcW w:w="0" w:type="dxa"/>
            <w:vAlign w:val="bottom"/>
          </w:tcPr>
          <w:p>
            <w:pPr>
              <w:spacing w:after="0"/>
              <w:rPr>
                <w:sz w:val="1"/>
                <w:szCs w:val="1"/>
                <w:color w:val="auto"/>
              </w:rPr>
            </w:pPr>
          </w:p>
        </w:tc>
      </w:tr>
      <w:tr>
        <w:trPr>
          <w:trHeight w:val="193"/>
        </w:trPr>
        <w:tc>
          <w:tcPr>
            <w:tcW w:w="5080" w:type="dxa"/>
            <w:vAlign w:val="bottom"/>
          </w:tcPr>
          <w:p>
            <w:pPr>
              <w:ind w:left="220"/>
              <w:spacing w:after="0"/>
              <w:rPr>
                <w:sz w:val="20"/>
                <w:szCs w:val="20"/>
                <w:color w:val="auto"/>
              </w:rPr>
            </w:pPr>
            <w:r>
              <w:rPr>
                <w:rFonts w:ascii="Arial" w:cs="Arial" w:eastAsia="Arial" w:hAnsi="Arial"/>
                <w:sz w:val="14"/>
                <w:szCs w:val="14"/>
                <w:color w:val="auto"/>
              </w:rPr>
              <w:t>Natural Gas - % of NYMEX:</w:t>
            </w:r>
          </w:p>
        </w:tc>
        <w:tc>
          <w:tcPr>
            <w:tcW w:w="1520" w:type="dxa"/>
            <w:vAlign w:val="bottom"/>
          </w:tcPr>
          <w:p>
            <w:pPr>
              <w:jc w:val="right"/>
              <w:spacing w:after="0"/>
              <w:rPr>
                <w:sz w:val="20"/>
                <w:szCs w:val="20"/>
                <w:color w:val="auto"/>
              </w:rPr>
            </w:pPr>
            <w:r>
              <w:rPr>
                <w:rFonts w:ascii="Arial" w:cs="Arial" w:eastAsia="Arial" w:hAnsi="Arial"/>
                <w:sz w:val="14"/>
                <w:szCs w:val="14"/>
                <w:color w:val="auto"/>
              </w:rPr>
              <w:t>120%</w:t>
            </w:r>
          </w:p>
        </w:tc>
        <w:tc>
          <w:tcPr>
            <w:tcW w:w="820" w:type="dxa"/>
            <w:vAlign w:val="bottom"/>
          </w:tcPr>
          <w:p>
            <w:pPr>
              <w:ind w:left="20"/>
              <w:spacing w:after="0"/>
              <w:rPr>
                <w:sz w:val="20"/>
                <w:szCs w:val="20"/>
                <w:color w:val="auto"/>
              </w:rPr>
            </w:pPr>
            <w:r>
              <w:rPr>
                <w:rFonts w:ascii="Arial" w:cs="Arial" w:eastAsia="Arial" w:hAnsi="Arial"/>
                <w:sz w:val="14"/>
                <w:szCs w:val="14"/>
                <w:color w:val="auto"/>
              </w:rPr>
              <w:t>- 140%</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120%</w:t>
            </w:r>
          </w:p>
        </w:tc>
        <w:tc>
          <w:tcPr>
            <w:tcW w:w="1040" w:type="dxa"/>
            <w:vAlign w:val="bottom"/>
          </w:tcPr>
          <w:p>
            <w:pPr>
              <w:ind w:left="20"/>
              <w:spacing w:after="0"/>
              <w:rPr>
                <w:sz w:val="20"/>
                <w:szCs w:val="20"/>
                <w:color w:val="auto"/>
              </w:rPr>
            </w:pPr>
            <w:r>
              <w:rPr>
                <w:rFonts w:ascii="Arial" w:cs="Arial" w:eastAsia="Arial" w:hAnsi="Arial"/>
                <w:sz w:val="14"/>
                <w:szCs w:val="14"/>
                <w:color w:val="auto"/>
              </w:rPr>
              <w:t>- 140%</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See Attachment 3 for management's disclosure of its use of these non-GAAP measures and how these measures provide useful information to investors about CRC's results of operations and financial condition.</w:t>
      </w:r>
    </w:p>
    <w:p>
      <w:pPr>
        <w:spacing w:after="0" w:line="190" w:lineRule="exact"/>
        <w:rPr>
          <w:sz w:val="20"/>
          <w:szCs w:val="20"/>
          <w:color w:val="auto"/>
        </w:rPr>
      </w:pPr>
    </w:p>
    <w:p>
      <w:pPr>
        <w:ind w:firstLine="7"/>
        <w:spacing w:after="0" w:line="231" w:lineRule="auto"/>
        <w:tabs>
          <w:tab w:leader="none" w:pos="8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Current preliminary 2024 outlook assumes a four rigs scenario starting from 2H24 subject to the availability of well permits. If CRC is not able to receive drilling permits or permits are delayed, the Company plans to run a one rig program with a $200 million to $240 million 2024E total capital program and would expect a 5% to 7% entry to exit decline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313690</wp:posOffset>
            </wp:positionV>
            <wp:extent cx="70916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16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339090</wp:posOffset>
            </wp:positionV>
            <wp:extent cx="70916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1680"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00" w:type="dxa"/>
            <w:vAlign w:val="bottom"/>
            <w:gridSpan w:val="5"/>
          </w:tcPr>
          <w:p>
            <w:pPr>
              <w:spacing w:after="0"/>
              <w:rPr>
                <w:sz w:val="20"/>
                <w:szCs w:val="20"/>
                <w:color w:val="auto"/>
              </w:rPr>
            </w:pPr>
            <w:r>
              <w:rPr>
                <w:rFonts w:ascii="Arial" w:cs="Arial" w:eastAsia="Arial" w:hAnsi="Arial"/>
                <w:sz w:val="14"/>
                <w:szCs w:val="14"/>
                <w:b w:val="1"/>
                <w:bCs w:val="1"/>
                <w:color w:val="auto"/>
              </w:rPr>
              <w:t>ESTIMATED ADJUSTED GENERAL AND ADMINISTRATIVE EXPENSES RECONCILIATION</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4"/>
        </w:trPr>
        <w:tc>
          <w:tcPr>
            <w:tcW w:w="4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1Q24 Estimated</w:t>
            </w: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193"/>
        </w:trPr>
        <w:tc>
          <w:tcPr>
            <w:tcW w:w="4760" w:type="dxa"/>
            <w:vAlign w:val="bottom"/>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840" w:type="dxa"/>
            <w:vAlign w:val="bottom"/>
            <w:tcBorders>
              <w:bottom w:val="single" w:sz="8" w:color="auto"/>
            </w:tcBorders>
            <w:gridSpan w:val="4"/>
            <w:shd w:val="clear" w:color="auto" w:fill="DBDBDB"/>
          </w:tcPr>
          <w:p>
            <w:pPr>
              <w:jc w:val="right"/>
              <w:ind w:right="509"/>
              <w:spacing w:after="0"/>
              <w:rPr>
                <w:sz w:val="20"/>
                <w:szCs w:val="20"/>
                <w:color w:val="auto"/>
              </w:rPr>
            </w:pPr>
            <w:r>
              <w:rPr>
                <w:rFonts w:ascii="Arial" w:cs="Arial" w:eastAsia="Arial" w:hAnsi="Arial"/>
                <w:sz w:val="14"/>
                <w:szCs w:val="14"/>
                <w:b w:val="1"/>
                <w:bCs w:val="1"/>
                <w:color w:val="auto"/>
              </w:rPr>
              <w:t>Consolidated</w:t>
            </w:r>
          </w:p>
        </w:tc>
        <w:tc>
          <w:tcPr>
            <w:tcW w:w="140" w:type="dxa"/>
            <w:vAlign w:val="bottom"/>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1600" w:type="dxa"/>
            <w:vAlign w:val="bottom"/>
            <w:tcBorders>
              <w:bottom w:val="single" w:sz="8" w:color="auto"/>
            </w:tcBorders>
            <w:gridSpan w:val="3"/>
            <w:shd w:val="clear" w:color="auto" w:fill="DBDBDB"/>
          </w:tcPr>
          <w:p>
            <w:pPr>
              <w:jc w:val="right"/>
              <w:ind w:right="549"/>
              <w:spacing w:after="0"/>
              <w:rPr>
                <w:sz w:val="20"/>
                <w:szCs w:val="20"/>
                <w:color w:val="auto"/>
              </w:rPr>
            </w:pPr>
            <w:r>
              <w:rPr>
                <w:rFonts w:ascii="Arial" w:cs="Arial" w:eastAsia="Arial" w:hAnsi="Arial"/>
                <w:sz w:val="14"/>
                <w:szCs w:val="14"/>
                <w:b w:val="1"/>
                <w:bCs w:val="1"/>
                <w:color w:val="auto"/>
              </w:rPr>
              <w:t>CMB</w:t>
            </w:r>
          </w:p>
        </w:tc>
        <w:tc>
          <w:tcPr>
            <w:tcW w:w="240" w:type="dxa"/>
            <w:vAlign w:val="bottom"/>
            <w:tcBorders>
              <w:bottom w:val="single" w:sz="8" w:color="auto"/>
            </w:tcBorders>
            <w:shd w:val="clear" w:color="auto" w:fill="DBDBDB"/>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900" w:type="dxa"/>
            <w:vAlign w:val="bottom"/>
            <w:tcBorders>
              <w:bottom w:val="single" w:sz="8" w:color="auto"/>
            </w:tcBorders>
            <w:gridSpan w:val="4"/>
            <w:shd w:val="clear" w:color="auto" w:fill="DBDBDB"/>
          </w:tcPr>
          <w:p>
            <w:pPr>
              <w:jc w:val="right"/>
              <w:ind w:right="169"/>
              <w:spacing w:after="0"/>
              <w:rPr>
                <w:sz w:val="20"/>
                <w:szCs w:val="20"/>
                <w:color w:val="auto"/>
              </w:rPr>
            </w:pPr>
            <w:r>
              <w:rPr>
                <w:rFonts w:ascii="Arial" w:cs="Arial" w:eastAsia="Arial" w:hAnsi="Arial"/>
                <w:sz w:val="14"/>
                <w:szCs w:val="14"/>
                <w:b w:val="1"/>
                <w:bCs w:val="1"/>
                <w:color w:val="auto"/>
              </w:rPr>
              <w:t>E&amp;P, Corporate &amp; Other</w:t>
            </w:r>
          </w:p>
        </w:tc>
      </w:tr>
      <w:tr>
        <w:trPr>
          <w:trHeight w:val="190"/>
        </w:trPr>
        <w:tc>
          <w:tcPr>
            <w:tcW w:w="4760" w:type="dxa"/>
            <w:vAlign w:val="bottom"/>
            <w:tcBorders>
              <w:bottom w:val="single" w:sz="8" w:color="DBDBDB"/>
            </w:tcBorders>
          </w:tcPr>
          <w:p>
            <w:pPr>
              <w:ind w:left="20"/>
              <w:spacing w:after="0"/>
              <w:rPr>
                <w:sz w:val="20"/>
                <w:szCs w:val="20"/>
                <w:color w:val="auto"/>
              </w:rPr>
            </w:pPr>
            <w:r>
              <w:rPr>
                <w:rFonts w:ascii="Arial" w:cs="Arial" w:eastAsia="Arial" w:hAnsi="Arial"/>
                <w:sz w:val="12"/>
                <w:szCs w:val="12"/>
                <w:i w:val="1"/>
                <w:iCs w:val="1"/>
                <w:color w:val="auto"/>
              </w:rPr>
              <w:t>($ millions)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High</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Low</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High</w:t>
            </w:r>
          </w:p>
        </w:tc>
        <w:tc>
          <w:tcPr>
            <w:tcW w:w="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Low</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High</w:t>
            </w:r>
          </w:p>
        </w:tc>
      </w:tr>
      <w:tr>
        <w:trPr>
          <w:trHeight w:val="197"/>
        </w:trPr>
        <w:tc>
          <w:tcPr>
            <w:tcW w:w="4760" w:type="dxa"/>
            <w:vAlign w:val="bottom"/>
            <w:shd w:val="clear" w:color="auto" w:fill="DBDBDB"/>
          </w:tcPr>
          <w:p>
            <w:pPr>
              <w:ind w:left="20"/>
              <w:spacing w:after="0"/>
              <w:rPr>
                <w:sz w:val="20"/>
                <w:szCs w:val="20"/>
                <w:color w:val="auto"/>
              </w:rPr>
            </w:pPr>
            <w:r>
              <w:rPr>
                <w:rFonts w:ascii="Arial" w:cs="Arial" w:eastAsia="Arial" w:hAnsi="Arial"/>
                <w:sz w:val="14"/>
                <w:szCs w:val="14"/>
                <w:color w:val="auto"/>
              </w:rPr>
              <w:t>General and administrative expenses</w:t>
            </w: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7"/>
                <w:szCs w:val="17"/>
                <w:color w:val="auto"/>
              </w:rPr>
            </w:pPr>
          </w:p>
        </w:tc>
        <w:tc>
          <w:tcPr>
            <w:tcW w:w="26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72</w:t>
            </w:r>
          </w:p>
        </w:tc>
        <w:tc>
          <w:tcPr>
            <w:tcW w:w="140" w:type="dxa"/>
            <w:vAlign w:val="bottom"/>
          </w:tcPr>
          <w:p>
            <w:pPr>
              <w:spacing w:after="0"/>
              <w:rPr>
                <w:sz w:val="17"/>
                <w:szCs w:val="17"/>
                <w:color w:val="auto"/>
              </w:rPr>
            </w:pPr>
          </w:p>
        </w:tc>
        <w:tc>
          <w:tcPr>
            <w:tcW w:w="22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740" w:type="dxa"/>
            <w:vAlign w:val="bottom"/>
            <w:shd w:val="clear" w:color="auto" w:fill="DBDBDB"/>
          </w:tcPr>
          <w:p>
            <w:pPr>
              <w:jc w:val="right"/>
              <w:ind w:right="569"/>
              <w:spacing w:after="0"/>
              <w:rPr>
                <w:sz w:val="20"/>
                <w:szCs w:val="20"/>
                <w:color w:val="auto"/>
              </w:rPr>
            </w:pPr>
            <w:r>
              <w:rPr>
                <w:rFonts w:ascii="Arial" w:cs="Arial" w:eastAsia="Arial" w:hAnsi="Arial"/>
                <w:sz w:val="14"/>
                <w:szCs w:val="14"/>
                <w:color w:val="auto"/>
              </w:rPr>
              <w:t>$</w:t>
            </w:r>
          </w:p>
        </w:tc>
        <w:tc>
          <w:tcPr>
            <w:tcW w:w="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22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69</w:t>
            </w:r>
          </w:p>
        </w:tc>
      </w:tr>
      <w:tr>
        <w:trPr>
          <w:trHeight w:val="196"/>
        </w:trPr>
        <w:tc>
          <w:tcPr>
            <w:tcW w:w="4760" w:type="dxa"/>
            <w:vAlign w:val="bottom"/>
          </w:tcPr>
          <w:p>
            <w:pPr>
              <w:ind w:left="20"/>
              <w:spacing w:after="0"/>
              <w:rPr>
                <w:sz w:val="20"/>
                <w:szCs w:val="20"/>
                <w:color w:val="auto"/>
              </w:rPr>
            </w:pPr>
            <w:r>
              <w:rPr>
                <w:rFonts w:ascii="Arial" w:cs="Arial" w:eastAsia="Arial" w:hAnsi="Arial"/>
                <w:sz w:val="14"/>
                <w:szCs w:val="14"/>
                <w:color w:val="auto"/>
              </w:rPr>
              <w:t>Equity-settled stock-based compensation</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0"/>
        </w:trPr>
        <w:tc>
          <w:tcPr>
            <w:tcW w:w="4760" w:type="dxa"/>
            <w:vAlign w:val="bottom"/>
            <w:shd w:val="clear" w:color="auto" w:fill="DBDBDB"/>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w:t>
            </w:r>
          </w:p>
        </w:tc>
      </w:tr>
      <w:tr>
        <w:trPr>
          <w:trHeight w:val="197"/>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Estimated adjusted general and administrative expenses</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48</w:t>
            </w:r>
          </w:p>
        </w:tc>
        <w:tc>
          <w:tcPr>
            <w:tcW w:w="3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58</w:t>
            </w:r>
          </w:p>
        </w:tc>
        <w:tc>
          <w:tcPr>
            <w:tcW w:w="3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840" w:type="dxa"/>
            <w:vAlign w:val="bottom"/>
            <w:gridSpan w:val="2"/>
          </w:tcPr>
          <w:p>
            <w:pPr>
              <w:jc w:val="right"/>
              <w:ind w:right="569"/>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3</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46</w:t>
            </w:r>
          </w:p>
        </w:tc>
        <w:tc>
          <w:tcPr>
            <w:tcW w:w="3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0"/>
        </w:trPr>
        <w:tc>
          <w:tcPr>
            <w:tcW w:w="4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40"/>
          </w:cols>
          <w:pgMar w:left="320" w:top="1290" w:right="339" w:bottom="1440" w:gutter="0" w:footer="0" w:header="0"/>
        </w:sectPr>
      </w:pPr>
    </w:p>
    <w:bookmarkStart w:id="17" w:name="page18"/>
    <w:bookmarkEnd w:id="17"/>
    <w:p>
      <w:pPr>
        <w:ind w:left="10320"/>
        <w:spacing w:after="0"/>
        <w:rPr>
          <w:sz w:val="20"/>
          <w:szCs w:val="20"/>
          <w:color w:val="auto"/>
        </w:rPr>
      </w:pPr>
      <w:r>
        <w:rPr>
          <w:rFonts w:ascii="Arial" w:cs="Arial" w:eastAsia="Arial" w:hAnsi="Arial"/>
          <w:sz w:val="14"/>
          <w:szCs w:val="14"/>
          <w:b w:val="1"/>
          <w:bCs w:val="1"/>
          <w:color w:val="auto"/>
        </w:rPr>
        <w:t>Attachment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47625</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92" w:lineRule="exact"/>
        <w:rPr>
          <w:sz w:val="20"/>
          <w:szCs w:val="20"/>
          <w:color w:val="auto"/>
        </w:rPr>
      </w:pPr>
    </w:p>
    <w:p>
      <w:pPr>
        <w:ind w:left="20" w:right="20"/>
        <w:spacing w:after="0" w:line="219" w:lineRule="auto"/>
        <w:rPr>
          <w:sz w:val="20"/>
          <w:szCs w:val="20"/>
          <w:color w:val="auto"/>
        </w:rPr>
      </w:pPr>
      <w:r>
        <w:rPr>
          <w:rFonts w:ascii="Arial" w:cs="Arial" w:eastAsia="Arial" w:hAnsi="Arial"/>
          <w:sz w:val="14"/>
          <w:szCs w:val="14"/>
          <w:color w:val="auto"/>
        </w:rPr>
        <w:t>To supplement the presentation of its financial results prepared in accordance with U.S generally accepted accounting principles (GAAP), management uses certain non-GAAP measures to assess its financial condition, results of operations and cash flows. The non-GAAP measures include adjusted net income (loss), adjusted EBITDAX, E&amp;P, Corporate</w:t>
      </w:r>
    </w:p>
    <w:p>
      <w:pPr>
        <w:jc w:val="both"/>
        <w:ind w:left="20" w:right="20" w:firstLine="4"/>
        <w:spacing w:after="0" w:line="218" w:lineRule="auto"/>
        <w:tabs>
          <w:tab w:leader="none" w:pos="177" w:val="left"/>
        </w:tabs>
        <w:numPr>
          <w:ilvl w:val="0"/>
          <w:numId w:val="16"/>
        </w:numPr>
        <w:rPr>
          <w:rFonts w:ascii="Arial" w:cs="Arial" w:eastAsia="Arial" w:hAnsi="Arial"/>
          <w:sz w:val="14"/>
          <w:szCs w:val="14"/>
          <w:color w:val="auto"/>
        </w:rPr>
      </w:pPr>
      <w:r>
        <w:rPr>
          <w:rFonts w:ascii="Arial" w:cs="Arial" w:eastAsia="Arial" w:hAnsi="Arial"/>
          <w:sz w:val="14"/>
          <w:szCs w:val="14"/>
          <w:color w:val="auto"/>
        </w:rPr>
        <w:t>Other adjusted EBITDAX, CMB adjusted EBITDAX, net cash provided by operating activities before changes in operating assets and liabilities, net, free cash flow, E&amp;P, Corporate &amp; Other free cash flow, CMB free cash flow, adjusted general and administrative expenses, operating costs per BOE, and adjusted total capital among others. These measures are also widely used by the industry, the investment community and CRC's lenders. Although these are non-GAAP measures, the amounts included in the calculations were computed in accordance with GAAP. Certain items excluded from these non-GAAP measures are significant components in understanding and assessing CRC's financial performance, such as CRC's cost of capital and tax structure, as well as the effect of acquisition and development costs of CRC's assets. Management believes that the non-GAAP measures presented, when viewed in combination with CRC's financial and operating results prepared in accordance with GAAP, provide a more complete understanding of the factors and trends affecting the Company's performance. The non-GAAP measures presented herein may not be comparable to other similarly titled measures of other companies. Below are additional disclosures regarding each of the non-GAAP measures reported in this earnings release,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244475</wp:posOffset>
            </wp:positionV>
            <wp:extent cx="70243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437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269875</wp:posOffset>
            </wp:positionV>
            <wp:extent cx="70243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2437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ADJUSTED NET INCOME (LOSS)</w:t>
      </w:r>
    </w:p>
    <w:p>
      <w:pPr>
        <w:spacing w:after="0" w:line="92" w:lineRule="exact"/>
        <w:rPr>
          <w:sz w:val="20"/>
          <w:szCs w:val="20"/>
          <w:color w:val="auto"/>
        </w:rPr>
      </w:pPr>
    </w:p>
    <w:p>
      <w:pPr>
        <w:ind w:left="120" w:right="100"/>
        <w:spacing w:after="0" w:line="219" w:lineRule="auto"/>
        <w:rPr>
          <w:sz w:val="20"/>
          <w:szCs w:val="20"/>
          <w:color w:val="auto"/>
        </w:rPr>
      </w:pPr>
      <w:r>
        <w:rPr>
          <w:rFonts w:ascii="Arial" w:cs="Arial" w:eastAsia="Arial" w:hAnsi="Arial"/>
          <w:sz w:val="14"/>
          <w:szCs w:val="14"/>
          <w:color w:val="auto"/>
        </w:rPr>
        <w:t>Adjusted net income (loss) and adjusted net income (loss) per share are non-GAAP measures. CRC defines adjusted net income as net income excluding the effects of significant transactions and events that affect earnings but vary widely and unpredictably in nature, timing and amount. These events may recur, even across successive</w:t>
      </w:r>
    </w:p>
    <w:p>
      <w:pPr>
        <w:jc w:val="center"/>
        <w:spacing w:after="0" w:line="218" w:lineRule="auto"/>
        <w:rPr>
          <w:sz w:val="20"/>
          <w:szCs w:val="20"/>
          <w:color w:val="auto"/>
        </w:rPr>
      </w:pPr>
      <w:r>
        <w:rPr>
          <w:rFonts w:ascii="Arial" w:cs="Arial" w:eastAsia="Arial" w:hAnsi="Arial"/>
          <w:sz w:val="14"/>
          <w:szCs w:val="14"/>
          <w:color w:val="auto"/>
        </w:rPr>
        <w:t>reporting periods. Management believes these non-GAAP measures provide useful information to the industry and the investment community interested in comparing CRC's</w:t>
      </w:r>
    </w:p>
    <w:p>
      <w:pPr>
        <w:ind w:left="120" w:right="120"/>
        <w:spacing w:after="0" w:line="208" w:lineRule="auto"/>
        <w:rPr>
          <w:sz w:val="20"/>
          <w:szCs w:val="20"/>
          <w:color w:val="auto"/>
        </w:rPr>
      </w:pPr>
      <w:r>
        <w:rPr>
          <w:rFonts w:ascii="Arial" w:cs="Arial" w:eastAsia="Arial" w:hAnsi="Arial"/>
          <w:sz w:val="14"/>
          <w:szCs w:val="14"/>
          <w:color w:val="auto"/>
        </w:rPr>
        <w:t>financial performance 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income and net income attributable to common stock per share to the non-GAAP financial measure of adjusted net income and adjusted net income per share.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Year</w:t>
            </w:r>
          </w:p>
        </w:tc>
        <w:tc>
          <w:tcPr>
            <w:tcW w:w="160" w:type="dxa"/>
            <w:vAlign w:val="bottom"/>
          </w:tcPr>
          <w:p>
            <w:pPr>
              <w:spacing w:after="0"/>
              <w:rPr>
                <w:sz w:val="16"/>
                <w:szCs w:val="16"/>
                <w:color w:val="auto"/>
              </w:rPr>
            </w:pPr>
          </w:p>
        </w:tc>
        <w:tc>
          <w:tcPr>
            <w:tcW w:w="1000" w:type="dxa"/>
            <w:vAlign w:val="bottom"/>
          </w:tcPr>
          <w:p>
            <w:pPr>
              <w:jc w:val="right"/>
              <w:ind w:right="189"/>
              <w:spacing w:after="0"/>
              <w:rPr>
                <w:sz w:val="20"/>
                <w:szCs w:val="20"/>
                <w:color w:val="auto"/>
              </w:rPr>
            </w:pPr>
            <w:r>
              <w:rPr>
                <w:rFonts w:ascii="Arial" w:cs="Arial" w:eastAsia="Arial" w:hAnsi="Arial"/>
                <w:sz w:val="14"/>
                <w:szCs w:val="14"/>
                <w:b w:val="1"/>
                <w:bCs w:val="1"/>
                <w:color w:val="auto"/>
              </w:rPr>
              <w:t>Total Year</w:t>
            </w:r>
          </w:p>
        </w:tc>
        <w:tc>
          <w:tcPr>
            <w:tcW w:w="80" w:type="dxa"/>
            <w:vAlign w:val="bottom"/>
          </w:tcPr>
          <w:p>
            <w:pPr>
              <w:spacing w:after="0"/>
              <w:rPr>
                <w:sz w:val="16"/>
                <w:szCs w:val="16"/>
                <w:color w:val="auto"/>
              </w:rPr>
            </w:pPr>
          </w:p>
        </w:tc>
      </w:tr>
      <w:tr>
        <w:trPr>
          <w:trHeight w:val="201"/>
        </w:trPr>
        <w:tc>
          <w:tcPr>
            <w:tcW w:w="100" w:type="dxa"/>
            <w:vAlign w:val="bottom"/>
          </w:tcPr>
          <w:p>
            <w:pPr>
              <w:spacing w:after="0"/>
              <w:rPr>
                <w:sz w:val="17"/>
                <w:szCs w:val="17"/>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share amounts)</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r>
      <w:tr>
        <w:trPr>
          <w:trHeight w:val="193"/>
        </w:trPr>
        <w:tc>
          <w:tcPr>
            <w:tcW w:w="100" w:type="dxa"/>
            <w:vAlign w:val="bottom"/>
          </w:tcPr>
          <w:p>
            <w:pPr>
              <w:spacing w:after="0"/>
              <w:rPr>
                <w:sz w:val="16"/>
                <w:szCs w:val="16"/>
                <w:color w:val="auto"/>
              </w:rPr>
            </w:pPr>
          </w:p>
        </w:tc>
        <w:tc>
          <w:tcPr>
            <w:tcW w:w="486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188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83</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564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524</w:t>
            </w:r>
          </w:p>
        </w:tc>
        <w:tc>
          <w:tcPr>
            <w:tcW w:w="80" w:type="dxa"/>
            <w:vAlign w:val="bottom"/>
          </w:tcPr>
          <w:p>
            <w:pPr>
              <w:spacing w:after="0"/>
              <w:rPr>
                <w:sz w:val="16"/>
                <w:szCs w:val="16"/>
                <w:color w:val="auto"/>
              </w:rPr>
            </w:pPr>
          </w:p>
        </w:tc>
      </w:tr>
      <w:tr>
        <w:trPr>
          <w:trHeight w:val="194"/>
        </w:trPr>
        <w:tc>
          <w:tcPr>
            <w:tcW w:w="100" w:type="dxa"/>
            <w:vAlign w:val="bottom"/>
          </w:tcPr>
          <w:p>
            <w:pPr>
              <w:spacing w:after="0"/>
              <w:rPr>
                <w:sz w:val="16"/>
                <w:szCs w:val="16"/>
                <w:color w:val="auto"/>
              </w:rPr>
            </w:pPr>
          </w:p>
        </w:tc>
        <w:tc>
          <w:tcPr>
            <w:tcW w:w="4860" w:type="dxa"/>
            <w:vAlign w:val="bottom"/>
          </w:tcPr>
          <w:p>
            <w:pPr>
              <w:ind w:left="20"/>
              <w:spacing w:after="0"/>
              <w:rPr>
                <w:sz w:val="20"/>
                <w:szCs w:val="20"/>
                <w:color w:val="auto"/>
              </w:rPr>
            </w:pPr>
            <w:r>
              <w:rPr>
                <w:rFonts w:ascii="Arial" w:cs="Arial" w:eastAsia="Arial" w:hAnsi="Arial"/>
                <w:sz w:val="14"/>
                <w:szCs w:val="14"/>
                <w:color w:val="auto"/>
              </w:rPr>
              <w:t>Unusual, infrequent and other items: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6"/>
        </w:trPr>
        <w:tc>
          <w:tcPr>
            <w:tcW w:w="100" w:type="dxa"/>
            <w:vAlign w:val="bottom"/>
          </w:tcPr>
          <w:p>
            <w:pPr>
              <w:spacing w:after="0"/>
              <w:rPr>
                <w:sz w:val="17"/>
                <w:szCs w:val="17"/>
                <w:color w:val="auto"/>
              </w:rPr>
            </w:pPr>
          </w:p>
        </w:tc>
        <w:tc>
          <w:tcPr>
            <w:tcW w:w="4860" w:type="dxa"/>
            <w:vAlign w:val="bottom"/>
          </w:tcPr>
          <w:p>
            <w:pPr>
              <w:ind w:left="140"/>
              <w:spacing w:after="0"/>
              <w:rPr>
                <w:sz w:val="20"/>
                <w:szCs w:val="20"/>
                <w:color w:val="auto"/>
              </w:rPr>
            </w:pPr>
            <w:r>
              <w:rPr>
                <w:rFonts w:ascii="Arial" w:cs="Arial" w:eastAsia="Arial" w:hAnsi="Arial"/>
                <w:sz w:val="14"/>
                <w:szCs w:val="14"/>
                <w:color w:val="auto"/>
              </w:rPr>
              <w:t>Non-cash derivative loss (gain)</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(187)</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4860" w:type="dxa"/>
            <w:vAlign w:val="bottom"/>
          </w:tcPr>
          <w:p>
            <w:pPr>
              <w:ind w:left="140"/>
              <w:spacing w:after="0"/>
              <w:rPr>
                <w:sz w:val="20"/>
                <w:szCs w:val="20"/>
                <w:color w:val="auto"/>
              </w:rPr>
            </w:pPr>
            <w:r>
              <w:rPr>
                <w:rFonts w:ascii="Arial" w:cs="Arial" w:eastAsia="Arial" w:hAnsi="Arial"/>
                <w:sz w:val="14"/>
                <w:szCs w:val="14"/>
                <w:color w:val="auto"/>
              </w:rPr>
              <w:t>Asset impairment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4860" w:type="dxa"/>
            <w:vAlign w:val="bottom"/>
          </w:tcPr>
          <w:p>
            <w:pPr>
              <w:ind w:left="140"/>
              <w:spacing w:after="0"/>
              <w:rPr>
                <w:sz w:val="20"/>
                <w:szCs w:val="20"/>
                <w:color w:val="auto"/>
              </w:rPr>
            </w:pPr>
            <w:r>
              <w:rPr>
                <w:rFonts w:ascii="Arial" w:cs="Arial" w:eastAsia="Arial" w:hAnsi="Arial"/>
                <w:sz w:val="14"/>
                <w:szCs w:val="14"/>
                <w:color w:val="auto"/>
              </w:rPr>
              <w:t>Severance and termination costs</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4860" w:type="dxa"/>
            <w:vAlign w:val="bottom"/>
          </w:tcPr>
          <w:p>
            <w:pPr>
              <w:ind w:left="140"/>
              <w:spacing w:after="0"/>
              <w:rPr>
                <w:sz w:val="20"/>
                <w:szCs w:val="20"/>
                <w:color w:val="auto"/>
              </w:rPr>
            </w:pPr>
            <w:r>
              <w:rPr>
                <w:rFonts w:ascii="Arial" w:cs="Arial" w:eastAsia="Arial" w:hAnsi="Arial"/>
                <w:sz w:val="14"/>
                <w:szCs w:val="14"/>
                <w:color w:val="auto"/>
              </w:rPr>
              <w:t>Net loss on early extinguishment of debt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4860" w:type="dxa"/>
            <w:vAlign w:val="bottom"/>
          </w:tcPr>
          <w:p>
            <w:pPr>
              <w:ind w:left="140"/>
              <w:spacing w:after="0"/>
              <w:rPr>
                <w:sz w:val="20"/>
                <w:szCs w:val="20"/>
                <w:color w:val="auto"/>
              </w:rPr>
            </w:pPr>
            <w:r>
              <w:rPr>
                <w:rFonts w:ascii="Arial" w:cs="Arial" w:eastAsia="Arial" w:hAnsi="Arial"/>
                <w:sz w:val="14"/>
                <w:szCs w:val="14"/>
                <w:color w:val="auto"/>
              </w:rPr>
              <w:t>Net gain on asset divestitures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486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22</w:t>
            </w:r>
          </w:p>
        </w:tc>
        <w:tc>
          <w:tcPr>
            <w:tcW w:w="80" w:type="dxa"/>
            <w:vAlign w:val="bottom"/>
          </w:tcPr>
          <w:p>
            <w:pPr>
              <w:spacing w:after="0"/>
              <w:rPr>
                <w:sz w:val="17"/>
                <w:szCs w:val="17"/>
                <w:color w:val="auto"/>
              </w:rPr>
            </w:pPr>
          </w:p>
        </w:tc>
      </w:tr>
      <w:tr>
        <w:trPr>
          <w:trHeight w:val="193"/>
        </w:trPr>
        <w:tc>
          <w:tcPr>
            <w:tcW w:w="100" w:type="dxa"/>
            <w:vAlign w:val="bottom"/>
          </w:tcPr>
          <w:p>
            <w:pPr>
              <w:spacing w:after="0"/>
              <w:rPr>
                <w:sz w:val="16"/>
                <w:szCs w:val="16"/>
                <w:color w:val="auto"/>
              </w:rPr>
            </w:pPr>
          </w:p>
        </w:tc>
        <w:tc>
          <w:tcPr>
            <w:tcW w:w="4860" w:type="dxa"/>
            <w:vAlign w:val="bottom"/>
          </w:tcPr>
          <w:p>
            <w:pPr>
              <w:ind w:left="220"/>
              <w:spacing w:after="0"/>
              <w:rPr>
                <w:sz w:val="20"/>
                <w:szCs w:val="20"/>
                <w:color w:val="auto"/>
              </w:rPr>
            </w:pPr>
            <w:r>
              <w:rPr>
                <w:rFonts w:ascii="Arial" w:cs="Arial" w:eastAsia="Arial" w:hAnsi="Arial"/>
                <w:sz w:val="14"/>
                <w:szCs w:val="14"/>
                <w:color w:val="auto"/>
              </w:rPr>
              <w:t>Total unusual, infrequent and other items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(222)</w:t>
            </w:r>
          </w:p>
        </w:tc>
        <w:tc>
          <w:tcPr>
            <w:tcW w:w="80" w:type="dxa"/>
            <w:vAlign w:val="bottom"/>
          </w:tcPr>
          <w:p>
            <w:pPr>
              <w:spacing w:after="0"/>
              <w:rPr>
                <w:sz w:val="16"/>
                <w:szCs w:val="16"/>
                <w:color w:val="auto"/>
              </w:rPr>
            </w:pPr>
          </w:p>
        </w:tc>
      </w:tr>
      <w:tr>
        <w:trPr>
          <w:trHeight w:val="200"/>
        </w:trPr>
        <w:tc>
          <w:tcPr>
            <w:tcW w:w="100" w:type="dxa"/>
            <w:vAlign w:val="bottom"/>
          </w:tcPr>
          <w:p>
            <w:pPr>
              <w:spacing w:after="0"/>
              <w:rPr>
                <w:sz w:val="17"/>
                <w:szCs w:val="17"/>
                <w:color w:val="auto"/>
              </w:rPr>
            </w:pPr>
          </w:p>
        </w:tc>
        <w:tc>
          <w:tcPr>
            <w:tcW w:w="4860" w:type="dxa"/>
            <w:vAlign w:val="bottom"/>
          </w:tcPr>
          <w:p>
            <w:pPr>
              <w:ind w:left="140"/>
              <w:spacing w:after="0"/>
              <w:rPr>
                <w:sz w:val="20"/>
                <w:szCs w:val="20"/>
                <w:color w:val="auto"/>
              </w:rPr>
            </w:pPr>
            <w:r>
              <w:rPr>
                <w:rFonts w:ascii="Arial" w:cs="Arial" w:eastAsia="Arial" w:hAnsi="Arial"/>
                <w:sz w:val="14"/>
                <w:szCs w:val="14"/>
                <w:color w:val="auto"/>
              </w:rPr>
              <w:t>Income tax (benefit) provision of adjustments at effective tax rate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63</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4860" w:type="dxa"/>
            <w:vAlign w:val="bottom"/>
          </w:tcPr>
          <w:p>
            <w:pPr>
              <w:ind w:left="140"/>
              <w:spacing w:after="0"/>
              <w:rPr>
                <w:sz w:val="20"/>
                <w:szCs w:val="20"/>
                <w:color w:val="auto"/>
              </w:rPr>
            </w:pPr>
            <w:r>
              <w:rPr>
                <w:rFonts w:ascii="Arial" w:cs="Arial" w:eastAsia="Arial" w:hAnsi="Arial"/>
                <w:sz w:val="14"/>
                <w:szCs w:val="14"/>
                <w:color w:val="auto"/>
              </w:rPr>
              <w:t>Income tax (benefit) provision - out of period</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19</w:t>
            </w:r>
          </w:p>
        </w:tc>
        <w:tc>
          <w:tcPr>
            <w:tcW w:w="80" w:type="dxa"/>
            <w:vAlign w:val="bottom"/>
          </w:tcPr>
          <w:p>
            <w:pPr>
              <w:spacing w:after="0"/>
              <w:rPr>
                <w:sz w:val="17"/>
                <w:szCs w:val="17"/>
                <w:color w:val="auto"/>
              </w:rPr>
            </w:pPr>
          </w:p>
        </w:tc>
      </w:tr>
      <w:tr>
        <w:trPr>
          <w:trHeight w:val="55"/>
        </w:trPr>
        <w:tc>
          <w:tcPr>
            <w:tcW w:w="1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193"/>
        </w:trPr>
        <w:tc>
          <w:tcPr>
            <w:tcW w:w="100" w:type="dxa"/>
            <w:vAlign w:val="bottom"/>
          </w:tcPr>
          <w:p>
            <w:pPr>
              <w:spacing w:after="0"/>
              <w:rPr>
                <w:sz w:val="16"/>
                <w:szCs w:val="16"/>
                <w:color w:val="auto"/>
              </w:rPr>
            </w:pPr>
          </w:p>
        </w:tc>
        <w:tc>
          <w:tcPr>
            <w:tcW w:w="4860" w:type="dxa"/>
            <w:vAlign w:val="bottom"/>
          </w:tcPr>
          <w:p>
            <w:pPr>
              <w:ind w:left="20"/>
              <w:spacing w:after="0"/>
              <w:rPr>
                <w:sz w:val="20"/>
                <w:szCs w:val="20"/>
                <w:color w:val="auto"/>
              </w:rPr>
            </w:pPr>
            <w:r>
              <w:rPr>
                <w:rFonts w:ascii="Arial" w:cs="Arial" w:eastAsia="Arial" w:hAnsi="Arial"/>
                <w:sz w:val="14"/>
                <w:szCs w:val="14"/>
                <w:color w:val="auto"/>
              </w:rPr>
              <w:t>Adjusted net income attributable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93</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372</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384</w:t>
            </w:r>
          </w:p>
        </w:tc>
        <w:tc>
          <w:tcPr>
            <w:tcW w:w="80" w:type="dxa"/>
            <w:vAlign w:val="bottom"/>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8"/>
        </w:trPr>
        <w:tc>
          <w:tcPr>
            <w:tcW w:w="10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Arial" w:cs="Arial" w:eastAsia="Arial" w:hAnsi="Arial"/>
                <w:sz w:val="14"/>
                <w:szCs w:val="14"/>
                <w:color w:val="auto"/>
              </w:rPr>
              <w:t>Net income (loss) per share - basic</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2.74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(0.32)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1.14</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8.10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6.94</w:t>
            </w:r>
          </w:p>
        </w:tc>
        <w:tc>
          <w:tcPr>
            <w:tcW w:w="80" w:type="dxa"/>
            <w:vAlign w:val="bottom"/>
          </w:tcPr>
          <w:p>
            <w:pPr>
              <w:spacing w:after="0"/>
              <w:rPr>
                <w:sz w:val="24"/>
                <w:szCs w:val="24"/>
                <w:color w:val="auto"/>
              </w:rPr>
            </w:pPr>
          </w:p>
        </w:tc>
      </w:tr>
      <w:tr>
        <w:trPr>
          <w:trHeight w:val="200"/>
        </w:trPr>
        <w:tc>
          <w:tcPr>
            <w:tcW w:w="100" w:type="dxa"/>
            <w:vAlign w:val="bottom"/>
          </w:tcPr>
          <w:p>
            <w:pPr>
              <w:spacing w:after="0"/>
              <w:rPr>
                <w:sz w:val="17"/>
                <w:szCs w:val="17"/>
                <w:color w:val="auto"/>
              </w:rPr>
            </w:pPr>
          </w:p>
        </w:tc>
        <w:tc>
          <w:tcPr>
            <w:tcW w:w="4860" w:type="dxa"/>
            <w:vAlign w:val="bottom"/>
          </w:tcPr>
          <w:p>
            <w:pPr>
              <w:ind w:left="20"/>
              <w:spacing w:after="0"/>
              <w:rPr>
                <w:sz w:val="20"/>
                <w:szCs w:val="20"/>
                <w:color w:val="auto"/>
              </w:rPr>
            </w:pPr>
            <w:r>
              <w:rPr>
                <w:rFonts w:ascii="Arial" w:cs="Arial" w:eastAsia="Arial" w:hAnsi="Arial"/>
                <w:sz w:val="14"/>
                <w:szCs w:val="14"/>
                <w:color w:val="auto"/>
              </w:rPr>
              <w:t>Net income (loss)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2.60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(0.32)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1.11</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7.78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6.75</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4860" w:type="dxa"/>
            <w:vAlign w:val="bottom"/>
          </w:tcPr>
          <w:p>
            <w:pPr>
              <w:ind w:left="20"/>
              <w:spacing w:after="0"/>
              <w:rPr>
                <w:sz w:val="20"/>
                <w:szCs w:val="20"/>
                <w:color w:val="auto"/>
              </w:rPr>
            </w:pPr>
            <w:r>
              <w:rPr>
                <w:rFonts w:ascii="Arial" w:cs="Arial" w:eastAsia="Arial" w:hAnsi="Arial"/>
                <w:sz w:val="14"/>
                <w:szCs w:val="14"/>
                <w:color w:val="auto"/>
              </w:rPr>
              <w:t>Adjusted net income per share - basic</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0.98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1.28</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5.34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5.09</w:t>
            </w:r>
          </w:p>
        </w:tc>
        <w:tc>
          <w:tcPr>
            <w:tcW w:w="80" w:type="dxa"/>
            <w:vAlign w:val="bottom"/>
          </w:tcPr>
          <w:p>
            <w:pPr>
              <w:spacing w:after="0"/>
              <w:rPr>
                <w:sz w:val="17"/>
                <w:szCs w:val="17"/>
                <w:color w:val="auto"/>
              </w:rPr>
            </w:pPr>
          </w:p>
        </w:tc>
      </w:tr>
      <w:tr>
        <w:trPr>
          <w:trHeight w:val="200"/>
        </w:trPr>
        <w:tc>
          <w:tcPr>
            <w:tcW w:w="100" w:type="dxa"/>
            <w:vAlign w:val="bottom"/>
          </w:tcPr>
          <w:p>
            <w:pPr>
              <w:spacing w:after="0"/>
              <w:rPr>
                <w:sz w:val="17"/>
                <w:szCs w:val="17"/>
                <w:color w:val="auto"/>
              </w:rPr>
            </w:pPr>
          </w:p>
        </w:tc>
        <w:tc>
          <w:tcPr>
            <w:tcW w:w="4860" w:type="dxa"/>
            <w:vAlign w:val="bottom"/>
          </w:tcPr>
          <w:p>
            <w:pPr>
              <w:ind w:left="20"/>
              <w:spacing w:after="0"/>
              <w:rPr>
                <w:sz w:val="20"/>
                <w:szCs w:val="20"/>
                <w:color w:val="auto"/>
              </w:rPr>
            </w:pPr>
            <w:r>
              <w:rPr>
                <w:rFonts w:ascii="Arial" w:cs="Arial" w:eastAsia="Arial" w:hAnsi="Arial"/>
                <w:sz w:val="14"/>
                <w:szCs w:val="14"/>
                <w:color w:val="auto"/>
              </w:rPr>
              <w:t>Adjusted net income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0.93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1.24</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5.13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4.95</w:t>
            </w:r>
          </w:p>
        </w:tc>
        <w:tc>
          <w:tcPr>
            <w:tcW w:w="80" w:type="dxa"/>
            <w:vAlign w:val="bottom"/>
          </w:tcPr>
          <w:p>
            <w:pPr>
              <w:spacing w:after="0"/>
              <w:rPr>
                <w:sz w:val="17"/>
                <w:szCs w:val="17"/>
                <w:color w:val="auto"/>
              </w:rPr>
            </w:pPr>
          </w:p>
        </w:tc>
      </w:tr>
      <w:tr>
        <w:trPr>
          <w:trHeight w:val="321"/>
        </w:trPr>
        <w:tc>
          <w:tcPr>
            <w:tcW w:w="1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240"/>
          </w:cols>
          <w:pgMar w:left="320" w:top="1050"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207645</wp:posOffset>
            </wp:positionH>
            <wp:positionV relativeFrom="page">
              <wp:posOffset>664210</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689610</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t>ADJUSTED EBITDAX</w:t>
      </w:r>
    </w:p>
    <w:p>
      <w:pPr>
        <w:spacing w:after="0" w:line="132" w:lineRule="exact"/>
        <w:rPr>
          <w:sz w:val="20"/>
          <w:szCs w:val="20"/>
          <w:color w:val="auto"/>
        </w:rPr>
      </w:pPr>
    </w:p>
    <w:p>
      <w:pPr>
        <w:jc w:val="both"/>
        <w:ind w:left="20" w:right="20"/>
        <w:spacing w:after="0" w:line="245" w:lineRule="auto"/>
        <w:rPr>
          <w:sz w:val="20"/>
          <w:szCs w:val="20"/>
          <w:color w:val="auto"/>
        </w:rPr>
      </w:pPr>
      <w:r>
        <w:rPr>
          <w:rFonts w:ascii="Arial" w:cs="Arial" w:eastAsia="Arial" w:hAnsi="Arial"/>
          <w:sz w:val="14"/>
          <w:szCs w:val="14"/>
          <w:color w:val="auto"/>
        </w:rPr>
        <w:t>CRC defines Adjusted EBITDAX as earnings before interest expense; income taxes; depreciation, depletion and amortization; exploration expense; other unusual, infrequent and out-of-period items; and other non-cash items. CRC believes this measure provides useful information in assessing its financial condition, results of operations and cash flows and is widely used by the industry, the investment community and its lenders. Although this is a non-GAAP measure, the amounts included in the calculation were computed in accordance with GAAP. Certain items excluded from this non-GAAP measure are significant components in understanding and assessing CRC’s financial performance, such as its cost of capital and tax structure, as well as depreciation, depletion and amortization of CRC's assets. This measure should be read in conjunction with the information contained in CRC’s financial statements prepared in accordance with GAAP. A version of Adjusted EBITDAX is a material component of certain of its financial covenants under CRC's Revolving Credit Facility and is provided in addition to, and not as an alternative for, income and liquidity measures calculated in accordance with GAAP.</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following table represents a reconciliation of the GAAP financial measures of net income and net cash provided by operating activities to the non-GAAP financial measure of</w:t>
      </w:r>
    </w:p>
    <w:p>
      <w:pPr>
        <w:spacing w:after="0" w:line="13" w:lineRule="exact"/>
        <w:rPr>
          <w:sz w:val="20"/>
          <w:szCs w:val="20"/>
          <w:color w:val="auto"/>
        </w:rPr>
      </w:pPr>
    </w:p>
    <w:p>
      <w:pPr>
        <w:jc w:val="both"/>
        <w:ind w:left="20" w:right="20"/>
        <w:spacing w:after="0" w:line="228" w:lineRule="auto"/>
        <w:rPr>
          <w:sz w:val="20"/>
          <w:szCs w:val="20"/>
          <w:color w:val="auto"/>
        </w:rPr>
      </w:pPr>
      <w:r>
        <w:rPr>
          <w:rFonts w:ascii="Arial" w:cs="Arial" w:eastAsia="Arial" w:hAnsi="Arial"/>
          <w:sz w:val="14"/>
          <w:szCs w:val="14"/>
          <w:color w:val="auto"/>
        </w:rPr>
        <w:t>adjusted EBITDAX. CRC has supplemented its non-GAAP measures of consolidated adjusted EBITDAX with adjusted EBITDAX for its exploration and production and corporate items (Adjusted EBITDAX for E&amp;P, Corporate &amp; Other) which management believes is a useful measure for investors to understand the results of the core oil and gas business.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CRC defines adjusted EBITDAX for E&amp;P, Corporate &amp; Other as consolidated adjusted EBITDAX less results attributable to its carbon management business (CMB).</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Year</w:t>
            </w:r>
          </w:p>
        </w:tc>
        <w:tc>
          <w:tcPr>
            <w:tcW w:w="200" w:type="dxa"/>
            <w:vAlign w:val="bottom"/>
          </w:tcPr>
          <w:p>
            <w:pPr>
              <w:spacing w:after="0"/>
              <w:rPr>
                <w:sz w:val="16"/>
                <w:szCs w:val="16"/>
                <w:color w:val="auto"/>
              </w:rPr>
            </w:pPr>
          </w:p>
        </w:tc>
        <w:tc>
          <w:tcPr>
            <w:tcW w:w="1060" w:type="dxa"/>
            <w:vAlign w:val="bottom"/>
          </w:tcPr>
          <w:p>
            <w:pPr>
              <w:jc w:val="right"/>
              <w:ind w:right="229"/>
              <w:spacing w:after="0"/>
              <w:rPr>
                <w:sz w:val="20"/>
                <w:szCs w:val="20"/>
                <w:color w:val="auto"/>
              </w:rPr>
            </w:pPr>
            <w:r>
              <w:rPr>
                <w:rFonts w:ascii="Arial" w:cs="Arial" w:eastAsia="Arial" w:hAnsi="Arial"/>
                <w:sz w:val="14"/>
                <w:szCs w:val="14"/>
                <w:b w:val="1"/>
                <w:bCs w:val="1"/>
                <w:color w:val="auto"/>
              </w:rPr>
              <w:t>Total Year</w:t>
            </w:r>
          </w:p>
        </w:tc>
      </w:tr>
      <w:tr>
        <w:trPr>
          <w:trHeight w:val="201"/>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BOE amounts)</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2022</w:t>
            </w:r>
          </w:p>
        </w:tc>
      </w:tr>
      <w:tr>
        <w:trPr>
          <w:trHeight w:val="193"/>
        </w:trPr>
        <w:tc>
          <w:tcPr>
            <w:tcW w:w="44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188</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2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83</w:t>
            </w:r>
          </w:p>
        </w:tc>
        <w:tc>
          <w:tcPr>
            <w:tcW w:w="2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564</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524</w:t>
            </w:r>
          </w:p>
        </w:tc>
      </w:tr>
      <w:tr>
        <w:trPr>
          <w:trHeight w:val="200"/>
        </w:trPr>
        <w:tc>
          <w:tcPr>
            <w:tcW w:w="4420" w:type="dxa"/>
            <w:vAlign w:val="bottom"/>
          </w:tcPr>
          <w:p>
            <w:pPr>
              <w:ind w:left="140"/>
              <w:spacing w:after="0"/>
              <w:rPr>
                <w:sz w:val="20"/>
                <w:szCs w:val="20"/>
                <w:color w:val="auto"/>
              </w:rPr>
            </w:pPr>
            <w:r>
              <w:rPr>
                <w:rFonts w:ascii="Arial" w:cs="Arial" w:eastAsia="Arial" w:hAnsi="Arial"/>
                <w:sz w:val="14"/>
                <w:szCs w:val="14"/>
                <w:color w:val="auto"/>
              </w:rPr>
              <w:t>Interest and debt expense</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r>
        <w:trPr>
          <w:trHeight w:val="200"/>
        </w:trPr>
        <w:tc>
          <w:tcPr>
            <w:tcW w:w="4420" w:type="dxa"/>
            <w:vAlign w:val="bottom"/>
          </w:tcPr>
          <w:p>
            <w:pPr>
              <w:ind w:left="14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198</w:t>
            </w:r>
          </w:p>
        </w:tc>
      </w:tr>
      <w:tr>
        <w:trPr>
          <w:trHeight w:val="200"/>
        </w:trPr>
        <w:tc>
          <w:tcPr>
            <w:tcW w:w="4420" w:type="dxa"/>
            <w:vAlign w:val="bottom"/>
          </w:tcPr>
          <w:p>
            <w:pPr>
              <w:ind w:left="140"/>
              <w:spacing w:after="0"/>
              <w:rPr>
                <w:sz w:val="20"/>
                <w:szCs w:val="20"/>
                <w:color w:val="auto"/>
              </w:rPr>
            </w:pPr>
            <w:r>
              <w:rPr>
                <w:rFonts w:ascii="Arial" w:cs="Arial" w:eastAsia="Arial" w:hAnsi="Arial"/>
                <w:sz w:val="14"/>
                <w:szCs w:val="14"/>
                <w:color w:val="auto"/>
              </w:rPr>
              <w:t>Income tax provision (benefit)</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237</w:t>
            </w:r>
          </w:p>
        </w:tc>
      </w:tr>
      <w:tr>
        <w:trPr>
          <w:trHeight w:val="200"/>
        </w:trPr>
        <w:tc>
          <w:tcPr>
            <w:tcW w:w="4420" w:type="dxa"/>
            <w:vAlign w:val="bottom"/>
          </w:tcPr>
          <w:p>
            <w:pPr>
              <w:ind w:left="140"/>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167"/>
        </w:trPr>
        <w:tc>
          <w:tcPr>
            <w:tcW w:w="442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238"/>
        </w:trPr>
        <w:tc>
          <w:tcPr>
            <w:tcW w:w="4420" w:type="dxa"/>
            <w:vAlign w:val="bottom"/>
          </w:tcPr>
          <w:p>
            <w:pPr>
              <w:ind w:left="140"/>
              <w:spacing w:after="0" w:line="239" w:lineRule="exact"/>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3"/>
                <w:szCs w:val="23"/>
                <w:color w:val="auto"/>
                <w:vertAlign w:val="superscript"/>
              </w:rPr>
              <w:t>(1)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133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(222)</w:t>
            </w:r>
          </w:p>
        </w:tc>
      </w:tr>
      <w:tr>
        <w:trPr>
          <w:trHeight w:val="189"/>
        </w:trPr>
        <w:tc>
          <w:tcPr>
            <w:tcW w:w="4420" w:type="dxa"/>
            <w:vAlign w:val="bottom"/>
          </w:tcPr>
          <w:p>
            <w:pPr>
              <w:ind w:left="140"/>
              <w:spacing w:after="0"/>
              <w:rPr>
                <w:sz w:val="20"/>
                <w:szCs w:val="20"/>
                <w:color w:val="auto"/>
              </w:rPr>
            </w:pPr>
            <w:r>
              <w:rPr>
                <w:rFonts w:ascii="Arial" w:cs="Arial" w:eastAsia="Arial" w:hAnsi="Arial"/>
                <w:sz w:val="14"/>
                <w:szCs w:val="14"/>
                <w:color w:val="auto"/>
              </w:rPr>
              <w:t>Non-cash items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6"/>
        </w:trPr>
        <w:tc>
          <w:tcPr>
            <w:tcW w:w="4420" w:type="dxa"/>
            <w:vAlign w:val="bottom"/>
          </w:tcPr>
          <w:p>
            <w:pPr>
              <w:ind w:left="260"/>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200"/>
        </w:trPr>
        <w:tc>
          <w:tcPr>
            <w:tcW w:w="442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r>
        <w:trPr>
          <w:trHeight w:val="201"/>
        </w:trPr>
        <w:tc>
          <w:tcPr>
            <w:tcW w:w="4420" w:type="dxa"/>
            <w:vAlign w:val="bottom"/>
          </w:tcPr>
          <w:p>
            <w:pPr>
              <w:ind w:left="260"/>
              <w:spacing w:after="0"/>
              <w:rPr>
                <w:sz w:val="20"/>
                <w:szCs w:val="20"/>
                <w:color w:val="auto"/>
              </w:rPr>
            </w:pPr>
            <w:r>
              <w:rPr>
                <w:rFonts w:ascii="Arial" w:cs="Arial" w:eastAsia="Arial" w:hAnsi="Arial"/>
                <w:sz w:val="14"/>
                <w:szCs w:val="14"/>
                <w:color w:val="auto"/>
              </w:rPr>
              <w:t>Post-retirement medical and pension</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94"/>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Adjusted EBITDAX</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w:t>
            </w:r>
          </w:p>
        </w:tc>
        <w:tc>
          <w:tcPr>
            <w:tcW w:w="2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208</w:t>
            </w:r>
          </w:p>
        </w:tc>
        <w:tc>
          <w:tcPr>
            <w:tcW w:w="2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852</w:t>
            </w: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78"/>
        </w:trPr>
        <w:tc>
          <w:tcPr>
            <w:tcW w:w="442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131</w:t>
            </w:r>
          </w:p>
        </w:tc>
        <w:tc>
          <w:tcPr>
            <w:tcW w:w="12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104</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2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653</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690</w:t>
            </w:r>
          </w:p>
        </w:tc>
      </w:tr>
      <w:tr>
        <w:trPr>
          <w:trHeight w:val="200"/>
        </w:trPr>
        <w:tc>
          <w:tcPr>
            <w:tcW w:w="4420" w:type="dxa"/>
            <w:vAlign w:val="bottom"/>
          </w:tcPr>
          <w:p>
            <w:pPr>
              <w:ind w:left="140"/>
              <w:spacing w:after="0"/>
              <w:rPr>
                <w:sz w:val="20"/>
                <w:szCs w:val="20"/>
                <w:color w:val="auto"/>
              </w:rPr>
            </w:pPr>
            <w:r>
              <w:rPr>
                <w:rFonts w:ascii="Arial" w:cs="Arial" w:eastAsia="Arial" w:hAnsi="Arial"/>
                <w:sz w:val="14"/>
                <w:szCs w:val="14"/>
                <w:color w:val="auto"/>
              </w:rPr>
              <w:t>Cash interest payments</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r>
        <w:trPr>
          <w:trHeight w:val="200"/>
        </w:trPr>
        <w:tc>
          <w:tcPr>
            <w:tcW w:w="4420" w:type="dxa"/>
            <w:vAlign w:val="bottom"/>
          </w:tcPr>
          <w:p>
            <w:pPr>
              <w:ind w:left="140"/>
              <w:spacing w:after="0"/>
              <w:rPr>
                <w:sz w:val="20"/>
                <w:szCs w:val="20"/>
                <w:color w:val="auto"/>
              </w:rPr>
            </w:pPr>
            <w:r>
              <w:rPr>
                <w:rFonts w:ascii="Arial" w:cs="Arial" w:eastAsia="Arial" w:hAnsi="Arial"/>
                <w:sz w:val="14"/>
                <w:szCs w:val="14"/>
                <w:color w:val="auto"/>
              </w:rPr>
              <w:t>Cash interest received</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200"/>
        </w:trPr>
        <w:tc>
          <w:tcPr>
            <w:tcW w:w="4420" w:type="dxa"/>
            <w:vAlign w:val="bottom"/>
          </w:tcPr>
          <w:p>
            <w:pPr>
              <w:ind w:left="140"/>
              <w:spacing w:after="0"/>
              <w:rPr>
                <w:sz w:val="20"/>
                <w:szCs w:val="20"/>
                <w:color w:val="auto"/>
              </w:rPr>
            </w:pPr>
            <w:r>
              <w:rPr>
                <w:rFonts w:ascii="Arial" w:cs="Arial" w:eastAsia="Arial" w:hAnsi="Arial"/>
                <w:sz w:val="14"/>
                <w:szCs w:val="14"/>
                <w:color w:val="auto"/>
              </w:rPr>
              <w:t>Cash income taxes</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w:t>
            </w:r>
          </w:p>
        </w:tc>
      </w:tr>
      <w:tr>
        <w:trPr>
          <w:trHeight w:val="200"/>
        </w:trPr>
        <w:tc>
          <w:tcPr>
            <w:tcW w:w="4420" w:type="dxa"/>
            <w:vAlign w:val="bottom"/>
          </w:tcPr>
          <w:p>
            <w:pPr>
              <w:ind w:left="140"/>
              <w:spacing w:after="0"/>
              <w:rPr>
                <w:sz w:val="20"/>
                <w:szCs w:val="20"/>
                <w:color w:val="auto"/>
              </w:rPr>
            </w:pPr>
            <w:r>
              <w:rPr>
                <w:rFonts w:ascii="Arial" w:cs="Arial" w:eastAsia="Arial" w:hAnsi="Arial"/>
                <w:sz w:val="14"/>
                <w:szCs w:val="14"/>
                <w:color w:val="auto"/>
              </w:rPr>
              <w:t>Exploration expenditures</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201"/>
        </w:trPr>
        <w:tc>
          <w:tcPr>
            <w:tcW w:w="4420" w:type="dxa"/>
            <w:vAlign w:val="bottom"/>
          </w:tcPr>
          <w:p>
            <w:pPr>
              <w:ind w:left="140"/>
              <w:spacing w:after="0"/>
              <w:rPr>
                <w:sz w:val="20"/>
                <w:szCs w:val="20"/>
                <w:color w:val="auto"/>
              </w:rPr>
            </w:pPr>
            <w:r>
              <w:rPr>
                <w:rFonts w:ascii="Arial" w:cs="Arial" w:eastAsia="Arial" w:hAnsi="Arial"/>
                <w:sz w:val="14"/>
                <w:szCs w:val="14"/>
                <w:color w:val="auto"/>
              </w:rPr>
              <w:t>Adjustments to changes in operating assets and liabilities</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w:t>
            </w:r>
          </w:p>
        </w:tc>
      </w:tr>
      <w:tr>
        <w:trPr>
          <w:trHeight w:val="194"/>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Adjusted EBITDAX</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208</w:t>
            </w:r>
          </w:p>
        </w:tc>
        <w:tc>
          <w:tcPr>
            <w:tcW w:w="2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862</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852</w:t>
            </w: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2"/>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E&amp;P, Corporate &amp; Other Adjusted EBITDAX</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199</w:t>
            </w:r>
          </w:p>
        </w:tc>
        <w:tc>
          <w:tcPr>
            <w:tcW w:w="120" w:type="dxa"/>
            <w:vAlign w:val="bottom"/>
          </w:tcPr>
          <w:p>
            <w:pPr>
              <w:spacing w:after="0"/>
              <w:rPr>
                <w:sz w:val="23"/>
                <w:szCs w:val="23"/>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199</w:t>
            </w:r>
          </w:p>
        </w:tc>
        <w:tc>
          <w:tcPr>
            <w:tcW w:w="2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223</w:t>
            </w:r>
          </w:p>
        </w:tc>
        <w:tc>
          <w:tcPr>
            <w:tcW w:w="200" w:type="dxa"/>
            <w:vAlign w:val="bottom"/>
          </w:tcPr>
          <w:p>
            <w:pPr>
              <w:spacing w:after="0"/>
              <w:rPr>
                <w:sz w:val="23"/>
                <w:szCs w:val="23"/>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916</w:t>
            </w:r>
          </w:p>
        </w:tc>
        <w:tc>
          <w:tcPr>
            <w:tcW w:w="100" w:type="dxa"/>
            <w:vAlign w:val="bottom"/>
          </w:tcPr>
          <w:p>
            <w:pPr>
              <w:spacing w:after="0"/>
              <w:rPr>
                <w:sz w:val="23"/>
                <w:szCs w:val="23"/>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879</w:t>
            </w:r>
          </w:p>
        </w:tc>
      </w:tr>
      <w:tr>
        <w:trPr>
          <w:trHeight w:val="200"/>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CMB Adjusted EBITDAX</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307"/>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Adjusted EBITDAX per Boe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23.57</w:t>
            </w:r>
          </w:p>
        </w:tc>
        <w:tc>
          <w:tcPr>
            <w:tcW w:w="12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23.81</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24.94</w:t>
            </w:r>
          </w:p>
        </w:tc>
        <w:tc>
          <w:tcPr>
            <w:tcW w:w="2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27.51</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25.77</w:t>
            </w:r>
          </w:p>
        </w:tc>
      </w:tr>
    </w:tbl>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See Adjusted Net Income (Loss) reconciliation.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240"/>
          </w:cols>
          <w:pgMar w:left="320" w:top="1103"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249555</wp:posOffset>
            </wp:positionH>
            <wp:positionV relativeFrom="page">
              <wp:posOffset>664210</wp:posOffset>
            </wp:positionV>
            <wp:extent cx="70580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58025" cy="8255"/>
                    </a:xfrm>
                    <a:prstGeom prst="rect">
                      <a:avLst/>
                    </a:prstGeom>
                    <a:noFill/>
                  </pic:spPr>
                </pic:pic>
              </a:graphicData>
            </a:graphic>
          </wp:anchor>
        </w:drawing>
        <w:drawing>
          <wp:anchor simplePos="0" relativeHeight="251657728" behindDoc="1" locked="0" layoutInCell="0" allowOverlap="1">
            <wp:simplePos x="0" y="0"/>
            <wp:positionH relativeFrom="page">
              <wp:posOffset>249555</wp:posOffset>
            </wp:positionH>
            <wp:positionV relativeFrom="page">
              <wp:posOffset>689610</wp:posOffset>
            </wp:positionV>
            <wp:extent cx="70580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58025" cy="8255"/>
                    </a:xfrm>
                    <a:prstGeom prst="rect">
                      <a:avLst/>
                    </a:prstGeom>
                    <a:noFill/>
                  </pic:spPr>
                </pic:pic>
              </a:graphicData>
            </a:graphic>
          </wp:anchor>
        </w:drawing>
        <w:t>FREE CASH FLOW AND SUPPLEMENTAL FREE CASH FLOW MEASURES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Management uses free cash flow, which is defined by CRC as net cash provided by operating activities less capital investments, as a measure of liquidity.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-2540</wp:posOffset>
            </wp:positionV>
            <wp:extent cx="1854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5420" cy="8255"/>
                    </a:xfrm>
                    <a:prstGeom prst="rect">
                      <a:avLst/>
                    </a:prstGeom>
                    <a:noFill/>
                  </pic:spPr>
                </pic:pic>
              </a:graphicData>
            </a:graphic>
          </wp:anchor>
        </w:drawing>
      </w:r>
    </w:p>
    <w:p>
      <w:pPr>
        <w:ind w:right="20"/>
        <w:spacing w:after="0" w:line="208" w:lineRule="auto"/>
        <w:rPr>
          <w:sz w:val="20"/>
          <w:szCs w:val="20"/>
          <w:color w:val="auto"/>
        </w:rPr>
      </w:pPr>
      <w:r>
        <w:rPr>
          <w:rFonts w:ascii="Arial" w:cs="Arial" w:eastAsia="Arial" w:hAnsi="Arial"/>
          <w:sz w:val="14"/>
          <w:szCs w:val="14"/>
          <w:color w:val="auto"/>
        </w:rPr>
        <w:t>presents a reconciliation of CRC's net cash provided by operating activities to free cash flow. CRC supplemented its non-GAAP measure of free cash flow with (i) net cash provided by operating activities before changes in operating assets and liabilities, net, (ii) adjusted free cash flow, and (iii) free cash flow of exploration and production, and</w:t>
      </w:r>
    </w:p>
    <w:p>
      <w:pPr>
        <w:spacing w:after="0" w:line="219" w:lineRule="auto"/>
        <w:rPr>
          <w:sz w:val="20"/>
          <w:szCs w:val="20"/>
          <w:color w:val="auto"/>
        </w:rPr>
      </w:pPr>
      <w:r>
        <w:rPr>
          <w:rFonts w:ascii="Arial" w:cs="Arial" w:eastAsia="Arial" w:hAnsi="Arial"/>
          <w:sz w:val="14"/>
          <w:szCs w:val="14"/>
          <w:color w:val="auto"/>
        </w:rPr>
        <w:t>corporate and other items (Free Cash Flow for E&amp;P, Corporate &amp; Other), which it believes is a useful measure for investors to understand the results of CRC's core oil and gas</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14"/>
          <w:szCs w:val="14"/>
          <w:color w:val="auto"/>
        </w:rPr>
        <w:t>business. CRC defines Free Cash Flow for E&amp;P, Corporate &amp; Other as consolidated free cash flow less results attributable to its carbon management business (CMB). CRC defines adjusted free cash flow as net cash provided by operating activities less adjusted capital investments.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Year</w:t>
            </w:r>
          </w:p>
        </w:tc>
        <w:tc>
          <w:tcPr>
            <w:tcW w:w="200" w:type="dxa"/>
            <w:vAlign w:val="bottom"/>
          </w:tcPr>
          <w:p>
            <w:pPr>
              <w:spacing w:after="0"/>
              <w:rPr>
                <w:sz w:val="16"/>
                <w:szCs w:val="16"/>
                <w:color w:val="auto"/>
              </w:rPr>
            </w:pPr>
          </w:p>
        </w:tc>
        <w:tc>
          <w:tcPr>
            <w:tcW w:w="110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201"/>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millions)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8"/>
        </w:trPr>
        <w:tc>
          <w:tcPr>
            <w:tcW w:w="4240" w:type="dxa"/>
            <w:vAlign w:val="bottom"/>
          </w:tcPr>
          <w:p>
            <w:pPr>
              <w:spacing w:after="0"/>
              <w:rPr>
                <w:sz w:val="20"/>
                <w:szCs w:val="20"/>
                <w:color w:val="auto"/>
              </w:rPr>
            </w:pPr>
            <w:r>
              <w:rPr>
                <w:rFonts w:ascii="Arial" w:cs="Arial" w:eastAsia="Arial" w:hAnsi="Arial"/>
                <w:sz w:val="14"/>
                <w:szCs w:val="14"/>
                <w:color w:val="auto"/>
              </w:rPr>
              <w:t>Net cash provided by operating activities before changes in</w:t>
            </w:r>
          </w:p>
        </w:tc>
        <w:tc>
          <w:tcPr>
            <w:tcW w:w="1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104</w:t>
            </w:r>
          </w:p>
        </w:tc>
        <w:tc>
          <w:tcPr>
            <w:tcW w:w="100" w:type="dxa"/>
            <w:vAlign w:val="bottom"/>
          </w:tcPr>
          <w:p>
            <w:pPr>
              <w:spacing w:after="0"/>
              <w:rPr>
                <w:sz w:val="24"/>
                <w:szCs w:val="24"/>
                <w:color w:val="auto"/>
              </w:rPr>
            </w:pPr>
          </w:p>
        </w:tc>
        <w:tc>
          <w:tcPr>
            <w:tcW w:w="1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129</w:t>
            </w:r>
          </w:p>
        </w:tc>
        <w:tc>
          <w:tcPr>
            <w:tcW w:w="80" w:type="dxa"/>
            <w:vAlign w:val="bottom"/>
          </w:tcPr>
          <w:p>
            <w:pPr>
              <w:spacing w:after="0"/>
              <w:rPr>
                <w:sz w:val="24"/>
                <w:szCs w:val="24"/>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192</w:t>
            </w:r>
          </w:p>
        </w:tc>
        <w:tc>
          <w:tcPr>
            <w:tcW w:w="160" w:type="dxa"/>
            <w:vAlign w:val="bottom"/>
          </w:tcPr>
          <w:p>
            <w:pPr>
              <w:spacing w:after="0"/>
              <w:rPr>
                <w:sz w:val="24"/>
                <w:szCs w:val="24"/>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647</w:t>
            </w:r>
          </w:p>
        </w:tc>
        <w:tc>
          <w:tcPr>
            <w:tcW w:w="200" w:type="dxa"/>
            <w:vAlign w:val="bottom"/>
          </w:tcPr>
          <w:p>
            <w:pPr>
              <w:spacing w:after="0"/>
              <w:rPr>
                <w:sz w:val="24"/>
                <w:szCs w:val="24"/>
                <w:color w:val="auto"/>
              </w:rPr>
            </w:pPr>
          </w:p>
        </w:tc>
        <w:tc>
          <w:tcPr>
            <w:tcW w:w="2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747</w:t>
            </w:r>
          </w:p>
        </w:tc>
        <w:tc>
          <w:tcPr>
            <w:tcW w:w="0" w:type="dxa"/>
            <w:vAlign w:val="bottom"/>
          </w:tcPr>
          <w:p>
            <w:pPr>
              <w:spacing w:after="0"/>
              <w:rPr>
                <w:sz w:val="1"/>
                <w:szCs w:val="1"/>
                <w:color w:val="auto"/>
              </w:rPr>
            </w:pPr>
          </w:p>
        </w:tc>
      </w:tr>
      <w:tr>
        <w:trPr>
          <w:trHeight w:val="187"/>
        </w:trPr>
        <w:tc>
          <w:tcPr>
            <w:tcW w:w="4240" w:type="dxa"/>
            <w:vAlign w:val="bottom"/>
          </w:tcPr>
          <w:p>
            <w:pPr>
              <w:spacing w:after="0"/>
              <w:rPr>
                <w:sz w:val="20"/>
                <w:szCs w:val="20"/>
                <w:color w:val="auto"/>
              </w:rPr>
            </w:pPr>
            <w:r>
              <w:rPr>
                <w:rFonts w:ascii="Arial" w:cs="Arial" w:eastAsia="Arial" w:hAnsi="Arial"/>
                <w:sz w:val="14"/>
                <w:szCs w:val="14"/>
                <w:color w:val="auto"/>
              </w:rPr>
              <w:t>operating assets and liabilities, net</w:t>
            </w:r>
          </w:p>
        </w:tc>
        <w:tc>
          <w:tcPr>
            <w:tcW w:w="16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40" w:type="dxa"/>
            <w:vAlign w:val="bottom"/>
          </w:tcPr>
          <w:p>
            <w:pPr>
              <w:spacing w:after="0"/>
              <w:rPr>
                <w:sz w:val="20"/>
                <w:szCs w:val="20"/>
                <w:color w:val="auto"/>
              </w:rPr>
            </w:pPr>
            <w:r>
              <w:rPr>
                <w:rFonts w:ascii="Arial" w:cs="Arial" w:eastAsia="Arial" w:hAnsi="Arial"/>
                <w:sz w:val="14"/>
                <w:szCs w:val="14"/>
                <w:color w:val="auto"/>
              </w:rPr>
              <w:t>Changes in operating assets and liabilities, net</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r>
        <w:trPr>
          <w:trHeight w:val="193"/>
        </w:trPr>
        <w:tc>
          <w:tcPr>
            <w:tcW w:w="424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104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653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690</w:t>
            </w:r>
          </w:p>
        </w:tc>
        <w:tc>
          <w:tcPr>
            <w:tcW w:w="0" w:type="dxa"/>
            <w:vAlign w:val="bottom"/>
          </w:tcPr>
          <w:p>
            <w:pPr>
              <w:spacing w:after="0"/>
              <w:rPr>
                <w:sz w:val="1"/>
                <w:szCs w:val="1"/>
                <w:color w:val="auto"/>
              </w:rPr>
            </w:pPr>
          </w:p>
        </w:tc>
      </w:tr>
      <w:tr>
        <w:trPr>
          <w:trHeight w:val="201"/>
        </w:trPr>
        <w:tc>
          <w:tcPr>
            <w:tcW w:w="4240" w:type="dxa"/>
            <w:vAlign w:val="bottom"/>
          </w:tcPr>
          <w:p>
            <w:pPr>
              <w:spacing w:after="0"/>
              <w:rPr>
                <w:sz w:val="20"/>
                <w:szCs w:val="20"/>
                <w:color w:val="auto"/>
              </w:rPr>
            </w:pPr>
            <w:r>
              <w:rPr>
                <w:rFonts w:ascii="Arial" w:cs="Arial" w:eastAsia="Arial" w:hAnsi="Arial"/>
                <w:sz w:val="14"/>
                <w:szCs w:val="14"/>
                <w:color w:val="auto"/>
              </w:rPr>
              <w:t>Capital investments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(185)</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(379)</w:t>
            </w:r>
          </w:p>
        </w:tc>
        <w:tc>
          <w:tcPr>
            <w:tcW w:w="0" w:type="dxa"/>
            <w:vAlign w:val="bottom"/>
          </w:tcPr>
          <w:p>
            <w:pPr>
              <w:spacing w:after="0"/>
              <w:rPr>
                <w:sz w:val="1"/>
                <w:szCs w:val="1"/>
                <w:color w:val="auto"/>
              </w:rPr>
            </w:pPr>
          </w:p>
        </w:tc>
      </w:tr>
      <w:tr>
        <w:trPr>
          <w:trHeight w:val="194"/>
        </w:trPr>
        <w:tc>
          <w:tcPr>
            <w:tcW w:w="4240" w:type="dxa"/>
            <w:vAlign w:val="bottom"/>
          </w:tcPr>
          <w:p>
            <w:pPr>
              <w:spacing w:after="0"/>
              <w:rPr>
                <w:sz w:val="20"/>
                <w:szCs w:val="20"/>
                <w:color w:val="auto"/>
              </w:rPr>
            </w:pPr>
            <w:r>
              <w:rPr>
                <w:rFonts w:ascii="Arial" w:cs="Arial" w:eastAsia="Arial" w:hAnsi="Arial"/>
                <w:sz w:val="14"/>
                <w:szCs w:val="14"/>
                <w:color w:val="auto"/>
              </w:rPr>
              <w:t>Free cash flow</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71</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468</w:t>
            </w:r>
          </w:p>
        </w:tc>
        <w:tc>
          <w:tcPr>
            <w:tcW w:w="2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240" w:type="dxa"/>
            <w:vAlign w:val="bottom"/>
          </w:tcPr>
          <w:p>
            <w:pPr>
              <w:spacing w:after="0"/>
              <w:rPr>
                <w:sz w:val="20"/>
                <w:szCs w:val="20"/>
                <w:color w:val="auto"/>
              </w:rPr>
            </w:pPr>
            <w:r>
              <w:rPr>
                <w:rFonts w:ascii="Arial" w:cs="Arial" w:eastAsia="Arial" w:hAnsi="Arial"/>
                <w:sz w:val="14"/>
                <w:szCs w:val="14"/>
                <w:color w:val="auto"/>
              </w:rPr>
              <w:t>E&amp;P, Corporate and Other</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84</w:t>
            </w:r>
          </w:p>
        </w:tc>
        <w:tc>
          <w:tcPr>
            <w:tcW w:w="10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79</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16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511</w:t>
            </w:r>
          </w:p>
        </w:tc>
        <w:tc>
          <w:tcPr>
            <w:tcW w:w="2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362</w:t>
            </w:r>
          </w:p>
        </w:tc>
        <w:tc>
          <w:tcPr>
            <w:tcW w:w="0" w:type="dxa"/>
            <w:vAlign w:val="bottom"/>
          </w:tcPr>
          <w:p>
            <w:pPr>
              <w:spacing w:after="0"/>
              <w:rPr>
                <w:sz w:val="1"/>
                <w:szCs w:val="1"/>
                <w:color w:val="auto"/>
              </w:rPr>
            </w:pPr>
          </w:p>
        </w:tc>
      </w:tr>
      <w:tr>
        <w:trPr>
          <w:trHeight w:val="200"/>
        </w:trPr>
        <w:tc>
          <w:tcPr>
            <w:tcW w:w="4240" w:type="dxa"/>
            <w:vAlign w:val="bottom"/>
          </w:tcPr>
          <w:p>
            <w:pPr>
              <w:spacing w:after="0"/>
              <w:rPr>
                <w:sz w:val="20"/>
                <w:szCs w:val="20"/>
                <w:color w:val="auto"/>
              </w:rPr>
            </w:pPr>
            <w:r>
              <w:rPr>
                <w:rFonts w:ascii="Arial" w:cs="Arial" w:eastAsia="Arial" w:hAnsi="Arial"/>
                <w:sz w:val="14"/>
                <w:szCs w:val="14"/>
                <w:color w:val="auto"/>
              </w:rPr>
              <w:t>CMB</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6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2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460"/>
        </w:trPr>
        <w:tc>
          <w:tcPr>
            <w:tcW w:w="4240" w:type="dxa"/>
            <w:vAlign w:val="bottom"/>
          </w:tcPr>
          <w:p>
            <w:pPr>
              <w:spacing w:after="0"/>
              <w:rPr>
                <w:sz w:val="20"/>
                <w:szCs w:val="20"/>
                <w:color w:val="auto"/>
              </w:rPr>
            </w:pPr>
            <w:r>
              <w:rPr>
                <w:rFonts w:ascii="Arial" w:cs="Arial" w:eastAsia="Arial" w:hAnsi="Arial"/>
                <w:sz w:val="14"/>
                <w:szCs w:val="14"/>
                <w:color w:val="auto"/>
              </w:rPr>
              <w:t>Adjustments to capital investments: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240" w:type="dxa"/>
            <w:vAlign w:val="bottom"/>
          </w:tcPr>
          <w:p>
            <w:pPr>
              <w:ind w:left="120"/>
              <w:spacing w:after="0"/>
              <w:rPr>
                <w:sz w:val="20"/>
                <w:szCs w:val="20"/>
                <w:color w:val="auto"/>
              </w:rPr>
            </w:pPr>
            <w:r>
              <w:rPr>
                <w:rFonts w:ascii="Arial" w:cs="Arial" w:eastAsia="Arial" w:hAnsi="Arial"/>
                <w:sz w:val="14"/>
                <w:szCs w:val="14"/>
                <w:color w:val="auto"/>
              </w:rPr>
              <w:t>Replacement water facilities</w:t>
            </w:r>
            <w:r>
              <w:rPr>
                <w:rFonts w:ascii="Arial" w:cs="Arial" w:eastAsia="Arial" w:hAnsi="Arial"/>
                <w:sz w:val="18"/>
                <w:szCs w:val="18"/>
                <w:color w:val="auto"/>
                <w:vertAlign w:val="superscript"/>
              </w:rPr>
              <w:t>(1)</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8"/>
                <w:szCs w:val="18"/>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8"/>
                <w:szCs w:val="18"/>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8"/>
                <w:szCs w:val="18"/>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8"/>
                <w:szCs w:val="18"/>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20"/>
                <w:szCs w:val="20"/>
                <w:color w:val="auto"/>
              </w:rPr>
            </w:pPr>
            <w:r>
              <w:rPr>
                <w:rFonts w:ascii="Arial" w:cs="Arial" w:eastAsia="Arial" w:hAnsi="Arial"/>
                <w:sz w:val="14"/>
                <w:szCs w:val="14"/>
                <w:b w:val="1"/>
                <w:bCs w:val="1"/>
                <w:color w:val="auto"/>
              </w:rPr>
              <w:t>Adjusted capital investments:</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40" w:type="dxa"/>
            <w:vAlign w:val="bottom"/>
          </w:tcPr>
          <w:p>
            <w:pPr>
              <w:ind w:left="120"/>
              <w:spacing w:after="0"/>
              <w:rPr>
                <w:sz w:val="20"/>
                <w:szCs w:val="20"/>
                <w:color w:val="auto"/>
              </w:rPr>
            </w:pPr>
            <w:r>
              <w:rPr>
                <w:rFonts w:ascii="Arial" w:cs="Arial" w:eastAsia="Arial" w:hAnsi="Arial"/>
                <w:sz w:val="14"/>
                <w:szCs w:val="14"/>
                <w:color w:val="auto"/>
              </w:rPr>
              <w:t>E&amp;P, Corporate and Other</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32</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85</w:t>
            </w:r>
          </w:p>
        </w:tc>
        <w:tc>
          <w:tcPr>
            <w:tcW w:w="16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176</w:t>
            </w:r>
          </w:p>
        </w:tc>
        <w:tc>
          <w:tcPr>
            <w:tcW w:w="2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363</w:t>
            </w:r>
          </w:p>
        </w:tc>
        <w:tc>
          <w:tcPr>
            <w:tcW w:w="0" w:type="dxa"/>
            <w:vAlign w:val="bottom"/>
          </w:tcPr>
          <w:p>
            <w:pPr>
              <w:spacing w:after="0"/>
              <w:rPr>
                <w:sz w:val="1"/>
                <w:szCs w:val="1"/>
                <w:color w:val="auto"/>
              </w:rPr>
            </w:pPr>
          </w:p>
        </w:tc>
      </w:tr>
      <w:tr>
        <w:trPr>
          <w:trHeight w:val="200"/>
        </w:trPr>
        <w:tc>
          <w:tcPr>
            <w:tcW w:w="4240" w:type="dxa"/>
            <w:vAlign w:val="bottom"/>
          </w:tcPr>
          <w:p>
            <w:pPr>
              <w:ind w:left="120"/>
              <w:spacing w:after="0"/>
              <w:rPr>
                <w:sz w:val="20"/>
                <w:szCs w:val="20"/>
                <w:color w:val="auto"/>
              </w:rPr>
            </w:pPr>
            <w:r>
              <w:rPr>
                <w:rFonts w:ascii="Arial" w:cs="Arial" w:eastAsia="Arial" w:hAnsi="Arial"/>
                <w:sz w:val="14"/>
                <w:szCs w:val="14"/>
                <w:color w:val="auto"/>
              </w:rPr>
              <w:t>CMB</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6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9</w:t>
            </w:r>
          </w:p>
        </w:tc>
        <w:tc>
          <w:tcPr>
            <w:tcW w:w="2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466"/>
        </w:trPr>
        <w:tc>
          <w:tcPr>
            <w:tcW w:w="4240" w:type="dxa"/>
            <w:vAlign w:val="bottom"/>
          </w:tcPr>
          <w:p>
            <w:pPr>
              <w:spacing w:after="0"/>
              <w:rPr>
                <w:sz w:val="20"/>
                <w:szCs w:val="20"/>
                <w:color w:val="auto"/>
              </w:rPr>
            </w:pPr>
            <w:r>
              <w:rPr>
                <w:rFonts w:ascii="Arial" w:cs="Arial" w:eastAsia="Arial" w:hAnsi="Arial"/>
                <w:sz w:val="14"/>
                <w:szCs w:val="14"/>
                <w:b w:val="1"/>
                <w:bCs w:val="1"/>
                <w:color w:val="auto"/>
              </w:rPr>
              <w:t>Adjusted free cash flow:</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240" w:type="dxa"/>
            <w:vAlign w:val="bottom"/>
          </w:tcPr>
          <w:p>
            <w:pPr>
              <w:spacing w:after="0"/>
              <w:rPr>
                <w:sz w:val="20"/>
                <w:szCs w:val="20"/>
                <w:color w:val="auto"/>
              </w:rPr>
            </w:pPr>
            <w:r>
              <w:rPr>
                <w:rFonts w:ascii="Arial" w:cs="Arial" w:eastAsia="Arial" w:hAnsi="Arial"/>
                <w:sz w:val="14"/>
                <w:szCs w:val="14"/>
                <w:color w:val="auto"/>
              </w:rPr>
              <w:t>E&amp;P, Corporate and Other</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85</w:t>
            </w:r>
          </w:p>
        </w:tc>
        <w:tc>
          <w:tcPr>
            <w:tcW w:w="100" w:type="dxa"/>
            <w:vAlign w:val="bottom"/>
          </w:tcPr>
          <w:p>
            <w:pPr>
              <w:spacing w:after="0"/>
              <w:rPr>
                <w:sz w:val="22"/>
                <w:szCs w:val="22"/>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80</w:t>
            </w:r>
          </w:p>
        </w:tc>
        <w:tc>
          <w:tcPr>
            <w:tcW w:w="80" w:type="dxa"/>
            <w:vAlign w:val="bottom"/>
          </w:tcPr>
          <w:p>
            <w:pPr>
              <w:spacing w:after="0"/>
              <w:rPr>
                <w:sz w:val="22"/>
                <w:szCs w:val="22"/>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64</w:t>
            </w:r>
          </w:p>
        </w:tc>
        <w:tc>
          <w:tcPr>
            <w:tcW w:w="160" w:type="dxa"/>
            <w:vAlign w:val="bottom"/>
          </w:tcPr>
          <w:p>
            <w:pPr>
              <w:spacing w:after="0"/>
              <w:rPr>
                <w:sz w:val="22"/>
                <w:szCs w:val="22"/>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515</w:t>
            </w:r>
          </w:p>
        </w:tc>
        <w:tc>
          <w:tcPr>
            <w:tcW w:w="200" w:type="dxa"/>
            <w:vAlign w:val="bottom"/>
          </w:tcPr>
          <w:p>
            <w:pPr>
              <w:spacing w:after="0"/>
              <w:rPr>
                <w:sz w:val="22"/>
                <w:szCs w:val="22"/>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374</w:t>
            </w:r>
          </w:p>
        </w:tc>
        <w:tc>
          <w:tcPr>
            <w:tcW w:w="0" w:type="dxa"/>
            <w:vAlign w:val="bottom"/>
          </w:tcPr>
          <w:p>
            <w:pPr>
              <w:spacing w:after="0"/>
              <w:rPr>
                <w:sz w:val="1"/>
                <w:szCs w:val="1"/>
                <w:color w:val="auto"/>
              </w:rPr>
            </w:pPr>
          </w:p>
        </w:tc>
      </w:tr>
      <w:tr>
        <w:trPr>
          <w:trHeight w:val="200"/>
        </w:trPr>
        <w:tc>
          <w:tcPr>
            <w:tcW w:w="4240" w:type="dxa"/>
            <w:vAlign w:val="bottom"/>
          </w:tcPr>
          <w:p>
            <w:pPr>
              <w:spacing w:after="0"/>
              <w:rPr>
                <w:sz w:val="20"/>
                <w:szCs w:val="20"/>
                <w:color w:val="auto"/>
              </w:rPr>
            </w:pPr>
            <w:r>
              <w:rPr>
                <w:rFonts w:ascii="Arial" w:cs="Arial" w:eastAsia="Arial" w:hAnsi="Arial"/>
                <w:sz w:val="14"/>
                <w:szCs w:val="14"/>
                <w:color w:val="auto"/>
              </w:rPr>
              <w:t>CMB</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6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2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20" w:firstLine="4"/>
        <w:spacing w:after="0" w:line="215" w:lineRule="auto"/>
        <w:tabs>
          <w:tab w:leader="none" w:pos="142"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Facilities capital includes $1 million, $1 million and $4 million in the third and second quarter of 2023 and third quarter of 2022, respectively, to build replacement water injection facilities which will allow CRC to divert produced water away from a depleted oil and natural gas reservoir held by the Carbon TerraVault JV. Construction of these facilities supports the advancement of CRC’s carbon management business and CRC reported these amounts as part of adjusted CMB capital in this press release. Where adjusted CMB capital is presented, CRC removed the amounts from facilities capital and presented adjusted E&amp;P, Corporate and Other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100"/>
          </w:cols>
          <w:pgMar w:left="400" w:top="1103" w:right="399" w:bottom="1440" w:gutter="0" w:footer="0" w:header="0"/>
        </w:sectPr>
      </w:pPr>
    </w:p>
    <w:bookmarkStart w:id="20" w:name="page21"/>
    <w:bookmarkEnd w:id="20"/>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207645</wp:posOffset>
            </wp:positionH>
            <wp:positionV relativeFrom="page">
              <wp:posOffset>664210</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689610</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t>ADJUSTED GENERAL &amp; ADMINISTRATIVE EXPENSES</w:t>
      </w:r>
    </w:p>
    <w:p>
      <w:pPr>
        <w:spacing w:after="0" w:line="132" w:lineRule="exact"/>
        <w:rPr>
          <w:sz w:val="20"/>
          <w:szCs w:val="20"/>
          <w:color w:val="auto"/>
        </w:rPr>
      </w:pPr>
    </w:p>
    <w:p>
      <w:pPr>
        <w:jc w:val="both"/>
        <w:ind w:left="20" w:right="20"/>
        <w:spacing w:after="0" w:line="248" w:lineRule="auto"/>
        <w:rPr>
          <w:sz w:val="20"/>
          <w:szCs w:val="20"/>
          <w:color w:val="auto"/>
        </w:rPr>
      </w:pPr>
      <w:r>
        <w:rPr>
          <w:rFonts w:ascii="Arial" w:cs="Arial" w:eastAsia="Arial" w:hAnsi="Arial"/>
          <w:sz w:val="14"/>
          <w:szCs w:val="14"/>
          <w:color w:val="auto"/>
        </w:rPr>
        <w:t>Management uses a measure called adjusted general and administrative (G&amp;A) expenses to provide useful information to investors interested in comparing CRC's costs between periods and performance to our peers. CRC supplemented its non-GAAP measure of adjusted general and administrative expenses with adjusted general and administrative expenses of its exploration and production and corporate items (adjusted general &amp; administrative expenses for E&amp;P, Corporate &amp; Other) which it believes is a useful measure for investors to understand the results or CRC's core oil and gas business. CRC defines adjusted general &amp; administrative Expenses for E&amp;P, Corporate &amp; Other as consolidated adjusted general and administrative expenses less results attributable to its carbon management business (CMB).</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4th Quarter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Year</w:t>
            </w:r>
          </w:p>
        </w:tc>
        <w:tc>
          <w:tcPr>
            <w:tcW w:w="180" w:type="dxa"/>
            <w:vAlign w:val="bottom"/>
          </w:tcPr>
          <w:p>
            <w:pPr>
              <w:spacing w:after="0"/>
              <w:rPr>
                <w:sz w:val="16"/>
                <w:szCs w:val="16"/>
                <w:color w:val="auto"/>
              </w:rPr>
            </w:pPr>
          </w:p>
        </w:tc>
        <w:tc>
          <w:tcPr>
            <w:tcW w:w="1040" w:type="dxa"/>
            <w:vAlign w:val="bottom"/>
          </w:tcPr>
          <w:p>
            <w:pPr>
              <w:jc w:val="right"/>
              <w:ind w:right="209"/>
              <w:spacing w:after="0"/>
              <w:rPr>
                <w:sz w:val="20"/>
                <w:szCs w:val="20"/>
                <w:color w:val="auto"/>
              </w:rPr>
            </w:pPr>
            <w:r>
              <w:rPr>
                <w:rFonts w:ascii="Arial" w:cs="Arial" w:eastAsia="Arial" w:hAnsi="Arial"/>
                <w:sz w:val="14"/>
                <w:szCs w:val="14"/>
                <w:b w:val="1"/>
                <w:bCs w:val="1"/>
                <w:color w:val="auto"/>
              </w:rPr>
              <w:t>Total Year</w:t>
            </w:r>
          </w:p>
        </w:tc>
      </w:tr>
      <w:tr>
        <w:trPr>
          <w:trHeight w:val="201"/>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0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r>
      <w:tr>
        <w:trPr>
          <w:trHeight w:val="193"/>
        </w:trPr>
        <w:tc>
          <w:tcPr>
            <w:tcW w:w="484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1000" w:type="dxa"/>
            <w:vAlign w:val="bottom"/>
          </w:tcPr>
          <w:p>
            <w:pPr>
              <w:jc w:val="right"/>
              <w:ind w:right="82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89"/>
              </w:rPr>
              <w:t>66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267</w:t>
            </w:r>
          </w:p>
        </w:tc>
        <w:tc>
          <w:tcPr>
            <w:tcW w:w="16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222</w:t>
            </w:r>
          </w:p>
        </w:tc>
      </w:tr>
      <w:tr>
        <w:trPr>
          <w:trHeight w:val="200"/>
        </w:trPr>
        <w:tc>
          <w:tcPr>
            <w:tcW w:w="48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r>
        <w:trPr>
          <w:trHeight w:val="200"/>
        </w:trPr>
        <w:tc>
          <w:tcPr>
            <w:tcW w:w="4840" w:type="dxa"/>
            <w:vAlign w:val="bottom"/>
          </w:tcPr>
          <w:p>
            <w:pPr>
              <w:ind w:left="20"/>
              <w:spacing w:after="0"/>
              <w:rPr>
                <w:sz w:val="20"/>
                <w:szCs w:val="20"/>
                <w:color w:val="auto"/>
              </w:rPr>
            </w:pPr>
            <w:r>
              <w:rPr>
                <w:rFonts w:ascii="Arial" w:cs="Arial" w:eastAsia="Arial" w:hAnsi="Arial"/>
                <w:sz w:val="14"/>
                <w:szCs w:val="14"/>
                <w:color w:val="auto"/>
              </w:rPr>
              <w:t>Information technology infrastructure</w:t>
            </w:r>
          </w:p>
        </w:tc>
        <w:tc>
          <w:tcPr>
            <w:tcW w:w="10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201"/>
        </w:trPr>
        <w:tc>
          <w:tcPr>
            <w:tcW w:w="4840" w:type="dxa"/>
            <w:vAlign w:val="bottom"/>
          </w:tcPr>
          <w:p>
            <w:pPr>
              <w:ind w:left="20"/>
              <w:spacing w:after="0"/>
              <w:rPr>
                <w:sz w:val="20"/>
                <w:szCs w:val="20"/>
                <w:color w:val="auto"/>
              </w:rPr>
            </w:pPr>
            <w:r>
              <w:rPr>
                <w:rFonts w:ascii="Arial" w:cs="Arial" w:eastAsia="Arial" w:hAnsi="Arial"/>
                <w:sz w:val="14"/>
                <w:szCs w:val="14"/>
                <w:color w:val="auto"/>
              </w:rPr>
              <w:t>Other</w:t>
            </w:r>
          </w:p>
        </w:tc>
        <w:tc>
          <w:tcPr>
            <w:tcW w:w="10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4"/>
        </w:trPr>
        <w:tc>
          <w:tcPr>
            <w:tcW w:w="4840" w:type="dxa"/>
            <w:vAlign w:val="bottom"/>
          </w:tcPr>
          <w:p>
            <w:pPr>
              <w:ind w:left="20"/>
              <w:spacing w:after="0"/>
              <w:rPr>
                <w:sz w:val="20"/>
                <w:szCs w:val="20"/>
                <w:color w:val="auto"/>
              </w:rPr>
            </w:pPr>
            <w:r>
              <w:rPr>
                <w:rFonts w:ascii="Arial" w:cs="Arial" w:eastAsia="Arial" w:hAnsi="Arial"/>
                <w:sz w:val="14"/>
                <w:szCs w:val="14"/>
                <w:color w:val="auto"/>
              </w:rPr>
              <w:t>Adjusted G&amp;A expenses</w:t>
            </w:r>
          </w:p>
        </w:tc>
        <w:tc>
          <w:tcPr>
            <w:tcW w:w="1000" w:type="dxa"/>
            <w:vAlign w:val="bottom"/>
            <w:tcBorders>
              <w:top w:val="single" w:sz="8" w:color="auto"/>
              <w:bottom w:val="single" w:sz="8" w:color="auto"/>
            </w:tcBorders>
          </w:tcPr>
          <w:p>
            <w:pPr>
              <w:jc w:val="right"/>
              <w:ind w:right="829"/>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55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218</w:t>
            </w:r>
          </w:p>
        </w:tc>
        <w:tc>
          <w:tcPr>
            <w:tcW w:w="1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w:t>
            </w:r>
          </w:p>
        </w:tc>
      </w:tr>
      <w:tr>
        <w:trPr>
          <w:trHeight w:val="20"/>
        </w:trPr>
        <w:tc>
          <w:tcPr>
            <w:tcW w:w="4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78"/>
        </w:trPr>
        <w:tc>
          <w:tcPr>
            <w:tcW w:w="4840" w:type="dxa"/>
            <w:vAlign w:val="bottom"/>
          </w:tcPr>
          <w:p>
            <w:pPr>
              <w:ind w:left="20"/>
              <w:spacing w:after="0"/>
              <w:rPr>
                <w:sz w:val="20"/>
                <w:szCs w:val="20"/>
                <w:color w:val="auto"/>
              </w:rPr>
            </w:pPr>
            <w:r>
              <w:rPr>
                <w:rFonts w:ascii="Arial" w:cs="Arial" w:eastAsia="Arial" w:hAnsi="Arial"/>
                <w:sz w:val="14"/>
                <w:szCs w:val="14"/>
                <w:color w:val="auto"/>
              </w:rPr>
              <w:t>E&amp;P, Corporate and Other adjusted G&amp;A expenses</w:t>
            </w:r>
          </w:p>
        </w:tc>
        <w:tc>
          <w:tcPr>
            <w:tcW w:w="1000" w:type="dxa"/>
            <w:vAlign w:val="bottom"/>
          </w:tcPr>
          <w:p>
            <w:pPr>
              <w:jc w:val="right"/>
              <w:ind w:right="82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89"/>
              </w:rPr>
              <w:t>53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206</w:t>
            </w:r>
          </w:p>
        </w:tc>
        <w:tc>
          <w:tcPr>
            <w:tcW w:w="16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189</w:t>
            </w:r>
          </w:p>
        </w:tc>
      </w:tr>
      <w:tr>
        <w:trPr>
          <w:trHeight w:val="200"/>
        </w:trPr>
        <w:tc>
          <w:tcPr>
            <w:tcW w:w="4840" w:type="dxa"/>
            <w:vAlign w:val="bottom"/>
          </w:tcPr>
          <w:p>
            <w:pPr>
              <w:ind w:left="20"/>
              <w:spacing w:after="0"/>
              <w:rPr>
                <w:sz w:val="20"/>
                <w:szCs w:val="20"/>
                <w:color w:val="auto"/>
              </w:rPr>
            </w:pPr>
            <w:r>
              <w:rPr>
                <w:rFonts w:ascii="Arial" w:cs="Arial" w:eastAsia="Arial" w:hAnsi="Arial"/>
                <w:sz w:val="14"/>
                <w:szCs w:val="14"/>
                <w:color w:val="auto"/>
              </w:rPr>
              <w:t>CMB adjusted G&amp;A expenses</w:t>
            </w:r>
          </w:p>
        </w:tc>
        <w:tc>
          <w:tcPr>
            <w:tcW w:w="1000" w:type="dxa"/>
            <w:vAlign w:val="bottom"/>
          </w:tcPr>
          <w:p>
            <w:pPr>
              <w:jc w:val="right"/>
              <w:ind w:right="82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6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144780</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COSTS PER BOE</w:t>
      </w:r>
    </w:p>
    <w:p>
      <w:pPr>
        <w:spacing w:after="0" w:line="132" w:lineRule="exact"/>
        <w:rPr>
          <w:sz w:val="20"/>
          <w:szCs w:val="20"/>
          <w:color w:val="auto"/>
        </w:rPr>
      </w:pPr>
    </w:p>
    <w:p>
      <w:pPr>
        <w:jc w:val="both"/>
        <w:ind w:left="20" w:right="20"/>
        <w:spacing w:after="0" w:line="259" w:lineRule="auto"/>
        <w:rPr>
          <w:sz w:val="20"/>
          <w:szCs w:val="20"/>
          <w:color w:val="auto"/>
        </w:rPr>
      </w:pPr>
      <w:r>
        <w:rPr>
          <w:rFonts w:ascii="Arial" w:cs="Arial" w:eastAsia="Arial" w:hAnsi="Arial"/>
          <w:sz w:val="14"/>
          <w:szCs w:val="14"/>
          <w:color w:val="auto"/>
        </w:rPr>
        <w:t>The reporting of PSC-type contracts creates a difference between reported operating costs, which are for the full field, and reported volumes, which are only CRC's net share, inflating the per barrel operating costs. The following table presents operating costs after adjusting for the excess costs attributable to PSCs.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14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Year</w:t>
            </w:r>
          </w:p>
        </w:tc>
        <w:tc>
          <w:tcPr>
            <w:tcW w:w="180" w:type="dxa"/>
            <w:vAlign w:val="bottom"/>
          </w:tcPr>
          <w:p>
            <w:pPr>
              <w:spacing w:after="0"/>
              <w:rPr>
                <w:sz w:val="16"/>
                <w:szCs w:val="16"/>
                <w:color w:val="auto"/>
              </w:rPr>
            </w:pPr>
          </w:p>
        </w:tc>
        <w:tc>
          <w:tcPr>
            <w:tcW w:w="1040" w:type="dxa"/>
            <w:vAlign w:val="bottom"/>
          </w:tcPr>
          <w:p>
            <w:pPr>
              <w:jc w:val="right"/>
              <w:ind w:right="209"/>
              <w:spacing w:after="0"/>
              <w:rPr>
                <w:sz w:val="20"/>
                <w:szCs w:val="20"/>
                <w:color w:val="auto"/>
              </w:rPr>
            </w:pPr>
            <w:r>
              <w:rPr>
                <w:rFonts w:ascii="Arial" w:cs="Arial" w:eastAsia="Arial" w:hAnsi="Arial"/>
                <w:sz w:val="14"/>
                <w:szCs w:val="14"/>
                <w:b w:val="1"/>
                <w:bCs w:val="1"/>
                <w:color w:val="auto"/>
              </w:rPr>
              <w:t>Total Year</w:t>
            </w:r>
          </w:p>
        </w:tc>
      </w:tr>
      <w:tr>
        <w:trPr>
          <w:trHeight w:val="201"/>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per BOE)</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r>
      <w:tr>
        <w:trPr>
          <w:trHeight w:val="196"/>
        </w:trPr>
        <w:tc>
          <w:tcPr>
            <w:tcW w:w="4840" w:type="dxa"/>
            <w:vAlign w:val="bottom"/>
          </w:tcPr>
          <w:p>
            <w:pPr>
              <w:ind w:left="20"/>
              <w:spacing w:after="0" w:line="195" w:lineRule="exact"/>
              <w:rPr>
                <w:sz w:val="20"/>
                <w:szCs w:val="20"/>
                <w:color w:val="auto"/>
              </w:rPr>
            </w:pPr>
            <w:r>
              <w:rPr>
                <w:rFonts w:ascii="Arial" w:cs="Arial" w:eastAsia="Arial" w:hAnsi="Arial"/>
                <w:sz w:val="14"/>
                <w:szCs w:val="14"/>
                <w:color w:val="auto"/>
              </w:rPr>
              <w:t xml:space="preserve">Energy operating costs </w:t>
            </w:r>
            <w:r>
              <w:rPr>
                <w:rFonts w:ascii="Arial" w:cs="Arial" w:eastAsia="Arial" w:hAnsi="Arial"/>
                <w:sz w:val="18"/>
                <w:szCs w:val="1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8.65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9.42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9.56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10.31</w:t>
            </w:r>
          </w:p>
        </w:tc>
        <w:tc>
          <w:tcPr>
            <w:tcW w:w="16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9.76</w:t>
            </w:r>
          </w:p>
        </w:tc>
      </w:tr>
      <w:tr>
        <w:trPr>
          <w:trHeight w:val="202"/>
        </w:trPr>
        <w:tc>
          <w:tcPr>
            <w:tcW w:w="484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Gas processing costs </w:t>
            </w:r>
            <w:r>
              <w:rPr>
                <w:rFonts w:ascii="Arial" w:cs="Arial" w:eastAsia="Arial" w:hAnsi="Arial"/>
                <w:sz w:val="18"/>
                <w:szCs w:val="18"/>
                <w:color w:val="auto"/>
                <w:vertAlign w:val="superscript"/>
              </w:rPr>
              <w:t>(2)</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0.58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0.52</w:t>
            </w:r>
          </w:p>
        </w:tc>
      </w:tr>
      <w:tr>
        <w:trPr>
          <w:trHeight w:val="195"/>
        </w:trPr>
        <w:tc>
          <w:tcPr>
            <w:tcW w:w="4840" w:type="dxa"/>
            <w:vAlign w:val="bottom"/>
          </w:tcPr>
          <w:p>
            <w:pPr>
              <w:ind w:left="20"/>
              <w:spacing w:after="0"/>
              <w:rPr>
                <w:sz w:val="20"/>
                <w:szCs w:val="20"/>
                <w:color w:val="auto"/>
              </w:rPr>
            </w:pPr>
            <w:r>
              <w:rPr>
                <w:rFonts w:ascii="Arial" w:cs="Arial" w:eastAsia="Arial" w:hAnsi="Arial"/>
                <w:sz w:val="14"/>
                <w:szCs w:val="14"/>
                <w:color w:val="auto"/>
              </w:rPr>
              <w:t>Non-energy operating costs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15.35</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13.47</w:t>
            </w:r>
          </w:p>
        </w:tc>
      </w:tr>
      <w:tr>
        <w:trPr>
          <w:trHeight w:val="193"/>
        </w:trPr>
        <w:tc>
          <w:tcPr>
            <w:tcW w:w="4840" w:type="dxa"/>
            <w:vAlign w:val="bottom"/>
          </w:tcPr>
          <w:p>
            <w:pPr>
              <w:ind w:left="140"/>
              <w:spacing w:after="0"/>
              <w:rPr>
                <w:sz w:val="20"/>
                <w:szCs w:val="20"/>
                <w:color w:val="auto"/>
              </w:rPr>
            </w:pPr>
            <w:r>
              <w:rPr>
                <w:rFonts w:ascii="Arial" w:cs="Arial" w:eastAsia="Arial" w:hAnsi="Arial"/>
                <w:sz w:val="14"/>
                <w:szCs w:val="14"/>
                <w:b w:val="1"/>
                <w:bCs w:val="1"/>
                <w:color w:val="auto"/>
              </w:rPr>
              <w:t>Operating costs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24.49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24.96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23.86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26.24</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23.75</w:t>
            </w:r>
          </w:p>
        </w:tc>
      </w:tr>
      <w:tr>
        <w:trPr>
          <w:trHeight w:val="387"/>
        </w:trPr>
        <w:tc>
          <w:tcPr>
            <w:tcW w:w="4840" w:type="dxa"/>
            <w:vAlign w:val="bottom"/>
          </w:tcPr>
          <w:p>
            <w:pPr>
              <w:ind w:left="20"/>
              <w:spacing w:after="0"/>
              <w:rPr>
                <w:sz w:val="20"/>
                <w:szCs w:val="20"/>
                <w:color w:val="auto"/>
              </w:rPr>
            </w:pPr>
            <w:r>
              <w:rPr>
                <w:rFonts w:ascii="Arial" w:cs="Arial" w:eastAsia="Arial" w:hAnsi="Arial"/>
                <w:sz w:val="14"/>
                <w:szCs w:val="14"/>
                <w:color w:val="auto"/>
              </w:rPr>
              <w:t>Costs attributable to PSCs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6"/>
        </w:trPr>
        <w:tc>
          <w:tcPr>
            <w:tcW w:w="4840" w:type="dxa"/>
            <w:vAlign w:val="bottom"/>
          </w:tcPr>
          <w:p>
            <w:pPr>
              <w:ind w:left="140"/>
              <w:spacing w:after="0"/>
              <w:rPr>
                <w:sz w:val="20"/>
                <w:szCs w:val="20"/>
                <w:color w:val="auto"/>
              </w:rPr>
            </w:pPr>
            <w:r>
              <w:rPr>
                <w:rFonts w:ascii="Arial" w:cs="Arial" w:eastAsia="Arial" w:hAnsi="Arial"/>
                <w:sz w:val="14"/>
                <w:szCs w:val="14"/>
                <w:color w:val="auto"/>
              </w:rPr>
              <w:t>Excess energy operating costs attributable to PSCs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(0.76)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16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(0.92)</w:t>
            </w:r>
          </w:p>
        </w:tc>
      </w:tr>
      <w:tr>
        <w:trPr>
          <w:trHeight w:val="200"/>
        </w:trPr>
        <w:tc>
          <w:tcPr>
            <w:tcW w:w="4840" w:type="dxa"/>
            <w:vAlign w:val="bottom"/>
          </w:tcPr>
          <w:p>
            <w:pPr>
              <w:ind w:left="140"/>
              <w:spacing w:after="0"/>
              <w:rPr>
                <w:sz w:val="20"/>
                <w:szCs w:val="20"/>
                <w:color w:val="auto"/>
              </w:rPr>
            </w:pPr>
            <w:r>
              <w:rPr>
                <w:rFonts w:ascii="Arial" w:cs="Arial" w:eastAsia="Arial" w:hAnsi="Arial"/>
                <w:sz w:val="14"/>
                <w:szCs w:val="14"/>
                <w:color w:val="auto"/>
              </w:rPr>
              <w:t>Excess non-energy operating costs attributable to PSCs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w:t>
            </w:r>
          </w:p>
        </w:tc>
      </w:tr>
      <w:tr>
        <w:trPr>
          <w:trHeight w:val="193"/>
        </w:trPr>
        <w:tc>
          <w:tcPr>
            <w:tcW w:w="4840" w:type="dxa"/>
            <w:vAlign w:val="bottom"/>
          </w:tcPr>
          <w:p>
            <w:pPr>
              <w:ind w:left="260"/>
              <w:spacing w:after="0"/>
              <w:rPr>
                <w:sz w:val="20"/>
                <w:szCs w:val="20"/>
                <w:color w:val="auto"/>
              </w:rPr>
            </w:pPr>
            <w:r>
              <w:rPr>
                <w:rFonts w:ascii="Arial" w:cs="Arial" w:eastAsia="Arial" w:hAnsi="Arial"/>
                <w:sz w:val="14"/>
                <w:szCs w:val="14"/>
                <w:b w:val="1"/>
                <w:bCs w:val="1"/>
                <w:color w:val="auto"/>
              </w:rPr>
              <w:t>Excess costs attributable to PSCs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(2.25)</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(2.23)</w:t>
            </w:r>
          </w:p>
        </w:tc>
      </w:tr>
      <w:tr>
        <w:trPr>
          <w:trHeight w:val="396"/>
        </w:trPr>
        <w:tc>
          <w:tcPr>
            <w:tcW w:w="4840" w:type="dxa"/>
            <w:vAlign w:val="bottom"/>
          </w:tcPr>
          <w:p>
            <w:pPr>
              <w:ind w:left="140"/>
              <w:spacing w:after="0"/>
              <w:rPr>
                <w:sz w:val="20"/>
                <w:szCs w:val="20"/>
                <w:color w:val="auto"/>
              </w:rPr>
            </w:pPr>
            <w:r>
              <w:rPr>
                <w:rFonts w:ascii="Arial" w:cs="Arial" w:eastAsia="Arial" w:hAnsi="Arial"/>
                <w:sz w:val="14"/>
                <w:szCs w:val="14"/>
                <w:color w:val="auto"/>
              </w:rPr>
              <w:t xml:space="preserve">Energy operating costs, excluding effect of PSCs </w:t>
            </w:r>
            <w:r>
              <w:rPr>
                <w:rFonts w:ascii="Arial" w:cs="Arial" w:eastAsia="Arial" w:hAnsi="Arial"/>
                <w:sz w:val="18"/>
                <w:szCs w:val="1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7.64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8.33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8.80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9.31</w:t>
            </w:r>
          </w:p>
        </w:tc>
        <w:tc>
          <w:tcPr>
            <w:tcW w:w="16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8.84</w:t>
            </w:r>
          </w:p>
        </w:tc>
      </w:tr>
      <w:tr>
        <w:trPr>
          <w:trHeight w:val="202"/>
        </w:trPr>
        <w:tc>
          <w:tcPr>
            <w:tcW w:w="4840" w:type="dxa"/>
            <w:vAlign w:val="bottom"/>
          </w:tcPr>
          <w:p>
            <w:pPr>
              <w:ind w:left="140"/>
              <w:spacing w:after="0" w:line="202" w:lineRule="exact"/>
              <w:rPr>
                <w:sz w:val="20"/>
                <w:szCs w:val="20"/>
                <w:color w:val="auto"/>
              </w:rPr>
            </w:pPr>
            <w:r>
              <w:rPr>
                <w:rFonts w:ascii="Arial" w:cs="Arial" w:eastAsia="Arial" w:hAnsi="Arial"/>
                <w:sz w:val="14"/>
                <w:szCs w:val="14"/>
                <w:color w:val="auto"/>
              </w:rPr>
              <w:t xml:space="preserve">Gas processing costs, excluding effect of PSCs </w:t>
            </w:r>
            <w:r>
              <w:rPr>
                <w:rFonts w:ascii="Arial" w:cs="Arial" w:eastAsia="Arial" w:hAnsi="Arial"/>
                <w:sz w:val="18"/>
                <w:szCs w:val="18"/>
                <w:color w:val="auto"/>
                <w:vertAlign w:val="superscript"/>
              </w:rPr>
              <w:t>(2)</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0.58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0.52</w:t>
            </w:r>
          </w:p>
        </w:tc>
      </w:tr>
      <w:tr>
        <w:trPr>
          <w:trHeight w:val="195"/>
        </w:trPr>
        <w:tc>
          <w:tcPr>
            <w:tcW w:w="4840" w:type="dxa"/>
            <w:vAlign w:val="bottom"/>
          </w:tcPr>
          <w:p>
            <w:pPr>
              <w:ind w:left="140"/>
              <w:spacing w:after="0"/>
              <w:rPr>
                <w:sz w:val="20"/>
                <w:szCs w:val="20"/>
                <w:color w:val="auto"/>
              </w:rPr>
            </w:pPr>
            <w:r>
              <w:rPr>
                <w:rFonts w:ascii="Arial" w:cs="Arial" w:eastAsia="Arial" w:hAnsi="Arial"/>
                <w:sz w:val="14"/>
                <w:szCs w:val="14"/>
                <w:color w:val="auto"/>
              </w:rPr>
              <w:t>Non-energy operating costs, excluding effect of PSCs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14.10</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12.16</w:t>
            </w:r>
          </w:p>
        </w:tc>
      </w:tr>
      <w:tr>
        <w:trPr>
          <w:trHeight w:val="194"/>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Operating costs, excluding effects of PSCs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22.16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22.57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21.96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23.99</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21.52</w:t>
            </w:r>
          </w:p>
        </w:tc>
      </w:tr>
      <w:tr>
        <w:trPr>
          <w:trHeight w:val="20"/>
        </w:trPr>
        <w:tc>
          <w:tcPr>
            <w:tcW w:w="4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20" w:right="480" w:firstLine="4"/>
        <w:spacing w:after="0" w:line="219" w:lineRule="auto"/>
        <w:tabs>
          <w:tab w:leader="none" w:pos="153"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Energy operating costs consist of purchased natural gas used to generate electricity for operations and steamfloods, purchased electricity and internal costs to generate electricity used in CRC's operations.</w:t>
      </w:r>
    </w:p>
    <w:p>
      <w:pPr>
        <w:spacing w:after="0" w:line="23" w:lineRule="exact"/>
        <w:rPr>
          <w:rFonts w:ascii="Arial" w:cs="Arial" w:eastAsia="Arial" w:hAnsi="Arial"/>
          <w:sz w:val="15"/>
          <w:szCs w:val="15"/>
          <w:color w:val="auto"/>
          <w:vertAlign w:val="superscript"/>
        </w:rPr>
      </w:pPr>
    </w:p>
    <w:p>
      <w:pPr>
        <w:ind w:left="140" w:hanging="116"/>
        <w:spacing w:after="0"/>
        <w:tabs>
          <w:tab w:leader="none" w:pos="140" w:val="left"/>
        </w:tabs>
        <w:numPr>
          <w:ilvl w:val="0"/>
          <w:numId w:val="18"/>
        </w:numPr>
        <w:rPr>
          <w:rFonts w:ascii="Arial" w:cs="Arial" w:eastAsia="Arial" w:hAnsi="Arial"/>
          <w:sz w:val="14"/>
          <w:szCs w:val="14"/>
          <w:color w:val="auto"/>
          <w:vertAlign w:val="superscript"/>
        </w:rPr>
      </w:pPr>
      <w:r>
        <w:rPr>
          <w:rFonts w:ascii="Arial" w:cs="Arial" w:eastAsia="Arial" w:hAnsi="Arial"/>
          <w:sz w:val="11"/>
          <w:szCs w:val="11"/>
          <w:color w:val="auto"/>
        </w:rPr>
        <w:t>Gas processing costs include costs associated with compression, maintenance and other activities needed to run CRC's gas processing facilities at Elk Hills.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240"/>
          </w:cols>
          <w:pgMar w:left="320" w:top="1103" w:right="339" w:bottom="1440" w:gutter="0" w:footer="0" w:header="0"/>
        </w:sectPr>
      </w:pPr>
    </w:p>
    <w:bookmarkStart w:id="21" w:name="page22"/>
    <w:bookmarkEnd w:id="21"/>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4</w:t>
            </w:r>
          </w:p>
        </w:tc>
      </w:tr>
      <w:tr>
        <w:trPr>
          <w:trHeight w:val="21"/>
        </w:trPr>
        <w:tc>
          <w:tcPr>
            <w:tcW w:w="4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2"/>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PRODUCTION STATISTICS</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0"/>
        </w:trPr>
        <w:tc>
          <w:tcPr>
            <w:tcW w:w="428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4th Quarter</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3rd Quarter</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4th Quarter</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Total Year</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Total Year</w:t>
            </w:r>
          </w:p>
        </w:tc>
      </w:tr>
      <w:tr>
        <w:trPr>
          <w:trHeight w:val="201"/>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Production Per Day</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r>
      <w:tr>
        <w:trPr>
          <w:trHeight w:val="193"/>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Oil (MBbl/d)</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0"/>
        </w:trPr>
        <w:tc>
          <w:tcPr>
            <w:tcW w:w="428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17"/>
                <w:szCs w:val="17"/>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33</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26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33</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200"/>
        </w:trPr>
        <w:tc>
          <w:tcPr>
            <w:tcW w:w="428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18</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19</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r>
      <w:tr>
        <w:trPr>
          <w:trHeight w:val="193"/>
        </w:trPr>
        <w:tc>
          <w:tcPr>
            <w:tcW w:w="4280" w:type="dxa"/>
            <w:vAlign w:val="bottom"/>
          </w:tcPr>
          <w:p>
            <w:pPr>
              <w:ind w:left="60"/>
              <w:spacing w:after="0"/>
              <w:rPr>
                <w:sz w:val="20"/>
                <w:szCs w:val="20"/>
                <w:color w:val="auto"/>
              </w:rPr>
            </w:pPr>
            <w:r>
              <w:rPr>
                <w:rFonts w:ascii="Arial" w:cs="Arial" w:eastAsia="Arial" w:hAnsi="Arial"/>
                <w:sz w:val="14"/>
                <w:szCs w:val="14"/>
                <w:color w:val="auto"/>
              </w:rPr>
              <w:t>Total</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51</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26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52</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r>
        <w:trPr>
          <w:trHeight w:val="360"/>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NGLs (MBbl/d)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0"/>
        </w:trPr>
        <w:tc>
          <w:tcPr>
            <w:tcW w:w="428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r>
      <w:tr>
        <w:trPr>
          <w:trHeight w:val="193"/>
        </w:trPr>
        <w:tc>
          <w:tcPr>
            <w:tcW w:w="4280" w:type="dxa"/>
            <w:vAlign w:val="bottom"/>
          </w:tcPr>
          <w:p>
            <w:pPr>
              <w:ind w:left="60"/>
              <w:spacing w:after="0"/>
              <w:rPr>
                <w:sz w:val="20"/>
                <w:szCs w:val="20"/>
                <w:color w:val="auto"/>
              </w:rPr>
            </w:pPr>
            <w:r>
              <w:rPr>
                <w:rFonts w:ascii="Arial" w:cs="Arial" w:eastAsia="Arial" w:hAnsi="Arial"/>
                <w:sz w:val="14"/>
                <w:szCs w:val="14"/>
                <w:color w:val="auto"/>
              </w:rPr>
              <w:t>Total</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6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360"/>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Natural Gas (MMcf/d)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0"/>
        </w:trPr>
        <w:tc>
          <w:tcPr>
            <w:tcW w:w="428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100" w:type="dxa"/>
            <w:vAlign w:val="bottom"/>
          </w:tcPr>
          <w:p>
            <w:pPr>
              <w:spacing w:after="0"/>
              <w:rPr>
                <w:sz w:val="17"/>
                <w:szCs w:val="17"/>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122</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129</w:t>
            </w:r>
          </w:p>
        </w:tc>
        <w:tc>
          <w:tcPr>
            <w:tcW w:w="26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119</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129</w:t>
            </w:r>
          </w:p>
        </w:tc>
      </w:tr>
      <w:tr>
        <w:trPr>
          <w:trHeight w:val="200"/>
        </w:trPr>
        <w:tc>
          <w:tcPr>
            <w:tcW w:w="428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00"/>
        </w:trPr>
        <w:tc>
          <w:tcPr>
            <w:tcW w:w="4280" w:type="dxa"/>
            <w:vAlign w:val="bottom"/>
          </w:tcPr>
          <w:p>
            <w:pPr>
              <w:ind w:left="60"/>
              <w:spacing w:after="0"/>
              <w:rPr>
                <w:sz w:val="20"/>
                <w:szCs w:val="20"/>
                <w:color w:val="auto"/>
              </w:rPr>
            </w:pPr>
            <w:r>
              <w:rPr>
                <w:rFonts w:ascii="Arial" w:cs="Arial" w:eastAsia="Arial" w:hAnsi="Arial"/>
                <w:sz w:val="14"/>
                <w:szCs w:val="14"/>
                <w:color w:val="auto"/>
              </w:rPr>
              <w:t>Sacramento Basin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r>
      <w:tr>
        <w:trPr>
          <w:trHeight w:val="193"/>
        </w:trPr>
        <w:tc>
          <w:tcPr>
            <w:tcW w:w="4280" w:type="dxa"/>
            <w:vAlign w:val="bottom"/>
          </w:tcPr>
          <w:p>
            <w:pPr>
              <w:ind w:left="60"/>
              <w:spacing w:after="0"/>
              <w:rPr>
                <w:sz w:val="20"/>
                <w:szCs w:val="20"/>
                <w:color w:val="auto"/>
              </w:rPr>
            </w:pPr>
            <w:r>
              <w:rPr>
                <w:rFonts w:ascii="Arial" w:cs="Arial" w:eastAsia="Arial" w:hAnsi="Arial"/>
                <w:sz w:val="14"/>
                <w:szCs w:val="14"/>
                <w:color w:val="auto"/>
              </w:rPr>
              <w:t>Total</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130</w:t>
            </w:r>
          </w:p>
        </w:tc>
        <w:tc>
          <w:tcPr>
            <w:tcW w:w="10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138</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147</w:t>
            </w:r>
          </w:p>
        </w:tc>
        <w:tc>
          <w:tcPr>
            <w:tcW w:w="26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135</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147</w:t>
            </w:r>
          </w:p>
        </w:tc>
      </w:tr>
      <w:tr>
        <w:trPr>
          <w:trHeight w:val="161"/>
        </w:trPr>
        <w:tc>
          <w:tcPr>
            <w:tcW w:w="42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93"/>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85</w:t>
            </w: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w:t>
            </w:r>
          </w:p>
        </w:tc>
        <w:tc>
          <w:tcPr>
            <w:tcW w:w="260" w:type="dxa"/>
            <w:vAlign w:val="bottom"/>
          </w:tcPr>
          <w:p>
            <w:pPr>
              <w:spacing w:after="0"/>
              <w:rPr>
                <w:sz w:val="16"/>
                <w:szCs w:val="16"/>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86</w:t>
            </w:r>
          </w:p>
        </w:tc>
        <w:tc>
          <w:tcPr>
            <w:tcW w:w="8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w:t>
            </w:r>
          </w:p>
        </w:tc>
      </w:tr>
      <w:tr>
        <w:trPr>
          <w:trHeight w:val="20"/>
        </w:trPr>
        <w:tc>
          <w:tcPr>
            <w:tcW w:w="4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38"/>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Gross Operated and Net Non-Operated</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4th Quarter</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3rd Quarter</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4th Quarter</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Total Year</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Total Year</w:t>
            </w:r>
          </w:p>
        </w:tc>
      </w:tr>
      <w:tr>
        <w:trPr>
          <w:trHeight w:val="201"/>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Production Per Day</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r>
      <w:tr>
        <w:trPr>
          <w:trHeight w:val="193"/>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Oil (MBbl/d)</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0"/>
        </w:trPr>
        <w:tc>
          <w:tcPr>
            <w:tcW w:w="428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100" w:type="dxa"/>
            <w:vAlign w:val="bottom"/>
          </w:tcPr>
          <w:p>
            <w:pPr>
              <w:spacing w:after="0"/>
              <w:rPr>
                <w:sz w:val="17"/>
                <w:szCs w:val="17"/>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36</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26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37</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r>
        <w:trPr>
          <w:trHeight w:val="200"/>
        </w:trPr>
        <w:tc>
          <w:tcPr>
            <w:tcW w:w="428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r>
      <w:tr>
        <w:trPr>
          <w:trHeight w:val="193"/>
        </w:trPr>
        <w:tc>
          <w:tcPr>
            <w:tcW w:w="4280" w:type="dxa"/>
            <w:vAlign w:val="bottom"/>
          </w:tcPr>
          <w:p>
            <w:pPr>
              <w:ind w:left="60"/>
              <w:spacing w:after="0"/>
              <w:rPr>
                <w:sz w:val="20"/>
                <w:szCs w:val="20"/>
                <w:color w:val="auto"/>
              </w:rPr>
            </w:pPr>
            <w:r>
              <w:rPr>
                <w:rFonts w:ascii="Arial" w:cs="Arial" w:eastAsia="Arial" w:hAnsi="Arial"/>
                <w:sz w:val="14"/>
                <w:szCs w:val="14"/>
                <w:color w:val="auto"/>
              </w:rPr>
              <w:t>Total</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61</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26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62</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66</w:t>
            </w:r>
          </w:p>
        </w:tc>
      </w:tr>
      <w:tr>
        <w:trPr>
          <w:trHeight w:val="360"/>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NGLs (MBbl/d)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0"/>
        </w:trPr>
        <w:tc>
          <w:tcPr>
            <w:tcW w:w="428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r>
      <w:tr>
        <w:trPr>
          <w:trHeight w:val="193"/>
        </w:trPr>
        <w:tc>
          <w:tcPr>
            <w:tcW w:w="4280" w:type="dxa"/>
            <w:vAlign w:val="bottom"/>
          </w:tcPr>
          <w:p>
            <w:pPr>
              <w:ind w:left="60"/>
              <w:spacing w:after="0"/>
              <w:rPr>
                <w:sz w:val="20"/>
                <w:szCs w:val="20"/>
                <w:color w:val="auto"/>
              </w:rPr>
            </w:pPr>
            <w:r>
              <w:rPr>
                <w:rFonts w:ascii="Arial" w:cs="Arial" w:eastAsia="Arial" w:hAnsi="Arial"/>
                <w:sz w:val="14"/>
                <w:szCs w:val="14"/>
                <w:color w:val="auto"/>
              </w:rPr>
              <w:t>Total</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6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r>
        <w:trPr>
          <w:trHeight w:val="360"/>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Natural Gas (MMcf/d)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0"/>
        </w:trPr>
        <w:tc>
          <w:tcPr>
            <w:tcW w:w="428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129</w:t>
            </w:r>
          </w:p>
        </w:tc>
        <w:tc>
          <w:tcPr>
            <w:tcW w:w="100" w:type="dxa"/>
            <w:vAlign w:val="bottom"/>
          </w:tcPr>
          <w:p>
            <w:pPr>
              <w:spacing w:after="0"/>
              <w:rPr>
                <w:sz w:val="17"/>
                <w:szCs w:val="17"/>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135</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136</w:t>
            </w:r>
          </w:p>
        </w:tc>
        <w:tc>
          <w:tcPr>
            <w:tcW w:w="26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135</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136</w:t>
            </w:r>
          </w:p>
        </w:tc>
      </w:tr>
      <w:tr>
        <w:trPr>
          <w:trHeight w:val="200"/>
        </w:trPr>
        <w:tc>
          <w:tcPr>
            <w:tcW w:w="428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6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200"/>
        </w:trPr>
        <w:tc>
          <w:tcPr>
            <w:tcW w:w="4280" w:type="dxa"/>
            <w:vAlign w:val="bottom"/>
          </w:tcPr>
          <w:p>
            <w:pPr>
              <w:ind w:left="60"/>
              <w:spacing w:after="0"/>
              <w:rPr>
                <w:sz w:val="20"/>
                <w:szCs w:val="20"/>
                <w:color w:val="auto"/>
              </w:rPr>
            </w:pPr>
            <w:r>
              <w:rPr>
                <w:rFonts w:ascii="Arial" w:cs="Arial" w:eastAsia="Arial" w:hAnsi="Arial"/>
                <w:sz w:val="14"/>
                <w:szCs w:val="14"/>
                <w:color w:val="auto"/>
              </w:rPr>
              <w:t>Sacramento Basin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18</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19</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r>
      <w:tr>
        <w:trPr>
          <w:trHeight w:val="193"/>
        </w:trPr>
        <w:tc>
          <w:tcPr>
            <w:tcW w:w="4280" w:type="dxa"/>
            <w:vAlign w:val="bottom"/>
          </w:tcPr>
          <w:p>
            <w:pPr>
              <w:ind w:left="60"/>
              <w:spacing w:after="0"/>
              <w:rPr>
                <w:sz w:val="20"/>
                <w:szCs w:val="20"/>
                <w:color w:val="auto"/>
              </w:rPr>
            </w:pPr>
            <w:r>
              <w:rPr>
                <w:rFonts w:ascii="Arial" w:cs="Arial" w:eastAsia="Arial" w:hAnsi="Arial"/>
                <w:sz w:val="14"/>
                <w:szCs w:val="14"/>
                <w:color w:val="auto"/>
              </w:rPr>
              <w:t>Total</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155</w:t>
            </w:r>
          </w:p>
        </w:tc>
        <w:tc>
          <w:tcPr>
            <w:tcW w:w="10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161</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165</w:t>
            </w:r>
          </w:p>
        </w:tc>
        <w:tc>
          <w:tcPr>
            <w:tcW w:w="26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161</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165</w:t>
            </w:r>
          </w:p>
        </w:tc>
      </w:tr>
      <w:tr>
        <w:trPr>
          <w:trHeight w:val="161"/>
        </w:trPr>
        <w:tc>
          <w:tcPr>
            <w:tcW w:w="42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93"/>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102</w:t>
            </w:r>
          </w:p>
        </w:tc>
        <w:tc>
          <w:tcPr>
            <w:tcW w:w="8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w:t>
            </w:r>
          </w:p>
        </w:tc>
        <w:tc>
          <w:tcPr>
            <w:tcW w:w="260" w:type="dxa"/>
            <w:vAlign w:val="bottom"/>
          </w:tcPr>
          <w:p>
            <w:pPr>
              <w:spacing w:after="0"/>
              <w:rPr>
                <w:sz w:val="16"/>
                <w:szCs w:val="16"/>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101</w:t>
            </w:r>
          </w:p>
        </w:tc>
        <w:tc>
          <w:tcPr>
            <w:tcW w:w="8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w:t>
            </w:r>
          </w:p>
        </w:tc>
      </w:tr>
      <w:tr>
        <w:trPr>
          <w:trHeight w:val="20"/>
        </w:trPr>
        <w:tc>
          <w:tcPr>
            <w:tcW w:w="4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240"/>
          </w:cols>
          <w:pgMar w:left="320" w:top="144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5"/>
        </w:trPr>
        <w:tc>
          <w:tcPr>
            <w:tcW w:w="4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5</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PRICE STATISTICS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3rd Quarter</w:t>
            </w:r>
          </w:p>
        </w:tc>
        <w:tc>
          <w:tcPr>
            <w:tcW w:w="20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Year</w:t>
            </w:r>
          </w:p>
        </w:tc>
        <w:tc>
          <w:tcPr>
            <w:tcW w:w="220" w:type="dxa"/>
            <w:vAlign w:val="bottom"/>
          </w:tcPr>
          <w:p>
            <w:pPr>
              <w:spacing w:after="0"/>
              <w:rPr>
                <w:sz w:val="17"/>
                <w:szCs w:val="17"/>
                <w:color w:val="auto"/>
              </w:rPr>
            </w:pPr>
          </w:p>
        </w:tc>
        <w:tc>
          <w:tcPr>
            <w:tcW w:w="1160" w:type="dxa"/>
            <w:vAlign w:val="bottom"/>
          </w:tcPr>
          <w:p>
            <w:pPr>
              <w:jc w:val="right"/>
              <w:ind w:right="289"/>
              <w:spacing w:after="0"/>
              <w:rPr>
                <w:sz w:val="20"/>
                <w:szCs w:val="20"/>
                <w:color w:val="auto"/>
              </w:rPr>
            </w:pPr>
            <w:r>
              <w:rPr>
                <w:rFonts w:ascii="Arial" w:cs="Arial" w:eastAsia="Arial" w:hAnsi="Arial"/>
                <w:sz w:val="14"/>
                <w:szCs w:val="14"/>
                <w:b w:val="1"/>
                <w:bCs w:val="1"/>
                <w:color w:val="auto"/>
              </w:rPr>
              <w:t>Total Year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Oil ($ per Bbl)</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71.34</w:t>
            </w:r>
          </w:p>
        </w:tc>
        <w:tc>
          <w:tcPr>
            <w:tcW w:w="8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66.12</w:t>
            </w:r>
          </w:p>
        </w:tc>
        <w:tc>
          <w:tcPr>
            <w:tcW w:w="16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61.33</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29"/>
              <w:spacing w:after="0"/>
              <w:rPr>
                <w:sz w:val="20"/>
                <w:szCs w:val="20"/>
                <w:color w:val="auto"/>
              </w:rPr>
            </w:pPr>
            <w:r>
              <w:rPr>
                <w:rFonts w:ascii="Arial" w:cs="Arial" w:eastAsia="Arial" w:hAnsi="Arial"/>
                <w:sz w:val="14"/>
                <w:szCs w:val="14"/>
                <w:b w:val="1"/>
                <w:bCs w:val="1"/>
                <w:color w:val="auto"/>
              </w:rPr>
              <w:t>65.97</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61.80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82.00</w:t>
            </w:r>
          </w:p>
        </w:tc>
        <w:tc>
          <w:tcPr>
            <w:tcW w:w="8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85.36</w:t>
            </w:r>
          </w:p>
        </w:tc>
        <w:tc>
          <w:tcPr>
            <w:tcW w:w="16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87.15</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29"/>
              <w:spacing w:after="0"/>
              <w:rPr>
                <w:sz w:val="20"/>
                <w:szCs w:val="20"/>
                <w:color w:val="auto"/>
              </w:rPr>
            </w:pPr>
            <w:r>
              <w:rPr>
                <w:rFonts w:ascii="Arial" w:cs="Arial" w:eastAsia="Arial" w:hAnsi="Arial"/>
                <w:sz w:val="14"/>
                <w:szCs w:val="14"/>
                <w:b w:val="1"/>
                <w:bCs w:val="1"/>
                <w:color w:val="auto"/>
              </w:rPr>
              <w:t>80.41</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98.26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000" w:type="dxa"/>
            <w:vAlign w:val="bottom"/>
          </w:tcPr>
          <w:p>
            <w:pPr>
              <w:ind w:left="20"/>
              <w:spacing w:after="0"/>
              <w:rPr>
                <w:sz w:val="20"/>
                <w:szCs w:val="20"/>
                <w:color w:val="auto"/>
              </w:rPr>
            </w:pPr>
            <w:r>
              <w:rPr>
                <w:rFonts w:ascii="Arial" w:cs="Arial" w:eastAsia="Arial" w:hAnsi="Arial"/>
                <w:sz w:val="14"/>
                <w:szCs w:val="14"/>
                <w:color w:val="auto"/>
              </w:rPr>
              <w:t>NGLs ($/Bbl)</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49.08</w:t>
            </w:r>
          </w:p>
        </w:tc>
        <w:tc>
          <w:tcPr>
            <w:tcW w:w="80" w:type="dxa"/>
            <w:vAlign w:val="bottom"/>
          </w:tcPr>
          <w:p>
            <w:pPr>
              <w:spacing w:after="0"/>
              <w:rPr>
                <w:sz w:val="22"/>
                <w:szCs w:val="22"/>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44.95</w:t>
            </w:r>
          </w:p>
        </w:tc>
        <w:tc>
          <w:tcPr>
            <w:tcW w:w="160" w:type="dxa"/>
            <w:vAlign w:val="bottom"/>
          </w:tcPr>
          <w:p>
            <w:pPr>
              <w:spacing w:after="0"/>
              <w:rPr>
                <w:sz w:val="22"/>
                <w:szCs w:val="22"/>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56.55</w:t>
            </w:r>
          </w:p>
        </w:tc>
        <w:tc>
          <w:tcPr>
            <w:tcW w:w="80" w:type="dxa"/>
            <w:vAlign w:val="bottom"/>
          </w:tcPr>
          <w:p>
            <w:pPr>
              <w:spacing w:after="0"/>
              <w:rPr>
                <w:sz w:val="22"/>
                <w:szCs w:val="22"/>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29"/>
              <w:spacing w:after="0"/>
              <w:rPr>
                <w:sz w:val="20"/>
                <w:szCs w:val="20"/>
                <w:color w:val="auto"/>
              </w:rPr>
            </w:pPr>
            <w:r>
              <w:rPr>
                <w:rFonts w:ascii="Arial" w:cs="Arial" w:eastAsia="Arial" w:hAnsi="Arial"/>
                <w:sz w:val="14"/>
                <w:szCs w:val="14"/>
                <w:b w:val="1"/>
                <w:bCs w:val="1"/>
                <w:color w:val="auto"/>
              </w:rPr>
              <w:t>48.94</w:t>
            </w:r>
          </w:p>
        </w:tc>
        <w:tc>
          <w:tcPr>
            <w:tcW w:w="80" w:type="dxa"/>
            <w:vAlign w:val="bottom"/>
          </w:tcPr>
          <w:p>
            <w:pPr>
              <w:spacing w:after="0"/>
              <w:rPr>
                <w:sz w:val="22"/>
                <w:szCs w:val="22"/>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64.33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000" w:type="dxa"/>
            <w:vAlign w:val="bottom"/>
          </w:tcPr>
          <w:p>
            <w:pPr>
              <w:ind w:left="20"/>
              <w:spacing w:after="0"/>
              <w:rPr>
                <w:sz w:val="20"/>
                <w:szCs w:val="20"/>
                <w:color w:val="auto"/>
              </w:rPr>
            </w:pPr>
            <w:r>
              <w:rPr>
                <w:rFonts w:ascii="Arial" w:cs="Arial" w:eastAsia="Arial" w:hAnsi="Arial"/>
                <w:sz w:val="14"/>
                <w:szCs w:val="14"/>
                <w:color w:val="auto"/>
              </w:rPr>
              <w:t>Natural gas ($/Mcf)</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4.66</w:t>
            </w:r>
          </w:p>
        </w:tc>
        <w:tc>
          <w:tcPr>
            <w:tcW w:w="8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4.83</w:t>
            </w:r>
          </w:p>
        </w:tc>
        <w:tc>
          <w:tcPr>
            <w:tcW w:w="16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8.51</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29"/>
              <w:spacing w:after="0"/>
              <w:rPr>
                <w:sz w:val="20"/>
                <w:szCs w:val="20"/>
                <w:color w:val="auto"/>
              </w:rPr>
            </w:pPr>
            <w:r>
              <w:rPr>
                <w:rFonts w:ascii="Arial" w:cs="Arial" w:eastAsia="Arial" w:hAnsi="Arial"/>
                <w:sz w:val="14"/>
                <w:szCs w:val="14"/>
                <w:b w:val="1"/>
                <w:bCs w:val="1"/>
                <w:color w:val="auto"/>
              </w:rPr>
              <w:t>8.59</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7.54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4.66</w:t>
            </w:r>
          </w:p>
        </w:tc>
        <w:tc>
          <w:tcPr>
            <w:tcW w:w="8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4.83</w:t>
            </w:r>
          </w:p>
        </w:tc>
        <w:tc>
          <w:tcPr>
            <w:tcW w:w="16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8.73</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29"/>
              <w:spacing w:after="0"/>
              <w:rPr>
                <w:sz w:val="20"/>
                <w:szCs w:val="20"/>
                <w:color w:val="auto"/>
              </w:rPr>
            </w:pPr>
            <w:r>
              <w:rPr>
                <w:rFonts w:ascii="Arial" w:cs="Arial" w:eastAsia="Arial" w:hAnsi="Arial"/>
                <w:sz w:val="14"/>
                <w:szCs w:val="14"/>
                <w:b w:val="1"/>
                <w:bCs w:val="1"/>
                <w:color w:val="auto"/>
              </w:rPr>
              <w:t>8.59</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7.68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Index Prices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60"/>
              <w:spacing w:after="0"/>
              <w:rPr>
                <w:sz w:val="20"/>
                <w:szCs w:val="20"/>
                <w:color w:val="auto"/>
              </w:rPr>
            </w:pPr>
            <w:r>
              <w:rPr>
                <w:rFonts w:ascii="Arial" w:cs="Arial" w:eastAsia="Arial" w:hAnsi="Arial"/>
                <w:sz w:val="14"/>
                <w:szCs w:val="14"/>
                <w:color w:val="auto"/>
              </w:rPr>
              <w:t>Brent oil ($/Bbl)</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82.69</w:t>
            </w:r>
          </w:p>
        </w:tc>
        <w:tc>
          <w:tcPr>
            <w:tcW w:w="8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85.95</w:t>
            </w:r>
          </w:p>
        </w:tc>
        <w:tc>
          <w:tcPr>
            <w:tcW w:w="16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88.60</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29"/>
              <w:spacing w:after="0"/>
              <w:rPr>
                <w:sz w:val="20"/>
                <w:szCs w:val="20"/>
                <w:color w:val="auto"/>
              </w:rPr>
            </w:pPr>
            <w:r>
              <w:rPr>
                <w:rFonts w:ascii="Arial" w:cs="Arial" w:eastAsia="Arial" w:hAnsi="Arial"/>
                <w:sz w:val="14"/>
                <w:szCs w:val="14"/>
                <w:b w:val="1"/>
                <w:bCs w:val="1"/>
                <w:color w:val="auto"/>
              </w:rPr>
              <w:t>82.22</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98.89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60"/>
              <w:spacing w:after="0"/>
              <w:rPr>
                <w:sz w:val="20"/>
                <w:szCs w:val="20"/>
                <w:color w:val="auto"/>
              </w:rPr>
            </w:pPr>
            <w:r>
              <w:rPr>
                <w:rFonts w:ascii="Arial" w:cs="Arial" w:eastAsia="Arial" w:hAnsi="Arial"/>
                <w:sz w:val="14"/>
                <w:szCs w:val="14"/>
                <w:color w:val="auto"/>
              </w:rPr>
              <w:t>WTI oil ($/Bbl)</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78.32</w:t>
            </w:r>
          </w:p>
        </w:tc>
        <w:tc>
          <w:tcPr>
            <w:tcW w:w="8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82.26</w:t>
            </w:r>
          </w:p>
        </w:tc>
        <w:tc>
          <w:tcPr>
            <w:tcW w:w="16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82.64</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29"/>
              <w:spacing w:after="0"/>
              <w:rPr>
                <w:sz w:val="20"/>
                <w:szCs w:val="20"/>
                <w:color w:val="auto"/>
              </w:rPr>
            </w:pPr>
            <w:r>
              <w:rPr>
                <w:rFonts w:ascii="Arial" w:cs="Arial" w:eastAsia="Arial" w:hAnsi="Arial"/>
                <w:sz w:val="14"/>
                <w:szCs w:val="14"/>
                <w:b w:val="1"/>
                <w:bCs w:val="1"/>
                <w:color w:val="auto"/>
              </w:rPr>
              <w:t>77.62</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94.23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4"/>
                <w:szCs w:val="14"/>
                <w:color w:val="auto"/>
              </w:rPr>
              <w:t>NYMEX average monthly settled price ($/MMBtu)</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2.88</w:t>
            </w:r>
          </w:p>
        </w:tc>
        <w:tc>
          <w:tcPr>
            <w:tcW w:w="8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2.55</w:t>
            </w:r>
          </w:p>
        </w:tc>
        <w:tc>
          <w:tcPr>
            <w:tcW w:w="16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6.26</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29"/>
              <w:spacing w:after="0"/>
              <w:rPr>
                <w:sz w:val="20"/>
                <w:szCs w:val="20"/>
                <w:color w:val="auto"/>
              </w:rPr>
            </w:pPr>
            <w:r>
              <w:rPr>
                <w:rFonts w:ascii="Arial" w:cs="Arial" w:eastAsia="Arial" w:hAnsi="Arial"/>
                <w:sz w:val="14"/>
                <w:szCs w:val="14"/>
                <w:b w:val="1"/>
                <w:bCs w:val="1"/>
                <w:color w:val="auto"/>
              </w:rPr>
              <w:t>2.74</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6.64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Realized Prices as Percentage of Index Prices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4"/>
                <w:szCs w:val="14"/>
                <w:color w:val="auto"/>
              </w:rPr>
              <w:t>Oil with derivative settlements as a percentage of Brent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86 %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77 %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69 %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80 %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62 %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4"/>
                <w:szCs w:val="14"/>
                <w:color w:val="auto"/>
              </w:rPr>
              <w:t>Oil without derivative settlements as a percentage of Brent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99 %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99 %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98 %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98 %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99 %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000" w:type="dxa"/>
            <w:vAlign w:val="bottom"/>
          </w:tcPr>
          <w:p>
            <w:pPr>
              <w:ind w:left="20"/>
              <w:spacing w:after="0"/>
              <w:rPr>
                <w:sz w:val="20"/>
                <w:szCs w:val="20"/>
                <w:color w:val="auto"/>
              </w:rPr>
            </w:pPr>
            <w:r>
              <w:rPr>
                <w:rFonts w:ascii="Arial" w:cs="Arial" w:eastAsia="Arial" w:hAnsi="Arial"/>
                <w:sz w:val="14"/>
                <w:szCs w:val="14"/>
                <w:color w:val="auto"/>
              </w:rPr>
              <w:t>Oil with derivative settlements as a percentage of WTI</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91 %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80 %</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74 %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85 %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66 %</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4"/>
                <w:szCs w:val="14"/>
                <w:color w:val="auto"/>
              </w:rPr>
              <w:t>Oil without derivative settlements as a percentage of WTI</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105 %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104 %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105 %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104 %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104 %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000" w:type="dxa"/>
            <w:vAlign w:val="bottom"/>
          </w:tcPr>
          <w:p>
            <w:pPr>
              <w:ind w:left="20"/>
              <w:spacing w:after="0"/>
              <w:rPr>
                <w:sz w:val="20"/>
                <w:szCs w:val="20"/>
                <w:color w:val="auto"/>
              </w:rPr>
            </w:pPr>
            <w:r>
              <w:rPr>
                <w:rFonts w:ascii="Arial" w:cs="Arial" w:eastAsia="Arial" w:hAnsi="Arial"/>
                <w:sz w:val="14"/>
                <w:szCs w:val="14"/>
                <w:color w:val="auto"/>
              </w:rPr>
              <w:t>NGLs as a percentage of Brent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59 %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52 %</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64 %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60 %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65 %</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4"/>
                <w:szCs w:val="14"/>
                <w:color w:val="auto"/>
              </w:rPr>
              <w:t>NGLs as a percentage of WTI</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63 %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55 %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68 %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63 %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68 %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00" w:type="dxa"/>
            <w:vAlign w:val="bottom"/>
          </w:tcPr>
          <w:p>
            <w:pPr>
              <w:ind w:left="20"/>
              <w:spacing w:after="0"/>
              <w:rPr>
                <w:sz w:val="20"/>
                <w:szCs w:val="20"/>
                <w:color w:val="auto"/>
              </w:rPr>
            </w:pPr>
            <w:r>
              <w:rPr>
                <w:rFonts w:ascii="Arial" w:cs="Arial" w:eastAsia="Arial" w:hAnsi="Arial"/>
                <w:sz w:val="14"/>
                <w:szCs w:val="14"/>
                <w:color w:val="auto"/>
              </w:rPr>
              <w:t>Natural gas with derivative settlements as a percentage of</w:t>
            </w:r>
          </w:p>
        </w:tc>
        <w:tc>
          <w:tcPr>
            <w:tcW w:w="20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162 %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189 %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136 %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314 %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114 %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20"/>
              <w:spacing w:after="0"/>
              <w:rPr>
                <w:sz w:val="20"/>
                <w:szCs w:val="20"/>
                <w:color w:val="auto"/>
              </w:rPr>
            </w:pPr>
            <w:r>
              <w:rPr>
                <w:rFonts w:ascii="Arial" w:cs="Arial" w:eastAsia="Arial" w:hAnsi="Arial"/>
                <w:sz w:val="14"/>
                <w:szCs w:val="14"/>
                <w:color w:val="auto"/>
              </w:rPr>
              <w:t>NYMEX contract month average</w:t>
            </w:r>
          </w:p>
        </w:tc>
        <w:tc>
          <w:tcPr>
            <w:tcW w:w="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20"/>
              <w:spacing w:after="0"/>
              <w:rPr>
                <w:sz w:val="20"/>
                <w:szCs w:val="20"/>
                <w:color w:val="auto"/>
              </w:rPr>
            </w:pPr>
            <w:r>
              <w:rPr>
                <w:rFonts w:ascii="Arial" w:cs="Arial" w:eastAsia="Arial" w:hAnsi="Arial"/>
                <w:sz w:val="14"/>
                <w:szCs w:val="14"/>
                <w:color w:val="auto"/>
              </w:rPr>
              <w:t>Natural gas without derivative settlements as a percentage of</w:t>
            </w:r>
          </w:p>
        </w:tc>
        <w:tc>
          <w:tcPr>
            <w:tcW w:w="20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162 %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189 %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139 %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314 %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116 %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20"/>
              <w:spacing w:after="0"/>
              <w:rPr>
                <w:sz w:val="20"/>
                <w:szCs w:val="20"/>
                <w:color w:val="auto"/>
              </w:rPr>
            </w:pPr>
            <w:r>
              <w:rPr>
                <w:rFonts w:ascii="Arial" w:cs="Arial" w:eastAsia="Arial" w:hAnsi="Arial"/>
                <w:sz w:val="14"/>
                <w:szCs w:val="14"/>
                <w:color w:val="auto"/>
              </w:rPr>
              <w:t>NYMEX contract month average</w:t>
            </w:r>
          </w:p>
        </w:tc>
        <w:tc>
          <w:tcPr>
            <w:tcW w:w="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240"/>
          </w:cols>
          <w:pgMar w:left="320" w:top="1050" w:right="339" w:bottom="1440" w:gutter="0" w:footer="0" w:header="0"/>
        </w:sectPr>
      </w:pPr>
    </w:p>
    <w:bookmarkStart w:id="23" w:name="page24"/>
    <w:bookmarkEnd w:id="23"/>
    <w:tbl>
      <w:tblPr>
        <w:tblLayout w:type="fixed"/>
        <w:tblInd w:w="40" w:type="dxa"/>
        <w:tblCellMar>
          <w:top w:w="0" w:type="dxa"/>
          <w:left w:w="0" w:type="dxa"/>
          <w:bottom w:w="0" w:type="dxa"/>
          <w:right w:w="0" w:type="dxa"/>
        </w:tblCellMar>
      </w:tblPr>
      <w:tr>
        <w:trPr>
          <w:trHeight w:val="195"/>
        </w:trPr>
        <w:tc>
          <w:tcPr>
            <w:tcW w:w="4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Attachment 6</w:t>
            </w:r>
          </w:p>
        </w:tc>
        <w:tc>
          <w:tcPr>
            <w:tcW w:w="0" w:type="dxa"/>
            <w:vAlign w:val="bottom"/>
          </w:tcPr>
          <w:p>
            <w:pPr>
              <w:spacing w:after="0"/>
              <w:rPr>
                <w:sz w:val="1"/>
                <w:szCs w:val="1"/>
                <w:color w:val="auto"/>
              </w:rPr>
            </w:pPr>
          </w:p>
        </w:tc>
      </w:tr>
      <w:tr>
        <w:trPr>
          <w:trHeight w:val="21"/>
        </w:trPr>
        <w:tc>
          <w:tcPr>
            <w:tcW w:w="4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FOURTH QUARTER 2023 DRILLING ACTIVITY</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Los Angeles</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Ventura</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Sacramento</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Wells Drilled</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32"/>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Development Wells</w:t>
            </w:r>
          </w:p>
        </w:tc>
        <w:tc>
          <w:tcPr>
            <w:tcW w:w="1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320" w:type="dxa"/>
            <w:vAlign w:val="bottom"/>
          </w:tcPr>
          <w:p>
            <w:pPr>
              <w:ind w:left="140"/>
              <w:spacing w:after="0"/>
              <w:rPr>
                <w:sz w:val="20"/>
                <w:szCs w:val="20"/>
                <w:color w:val="auto"/>
              </w:rPr>
            </w:pPr>
            <w:r>
              <w:rPr>
                <w:rFonts w:ascii="Arial" w:cs="Arial" w:eastAsia="Arial" w:hAnsi="Arial"/>
                <w:sz w:val="14"/>
                <w:szCs w:val="14"/>
                <w:color w:val="auto"/>
              </w:rPr>
              <w:t>Primary</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0"/>
        </w:trPr>
        <w:tc>
          <w:tcPr>
            <w:tcW w:w="4320" w:type="dxa"/>
            <w:vAlign w:val="bottom"/>
          </w:tcPr>
          <w:p>
            <w:pPr>
              <w:ind w:left="140"/>
              <w:spacing w:after="0"/>
              <w:rPr>
                <w:sz w:val="20"/>
                <w:szCs w:val="20"/>
                <w:color w:val="auto"/>
              </w:rPr>
            </w:pPr>
            <w:r>
              <w:rPr>
                <w:rFonts w:ascii="Arial" w:cs="Arial" w:eastAsia="Arial" w:hAnsi="Arial"/>
                <w:sz w:val="14"/>
                <w:szCs w:val="14"/>
                <w:color w:val="auto"/>
              </w:rPr>
              <w:t>Waterflood</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4"/>
        </w:trPr>
        <w:tc>
          <w:tcPr>
            <w:tcW w:w="4320" w:type="dxa"/>
            <w:vAlign w:val="bottom"/>
          </w:tcPr>
          <w:p>
            <w:pPr>
              <w:ind w:left="140"/>
              <w:spacing w:after="0"/>
              <w:rPr>
                <w:sz w:val="20"/>
                <w:szCs w:val="20"/>
                <w:color w:val="auto"/>
              </w:rPr>
            </w:pPr>
            <w:r>
              <w:rPr>
                <w:rFonts w:ascii="Arial" w:cs="Arial" w:eastAsia="Arial" w:hAnsi="Arial"/>
                <w:sz w:val="14"/>
                <w:szCs w:val="14"/>
                <w:color w:val="auto"/>
              </w:rPr>
              <w:t>Steamflood</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7"/>
        </w:trPr>
        <w:tc>
          <w:tcPr>
            <w:tcW w:w="4320" w:type="dxa"/>
            <w:vAlign w:val="bottom"/>
          </w:tcPr>
          <w:p>
            <w:pPr>
              <w:ind w:left="20"/>
              <w:spacing w:after="0" w:line="197"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TOTAL YEAR 2023 DRILLING ACTIVITY</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2"/>
        </w:trPr>
        <w:tc>
          <w:tcPr>
            <w:tcW w:w="43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Los Angeles</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Ventura</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Sacramento</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Wells Drilled</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32"/>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Development Wells</w:t>
            </w:r>
          </w:p>
        </w:tc>
        <w:tc>
          <w:tcPr>
            <w:tcW w:w="1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320" w:type="dxa"/>
            <w:vAlign w:val="bottom"/>
          </w:tcPr>
          <w:p>
            <w:pPr>
              <w:ind w:left="140"/>
              <w:spacing w:after="0"/>
              <w:rPr>
                <w:sz w:val="20"/>
                <w:szCs w:val="20"/>
                <w:color w:val="auto"/>
              </w:rPr>
            </w:pPr>
            <w:r>
              <w:rPr>
                <w:rFonts w:ascii="Arial" w:cs="Arial" w:eastAsia="Arial" w:hAnsi="Arial"/>
                <w:sz w:val="14"/>
                <w:szCs w:val="14"/>
                <w:color w:val="auto"/>
              </w:rPr>
              <w:t>Primary</w:t>
            </w:r>
          </w:p>
        </w:tc>
        <w:tc>
          <w:tcPr>
            <w:tcW w:w="1320" w:type="dxa"/>
            <w:vAlign w:val="bottom"/>
          </w:tcPr>
          <w:p>
            <w:pPr>
              <w:jc w:val="center"/>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4320" w:type="dxa"/>
            <w:vAlign w:val="bottom"/>
          </w:tcPr>
          <w:p>
            <w:pPr>
              <w:ind w:left="140"/>
              <w:spacing w:after="0"/>
              <w:rPr>
                <w:sz w:val="20"/>
                <w:szCs w:val="20"/>
                <w:color w:val="auto"/>
              </w:rPr>
            </w:pPr>
            <w:r>
              <w:rPr>
                <w:rFonts w:ascii="Arial" w:cs="Arial" w:eastAsia="Arial" w:hAnsi="Arial"/>
                <w:sz w:val="14"/>
                <w:szCs w:val="14"/>
                <w:color w:val="auto"/>
              </w:rPr>
              <w:t>Waterflood</w:t>
            </w:r>
          </w:p>
        </w:tc>
        <w:tc>
          <w:tcPr>
            <w:tcW w:w="1320" w:type="dxa"/>
            <w:vAlign w:val="bottom"/>
          </w:tcPr>
          <w:p>
            <w:pPr>
              <w:jc w:val="center"/>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4"/>
        </w:trPr>
        <w:tc>
          <w:tcPr>
            <w:tcW w:w="4320" w:type="dxa"/>
            <w:vAlign w:val="bottom"/>
          </w:tcPr>
          <w:p>
            <w:pPr>
              <w:ind w:left="140"/>
              <w:spacing w:after="0"/>
              <w:rPr>
                <w:sz w:val="20"/>
                <w:szCs w:val="20"/>
                <w:color w:val="auto"/>
              </w:rPr>
            </w:pPr>
            <w:r>
              <w:rPr>
                <w:rFonts w:ascii="Arial" w:cs="Arial" w:eastAsia="Arial" w:hAnsi="Arial"/>
                <w:sz w:val="14"/>
                <w:szCs w:val="14"/>
                <w:color w:val="auto"/>
              </w:rPr>
              <w:t>Steamflood</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7"/>
        </w:trPr>
        <w:tc>
          <w:tcPr>
            <w:tcW w:w="4320" w:type="dxa"/>
            <w:vAlign w:val="bottom"/>
          </w:tcPr>
          <w:p>
            <w:pPr>
              <w:ind w:left="20"/>
              <w:spacing w:after="0" w:line="197"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20" w:type="dxa"/>
            <w:vAlign w:val="bottom"/>
          </w:tcPr>
          <w:p>
            <w:pPr>
              <w:jc w:val="center"/>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200" w:hanging="149"/>
        <w:spacing w:after="0"/>
        <w:tabs>
          <w:tab w:leader="none" w:pos="20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are not included in the SEC definition of wells drilled.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Attachment 7</w:t>
            </w:r>
          </w:p>
        </w:tc>
      </w:tr>
      <w:tr>
        <w:trPr>
          <w:trHeight w:val="21"/>
        </w:trPr>
        <w:tc>
          <w:tcPr>
            <w:tcW w:w="540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2"/>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HEDGES AS OF DECEMBER 31, 2023</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414"/>
        </w:trPr>
        <w:tc>
          <w:tcPr>
            <w:tcW w:w="52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Q1 2024</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Q2 2024</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Q3 2024</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Q4 2024</w:t>
            </w:r>
          </w:p>
        </w:tc>
        <w:tc>
          <w:tcPr>
            <w:tcW w:w="8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r>
      <w:tr>
        <w:trPr>
          <w:trHeight w:val="432"/>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Sold Calls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540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23,650</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29,000</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19,748</w:t>
            </w:r>
          </w:p>
        </w:tc>
      </w:tr>
      <w:tr>
        <w:trPr>
          <w:trHeight w:val="200"/>
        </w:trPr>
        <w:tc>
          <w:tcPr>
            <w:tcW w:w="540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$90.00</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$90.07</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$90.07</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$90.07</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$85.63</w:t>
            </w:r>
          </w:p>
        </w:tc>
      </w:tr>
      <w:tr>
        <w:trPr>
          <w:trHeight w:val="459"/>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Swaps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540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9,500</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8,875</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7,750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5,500</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3,374</w:t>
            </w:r>
          </w:p>
        </w:tc>
      </w:tr>
      <w:tr>
        <w:trPr>
          <w:trHeight w:val="200"/>
        </w:trPr>
        <w:tc>
          <w:tcPr>
            <w:tcW w:w="540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$79.81</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$79.28</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$79.64</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$77.45</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$72.66</w:t>
            </w:r>
          </w:p>
        </w:tc>
      </w:tr>
      <w:tr>
        <w:trPr>
          <w:trHeight w:val="459"/>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Purchased Puts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540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30,584</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29,000</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19,748</w:t>
            </w:r>
          </w:p>
        </w:tc>
      </w:tr>
      <w:tr>
        <w:trPr>
          <w:trHeight w:val="200"/>
        </w:trPr>
        <w:tc>
          <w:tcPr>
            <w:tcW w:w="540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$67.27</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$65.17</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$65.17</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$65.17</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$60.00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sectPr>
      <w:pgSz w:w="11900" w:h="16838" w:orient="portrait"/>
      <w:cols w:equalWidth="0" w:num="1">
        <w:col w:w="11240"/>
      </w:cols>
      <w:pgMar w:left="320" w:top="10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04"/>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bullet"/>
      <w:start w:val="1"/>
    </w:lvl>
  </w:abstractNum>
  <w:abstractNum w:abstractNumId="15">
    <w:nsid w:val="519B500D"/>
    <w:multiLevelType w:val="hybridMultilevel"/>
    <w:lvl w:ilvl="0">
      <w:lvlJc w:val="left"/>
      <w:lvlText w:val="&amp;"/>
      <w:numFmt w:val="bullet"/>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2024-02-27T16:35:50Z</dcterms:created>
  <dcterms:modified xsi:type="dcterms:W3CDTF">2024-02-27T16:35:50Z</dcterms:modified>
</cp:coreProperties>
</file>