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Preston Michael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27200 TOURNEY ROAD, SUITE 315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GC and Corp. Secretary</w:t>
      </w:r>
    </w:p>
    <w:p>
      <w:pPr>
        <w:spacing w:after="0" w:line="33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SANTA</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91355</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CLARITA</w:t>
            </w:r>
          </w:p>
        </w:tc>
        <w:tc>
          <w:tcPr>
            <w:tcW w:w="13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7"/>
                <w:szCs w:val="7"/>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52"/>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0"/>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90"/>
              <w:spacing w:after="0"/>
              <w:rPr>
                <w:sz w:val="20"/>
                <w:szCs w:val="20"/>
                <w:color w:val="auto"/>
              </w:rPr>
            </w:pPr>
            <w:r>
              <w:rPr>
                <w:rFonts w:ascii="Arial" w:cs="Arial" w:eastAsia="Arial" w:hAnsi="Arial"/>
                <w:sz w:val="18"/>
                <w:szCs w:val="18"/>
                <w:color w:val="0000FF"/>
                <w:w w:val="88"/>
              </w:rPr>
              <w:t>7,635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2"/>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61,917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0"/>
              <w:spacing w:after="0"/>
              <w:rPr>
                <w:sz w:val="20"/>
                <w:szCs w:val="20"/>
                <w:color w:val="auto"/>
              </w:rPr>
            </w:pPr>
            <w:r>
              <w:rPr>
                <w:rFonts w:ascii="Arial" w:cs="Arial" w:eastAsia="Arial" w:hAnsi="Arial"/>
                <w:sz w:val="27"/>
                <w:szCs w:val="27"/>
                <w:color w:val="0000FF"/>
                <w:w w:val="90"/>
                <w:vertAlign w:val="subscript"/>
              </w:rPr>
              <w:t>D</w:t>
            </w:r>
            <w:r>
              <w:rPr>
                <w:rFonts w:ascii="Arial" w:cs="Arial" w:eastAsia="Arial" w:hAnsi="Arial"/>
                <w:sz w:val="11"/>
                <w:szCs w:val="11"/>
                <w:color w:val="008000"/>
                <w:w w:val="90"/>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90"/>
              <w:spacing w:after="0"/>
              <w:rPr>
                <w:sz w:val="20"/>
                <w:szCs w:val="20"/>
                <w:color w:val="auto"/>
              </w:rPr>
            </w:pPr>
            <w:r>
              <w:rPr>
                <w:rFonts w:ascii="Arial" w:cs="Arial" w:eastAsia="Arial" w:hAnsi="Arial"/>
                <w:sz w:val="18"/>
                <w:szCs w:val="18"/>
                <w:color w:val="0000FF"/>
                <w:w w:val="88"/>
              </w:rPr>
              <w:t>3,054</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22.18</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58,863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02/20/2019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20"/>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70"/>
              <w:spacing w:after="0"/>
              <w:rPr>
                <w:sz w:val="20"/>
                <w:szCs w:val="20"/>
                <w:color w:val="auto"/>
              </w:rPr>
            </w:pPr>
            <w:r>
              <w:rPr>
                <w:rFonts w:ascii="Arial" w:cs="Arial" w:eastAsia="Arial" w:hAnsi="Arial"/>
                <w:sz w:val="18"/>
                <w:szCs w:val="18"/>
                <w:color w:val="0000FF"/>
                <w:w w:val="86"/>
              </w:rPr>
              <w:t>732</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22.18</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58,131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5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02/20/2019</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7,635</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7,635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20"/>
              <w:spacing w:after="0"/>
              <w:rPr>
                <w:sz w:val="20"/>
                <w:szCs w:val="20"/>
                <w:color w:val="auto"/>
              </w:rPr>
            </w:pPr>
            <w:r>
              <w:rPr>
                <w:rFonts w:ascii="Arial" w:cs="Arial" w:eastAsia="Arial" w:hAnsi="Arial"/>
                <w:sz w:val="14"/>
                <w:szCs w:val="14"/>
                <w:color w:val="0000FF"/>
                <w:w w:val="88"/>
              </w:rPr>
              <w:t>15,266</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 Unit</w:t>
            </w: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vesting of one-third of 22,901 Restricted Stock Units (RSUs) granted on February 21, 2018. Each RSU was the economic equivalent of one share of California Resources Corporation (CRC) common stock. On February 20, 2019, 3,054 of the reporting person's RSUs were settled for cash, and the remaining 4,581 were settled for an equal number of shares of CRC common stock.</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One-third of the RSUs vested on February 20, 2019; the remaining RSUs vest in two equal annual installments beginning February 20, 2020.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20" w:type="dxa"/>
            <w:vAlign w:val="bottom"/>
            <w:gridSpan w:val="3"/>
          </w:tcPr>
          <w:p>
            <w:pPr>
              <w:spacing w:after="0"/>
              <w:rPr>
                <w:sz w:val="20"/>
                <w:szCs w:val="20"/>
                <w:color w:val="auto"/>
              </w:rPr>
            </w:pPr>
            <w:r>
              <w:rPr>
                <w:rFonts w:ascii="Arial" w:cs="Arial" w:eastAsia="Arial" w:hAnsi="Arial"/>
                <w:sz w:val="18"/>
                <w:szCs w:val="18"/>
                <w:color w:val="0000FF"/>
                <w:w w:val="99"/>
              </w:rPr>
              <w:t>/s/ Ulrik Damborg, Attorney-</w:t>
            </w: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02/22/2019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0"/>
              </w:rPr>
              <w:t>in-Fact for Michael L. Preston</w:t>
            </w:r>
          </w:p>
        </w:tc>
        <w:tc>
          <w:tcPr>
            <w:tcW w:w="8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207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2019-12-24T08:46:31Z</dcterms:created>
  <dcterms:modified xsi:type="dcterms:W3CDTF">2019-12-24T08:46:31Z</dcterms:modified>
</cp:coreProperties>
</file>