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27, 2019</w:t>
      </w:r>
    </w:p>
    <w:p>
      <w:pPr>
        <w:spacing w:after="0" w:line="18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6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63"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11300"/>
          </w:cols>
          <w:pgMar w:left="240" w:top="1400" w:right="359" w:bottom="1440" w:gutter="0" w:footer="0" w:header="0"/>
        </w:sectPr>
      </w:pPr>
    </w:p>
    <w:p>
      <w:pPr>
        <w:spacing w:after="0" w:line="38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67" w:lineRule="exact"/>
        <w:rPr>
          <w:sz w:val="24"/>
          <w:szCs w:val="24"/>
          <w:color w:val="auto"/>
        </w:rPr>
      </w:pPr>
    </w:p>
    <w:p>
      <w:pPr>
        <w:sectPr>
          <w:pgSz w:w="11900" w:h="16838" w:orient="portrait"/>
          <w:cols w:equalWidth="0" w:num="3">
            <w:col w:w="4620" w:space="720"/>
            <w:col w:w="3040" w:space="720"/>
            <w:col w:w="2200"/>
          </w:cols>
          <w:pgMar w:left="240" w:top="1400" w:right="35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420"/>
          </w:cols>
          <w:pgMar w:left="240" w:top="1400" w:right="359" w:bottom="1440" w:gutter="0" w:footer="0" w:header="0"/>
          <w:type w:val="continuous"/>
        </w:sectPr>
      </w:pPr>
    </w:p>
    <w:p>
      <w:pPr>
        <w:spacing w:after="0" w:line="16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27200 Tourney Road, Suite 315</w:t>
      </w:r>
    </w:p>
    <w:p>
      <w:pPr>
        <w:spacing w:after="0" w:line="4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67" w:lineRule="exact"/>
        <w:rPr>
          <w:sz w:val="24"/>
          <w:szCs w:val="24"/>
          <w:color w:val="auto"/>
        </w:rPr>
      </w:pPr>
    </w:p>
    <w:p>
      <w:pPr>
        <w:sectPr>
          <w:pgSz w:w="11900" w:h="16838" w:orient="portrait"/>
          <w:cols w:equalWidth="0" w:num="2">
            <w:col w:w="7620" w:space="720"/>
            <w:col w:w="2960"/>
          </w:cols>
          <w:pgMar w:left="240" w:top="1400" w:right="35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5" w:lineRule="exact"/>
        <w:rPr>
          <w:sz w:val="24"/>
          <w:szCs w:val="24"/>
          <w:color w:val="auto"/>
        </w:rPr>
      </w:pPr>
    </w:p>
    <w:p>
      <w:pPr>
        <w:sectPr>
          <w:pgSz w:w="11900" w:h="16838" w:orient="portrait"/>
          <w:cols w:equalWidth="0" w:num="2">
            <w:col w:w="7460" w:space="720"/>
            <w:col w:w="3120"/>
          </w:cols>
          <w:pgMar w:left="240" w:top="1400" w:right="35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February 27, 2019, California Resources Corporation (the “Company”) issued a press release announcing its financial condition and results of operations for the three and twelve months ended December 31, 2018. A copy of the press release is furnished as Exhibit 99.1 to this report on Form 8-K, and is incorporated herein by reference.</w:t>
      </w:r>
    </w:p>
    <w:p>
      <w:pPr>
        <w:spacing w:after="0" w:line="12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2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2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66" w:lineRule="exact"/>
        <w:rPr>
          <w:sz w:val="20"/>
          <w:szCs w:val="20"/>
          <w:color w:val="auto"/>
        </w:rPr>
      </w:pPr>
    </w:p>
    <w:tbl>
      <w:tblPr>
        <w:tblLayout w:type="fixed"/>
        <w:tblInd w:w="2020" w:type="dxa"/>
        <w:tblCellMar>
          <w:top w:w="0" w:type="dxa"/>
          <w:left w:w="0" w:type="dxa"/>
          <w:bottom w:w="0" w:type="dxa"/>
          <w:right w:w="0" w:type="dxa"/>
        </w:tblCellMar>
      </w:tblPr>
      <w:tr>
        <w:trPr>
          <w:trHeight w:val="207"/>
        </w:trPr>
        <w:tc>
          <w:tcPr>
            <w:tcW w:w="202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3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w w:val="95"/>
              </w:rPr>
            </w:pPr>
            <w:hyperlink w:anchor="page4">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w:anchor="page4">
              <w:r>
                <w:rPr>
                  <w:rFonts w:ascii="Times New Roman" w:cs="Times New Roman" w:eastAsia="Times New Roman" w:hAnsi="Times New Roman"/>
                  <w:sz w:val="18"/>
                  <w:szCs w:val="18"/>
                  <w:color w:val="0000FF"/>
                  <w:w w:val="98"/>
                </w:rPr>
                <w:t>Press release dated February 27, 2019.</w:t>
              </w:r>
            </w:hyperlink>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34290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76"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Pineci</w:t>
      </w:r>
    </w:p>
    <w:p>
      <w:pPr>
        <w:spacing w:after="0" w:line="63" w:lineRule="exact"/>
        <w:rPr>
          <w:sz w:val="20"/>
          <w:szCs w:val="20"/>
          <w:color w:val="auto"/>
        </w:rPr>
      </w:pPr>
    </w:p>
    <w:p>
      <w:pPr>
        <w:sectPr>
          <w:pgSz w:w="11900" w:h="16838" w:orient="portrait"/>
          <w:cols w:equalWidth="0" w:num="2">
            <w:col w:w="5300" w:space="560"/>
            <w:col w:w="5080"/>
          </w:cols>
          <w:pgMar w:left="240" w:top="576" w:right="71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Finance</w:t>
      </w:r>
    </w:p>
    <w:p>
      <w:pPr>
        <w:spacing w:after="0" w:line="211" w:lineRule="exact"/>
        <w:rPr>
          <w:sz w:val="20"/>
          <w:szCs w:val="20"/>
          <w:color w:val="auto"/>
        </w:rPr>
      </w:pPr>
    </w:p>
    <w:p>
      <w:pPr>
        <w:sectPr>
          <w:pgSz w:w="11900" w:h="16838" w:orient="portrait"/>
          <w:cols w:equalWidth="0" w:num="2">
            <w:col w:w="5220" w:space="640"/>
            <w:col w:w="5080"/>
          </w:cols>
          <w:pgMar w:left="240" w:top="576"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27, 2019</w:t>
      </w:r>
    </w:p>
    <w:p>
      <w:pPr>
        <w:sectPr>
          <w:pgSz w:w="11900" w:h="16838" w:orient="portrait"/>
          <w:cols w:equalWidth="0" w:num="1">
            <w:col w:w="10940"/>
          </w:cols>
          <w:pgMar w:left="240" w:top="576" w:right="71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791845</wp:posOffset>
            </wp:positionV>
            <wp:extent cx="202374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Fourth Quarter 2018 and Full Year Results</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22"/>
          <w:szCs w:val="22"/>
          <w:color w:val="auto"/>
        </w:rPr>
        <w:t>LOS ANGELES, February 27, 2019 - California Resources Corporation (NYSE: CRC), an independent California-based oil and gas exploration and production company, today reported net income attributable to common stock (CRC net income) of $346 million, or $7.00 per diluted share, for the fourth quarter of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2018 was $26 million, or $0.53 per diluted share. For the full year of 2018, CRC net income was $328 million, or $6.77 per diluted share.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full year of 2018 was $61 million, or $1.27 per diluted share.</w:t>
      </w:r>
    </w:p>
    <w:p>
      <w:pPr>
        <w:spacing w:after="0" w:line="6" w:lineRule="exact"/>
        <w:rPr>
          <w:sz w:val="20"/>
          <w:szCs w:val="20"/>
          <w:color w:val="auto"/>
        </w:rPr>
      </w:pPr>
    </w:p>
    <w:p>
      <w:pPr>
        <w:jc w:val="both"/>
        <w:ind w:right="20" w:firstLine="324"/>
        <w:spacing w:after="0" w:line="226"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2018 was $314 million and $1,117 million for the full year of 2018. Cash provided by operating activities was $68 million for the fourth quarter of 2018 and $461 million for the full year of 2018, or an 86% increase over the full year $248 million in 2017.</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 Highlights</w:t>
      </w:r>
    </w:p>
    <w:p>
      <w:pPr>
        <w:spacing w:after="0" w:line="34" w:lineRule="exact"/>
        <w:rPr>
          <w:sz w:val="20"/>
          <w:szCs w:val="20"/>
          <w:color w:val="auto"/>
        </w:rPr>
      </w:pPr>
    </w:p>
    <w:p>
      <w:pPr>
        <w:ind w:left="340" w:right="560" w:hanging="264"/>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Produced an average of 136,000 barrels of oil equivalent (BOE) per day, an increase of 8% over the prior year period</w:t>
      </w: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Produced an average of 86,000 barrels of oil per day, an increase of 8% over the prior year period</w:t>
      </w:r>
    </w:p>
    <w:p>
      <w:pPr>
        <w:spacing w:after="0" w:line="3" w:lineRule="exact"/>
        <w:rPr>
          <w:rFonts w:ascii="Arial" w:cs="Arial" w:eastAsia="Arial" w:hAnsi="Arial"/>
          <w:sz w:val="22"/>
          <w:szCs w:val="22"/>
          <w:color w:val="auto"/>
        </w:rPr>
      </w:pPr>
    </w:p>
    <w:p>
      <w:pPr>
        <w:ind w:left="340" w:right="560" w:hanging="264"/>
        <w:spacing w:after="0" w:line="214"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Generated core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$352 million, which excludes $50 million of net settlement payments on commodity derivative contracts offset by $12 million related to cash-settled stock-based compensation</w:t>
      </w:r>
    </w:p>
    <w:p>
      <w:pPr>
        <w:ind w:left="340" w:hanging="264"/>
        <w:spacing w:after="0" w:line="191"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Reported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$314 million and an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41%</w:t>
      </w:r>
    </w:p>
    <w:p>
      <w:pPr>
        <w:ind w:left="340" w:right="60" w:hanging="264"/>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Invested $197 million of total capital, including internally funded capital of $174 million with the remainder funded by joint venture (JV) partners</w:t>
      </w: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Drilled 86 wells with internally funded capital and five wells with JV capital</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Highlights</w:t>
      </w:r>
    </w:p>
    <w:p>
      <w:pPr>
        <w:spacing w:after="0" w:line="34" w:lineRule="exact"/>
        <w:rPr>
          <w:sz w:val="20"/>
          <w:szCs w:val="20"/>
          <w:color w:val="auto"/>
        </w:rPr>
      </w:pP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Produced an average of 132,000 BOE per day, an increase of 2% over the prior year</w:t>
      </w:r>
    </w:p>
    <w:p>
      <w:pPr>
        <w:spacing w:after="0" w:line="3" w:lineRule="exact"/>
        <w:rPr>
          <w:rFonts w:ascii="Arial" w:cs="Arial" w:eastAsia="Arial" w:hAnsi="Arial"/>
          <w:sz w:val="22"/>
          <w:szCs w:val="22"/>
          <w:color w:val="auto"/>
        </w:rPr>
      </w:pPr>
    </w:p>
    <w:p>
      <w:pPr>
        <w:ind w:left="340" w:right="260" w:hanging="264"/>
        <w:spacing w:after="0" w:line="214"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Generated core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$1,374 million, which excludes $228 million of net settlement payments on commodity derivative contracts and $29 million related to cash-settled stock-based compensation</w:t>
      </w:r>
    </w:p>
    <w:p>
      <w:pPr>
        <w:ind w:left="340" w:hanging="264"/>
        <w:spacing w:after="0" w:line="191"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Reported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$1,117 million and an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39%</w:t>
      </w:r>
    </w:p>
    <w:p>
      <w:pPr>
        <w:ind w:left="340" w:right="60" w:hanging="264"/>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Invested $747 million of total capital, including internally funded capital of $641 million with the remainder funded by JV partners</w:t>
      </w: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Drilled 237 wells with internally funded capital and 106 wells with JV capital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ind w:left="340" w:right="180" w:hanging="264"/>
        <w:spacing w:after="0" w:line="281"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Implemented $34 million of annualized synergies in the nine months following the Elk Hills acquisition, significantly exceeding the initial target of $20 million in a shorter time frame than expected</w:t>
      </w:r>
    </w:p>
    <w:p>
      <w:pPr>
        <w:spacing w:after="0" w:line="177" w:lineRule="exact"/>
        <w:rPr>
          <w:sz w:val="20"/>
          <w:szCs w:val="20"/>
          <w:color w:val="auto"/>
        </w:rPr>
      </w:pPr>
    </w:p>
    <w:p>
      <w:pPr>
        <w:ind w:right="100" w:firstLine="486"/>
        <w:spacing w:after="0" w:line="246" w:lineRule="auto"/>
        <w:rPr>
          <w:sz w:val="20"/>
          <w:szCs w:val="20"/>
          <w:color w:val="auto"/>
        </w:rPr>
      </w:pPr>
      <w:r>
        <w:rPr>
          <w:rFonts w:ascii="Arial" w:cs="Arial" w:eastAsia="Arial" w:hAnsi="Arial"/>
          <w:sz w:val="22"/>
          <w:szCs w:val="22"/>
          <w:color w:val="auto"/>
        </w:rPr>
        <w:t>Todd A. Stevens, CRC's President and Chief Executive Officer, said, "In 2018, our strategic approach focused on capturing the full value of our portfolio, driving operational excellence, efficiently and effectively allocating capital, and strengthening the balance sheet. We made good progress on each priority, increasing the impact of our investment program and delivering 8% growth in oil production from the fourth quarter of 2017 to the fourth quarter of 2018. We invested in value-driven activity to develop our core and growth areas with the support of strategic JV capital, in addition to successfully resuming our exploration program. We also harnessed our operating expertise to generate more synergies than expected around the consolidation of our flagship Elk Hills asset. We are entering 2019 with a internally funded capital program of $300 to $385 million, which we will adjust to align our financial and operating plans to market conditions. We are also in discussions to obtain additional investments from new and existing JV partners that could increase our capital program by $100-$150 million to support a total capital budget of approximately $500 million. This will allow us to maintain activity and efficiency gains, while retaining a high degree of operational flexibility. Supported by our diverse asset base, high level of operating control and dynamic business model, we expect to continue to deliver meaningful value for our shareholders in 2019 and beyond."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2018 Results</w:t>
      </w:r>
    </w:p>
    <w:p>
      <w:pPr>
        <w:spacing w:after="0" w:line="34"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21"/>
          <w:szCs w:val="21"/>
          <w:color w:val="auto"/>
        </w:rPr>
        <w:t>For the fourth quarter of 2018, CRC net income was $346 million, or $7.00 per diluted share, compared to a net loss attributable to common stock (CRC net loss) of $138 million, or $3.23 per diluted share for the same period of 2017.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fourth quarter of 2018 was $26 million, or $0.53 per diluted share, compared with an adjusted net loss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$14 million, or $0.33 per diluted share for the same prior year period. The 2018 results reflected increased production and higher realized commodity prices for oil and natural gas compared to 2017. The fourth quarter of 2018 adjusted net income </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excluded $295 million of non-cash derivative gains on commodity contracts, a $6 million non-cash derivative loss from interest-rate contracts and a net gain of $31 million on debt repurchases.</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Total daily production volumes averaged 136,000 BOE per day for the fourth quarter of 2018, compared to 126,000 BOE per day for the fourth quarter of 2017, an increase of 8%, largely driven by the Elk Hills acquisition in the second quarter of 2018. For the fourth quarter of 2018, oil volumes averaged 86,000 barrels per day, NGL volumes averaged 16,000 barrels per day and gas volumes averaged 204,000 thousand cubic feet (MCF) per day. Organically, oil production grew over 1,000 barrels per day from the third quarter of 2018 to the fourth quarter of 2018, excluding the effects of production sharing-type contracts (PSCs) and acquisitions.</w:t>
      </w:r>
    </w:p>
    <w:p>
      <w:pPr>
        <w:spacing w:after="0" w:line="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Realized crude oil prices, including the effect of settled hedges, increased by $3.05 per barrel for the fourth quarter of 2018 to $59.97 per barrel from the same prior year period. Settled hedges decreased realized crude oil prices by $6.15 per barrel for the fourth quarter of 2018. Average realized NGL prices registered $43.56 per barrel, reflecting a realized price that was 64% of Brent prices. Realized natural gas prices were $3.77 per MCF for the fourth quarter of 2018, $1.00 higher than the same prior year period. The increase in realized gas prices resulted from the effects of limited third-party storage and pipeline constraints.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78" w:right="239" w:bottom="1440" w:gutter="0" w:footer="0" w:header="0"/>
        </w:sectPr>
      </w:pPr>
    </w:p>
    <w:bookmarkStart w:id="5" w:name="page6"/>
    <w:bookmarkEnd w:id="5"/>
    <w:p>
      <w:pPr>
        <w:jc w:val="both"/>
        <w:ind w:firstLine="324"/>
        <w:spacing w:after="0" w:line="239" w:lineRule="auto"/>
        <w:rPr>
          <w:sz w:val="20"/>
          <w:szCs w:val="20"/>
          <w:color w:val="auto"/>
        </w:rPr>
      </w:pPr>
      <w:r>
        <w:rPr>
          <w:rFonts w:ascii="Arial" w:cs="Arial" w:eastAsia="Arial" w:hAnsi="Arial"/>
          <w:sz w:val="22"/>
          <w:szCs w:val="22"/>
          <w:color w:val="auto"/>
        </w:rPr>
        <w:t>Production costs for the fourth quarter of 2018 were $233 million, or $18.61 per BOE, compared to $227 million, or $19.64 per BOE, for the fourth quarter of 2017. In line with industry practice for reporting PSCs, CRC reports gross field operating costs, but only CRC's share of production volumes, which results in higher production costs per barrel. Excluding this PSC effect, per unit production costs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2018 would have been $17.44 per BOE compared to $18.31 for the same prior year period. The decrease in production costs per BOE was primarily driven by higher production between comparative periods, largely related to the Elk Hills acquisition. Elk Hills' production costs are lower than the average CRC-wide production cost per barrel. As a result, the Elk Hills acquisition had a favorable effect on production cost per barrel. General and administrative expenses (G&amp;A) were $65 million for the fourth quarter of 2018 compared to $66 million for the prior year period.</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 reported taxes other than on income of $29 million for the fourth quarter of 2018 compared to $33 million for the same prior year period. Exploration expense was $16 million for the fourth quarter of 2018, $11 million higher than the same prior year period due to exploration dry holes.</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CRC's internally funded capital investment for the fourth quarter of 2018 totaled $174 million, of which $119 million was directed to drilling and capital workovers. CRC's JV partner Benefit Street Partners LLC (BSP) funded $12 million, which is included in CRC's consolidated results, while JV partner Macquarie Infrastructure and Real Assets Inc. (MIRA) funded an additional $11 million of investment, which is excluded from our consolidated results.</w:t>
      </w:r>
    </w:p>
    <w:p>
      <w:pPr>
        <w:spacing w:after="0" w:line="2" w:lineRule="exact"/>
        <w:rPr>
          <w:sz w:val="20"/>
          <w:szCs w:val="20"/>
          <w:color w:val="auto"/>
        </w:rPr>
      </w:pPr>
    </w:p>
    <w:p>
      <w:pPr>
        <w:ind w:right="900" w:firstLine="324"/>
        <w:spacing w:after="0" w:line="255" w:lineRule="auto"/>
        <w:rPr>
          <w:sz w:val="20"/>
          <w:szCs w:val="20"/>
          <w:color w:val="auto"/>
        </w:rPr>
      </w:pPr>
      <w:r>
        <w:rPr>
          <w:rFonts w:ascii="Arial" w:cs="Arial" w:eastAsia="Arial" w:hAnsi="Arial"/>
          <w:sz w:val="22"/>
          <w:szCs w:val="22"/>
          <w:color w:val="auto"/>
        </w:rPr>
        <w:t>Cash provided by operating activities was $68 million for the fourth quarter of 2018, which included interest payments of $157 million.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2018 Results</w:t>
      </w:r>
    </w:p>
    <w:p>
      <w:pPr>
        <w:spacing w:after="0" w:line="60"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22"/>
          <w:szCs w:val="22"/>
          <w:color w:val="auto"/>
        </w:rPr>
        <w:t>For the full year of 2018, CRC net income was $328 million, or $6.77 per diluted share, compared to a CRC net loss of $266 million, or $6.26 per diluted share, for the full year of 2017.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2018 was $61 million, or $1.27 per diluted share, compared with an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$187 million, or $4.40 per diluted share, for 2017. The 2018 results reflected significantly higher realized prices and higher production, partially offset by increased production costs, as well as higher G&amp;A and interest expense. The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$224 million of non-cash derivative gains on commodity contracts, a net gain of $57 million on debt repurchases, a $6 million non-cash derivative loss from interest rate contracts, a $5 million gain on asset divestitures and a net $13 million charge related to other unusual and infrequent items. The 2017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$78 million of non-cash derivative losses, $21 million of gains from asset divestitures, a $4 million net gain on debt repurchases and a $26 million net charge from other unusual and infrequent items.</w:t>
      </w:r>
    </w:p>
    <w:p>
      <w:pPr>
        <w:spacing w:after="0" w:line="1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Total daily production volumes averaged 132,000 BOE per day for the full year of 2018 compared with 129,000 BOE per day for 2017. This net increase included a 1,300 barrel per day negative PSC effect on production volumes due to higher realized prices for 2018. Oil volumes averaged 82,000 barrels per day, NGL volumes averaged 16,000 barrels per day and gas volumes averaged 202,000 MCF per day.</w:t>
      </w:r>
    </w:p>
    <w:p>
      <w:pPr>
        <w:spacing w:after="0" w:line="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Realized crude oil prices, including the effect of settled hedges, increased $11.36 per barrel to $62.60 per barrel for the full year 2018 from $51.24 per barrel for 2017. Settled hedges reduced 2018 realized crude oil prices by $7.51 per barrel compared with a $0.23 decrease per barrel for 2017. Realized NGL prices increased 22% to $43.67 per barrel for 2018 from $35.76 per barrel for 2017. Realized natural gas prices increased 12% to $3.00 per MCF for 2018 compared with $2.67 per MCF for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578" w:right="239" w:bottom="1440" w:gutter="0" w:footer="0" w:header="0"/>
        </w:sectPr>
      </w:pPr>
    </w:p>
    <w:bookmarkStart w:id="6" w:name="page7"/>
    <w:bookmarkEnd w:id="6"/>
    <w:p>
      <w:pPr>
        <w:jc w:val="both"/>
        <w:ind w:firstLine="324"/>
        <w:spacing w:after="0" w:line="238" w:lineRule="auto"/>
        <w:rPr>
          <w:sz w:val="20"/>
          <w:szCs w:val="20"/>
          <w:color w:val="auto"/>
        </w:rPr>
      </w:pPr>
      <w:r>
        <w:rPr>
          <w:rFonts w:ascii="Arial" w:cs="Arial" w:eastAsia="Arial" w:hAnsi="Arial"/>
          <w:sz w:val="22"/>
          <w:szCs w:val="22"/>
          <w:color w:val="auto"/>
        </w:rPr>
        <w:t>Production costs for the full year of 2018 were $912 million, or $18.88 per BOE, compared to $876 million, or $18.64 per BOE, for 2017. The Elk Hills acquisition and cash-settled stock-based compensation added $38 million and $4 million to full year production costs for 2018, respectively. Synergies captured from the Elk Hills consolidation reduced production costs by $17 million, partially offset by an increase in energy costs. Per unit production costs, excluding the effect of PSC contracts</w:t>
      </w:r>
      <w:r>
        <w:rPr>
          <w:rFonts w:ascii="Arial" w:cs="Arial" w:eastAsia="Arial" w:hAnsi="Arial"/>
          <w:sz w:val="28"/>
          <w:szCs w:val="28"/>
          <w:color w:val="auto"/>
          <w:vertAlign w:val="superscript"/>
        </w:rPr>
        <w:t>1</w:t>
      </w:r>
      <w:r>
        <w:rPr>
          <w:rFonts w:ascii="Arial" w:cs="Arial" w:eastAsia="Arial" w:hAnsi="Arial"/>
          <w:sz w:val="22"/>
          <w:szCs w:val="22"/>
          <w:color w:val="auto"/>
        </w:rPr>
        <w:t>, were $17.47 and $17.48 per BOE for the full year of 2018 and 2017, respectively. G&amp;A expenses were $299 million and $249 million for the full year of 2018 and 2017, respectively, with the difference primarily related to increased equity compensation expense resulting from CRC's higher stock price, as well as additional G&amp;A expense as a result of lower cost recovery following the Elk Hills acquisition.</w:t>
      </w:r>
    </w:p>
    <w:p>
      <w:pPr>
        <w:spacing w:after="0" w:line="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Taxes other than on income of $149 million for 2018 were $13 million higher than 2017, primarily due to higher greenhouse gas (GHG) costs related to annual price increases, in addition to a reduction in the number of allowances granted to CRC between periods. CRC reported exploration expenses of $34 million for the full year of 2018, or $12 million higher than 2017, due to exploration dry holes.</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CRC's internally funded capital investment for 2018 totaled $641 million, of which $445 million was directed to drilling and capital workovers. CRC's JV partner BSP funded an additional $49 million, which is included in CRC's consolidated results, while JV partner MIRA funded an additional $57 million of investment, which is excluded from our consolidated results.</w:t>
      </w:r>
    </w:p>
    <w:p>
      <w:pPr>
        <w:spacing w:after="0" w:line="2" w:lineRule="exact"/>
        <w:rPr>
          <w:sz w:val="20"/>
          <w:szCs w:val="20"/>
          <w:color w:val="auto"/>
        </w:rPr>
      </w:pPr>
    </w:p>
    <w:p>
      <w:pPr>
        <w:ind w:right="80" w:firstLine="324"/>
        <w:spacing w:after="0" w:line="255" w:lineRule="auto"/>
        <w:rPr>
          <w:sz w:val="20"/>
          <w:szCs w:val="20"/>
          <w:color w:val="auto"/>
        </w:rPr>
      </w:pPr>
      <w:r>
        <w:rPr>
          <w:rFonts w:ascii="Arial" w:cs="Arial" w:eastAsia="Arial" w:hAnsi="Arial"/>
          <w:sz w:val="22"/>
          <w:szCs w:val="22"/>
          <w:color w:val="auto"/>
        </w:rPr>
        <w:t>Cash provided by operating activities for the full year of 2018 was $461 million, which included interest payments of $441 million and $98 million of GHG payments related to prior years' allowances.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CRC operated an average of 10 drilling rigs during the fourth quarter of 2018 with five rigs focused on waterfloods, three on conventional primary production, one on steamfloods and one on unconventional production. CRC drilled 90 development wells and one exploration well with CRC and JV capital (33 steamflood, 38 waterflood, 13 primary and 7 unconventional). Steamfloods and waterfloods have different production profiles and longer response times than typical conventional wells and, as a result, the full production contribution may not be experienced in the same period that the well is drilled. In the San Joaquin basin, CRC produced approximately 99,000 BOE per day and operated six rigs during the fourth quarter of 2018. The Los Angeles basin contributed 26,000 BOE per day of production and operated three rigs directed toward waterflood projects during the fourth quarter of 2018. The Ventura basin produced 6,000 BOE per day and operated one rig directed toward waterflood projects during the fourth quarter of 2018. The Sacramento basin produced 5,000 BOE per day and had no active drilling program during the fourth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2019 Capital Budget</w:t>
      </w:r>
    </w:p>
    <w:p>
      <w:pPr>
        <w:spacing w:after="0" w:line="3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With current oil prices slightly above $60 per barrel Brent, CRC estimates its 2019 internally funded capital program will range from $300 million to $385 million, which may be adjusted during the course of the year depending on commodity prices. CRC is also in discussion to obtain additional investments from new and existing JVs that could increase the 2019 capital program by $100 to $150 million, to support a total capital budget of approximately $500 million. CRC’s internally funded investments will be largely directed to quick payback projects, such as primary drilling and capital workovers, and low-risk projects including waterflood and steamflood investments that maintain base production.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78"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Balance Sheet Strengthening Update</w:t>
      </w:r>
    </w:p>
    <w:p>
      <w:pPr>
        <w:spacing w:after="0" w:line="34" w:lineRule="exact"/>
        <w:rPr>
          <w:sz w:val="20"/>
          <w:szCs w:val="20"/>
          <w:color w:val="auto"/>
        </w:rPr>
      </w:pPr>
    </w:p>
    <w:p>
      <w:pPr>
        <w:ind w:right="480" w:firstLine="324"/>
        <w:spacing w:after="0" w:line="247" w:lineRule="auto"/>
        <w:rPr>
          <w:sz w:val="20"/>
          <w:szCs w:val="20"/>
          <w:color w:val="auto"/>
        </w:rPr>
      </w:pPr>
      <w:r>
        <w:rPr>
          <w:rFonts w:ascii="Arial" w:cs="Arial" w:eastAsia="Arial" w:hAnsi="Arial"/>
          <w:sz w:val="22"/>
          <w:szCs w:val="22"/>
          <w:color w:val="auto"/>
        </w:rPr>
        <w:t>For the fourth quarter of 2018, CRC repurchased a total of $55 million in aggregate principal amount of CRC's outstanding debt for $50 million. In 2018, CRC repurchased a total of $232 million in aggregate principal amount of CRC's outstanding debt for $199 million. The majority of CRC's debt repurchases focused on CRC's Second Lien Notes.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Year-End 2018 Reserves</w:t>
      </w:r>
    </w:p>
    <w:p>
      <w:pPr>
        <w:spacing w:after="0" w:line="3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CRC's proved reserves totaled 712 million barrels of oil equivalent (MMBOE), an increase from 618 MMBOE in 2017. Excluding positive price revisions, proved undeveloped reserves downgraded at management's discretion and acquisitions, CRC organically replaced 127% of proved reserves. CRC achieved this strong organic reserve replacement ratio through well-executed capital programs in its Buena Vista, South Valley, Huntington Beach and Long Beach areas of operations. In 2018, total additions to proved reserves from all sources were 142 MMBOE, resulting in an all-in reserve replacement ratio of 296%.</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Update</w:t>
      </w:r>
    </w:p>
    <w:p>
      <w:pPr>
        <w:spacing w:after="0" w:line="3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CRC continues to opportunistically implement a hedging program to protect its cash flow, operating margins and capital program, while maintaining adequate liquidity. For the first and second quarters of 2019, CRC has protected the downside price risk of approximately 45,000 and 40,000 barrels per day at approximately $66 Brent and $70 Brent per barrel, respectively. For the third and fourth quarters of 2019, CRC has protected the downside price risk of approximately 40,000 and 35,000 barrels per day at approximately $73 Brent and $76 Brent per barrel, respectively. Except for a small portion primarily in the first quarter of 2019, the 2019 hedges do not contain caps, thereby providing upside to oil price movements. See Attachment 10 for more details.</w:t>
      </w:r>
    </w:p>
    <w:p>
      <w:pPr>
        <w:spacing w:after="0" w:line="215" w:lineRule="exact"/>
        <w:rPr>
          <w:sz w:val="20"/>
          <w:szCs w:val="20"/>
          <w:color w:val="auto"/>
        </w:rPr>
      </w:pPr>
    </w:p>
    <w:p>
      <w:pPr>
        <w:jc w:val="both"/>
        <w:ind w:firstLine="8"/>
        <w:spacing w:after="0" w:line="244" w:lineRule="auto"/>
        <w:tabs>
          <w:tab w:leader="none" w:pos="117"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See Attachment 3 for how CRC calculates and uses the non-GAAP measures of adjusted EBITDAX, core adjusted EBITDAX, adjusted EBITDAX margin, free cash flow, production costs (excluding the effects of PSC-type contracts) and adjusted net income (loss), and for reconciliations of the foregoing to their nearest GAAP measure.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22"/>
          <w:szCs w:val="22"/>
          <w:color w:val="auto"/>
        </w:rPr>
        <w:t xml:space="preserve">To participate in today’s conference call scheduled for 5:00 P.M. Eastern Standard Time, either dial (877) 328-5505 (International calls please dial +1 (412) 317-5421) or access via webcast at </w:t>
      </w:r>
      <w:r>
        <w:rPr>
          <w:rFonts w:ascii="Arial" w:cs="Arial" w:eastAsia="Arial" w:hAnsi="Arial"/>
          <w:sz w:val="22"/>
          <w:szCs w:val="22"/>
          <w:color w:val="421BFF"/>
        </w:rPr>
        <w:t>www.crc.com</w:t>
      </w:r>
      <w:r>
        <w:rPr>
          <w:rFonts w:ascii="Arial" w:cs="Arial" w:eastAsia="Arial" w:hAnsi="Arial"/>
          <w:sz w:val="22"/>
          <w:szCs w:val="22"/>
          <w:color w:val="auto"/>
        </w:rPr>
        <w:t xml:space="preserve">, fifteen minutes prior to the scheduled start time to register. Participants may also pre-register for the conference call at </w:t>
      </w:r>
      <w:r>
        <w:rPr>
          <w:rFonts w:ascii="Arial" w:cs="Arial" w:eastAsia="Arial" w:hAnsi="Arial"/>
          <w:sz w:val="22"/>
          <w:szCs w:val="22"/>
          <w:color w:val="421BFF"/>
        </w:rPr>
        <w:t xml:space="preserve">http://dpregister.com/10127347. </w:t>
      </w:r>
      <w:r>
        <w:rPr>
          <w:rFonts w:ascii="Arial" w:cs="Arial" w:eastAsia="Arial" w:hAnsi="Arial"/>
          <w:sz w:val="22"/>
          <w:szCs w:val="22"/>
          <w:color w:val="000000"/>
        </w:rPr>
        <w:t>A digital replay of the conference call will be archived for approximately 30 days and</w:t>
      </w:r>
      <w:r>
        <w:rPr>
          <w:rFonts w:ascii="Arial" w:cs="Arial" w:eastAsia="Arial" w:hAnsi="Arial"/>
          <w:sz w:val="22"/>
          <w:szCs w:val="22"/>
          <w:color w:val="421BFF"/>
        </w:rPr>
        <w:t xml:space="preserve"> </w:t>
      </w:r>
      <w:r>
        <w:rPr>
          <w:rFonts w:ascii="Arial" w:cs="Arial" w:eastAsia="Arial" w:hAnsi="Arial"/>
          <w:sz w:val="22"/>
          <w:szCs w:val="22"/>
          <w:color w:val="000000"/>
        </w:rPr>
        <w:t xml:space="preserve">supplemental slides for the conference call will be available online in the Investor Relations section of </w:t>
      </w:r>
      <w:r>
        <w:rPr>
          <w:rFonts w:ascii="Arial" w:cs="Arial" w:eastAsia="Arial" w:hAnsi="Arial"/>
          <w:sz w:val="22"/>
          <w:szCs w:val="22"/>
          <w:color w:val="421BFF"/>
        </w:rPr>
        <w:t>www.crc.com.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3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CRC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832"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47"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 w:lineRule="exact"/>
        <w:rPr>
          <w:rFonts w:ascii="Arial" w:cs="Arial" w:eastAsia="Arial" w:hAnsi="Arial"/>
          <w:sz w:val="22"/>
          <w:szCs w:val="22"/>
          <w:color w:val="auto"/>
        </w:rPr>
      </w:pPr>
    </w:p>
    <w:p>
      <w:pPr>
        <w:ind w:left="660" w:right="54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Value Creation Index (VCI) metrics, which are based on certain estimates including future production rates, costs and commodity prices</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4" w:lineRule="exact"/>
        <w:rPr>
          <w:sz w:val="20"/>
          <w:szCs w:val="20"/>
          <w:color w:val="auto"/>
        </w:rPr>
      </w:pPr>
    </w:p>
    <w:p>
      <w:pPr>
        <w:ind w:right="60"/>
        <w:spacing w:after="0" w:line="255" w:lineRule="auto"/>
        <w:rPr>
          <w:sz w:val="20"/>
          <w:szCs w:val="20"/>
          <w:color w:val="auto"/>
        </w:rPr>
      </w:pPr>
      <w:r>
        <w:rPr>
          <w:rFonts w:ascii="Arial" w:cs="Arial" w:eastAsia="Arial" w:hAnsi="Arial"/>
          <w:sz w:val="21"/>
          <w:szCs w:val="21"/>
          <w:color w:val="auto"/>
        </w:rPr>
        <w:t>Actual results may differ from anticipated results, sometimes materially, and reported results should not be considered an indication of future performance. While CRC believes assumptions or bases underlying its expectations are reasonable and make them in good faith, they almost always vary from actual results, sometimes materially. CRC also believes third-party statements it cites are accurate, but has not independently verified them and does not warrant their accuracy or completeness. Factors (but not necessarily all the factors) that could cause results to differ include:</w:t>
      </w: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debt limitations on CRC's financial flexibility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debt repurchases or changes to CRC's capital plan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inability to enter desirable transactions, including acquisitions, asset sales and joint ventures</w:t>
      </w:r>
    </w:p>
    <w:p>
      <w:pPr>
        <w:spacing w:after="0" w:line="3" w:lineRule="exact"/>
        <w:rPr>
          <w:rFonts w:ascii="Arial" w:cs="Arial" w:eastAsia="Arial" w:hAnsi="Arial"/>
          <w:sz w:val="22"/>
          <w:szCs w:val="22"/>
          <w:color w:val="auto"/>
        </w:rPr>
      </w:pPr>
    </w:p>
    <w:p>
      <w:pPr>
        <w:ind w:left="660" w:right="360" w:hanging="328"/>
        <w:spacing w:after="0" w:line="24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joint ventures and acquisitions and CRC's ability to achieve expected synergies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 w:lineRule="exact"/>
        <w:rPr>
          <w:rFonts w:ascii="Arial" w:cs="Arial" w:eastAsia="Arial" w:hAnsi="Arial"/>
          <w:sz w:val="22"/>
          <w:szCs w:val="22"/>
          <w:color w:val="auto"/>
        </w:rPr>
      </w:pPr>
    </w:p>
    <w:p>
      <w:pPr>
        <w:ind w:left="660" w:right="620" w:hanging="328"/>
        <w:spacing w:after="0" w:line="24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right="220" w:hanging="328"/>
        <w:spacing w:after="0" w:line="255"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576" w:right="259" w:bottom="1440" w:gutter="0" w:footer="0" w:header="0"/>
        </w:sectPr>
      </w:pPr>
    </w:p>
    <w:bookmarkStart w:id="9" w:name="page10"/>
    <w:bookmarkEnd w:id="9"/>
    <w:p>
      <w:pPr>
        <w:ind w:firstLine="332"/>
        <w:spacing w:after="0" w:line="249" w:lineRule="auto"/>
        <w:tabs>
          <w:tab w:leader="none" w:pos="648" w:val="left"/>
        </w:tabs>
        <w:numPr>
          <w:ilvl w:val="0"/>
          <w:numId w:val="8"/>
        </w:numPr>
        <w:rPr>
          <w:rFonts w:ascii="Arial" w:cs="Arial" w:eastAsia="Arial" w:hAnsi="Arial"/>
          <w:sz w:val="22"/>
          <w:szCs w:val="22"/>
          <w:color w:val="auto"/>
        </w:rPr>
      </w:pPr>
      <w:r>
        <w:rPr>
          <w:rFonts w:ascii="Arial" w:cs="Arial" w:eastAsia="Arial" w:hAnsi="Arial"/>
          <w:sz w:val="22"/>
          <w:szCs w:val="22"/>
          <w:color w:val="auto"/>
        </w:rPr>
        <w:t>factors discussed in “Risk Factors” in CRC's Annual Report on Form 10-K available on its website at crc.com. 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CRC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48"/>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940" w:type="dxa"/>
            <w:vAlign w:val="bottom"/>
            <w:gridSpan w:val="2"/>
          </w:tcPr>
          <w:p>
            <w:pPr>
              <w:ind w:left="116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9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818-661-6005</w:t>
            </w:r>
          </w:p>
        </w:tc>
      </w:tr>
      <w:tr>
        <w:trPr>
          <w:trHeight w:val="237"/>
        </w:trPr>
        <w:tc>
          <w:tcPr>
            <w:tcW w:w="4580" w:type="dxa"/>
            <w:vAlign w:val="bottom"/>
            <w:gridSpan w:val="4"/>
          </w:tcPr>
          <w:p>
            <w:pPr>
              <w:ind w:left="40"/>
              <w:spacing w:after="0" w:line="237" w:lineRule="exact"/>
              <w:rPr>
                <w:sz w:val="20"/>
                <w:szCs w:val="20"/>
                <w:color w:val="auto"/>
              </w:rPr>
            </w:pPr>
            <w:r>
              <w:rPr>
                <w:rFonts w:ascii="Arial" w:cs="Arial" w:eastAsia="Arial" w:hAnsi="Arial"/>
                <w:sz w:val="22"/>
                <w:szCs w:val="22"/>
                <w:color w:val="421BFF"/>
              </w:rPr>
              <w:t>Scott.Espenshade@crc.com</w:t>
            </w:r>
          </w:p>
        </w:tc>
        <w:tc>
          <w:tcPr>
            <w:tcW w:w="3940" w:type="dxa"/>
            <w:vAlign w:val="bottom"/>
            <w:gridSpan w:val="2"/>
          </w:tcPr>
          <w:p>
            <w:pPr>
              <w:ind w:left="1160"/>
              <w:spacing w:after="0" w:line="237"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gridSpan w:val="2"/>
          </w:tcPr>
          <w:p>
            <w:pPr>
              <w:ind w:left="840"/>
              <w:spacing w:after="0"/>
              <w:rPr>
                <w:sz w:val="20"/>
                <w:szCs w:val="20"/>
                <w:color w:val="auto"/>
              </w:rPr>
            </w:pPr>
            <w:r>
              <w:rPr>
                <w:rFonts w:ascii="Arial" w:cs="Arial" w:eastAsia="Arial" w:hAnsi="Arial"/>
                <w:sz w:val="18"/>
                <w:szCs w:val="18"/>
                <w:color w:val="auto"/>
              </w:rPr>
              <w:t>Page 7</w:t>
            </w:r>
          </w:p>
        </w:tc>
      </w:tr>
    </w:tbl>
    <w:p>
      <w:pPr>
        <w:sectPr>
          <w:pgSz w:w="11900" w:h="16838" w:orient="portrait"/>
          <w:cols w:equalWidth="0" w:num="1">
            <w:col w:w="11300"/>
          </w:cols>
          <w:pgMar w:left="240" w:top="578" w:right="3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SUMMARY OF RESULTS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8"/>
        </w:trPr>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3"/>
          </w:tcPr>
          <w:p>
            <w:pPr>
              <w:jc w:val="right"/>
              <w:ind w:right="8"/>
              <w:spacing w:after="0"/>
              <w:rPr>
                <w:sz w:val="20"/>
                <w:szCs w:val="20"/>
                <w:color w:val="auto"/>
              </w:rPr>
            </w:pPr>
            <w:r>
              <w:rPr>
                <w:rFonts w:ascii="Arial" w:cs="Arial" w:eastAsia="Arial" w:hAnsi="Arial"/>
                <w:sz w:val="14"/>
                <w:szCs w:val="14"/>
                <w:color w:val="auto"/>
              </w:rPr>
              <w:t>Fourth Quarter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ind w:left="500"/>
              <w:spacing w:after="0"/>
              <w:rPr>
                <w:sz w:val="20"/>
                <w:szCs w:val="20"/>
                <w:color w:val="auto"/>
              </w:rPr>
            </w:pPr>
            <w:r>
              <w:rPr>
                <w:rFonts w:ascii="Arial" w:cs="Arial" w:eastAsia="Arial" w:hAnsi="Arial"/>
                <w:sz w:val="14"/>
                <w:szCs w:val="14"/>
                <w:color w:val="auto"/>
              </w:rPr>
              <w:t>Twelve Months</w:t>
            </w:r>
          </w:p>
        </w:tc>
      </w:tr>
      <w:tr>
        <w:trPr>
          <w:trHeight w:val="267"/>
        </w:trPr>
        <w:tc>
          <w:tcPr>
            <w:tcW w:w="20" w:type="dxa"/>
            <w:vAlign w:val="bottom"/>
            <w:tcBorders>
              <w:bottom w:val="single" w:sz="8" w:color="auto"/>
            </w:tcBorders>
          </w:tcPr>
          <w:p>
            <w:pPr>
              <w:spacing w:after="0"/>
              <w:rPr>
                <w:sz w:val="23"/>
                <w:szCs w:val="23"/>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3"/>
                <w:szCs w:val="23"/>
                <w:color w:val="auto"/>
              </w:rPr>
            </w:pPr>
          </w:p>
        </w:tc>
      </w:tr>
      <w:tr>
        <w:trPr>
          <w:trHeight w:val="386"/>
        </w:trPr>
        <w:tc>
          <w:tcPr>
            <w:tcW w:w="20" w:type="dxa"/>
            <w:vAlign w:val="bottom"/>
          </w:tcPr>
          <w:p>
            <w:pPr>
              <w:spacing w:after="0"/>
              <w:rPr>
                <w:sz w:val="24"/>
                <w:szCs w:val="24"/>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 of Operations Data:</w:t>
            </w:r>
          </w:p>
        </w:tc>
        <w:tc>
          <w:tcPr>
            <w:tcW w:w="36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9"/>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Revenues and Other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 xml:space="preserve">Oil and gas sales </w:t>
            </w:r>
            <w:r>
              <w:rPr>
                <w:rFonts w:ascii="Arial" w:cs="Arial" w:eastAsia="Arial" w:hAnsi="Arial"/>
                <w:sz w:val="17"/>
                <w:szCs w:val="17"/>
                <w:color w:val="auto"/>
                <w:vertAlign w:val="superscript"/>
              </w:rPr>
              <w:t>(a)</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658</w:t>
            </w:r>
          </w:p>
        </w:tc>
        <w:tc>
          <w:tcPr>
            <w:tcW w:w="24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549</w:t>
            </w:r>
          </w:p>
        </w:tc>
        <w:tc>
          <w:tcPr>
            <w:tcW w:w="2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2,590</w:t>
            </w:r>
          </w:p>
        </w:tc>
        <w:tc>
          <w:tcPr>
            <w:tcW w:w="2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Net derivative gain (loss) from commodity contracts</w:t>
            </w:r>
          </w:p>
        </w:tc>
        <w:tc>
          <w:tcPr>
            <w:tcW w:w="320" w:type="dxa"/>
            <w:vAlign w:val="bottom"/>
          </w:tcPr>
          <w:p>
            <w:pPr>
              <w:spacing w:after="0"/>
              <w:rPr>
                <w:sz w:val="19"/>
                <w:szCs w:val="19"/>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260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9"/>
                <w:szCs w:val="19"/>
                <w:color w:val="auto"/>
              </w:rPr>
            </w:pPr>
          </w:p>
        </w:tc>
      </w:tr>
      <w:tr>
        <w:trPr>
          <w:trHeight w:val="272"/>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 xml:space="preserve">Other revenue </w:t>
            </w:r>
            <w:r>
              <w:rPr>
                <w:rFonts w:ascii="Arial" w:cs="Arial" w:eastAsia="Arial" w:hAnsi="Arial"/>
                <w:sz w:val="17"/>
                <w:szCs w:val="17"/>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160</w:t>
            </w:r>
          </w:p>
        </w:tc>
        <w:tc>
          <w:tcPr>
            <w:tcW w:w="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473</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3"/>
                <w:szCs w:val="23"/>
                <w:color w:val="auto"/>
              </w:rPr>
            </w:pPr>
          </w:p>
        </w:tc>
      </w:tr>
      <w:tr>
        <w:trPr>
          <w:trHeight w:val="248"/>
        </w:trPr>
        <w:tc>
          <w:tcPr>
            <w:tcW w:w="20" w:type="dxa"/>
            <w:vAlign w:val="bottom"/>
          </w:tcPr>
          <w:p>
            <w:pPr>
              <w:spacing w:after="0"/>
              <w:rPr>
                <w:sz w:val="21"/>
                <w:szCs w:val="21"/>
                <w:color w:val="auto"/>
              </w:rPr>
            </w:pPr>
          </w:p>
        </w:tc>
        <w:tc>
          <w:tcPr>
            <w:tcW w:w="5700" w:type="dxa"/>
            <w:vAlign w:val="bottom"/>
            <w:gridSpan w:val="3"/>
          </w:tcPr>
          <w:p>
            <w:pPr>
              <w:ind w:left="80"/>
              <w:spacing w:after="0"/>
              <w:rPr>
                <w:sz w:val="20"/>
                <w:szCs w:val="20"/>
                <w:color w:val="auto"/>
              </w:rPr>
            </w:pPr>
            <w:r>
              <w:rPr>
                <w:rFonts w:ascii="Arial" w:cs="Arial" w:eastAsia="Arial" w:hAnsi="Arial"/>
                <w:sz w:val="14"/>
                <w:szCs w:val="14"/>
                <w:color w:val="auto"/>
              </w:rPr>
              <w:t>Total revenues and 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1,078</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3,064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1"/>
                <w:szCs w:val="21"/>
                <w:color w:val="auto"/>
              </w:rPr>
            </w:pPr>
          </w:p>
        </w:tc>
      </w:tr>
      <w:tr>
        <w:trPr>
          <w:trHeight w:val="426"/>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Costs and Other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Production costs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233</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912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65</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299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Depreciation, depletion and amortization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130</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502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Taxes other than on income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29</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149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Exploration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34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r>
      <w:tr>
        <w:trPr>
          <w:trHeight w:val="272"/>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 xml:space="preserve">Other expenses, net </w:t>
            </w:r>
            <w:r>
              <w:rPr>
                <w:rFonts w:ascii="Arial" w:cs="Arial" w:eastAsia="Arial" w:hAnsi="Arial"/>
                <w:sz w:val="17"/>
                <w:szCs w:val="17"/>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140</w:t>
            </w:r>
          </w:p>
        </w:tc>
        <w:tc>
          <w:tcPr>
            <w:tcW w:w="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399</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r>
      <w:tr>
        <w:trPr>
          <w:trHeight w:val="249"/>
        </w:trPr>
        <w:tc>
          <w:tcPr>
            <w:tcW w:w="20" w:type="dxa"/>
            <w:vAlign w:val="bottom"/>
          </w:tcPr>
          <w:p>
            <w:pPr>
              <w:spacing w:after="0"/>
              <w:rPr>
                <w:sz w:val="21"/>
                <w:szCs w:val="21"/>
                <w:color w:val="auto"/>
              </w:rPr>
            </w:pPr>
          </w:p>
        </w:tc>
        <w:tc>
          <w:tcPr>
            <w:tcW w:w="5700" w:type="dxa"/>
            <w:vAlign w:val="bottom"/>
            <w:gridSpan w:val="3"/>
          </w:tcPr>
          <w:p>
            <w:pPr>
              <w:ind w:left="80"/>
              <w:spacing w:after="0"/>
              <w:rPr>
                <w:sz w:val="20"/>
                <w:szCs w:val="20"/>
                <w:color w:val="auto"/>
              </w:rPr>
            </w:pPr>
            <w:r>
              <w:rPr>
                <w:rFonts w:ascii="Arial" w:cs="Arial" w:eastAsia="Arial" w:hAnsi="Arial"/>
                <w:sz w:val="14"/>
                <w:szCs w:val="14"/>
                <w:color w:val="auto"/>
              </w:rPr>
              <w:t>Total costs and 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613</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2,295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1,933</w:t>
            </w:r>
          </w:p>
        </w:tc>
        <w:tc>
          <w:tcPr>
            <w:tcW w:w="100" w:type="dxa"/>
            <w:vAlign w:val="bottom"/>
          </w:tcPr>
          <w:p>
            <w:pPr>
              <w:spacing w:after="0"/>
              <w:rPr>
                <w:sz w:val="21"/>
                <w:szCs w:val="21"/>
                <w:color w:val="auto"/>
              </w:rPr>
            </w:pPr>
          </w:p>
        </w:tc>
      </w:tr>
      <w:tr>
        <w:trPr>
          <w:trHeight w:val="438"/>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Operating Income (Loss)</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465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769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Non-Operating (Loss)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Interest and debt expense, net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Net gain on early extinguishment of debt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57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Gain on asset divestitures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r>
      <w:tr>
        <w:trPr>
          <w:trHeight w:val="271"/>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Other non-operating expenses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r>
      <w:tr>
        <w:trPr>
          <w:trHeight w:val="384"/>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392</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429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4"/>
                <w:szCs w:val="24"/>
                <w:color w:val="auto"/>
              </w:rPr>
            </w:pPr>
          </w:p>
        </w:tc>
      </w:tr>
      <w:tr>
        <w:trPr>
          <w:trHeight w:val="271"/>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Income tax</w:t>
            </w:r>
          </w:p>
        </w:tc>
        <w:tc>
          <w:tcPr>
            <w:tcW w:w="320" w:type="dxa"/>
            <w:vAlign w:val="bottom"/>
          </w:tcPr>
          <w:p>
            <w:pPr>
              <w:spacing w:after="0"/>
              <w:rPr>
                <w:sz w:val="23"/>
                <w:szCs w:val="2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r>
      <w:tr>
        <w:trPr>
          <w:trHeight w:val="249"/>
        </w:trPr>
        <w:tc>
          <w:tcPr>
            <w:tcW w:w="20" w:type="dxa"/>
            <w:vAlign w:val="bottom"/>
          </w:tcPr>
          <w:p>
            <w:pPr>
              <w:spacing w:after="0"/>
              <w:rPr>
                <w:sz w:val="21"/>
                <w:szCs w:val="21"/>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392</w:t>
            </w:r>
          </w:p>
        </w:tc>
        <w:tc>
          <w:tcPr>
            <w:tcW w:w="2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429</w:t>
            </w: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r>
      <w:tr>
        <w:trPr>
          <w:trHeight w:val="238"/>
        </w:trPr>
        <w:tc>
          <w:tcPr>
            <w:tcW w:w="2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346</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328</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 xml:space="preserve">Net income (loss) attributable to common stock per share - basic </w:t>
            </w:r>
            <w:r>
              <w:rPr>
                <w:rFonts w:ascii="Arial" w:cs="Arial" w:eastAsia="Arial" w:hAnsi="Arial"/>
                <w:sz w:val="17"/>
                <w:szCs w:val="17"/>
                <w:color w:val="auto"/>
                <w:vertAlign w:val="superscript"/>
              </w:rPr>
              <w:t>(b)</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7.00</w:t>
            </w:r>
          </w:p>
        </w:tc>
        <w:tc>
          <w:tcPr>
            <w:tcW w:w="24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(3.23)</w:t>
            </w:r>
          </w:p>
        </w:tc>
        <w:tc>
          <w:tcPr>
            <w:tcW w:w="2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6.77</w:t>
            </w:r>
          </w:p>
        </w:tc>
        <w:tc>
          <w:tcPr>
            <w:tcW w:w="2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7.00</w:t>
            </w:r>
          </w:p>
        </w:tc>
        <w:tc>
          <w:tcPr>
            <w:tcW w:w="240" w:type="dxa"/>
            <w:vAlign w:val="bottom"/>
          </w:tcPr>
          <w:p>
            <w:pPr>
              <w:spacing w:after="0"/>
              <w:rPr>
                <w:sz w:val="19"/>
                <w:szCs w:val="19"/>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(3.23)</w:t>
            </w:r>
          </w:p>
        </w:tc>
        <w:tc>
          <w:tcPr>
            <w:tcW w:w="22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6.77</w:t>
            </w:r>
          </w:p>
        </w:tc>
        <w:tc>
          <w:tcPr>
            <w:tcW w:w="22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9"/>
                <w:szCs w:val="19"/>
                <w:color w:val="auto"/>
              </w:rPr>
            </w:pPr>
          </w:p>
        </w:tc>
      </w:tr>
      <w:tr>
        <w:trPr>
          <w:trHeight w:val="540"/>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Adjusted 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61</w:t>
            </w:r>
          </w:p>
        </w:tc>
        <w:tc>
          <w:tcPr>
            <w:tcW w:w="2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 xml:space="preserve">Adjusted net income (loss) per share - basic </w:t>
            </w:r>
            <w:r>
              <w:rPr>
                <w:rFonts w:ascii="Arial" w:cs="Arial" w:eastAsia="Arial" w:hAnsi="Arial"/>
                <w:sz w:val="17"/>
                <w:szCs w:val="17"/>
                <w:color w:val="auto"/>
                <w:vertAlign w:val="superscript"/>
              </w:rPr>
              <w:t>(b)</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0.53</w:t>
            </w:r>
          </w:p>
        </w:tc>
        <w:tc>
          <w:tcPr>
            <w:tcW w:w="24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(0.33)</w:t>
            </w:r>
          </w:p>
        </w:tc>
        <w:tc>
          <w:tcPr>
            <w:tcW w:w="2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1.27</w:t>
            </w:r>
          </w:p>
        </w:tc>
        <w:tc>
          <w:tcPr>
            <w:tcW w:w="2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Adjusted net income (loss)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0.53</w:t>
            </w:r>
          </w:p>
        </w:tc>
        <w:tc>
          <w:tcPr>
            <w:tcW w:w="240" w:type="dxa"/>
            <w:vAlign w:val="bottom"/>
          </w:tcPr>
          <w:p>
            <w:pPr>
              <w:spacing w:after="0"/>
              <w:rPr>
                <w:sz w:val="19"/>
                <w:szCs w:val="19"/>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(0.33)</w:t>
            </w:r>
          </w:p>
        </w:tc>
        <w:tc>
          <w:tcPr>
            <w:tcW w:w="22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1.27</w:t>
            </w:r>
          </w:p>
        </w:tc>
        <w:tc>
          <w:tcPr>
            <w:tcW w:w="22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9"/>
                <w:szCs w:val="19"/>
                <w:color w:val="auto"/>
              </w:rPr>
            </w:pPr>
          </w:p>
        </w:tc>
      </w:tr>
      <w:tr>
        <w:trPr>
          <w:trHeight w:val="446"/>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basic</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48.6</w:t>
            </w:r>
          </w:p>
        </w:tc>
        <w:tc>
          <w:tcPr>
            <w:tcW w:w="24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2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47.4</w:t>
            </w:r>
          </w:p>
        </w:tc>
        <w:tc>
          <w:tcPr>
            <w:tcW w:w="2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48.6</w:t>
            </w:r>
          </w:p>
        </w:tc>
        <w:tc>
          <w:tcPr>
            <w:tcW w:w="24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47.4</w:t>
            </w:r>
          </w:p>
        </w:tc>
        <w:tc>
          <w:tcPr>
            <w:tcW w:w="2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3"/>
                <w:szCs w:val="23"/>
                <w:color w:val="auto"/>
              </w:rPr>
            </w:pPr>
          </w:p>
        </w:tc>
      </w:tr>
      <w:tr>
        <w:trPr>
          <w:trHeight w:val="554"/>
        </w:trPr>
        <w:tc>
          <w:tcPr>
            <w:tcW w:w="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Adjusted EBITDAX</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314</w:t>
            </w:r>
          </w:p>
        </w:tc>
        <w:tc>
          <w:tcPr>
            <w:tcW w:w="24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1,117</w:t>
            </w:r>
          </w:p>
        </w:tc>
        <w:tc>
          <w:tcPr>
            <w:tcW w:w="2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4"/>
                <w:szCs w:val="14"/>
                <w:color w:val="auto"/>
              </w:rPr>
              <w:t>Effective tax rate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3"/>
                <w:szCs w:val="23"/>
                <w:color w:val="auto"/>
              </w:rPr>
            </w:pPr>
          </w:p>
        </w:tc>
      </w:tr>
    </w:tbl>
    <w:p>
      <w:pPr>
        <w:spacing w:after="0" w:line="313" w:lineRule="exact"/>
        <w:rPr>
          <w:sz w:val="20"/>
          <w:szCs w:val="20"/>
          <w:color w:val="auto"/>
        </w:rPr>
      </w:pPr>
    </w:p>
    <w:p>
      <w:pPr>
        <w:ind w:left="20" w:right="220" w:firstLine="9"/>
        <w:spacing w:after="0" w:line="254" w:lineRule="auto"/>
        <w:tabs>
          <w:tab w:leader="none" w:pos="23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adopted a new revenue recognition standard on January 1, 2018 which required certain sales-related costs to be reported as expense as opposed to being netted against revenue. The adoption of this standard does not affect net income. Results for reporting periods beginning January 1, 2018 are presented under the new accounting standard while prior periods are not adjusted and continue to be reported under accounting standards in effect for the applicable period. Under prior accounting standards, for the three and twelve months ended December 31, 2018, oil and gas sales would have been $653 million and $2,568 million, respectively, other revenue would have been $150 million and $392 million, respectively, and other expenses, net would have been $125 million and $296 million, respectively.</w:t>
      </w:r>
    </w:p>
    <w:p>
      <w:pPr>
        <w:spacing w:after="0" w:line="147" w:lineRule="exact"/>
        <w:rPr>
          <w:rFonts w:ascii="Arial" w:cs="Arial" w:eastAsia="Arial" w:hAnsi="Arial"/>
          <w:sz w:val="14"/>
          <w:szCs w:val="14"/>
          <w:color w:val="auto"/>
        </w:rPr>
      </w:pPr>
    </w:p>
    <w:p>
      <w:pPr>
        <w:ind w:left="240" w:hanging="211"/>
        <w:spacing w:after="0"/>
        <w:tabs>
          <w:tab w:leader="none" w:pos="2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calculating Net income (loss) attributable to common stock per share - basic, income of $6 million and $7 million for the three and twelve months ended December 31,</w:t>
      </w:r>
    </w:p>
    <w:p>
      <w:pPr>
        <w:spacing w:after="0" w:line="19" w:lineRule="exact"/>
        <w:rPr>
          <w:rFonts w:ascii="Arial" w:cs="Arial" w:eastAsia="Arial" w:hAnsi="Arial"/>
          <w:sz w:val="14"/>
          <w:szCs w:val="14"/>
          <w:color w:val="auto"/>
        </w:rPr>
      </w:pPr>
    </w:p>
    <w:p>
      <w:pPr>
        <w:jc w:val="both"/>
        <w:ind w:left="20" w:right="200"/>
        <w:spacing w:after="0" w:line="252" w:lineRule="auto"/>
        <w:rPr>
          <w:rFonts w:ascii="Arial" w:cs="Arial" w:eastAsia="Arial" w:hAnsi="Arial"/>
          <w:sz w:val="14"/>
          <w:szCs w:val="14"/>
          <w:color w:val="auto"/>
        </w:rPr>
      </w:pPr>
      <w:r>
        <w:rPr>
          <w:rFonts w:ascii="Arial" w:cs="Arial" w:eastAsia="Arial" w:hAnsi="Arial"/>
          <w:sz w:val="14"/>
          <w:szCs w:val="14"/>
          <w:color w:val="auto"/>
        </w:rPr>
        <w:t>2108, respectively, was allocated to unvested participating securities with the balance of undistributed earnings allocated to common shares. In calculating Adjusted net income (loss) per share - basic, none and $1 million for the three and twelve months ended December 31, 2018, respectively, was allocated to unvested participating securities with the balance of undistributed earnings allocated to common shares. For periods of losses no allocation is made to participating securities.</w:t>
      </w:r>
    </w:p>
    <w:p>
      <w:pPr>
        <w:sectPr>
          <w:pgSz w:w="11900" w:h="16838" w:orient="portrait"/>
          <w:cols w:equalWidth="0" w:num="1">
            <w:col w:w="11380"/>
          </w:cols>
          <w:pgMar w:left="260" w:top="962" w:right="259" w:bottom="905"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60" w:top="962" w:right="259" w:bottom="905"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color w:val="auto"/>
              </w:rPr>
              <w:t>Fourth Quarter</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Borders>
              <w:bottom w:val="single" w:sz="8" w:color="auto"/>
            </w:tcBorders>
          </w:tcPr>
          <w:p>
            <w:pPr>
              <w:spacing w:after="0"/>
              <w:rPr>
                <w:sz w:val="23"/>
                <w:szCs w:val="23"/>
                <w:color w:val="auto"/>
              </w:rPr>
            </w:pPr>
          </w:p>
        </w:tc>
        <w:tc>
          <w:tcPr>
            <w:tcW w:w="5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Cash Flow Data:</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461</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48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(139)</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(1,156)</w:t>
            </w:r>
          </w:p>
        </w:tc>
        <w:tc>
          <w:tcPr>
            <w:tcW w:w="2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109</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692</w:t>
            </w:r>
          </w:p>
        </w:tc>
        <w:tc>
          <w:tcPr>
            <w:tcW w:w="2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Selected Balance Sheet Data:</w:t>
            </w: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640</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Total property, plant and equipment, net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6,455</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5,696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607</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732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Long-term debt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5,251</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5,306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575</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Mezzanine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756</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(247)</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(720)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4"/>
                <w:szCs w:val="14"/>
                <w:color w:val="auto"/>
              </w:rPr>
              <w:t>Outstanding shares as of</w:t>
            </w:r>
          </w:p>
        </w:tc>
        <w:tc>
          <w:tcPr>
            <w:tcW w:w="16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48.7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378460</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395605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STOCK-BASED COMPENSATION</w:t>
      </w:r>
    </w:p>
    <w:p>
      <w:pPr>
        <w:spacing w:after="0" w:line="219" w:lineRule="exact"/>
        <w:rPr>
          <w:sz w:val="20"/>
          <w:szCs w:val="20"/>
          <w:color w:val="auto"/>
        </w:rPr>
      </w:pPr>
    </w:p>
    <w:p>
      <w:pPr>
        <w:ind w:left="20" w:right="40"/>
        <w:spacing w:after="0" w:line="254" w:lineRule="auto"/>
        <w:rPr>
          <w:sz w:val="20"/>
          <w:szCs w:val="20"/>
          <w:color w:val="auto"/>
        </w:rPr>
      </w:pPr>
      <w:r>
        <w:rPr>
          <w:rFonts w:ascii="Arial" w:cs="Arial" w:eastAsia="Arial" w:hAnsi="Arial"/>
          <w:sz w:val="14"/>
          <w:szCs w:val="14"/>
          <w:color w:val="auto"/>
        </w:rPr>
        <w:t>Our consolidated results of operations for the three and twelve months ended December 31, 2018 include the effects of long-term stock-based compensation plans under which we annually grant awards to executives, non-executive employees and non-employee directors that are either settled with shares of our common stock or cash. Our equity-settled awards granted to executives include stock options, restricted stock and performance stock units that either cliff vest at the end of a three-year period or vest ratably over a three-year period, some of which are partially settled in cash. Our equity-settled awards granted to non-employee directors are restricted stock units that cliff vest after one year. Our cash-settled awards granted to non-executive employees vest ratably over a three-year period.</w:t>
      </w:r>
    </w:p>
    <w:p>
      <w:pPr>
        <w:spacing w:after="0" w:line="93" w:lineRule="exact"/>
        <w:rPr>
          <w:sz w:val="20"/>
          <w:szCs w:val="20"/>
          <w:color w:val="auto"/>
        </w:rPr>
      </w:pPr>
    </w:p>
    <w:p>
      <w:pPr>
        <w:ind w:left="20" w:right="40"/>
        <w:spacing w:after="0" w:line="251" w:lineRule="auto"/>
        <w:rPr>
          <w:sz w:val="20"/>
          <w:szCs w:val="20"/>
          <w:color w:val="auto"/>
        </w:rPr>
      </w:pPr>
      <w:r>
        <w:rPr>
          <w:rFonts w:ascii="Arial" w:cs="Arial" w:eastAsia="Arial" w:hAnsi="Arial"/>
          <w:sz w:val="14"/>
          <w:szCs w:val="14"/>
          <w:color w:val="auto"/>
        </w:rPr>
        <w:t>Changes in our stock price introduces volatility in our income statement because we pay partially or fully cash-settled awards based on our stock price as of the vesting date and accounting rules require that we adjust our obligation for such awards to the amount that would be paid using our stock price as of the end of each reporting period. Cash-settled awards, including executive awards partially settled in cash, account for over 50% of our total outstanding awards. The increase in our stock price in 2018 resulted in higher cash-settled stock-based compensation expense in the second and third quarters of 2018 when a portion of these awards vested and our unvested awards were marked-to-market based on the period-end stock price. In the fourth quarter of 2018, our stock price declined and the year-end mark-to-market adjustments reduced our compensation expense. Equity-settled awards are not similarly adjusted for changes in our stock price.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is included in both general and administrative expenses and production costs as shown in the table below:</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Fourth Quarter</w:t>
            </w: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720" w:type="dxa"/>
            <w:vAlign w:val="bottom"/>
            <w:tcBorders>
              <w:bottom w:val="single" w:sz="8" w:color="auto"/>
            </w:tcBorders>
          </w:tcPr>
          <w:p>
            <w:pPr>
              <w:spacing w:after="0"/>
              <w:rPr>
                <w:sz w:val="17"/>
                <w:szCs w:val="17"/>
                <w:color w:val="auto"/>
              </w:rPr>
            </w:pPr>
          </w:p>
        </w:tc>
      </w:tr>
      <w:tr>
        <w:trPr>
          <w:trHeight w:val="26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 except per BOE amounts)</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96"/>
              </w:rPr>
              <w:t>2017</w:t>
            </w:r>
          </w:p>
        </w:tc>
      </w:tr>
      <w:tr>
        <w:trPr>
          <w:trHeight w:val="473"/>
        </w:trPr>
        <w:tc>
          <w:tcPr>
            <w:tcW w:w="5720" w:type="dxa"/>
            <w:vAlign w:val="bottom"/>
            <w:gridSpan w:val="2"/>
          </w:tcPr>
          <w:p>
            <w:pPr>
              <w:ind w:left="20"/>
              <w:spacing w:after="0"/>
              <w:rPr>
                <w:sz w:val="20"/>
                <w:szCs w:val="20"/>
                <w:color w:val="auto"/>
              </w:rPr>
            </w:pPr>
            <w:r>
              <w:rPr>
                <w:rFonts w:ascii="Arial" w:cs="Arial" w:eastAsia="Arial" w:hAnsi="Arial"/>
                <w:sz w:val="14"/>
                <w:szCs w:val="14"/>
                <w:i w:val="1"/>
                <w:iCs w:val="1"/>
                <w:color w:val="auto"/>
              </w:rPr>
              <w:t>Expense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2"/>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General and administrative 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Cash-settled awards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23</w:t>
            </w:r>
          </w:p>
        </w:tc>
        <w:tc>
          <w:tcPr>
            <w:tcW w:w="2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1"/>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Equity-settled awards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50"/>
        </w:trPr>
        <w:tc>
          <w:tcPr>
            <w:tcW w:w="572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G&amp;A</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w:t>
            </w:r>
          </w:p>
        </w:tc>
        <w:tc>
          <w:tcPr>
            <w:tcW w:w="22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r>
      <w:tr>
        <w:trPr>
          <w:trHeight w:val="249"/>
        </w:trPr>
        <w:tc>
          <w:tcPr>
            <w:tcW w:w="572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G&amp;A per Boe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24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0.78</w:t>
            </w:r>
          </w:p>
        </w:tc>
        <w:tc>
          <w:tcPr>
            <w:tcW w:w="2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0.75</w:t>
            </w:r>
          </w:p>
        </w:tc>
        <w:tc>
          <w:tcPr>
            <w:tcW w:w="2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0.49</w:t>
            </w:r>
          </w:p>
        </w:tc>
      </w:tr>
      <w:tr>
        <w:trPr>
          <w:trHeight w:val="554"/>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costs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Cash-settled awards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6</w:t>
            </w:r>
          </w:p>
        </w:tc>
        <w:tc>
          <w:tcPr>
            <w:tcW w:w="2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1"/>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Equity-settled awards</w:t>
            </w:r>
          </w:p>
        </w:tc>
        <w:tc>
          <w:tcPr>
            <w:tcW w:w="320" w:type="dxa"/>
            <w:vAlign w:val="bottom"/>
          </w:tcPr>
          <w:p>
            <w:pPr>
              <w:spacing w:after="0"/>
              <w:rPr>
                <w:sz w:val="23"/>
                <w:szCs w:val="2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5720" w:type="dxa"/>
            <w:vAlign w:val="bottom"/>
            <w:gridSpan w:val="2"/>
          </w:tcPr>
          <w:p>
            <w:pPr>
              <w:ind w:left="200"/>
              <w:spacing w:after="0"/>
              <w:rPr>
                <w:sz w:val="20"/>
                <w:szCs w:val="20"/>
                <w:color w:val="auto"/>
              </w:rPr>
            </w:pPr>
            <w:r>
              <w:rPr>
                <w:rFonts w:ascii="Arial" w:cs="Arial" w:eastAsia="Arial" w:hAnsi="Arial"/>
                <w:sz w:val="14"/>
                <w:szCs w:val="14"/>
                <w:color w:val="auto"/>
              </w:rPr>
              <w:t>Total stock-based compensation in production costs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w:t>
            </w:r>
          </w:p>
        </w:tc>
        <w:tc>
          <w:tcPr>
            <w:tcW w:w="2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49"/>
        </w:trPr>
        <w:tc>
          <w:tcPr>
            <w:tcW w:w="572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production costs per Boe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(0.16)</w:t>
            </w:r>
          </w:p>
        </w:tc>
        <w:tc>
          <w:tcPr>
            <w:tcW w:w="24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0.17</w:t>
            </w:r>
          </w:p>
        </w:tc>
        <w:tc>
          <w:tcPr>
            <w:tcW w:w="2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0.19</w:t>
            </w:r>
          </w:p>
        </w:tc>
        <w:tc>
          <w:tcPr>
            <w:tcW w:w="2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0.13</w:t>
            </w:r>
          </w:p>
        </w:tc>
      </w:tr>
      <w:tr>
        <w:trPr>
          <w:trHeight w:val="286"/>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37"/>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Total company stock-based compensation</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2"/>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Total company stock-based compensation per Boe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(0.80)</w:t>
            </w:r>
          </w:p>
        </w:tc>
        <w:tc>
          <w:tcPr>
            <w:tcW w:w="240" w:type="dxa"/>
            <w:vAlign w:val="bottom"/>
          </w:tcPr>
          <w:p>
            <w:pPr>
              <w:spacing w:after="0"/>
              <w:rPr>
                <w:sz w:val="19"/>
                <w:szCs w:val="19"/>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0.95</w:t>
            </w:r>
          </w:p>
        </w:tc>
        <w:tc>
          <w:tcPr>
            <w:tcW w:w="22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0.94</w:t>
            </w:r>
          </w:p>
        </w:tc>
        <w:tc>
          <w:tcPr>
            <w:tcW w:w="220" w:type="dxa"/>
            <w:vAlign w:val="bottom"/>
          </w:tcPr>
          <w:p>
            <w:pPr>
              <w:spacing w:after="0"/>
              <w:rPr>
                <w:sz w:val="19"/>
                <w:szCs w:val="19"/>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0.62</w:t>
            </w:r>
          </w:p>
        </w:tc>
      </w:tr>
    </w:tbl>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80"/>
          </w:cols>
          <w:pgMar w:left="260" w:top="802"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5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Attachment 2</w:t>
            </w: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538"/>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ind w:left="980"/>
              <w:spacing w:after="0"/>
              <w:rPr>
                <w:sz w:val="20"/>
                <w:szCs w:val="20"/>
                <w:color w:val="auto"/>
              </w:rPr>
            </w:pPr>
            <w:r>
              <w:rPr>
                <w:rFonts w:ascii="Arial" w:cs="Arial" w:eastAsia="Arial" w:hAnsi="Arial"/>
                <w:sz w:val="14"/>
                <w:szCs w:val="14"/>
                <w:color w:val="auto"/>
              </w:rPr>
              <w:t>Fourth Quarter</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4"/>
          </w:tcPr>
          <w:p>
            <w:pPr>
              <w:ind w:left="720"/>
              <w:spacing w:after="0"/>
              <w:rPr>
                <w:sz w:val="20"/>
                <w:szCs w:val="20"/>
                <w:color w:val="auto"/>
              </w:rPr>
            </w:pPr>
            <w:r>
              <w:rPr>
                <w:rFonts w:ascii="Arial" w:cs="Arial" w:eastAsia="Arial" w:hAnsi="Arial"/>
                <w:sz w:val="14"/>
                <w:szCs w:val="14"/>
                <w:color w:val="auto"/>
              </w:rPr>
              <w:t>Twelve Months</w:t>
            </w:r>
          </w:p>
        </w:tc>
      </w:tr>
      <w:tr>
        <w:trPr>
          <w:trHeight w:val="26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3"/>
                <w:szCs w:val="23"/>
                <w:color w:val="auto"/>
              </w:rPr>
            </w:pPr>
          </w:p>
        </w:tc>
        <w:tc>
          <w:tcPr>
            <w:tcW w:w="13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60" w:type="dxa"/>
            <w:vAlign w:val="bottom"/>
          </w:tcPr>
          <w:p>
            <w:pPr>
              <w:spacing w:after="0"/>
              <w:rPr>
                <w:sz w:val="23"/>
                <w:szCs w:val="23"/>
                <w:color w:val="auto"/>
              </w:rPr>
            </w:pPr>
          </w:p>
        </w:tc>
        <w:tc>
          <w:tcPr>
            <w:tcW w:w="11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3"/>
                <w:szCs w:val="23"/>
                <w:color w:val="auto"/>
              </w:rPr>
            </w:pPr>
          </w:p>
        </w:tc>
      </w:tr>
      <w:tr>
        <w:trPr>
          <w:trHeight w:val="47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23"/>
                <w:szCs w:val="23"/>
                <w:color w:val="auto"/>
              </w:rPr>
            </w:pPr>
          </w:p>
        </w:tc>
      </w:tr>
      <w:tr>
        <w:trPr>
          <w:trHeight w:val="271"/>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660" w:type="dxa"/>
            <w:vAlign w:val="bottom"/>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r>
      <w:tr>
        <w:trPr>
          <w:trHeight w:val="249"/>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340" w:type="dxa"/>
            <w:vAlign w:val="bottom"/>
          </w:tcPr>
          <w:p>
            <w:pPr>
              <w:spacing w:after="0"/>
              <w:rPr>
                <w:sz w:val="21"/>
                <w:szCs w:val="21"/>
                <w:color w:val="auto"/>
              </w:rPr>
            </w:pP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3"/>
                <w:szCs w:val="23"/>
                <w:color w:val="auto"/>
              </w:rPr>
            </w:pPr>
          </w:p>
        </w:tc>
      </w:tr>
      <w:tr>
        <w:trPr>
          <w:trHeight w:val="271"/>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r>
      <w:tr>
        <w:trPr>
          <w:trHeight w:val="249"/>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21"/>
                <w:szCs w:val="21"/>
                <w:color w:val="auto"/>
              </w:rPr>
            </w:pP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168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3"/>
                <w:szCs w:val="23"/>
                <w:color w:val="auto"/>
              </w:rPr>
            </w:pPr>
          </w:p>
        </w:tc>
      </w:tr>
      <w:tr>
        <w:trPr>
          <w:trHeight w:val="271"/>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660" w:type="dxa"/>
            <w:vAlign w:val="bottom"/>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340" w:type="dxa"/>
            <w:vAlign w:val="bottom"/>
          </w:tcPr>
          <w:p>
            <w:pPr>
              <w:spacing w:after="0"/>
              <w:rPr>
                <w:sz w:val="23"/>
                <w:szCs w:val="23"/>
                <w:color w:val="auto"/>
              </w:rPr>
            </w:pPr>
          </w:p>
        </w:tc>
      </w:tr>
      <w:tr>
        <w:trPr>
          <w:trHeight w:val="249"/>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179</w:t>
            </w: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202</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340" w:type="dxa"/>
            <w:vAlign w:val="bottom"/>
          </w:tcPr>
          <w:p>
            <w:pPr>
              <w:spacing w:after="0"/>
              <w:rPr>
                <w:sz w:val="21"/>
                <w:szCs w:val="21"/>
                <w:color w:val="auto"/>
              </w:rPr>
            </w:pPr>
          </w:p>
        </w:tc>
      </w:tr>
      <w:tr>
        <w:trPr>
          <w:trHeight w:val="34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Total Production (MBoe/d)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w:t>
            </w:r>
          </w:p>
        </w:tc>
        <w:tc>
          <w:tcPr>
            <w:tcW w:w="660" w:type="dxa"/>
            <w:vAlign w:val="bottom"/>
          </w:tcPr>
          <w:p>
            <w:pPr>
              <w:spacing w:after="0"/>
              <w:rPr>
                <w:sz w:val="20"/>
                <w:szCs w:val="20"/>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per day.</w:t>
      </w:r>
    </w:p>
    <w:p>
      <w:pPr>
        <w:spacing w:after="0" w:line="231" w:lineRule="exact"/>
        <w:rPr>
          <w:sz w:val="20"/>
          <w:szCs w:val="20"/>
          <w:color w:val="auto"/>
        </w:rPr>
      </w:pPr>
    </w:p>
    <w:p>
      <w:pPr>
        <w:ind w:left="40" w:right="320" w:hanging="5"/>
        <w:spacing w:after="0" w:line="291"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Bbl of oil. Barrels of oil equivalence does not necessarily result in price equivalence.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80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79" w:lineRule="exact"/>
        <w:rPr>
          <w:sz w:val="20"/>
          <w:szCs w:val="20"/>
          <w:color w:val="auto"/>
        </w:rPr>
      </w:pPr>
    </w:p>
    <w:p>
      <w:pPr>
        <w:ind w:left="40" w:right="20"/>
        <w:spacing w:after="0" w:line="254" w:lineRule="auto"/>
        <w:rPr>
          <w:sz w:val="20"/>
          <w:szCs w:val="20"/>
          <w:color w:val="auto"/>
        </w:rPr>
      </w:pPr>
      <w:r>
        <w:rPr>
          <w:rFonts w:ascii="Arial" w:cs="Arial" w:eastAsia="Arial" w:hAnsi="Arial"/>
          <w:sz w:val="14"/>
          <w:szCs w:val="14"/>
          <w:color w:val="auto"/>
        </w:rPr>
        <w:t>Our results of operations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which excludes those items. This measure is not meant to disassociate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U.S. generally accepted accounting principles (GAAP).</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 define certain of our non-GAAP financial measures as follows:</w:t>
      </w:r>
    </w:p>
    <w:p>
      <w:pPr>
        <w:spacing w:after="0" w:line="217" w:lineRule="exact"/>
        <w:rPr>
          <w:sz w:val="20"/>
          <w:szCs w:val="20"/>
          <w:color w:val="auto"/>
        </w:rPr>
      </w:pPr>
    </w:p>
    <w:p>
      <w:pPr>
        <w:ind w:left="40" w:right="400" w:hanging="5"/>
        <w:spacing w:after="0" w:line="291" w:lineRule="auto"/>
        <w:tabs>
          <w:tab w:leader="none" w:pos="2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EBITDAX is calculated as earnings before interest expense; income taxes; depreciation, depletion and amortization; exploration expense; other unusual, out-of-period and infrequent items; and other non-cash items.</w:t>
      </w:r>
    </w:p>
    <w:p>
      <w:pPr>
        <w:spacing w:after="0" w:line="149" w:lineRule="exact"/>
        <w:rPr>
          <w:rFonts w:ascii="Arial" w:cs="Arial" w:eastAsia="Arial" w:hAnsi="Arial"/>
          <w:sz w:val="14"/>
          <w:szCs w:val="14"/>
          <w:color w:val="auto"/>
        </w:rPr>
      </w:pPr>
    </w:p>
    <w:p>
      <w:pPr>
        <w:ind w:left="260" w:hanging="225"/>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Core Adjusted EBITDAX removes the transitory effects of settled hedges and cash-settled stock-based compensation expense from Adjusted EBITDAX.</w:t>
      </w:r>
    </w:p>
    <w:p>
      <w:pPr>
        <w:spacing w:after="0" w:line="217" w:lineRule="exact"/>
        <w:rPr>
          <w:rFonts w:ascii="Arial" w:cs="Arial" w:eastAsia="Arial" w:hAnsi="Arial"/>
          <w:sz w:val="14"/>
          <w:szCs w:val="14"/>
          <w:color w:val="auto"/>
        </w:rPr>
      </w:pPr>
    </w:p>
    <w:p>
      <w:pPr>
        <w:ind w:left="260" w:hanging="225"/>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Free Cash Flow is net cash provided by operating activities after our internal capital investment.</w:t>
      </w:r>
    </w:p>
    <w:p>
      <w:pPr>
        <w:spacing w:after="0" w:line="217" w:lineRule="exact"/>
        <w:rPr>
          <w:rFonts w:ascii="Arial" w:cs="Arial" w:eastAsia="Arial" w:hAnsi="Arial"/>
          <w:sz w:val="14"/>
          <w:szCs w:val="14"/>
          <w:color w:val="auto"/>
        </w:rPr>
      </w:pPr>
    </w:p>
    <w:p>
      <w:pPr>
        <w:ind w:left="40" w:right="20" w:hanging="5"/>
        <w:spacing w:after="0" w:line="291" w:lineRule="auto"/>
        <w:tabs>
          <w:tab w:leader="none" w:pos="2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Discretionary Cash Flow is the cash available after payments to our noncontrolling interest holders and cash interest, excluding the effect of working capital changes but before our internal capital investment.</w:t>
      </w:r>
    </w:p>
    <w:p>
      <w:pPr>
        <w:spacing w:after="0" w:line="150" w:lineRule="exact"/>
        <w:rPr>
          <w:sz w:val="20"/>
          <w:szCs w:val="20"/>
          <w:color w:val="auto"/>
        </w:rPr>
      </w:pPr>
    </w:p>
    <w:p>
      <w:pPr>
        <w:ind w:left="40" w:right="320"/>
        <w:spacing w:after="0" w:line="251" w:lineRule="auto"/>
        <w:rPr>
          <w:sz w:val="20"/>
          <w:szCs w:val="20"/>
          <w:color w:val="auto"/>
        </w:rPr>
      </w:pPr>
      <w:r>
        <w:rPr>
          <w:rFonts w:ascii="Arial" w:cs="Arial" w:eastAsia="Arial" w:hAnsi="Arial"/>
          <w:sz w:val="14"/>
          <w:szCs w:val="14"/>
          <w:color w:val="auto"/>
        </w:rPr>
        <w:t>We believe these measures provide useful information in assessing our financial condition, results of operations and cash flows and are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historic cost of depreciable and depletable assets. These measures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57" w:lineRule="exact"/>
        <w:rPr>
          <w:sz w:val="20"/>
          <w:szCs w:val="20"/>
          <w:color w:val="auto"/>
        </w:rPr>
      </w:pPr>
    </w:p>
    <w:p>
      <w:pPr>
        <w:jc w:val="both"/>
        <w:ind w:left="40" w:right="100"/>
        <w:spacing w:after="0" w:line="266" w:lineRule="auto"/>
        <w:rPr>
          <w:sz w:val="20"/>
          <w:szCs w:val="20"/>
          <w:color w:val="auto"/>
        </w:rPr>
      </w:pPr>
      <w:r>
        <w:rPr>
          <w:rFonts w:ascii="Arial" w:cs="Arial" w:eastAsia="Arial" w:hAnsi="Arial"/>
          <w:sz w:val="14"/>
          <w:szCs w:val="14"/>
          <w:color w:val="auto"/>
        </w:rPr>
        <w:t>The following table presents a reconciliation of the GAAP financial measure of net income (loss) attributable to common stock to the non-GAAP financial measure of adjusted net income (loss) and presents the GAAP financial measure of net income (loss) attributable to common stock per diluted share and the non-GAAP financial measure of adjusted net income (loss) per diluted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9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26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9"/>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392</w:t>
            </w:r>
          </w:p>
        </w:tc>
        <w:tc>
          <w:tcPr>
            <w:tcW w:w="120" w:type="dxa"/>
            <w:vAlign w:val="bottom"/>
          </w:tcPr>
          <w:p>
            <w:pPr>
              <w:spacing w:after="0"/>
              <w:rPr>
                <w:sz w:val="21"/>
                <w:szCs w:val="21"/>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71"/>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9"/>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common stock</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Unusual, infrequent and other items: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from commodities excluding noncontrolling</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interest</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from interest-rate contracts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Early retirement and severance costs</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Gain on asset divestitures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Net gain on early extinguishment of debt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1"/>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9"/>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unusual, infrequent and other items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24"/>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income (loss)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common stock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7.00</w:t>
            </w:r>
          </w:p>
        </w:tc>
        <w:tc>
          <w:tcPr>
            <w:tcW w:w="12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(3.23)</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6.77</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income (loss)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0.53</w:t>
            </w:r>
          </w:p>
        </w:tc>
        <w:tc>
          <w:tcPr>
            <w:tcW w:w="12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68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00"/>
          </w:cols>
          <w:pgMar w:left="240" w:top="746"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GAINS AND LOSSES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92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Commodity Contracts: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excluding noncontrolling interest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295</w:t>
            </w:r>
          </w:p>
        </w:tc>
        <w:tc>
          <w:tcPr>
            <w:tcW w:w="12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224</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included in noncontrolling interest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Net payments on settled commodity derivatives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Net derivative gain (loss) from commodity contracts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color w:val="auto"/>
              </w:rPr>
              <w:t>Interest Rate Contracts: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160" w:type="dxa"/>
            <w:vAlign w:val="bottom"/>
            <w:gridSpan w:val="2"/>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Non-cash derivative loss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0"/>
                <w:szCs w:val="20"/>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92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461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160" w:type="dxa"/>
            <w:vAlign w:val="bottom"/>
            <w:gridSpan w:val="2"/>
          </w:tcPr>
          <w:p>
            <w:pPr>
              <w:ind w:left="120"/>
              <w:spacing w:after="0"/>
              <w:rPr>
                <w:sz w:val="20"/>
                <w:szCs w:val="20"/>
                <w:color w:val="auto"/>
              </w:rPr>
            </w:pPr>
            <w:r>
              <w:rPr>
                <w:rFonts w:ascii="Arial" w:cs="Arial" w:eastAsia="Arial" w:hAnsi="Arial"/>
                <w:sz w:val="14"/>
                <w:szCs w:val="14"/>
                <w:color w:val="auto"/>
              </w:rPr>
              <w:t>Capital investment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Free cash flow</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160" w:type="dxa"/>
            <w:vAlign w:val="bottom"/>
            <w:gridSpan w:val="2"/>
          </w:tcPr>
          <w:p>
            <w:pPr>
              <w:ind w:left="120"/>
              <w:spacing w:after="0"/>
              <w:rPr>
                <w:sz w:val="20"/>
                <w:szCs w:val="20"/>
                <w:color w:val="auto"/>
              </w:rPr>
            </w:pPr>
            <w:r>
              <w:rPr>
                <w:rFonts w:ascii="Arial" w:cs="Arial" w:eastAsia="Arial" w:hAnsi="Arial"/>
                <w:sz w:val="14"/>
                <w:szCs w:val="14"/>
                <w:color w:val="auto"/>
              </w:rPr>
              <w:t>BSP funded capital investment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Free cash flow excluding BSP funded capital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DISCRETIONARY CASH FLOW</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92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EBITDAX</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314</w:t>
            </w:r>
          </w:p>
        </w:tc>
        <w:tc>
          <w:tcPr>
            <w:tcW w:w="120" w:type="dxa"/>
            <w:vAlign w:val="bottom"/>
          </w:tcPr>
          <w:p>
            <w:pPr>
              <w:spacing w:after="0"/>
              <w:rPr>
                <w:sz w:val="21"/>
                <w:szCs w:val="21"/>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1,117</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Cash Interest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Distributions to noncontrolling interest holders: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BSP joint venture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Ares joint venture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Discretionary Cash Flow</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031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7031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1137" w:right="239" w:bottom="1440" w:gutter="0" w:footer="0" w:header="0"/>
        </w:sectPr>
      </w:pPr>
    </w:p>
    <w:bookmarkStart w:id="15" w:name="page16"/>
    <w:bookmarkEnd w:id="15"/>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ADJUSTED EBITDAX AND CORE ADJUSTED EBITDAX</w:t>
      </w:r>
    </w:p>
    <w:p>
      <w:pPr>
        <w:spacing w:after="0" w:line="57" w:lineRule="exact"/>
        <w:rPr>
          <w:sz w:val="20"/>
          <w:szCs w:val="20"/>
          <w:color w:val="auto"/>
        </w:rPr>
      </w:pPr>
    </w:p>
    <w:p>
      <w:pPr>
        <w:ind w:left="40" w:right="200"/>
        <w:spacing w:after="0" w:line="291" w:lineRule="auto"/>
        <w:rPr>
          <w:sz w:val="20"/>
          <w:szCs w:val="20"/>
          <w:color w:val="auto"/>
        </w:rPr>
      </w:pPr>
      <w:r>
        <w:rPr>
          <w:rFonts w:ascii="Arial" w:cs="Arial" w:eastAsia="Arial" w:hAnsi="Arial"/>
          <w:sz w:val="14"/>
          <w:szCs w:val="14"/>
          <w:color w:val="auto"/>
        </w:rPr>
        <w:t>The following tables present a reconciliation of the GAAP financial measures of net income (loss) and net cash provided (used) by operating activities to the non-GAAP financial measures of adjusted and core adjusted EBITDAX.</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90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392</w:t>
            </w:r>
          </w:p>
        </w:tc>
        <w:tc>
          <w:tcPr>
            <w:tcW w:w="10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68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Interest and debt expense, net</w:t>
            </w:r>
          </w:p>
        </w:tc>
        <w:tc>
          <w:tcPr>
            <w:tcW w:w="340" w:type="dxa"/>
            <w:vAlign w:val="bottom"/>
          </w:tcPr>
          <w:p>
            <w:pPr>
              <w:spacing w:after="0"/>
              <w:rPr>
                <w:sz w:val="23"/>
                <w:szCs w:val="23"/>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91</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379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343</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340" w:type="dxa"/>
            <w:vAlign w:val="bottom"/>
          </w:tcPr>
          <w:p>
            <w:pPr>
              <w:spacing w:after="0"/>
              <w:rPr>
                <w:sz w:val="23"/>
                <w:szCs w:val="23"/>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132</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502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544</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Exploration expense</w:t>
            </w:r>
          </w:p>
        </w:tc>
        <w:tc>
          <w:tcPr>
            <w:tcW w:w="340" w:type="dxa"/>
            <w:vAlign w:val="bottom"/>
          </w:tcPr>
          <w:p>
            <w:pPr>
              <w:spacing w:after="0"/>
              <w:rPr>
                <w:sz w:val="23"/>
                <w:szCs w:val="23"/>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1"/>
                <w:szCs w:val="21"/>
                <w:color w:val="auto"/>
                <w:vertAlign w:val="superscript"/>
              </w:rPr>
              <w:t>(a)</w:t>
            </w:r>
          </w:p>
        </w:tc>
        <w:tc>
          <w:tcPr>
            <w:tcW w:w="34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(320)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Other non-cash items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314</w:t>
            </w:r>
          </w:p>
        </w:tc>
        <w:tc>
          <w:tcPr>
            <w:tcW w:w="10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231</w:t>
            </w:r>
          </w:p>
        </w:tc>
        <w:tc>
          <w:tcPr>
            <w:tcW w:w="68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1,117</w:t>
            </w:r>
          </w:p>
        </w:tc>
        <w:tc>
          <w:tcPr>
            <w:tcW w:w="10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779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160"/>
              <w:spacing w:after="0"/>
              <w:rPr>
                <w:sz w:val="20"/>
                <w:szCs w:val="20"/>
                <w:color w:val="auto"/>
              </w:rPr>
            </w:pPr>
            <w:r>
              <w:rPr>
                <w:rFonts w:ascii="Arial" w:cs="Arial" w:eastAsia="Arial" w:hAnsi="Arial"/>
                <w:sz w:val="14"/>
                <w:szCs w:val="14"/>
                <w:color w:val="auto"/>
              </w:rPr>
              <w:t>Net payments on settled commodity derivatives</w:t>
            </w:r>
          </w:p>
        </w:tc>
        <w:tc>
          <w:tcPr>
            <w:tcW w:w="340" w:type="dxa"/>
            <w:vAlign w:val="bottom"/>
          </w:tcPr>
          <w:p>
            <w:pPr>
              <w:spacing w:after="0"/>
              <w:rPr>
                <w:sz w:val="23"/>
                <w:szCs w:val="23"/>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040" w:type="dxa"/>
            <w:vAlign w:val="bottom"/>
            <w:gridSpan w:val="2"/>
          </w:tcPr>
          <w:p>
            <w:pPr>
              <w:ind w:left="160"/>
              <w:spacing w:after="0"/>
              <w:rPr>
                <w:sz w:val="20"/>
                <w:szCs w:val="20"/>
                <w:color w:val="auto"/>
              </w:rPr>
            </w:pPr>
            <w:r>
              <w:rPr>
                <w:rFonts w:ascii="Arial" w:cs="Arial" w:eastAsia="Arial" w:hAnsi="Arial"/>
                <w:sz w:val="14"/>
                <w:szCs w:val="14"/>
                <w:color w:val="auto"/>
              </w:rPr>
              <w:t>Cash-settled stock-based compensation</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Core Adjusted EBITDAX</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352</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261</w:t>
            </w:r>
          </w:p>
        </w:tc>
        <w:tc>
          <w:tcPr>
            <w:tcW w:w="68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1,374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68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461</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248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Cash interest</w:t>
            </w:r>
          </w:p>
        </w:tc>
        <w:tc>
          <w:tcPr>
            <w:tcW w:w="340" w:type="dxa"/>
            <w:vAlign w:val="bottom"/>
          </w:tcPr>
          <w:p>
            <w:pPr>
              <w:spacing w:after="0"/>
              <w:rPr>
                <w:sz w:val="23"/>
                <w:szCs w:val="23"/>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145</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441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396</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Exploration expenditures</w:t>
            </w:r>
          </w:p>
        </w:tc>
        <w:tc>
          <w:tcPr>
            <w:tcW w:w="340" w:type="dxa"/>
            <w:vAlign w:val="bottom"/>
          </w:tcPr>
          <w:p>
            <w:pPr>
              <w:spacing w:after="0"/>
              <w:rPr>
                <w:sz w:val="23"/>
                <w:szCs w:val="23"/>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Working capital changes</w:t>
            </w:r>
          </w:p>
        </w:tc>
        <w:tc>
          <w:tcPr>
            <w:tcW w:w="340" w:type="dxa"/>
            <w:vAlign w:val="bottom"/>
          </w:tcPr>
          <w:p>
            <w:pPr>
              <w:spacing w:after="0"/>
              <w:rPr>
                <w:sz w:val="23"/>
                <w:szCs w:val="23"/>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199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tcPr>
          <w:p>
            <w:pPr>
              <w:spacing w:after="0"/>
              <w:rPr>
                <w:sz w:val="23"/>
                <w:szCs w:val="2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w:t>
            </w:r>
          </w:p>
        </w:tc>
        <w:tc>
          <w:tcPr>
            <w:tcW w:w="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314</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231</w:t>
            </w:r>
          </w:p>
        </w:tc>
        <w:tc>
          <w:tcPr>
            <w:tcW w:w="680" w:type="dxa"/>
            <w:vAlign w:val="bottom"/>
          </w:tcPr>
          <w:p>
            <w:pPr>
              <w:spacing w:after="0"/>
              <w:rPr>
                <w:sz w:val="21"/>
                <w:szCs w:val="21"/>
                <w:color w:val="auto"/>
              </w:rPr>
            </w:pPr>
          </w:p>
        </w:tc>
        <w:tc>
          <w:tcPr>
            <w:tcW w:w="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1,117</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779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160"/>
              <w:spacing w:after="0"/>
              <w:rPr>
                <w:sz w:val="20"/>
                <w:szCs w:val="20"/>
                <w:color w:val="auto"/>
              </w:rPr>
            </w:pPr>
            <w:r>
              <w:rPr>
                <w:rFonts w:ascii="Arial" w:cs="Arial" w:eastAsia="Arial" w:hAnsi="Arial"/>
                <w:sz w:val="14"/>
                <w:szCs w:val="14"/>
                <w:color w:val="auto"/>
              </w:rPr>
              <w:t>Net payments on settled commodity derivatives</w:t>
            </w:r>
          </w:p>
        </w:tc>
        <w:tc>
          <w:tcPr>
            <w:tcW w:w="340" w:type="dxa"/>
            <w:vAlign w:val="bottom"/>
          </w:tcPr>
          <w:p>
            <w:pPr>
              <w:spacing w:after="0"/>
              <w:rPr>
                <w:sz w:val="23"/>
                <w:szCs w:val="23"/>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040" w:type="dxa"/>
            <w:vAlign w:val="bottom"/>
            <w:gridSpan w:val="2"/>
          </w:tcPr>
          <w:p>
            <w:pPr>
              <w:ind w:left="160"/>
              <w:spacing w:after="0"/>
              <w:rPr>
                <w:sz w:val="20"/>
                <w:szCs w:val="20"/>
                <w:color w:val="auto"/>
              </w:rPr>
            </w:pPr>
            <w:r>
              <w:rPr>
                <w:rFonts w:ascii="Arial" w:cs="Arial" w:eastAsia="Arial" w:hAnsi="Arial"/>
                <w:sz w:val="14"/>
                <w:szCs w:val="14"/>
                <w:color w:val="auto"/>
              </w:rPr>
              <w:t>Cash-settled stock-based compensation</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Core Adjusted EBITDAX</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352</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261</w:t>
            </w:r>
          </w:p>
        </w:tc>
        <w:tc>
          <w:tcPr>
            <w:tcW w:w="68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1,374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color w:val="auto"/>
              </w:rPr>
              <w:t>(a) See Adjusted Net Income (Loss) reconciliation.</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50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504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MARGIN</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90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color w:val="auto"/>
              </w:rPr>
              <w:t>Twelve Months</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Total revenues and other</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1,078</w:t>
            </w:r>
          </w:p>
        </w:tc>
        <w:tc>
          <w:tcPr>
            <w:tcW w:w="10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455</w:t>
            </w:r>
          </w:p>
        </w:tc>
        <w:tc>
          <w:tcPr>
            <w:tcW w:w="68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3,064</w:t>
            </w:r>
          </w:p>
        </w:tc>
        <w:tc>
          <w:tcPr>
            <w:tcW w:w="10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04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(310)</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w:t>
            </w:r>
          </w:p>
        </w:tc>
        <w:tc>
          <w:tcPr>
            <w:tcW w:w="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Adjusted revenues</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768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574</w:t>
            </w:r>
          </w:p>
        </w:tc>
        <w:tc>
          <w:tcPr>
            <w:tcW w:w="68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2,835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2,089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 xml:space="preserve">Adjusted EBITDAX Margin </w:t>
            </w:r>
            <w:r>
              <w:rPr>
                <w:rFonts w:ascii="Arial" w:cs="Arial" w:eastAsia="Arial" w:hAnsi="Arial"/>
                <w:sz w:val="17"/>
                <w:szCs w:val="17"/>
                <w:color w:val="auto"/>
                <w:vertAlign w:val="superscript"/>
              </w:rPr>
              <w:t>(b)</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0" w:right="120" w:hanging="5"/>
        <w:spacing w:after="0" w:line="291" w:lineRule="auto"/>
        <w:tabs>
          <w:tab w:leader="none" w:pos="2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Note (a) on Attachment 1 related to our adoption of a new revenue recognition standard for the reporting of certain sales-related costs. Under prior accounting standards, for the three and twelve months ended December 31, 2018, the adjusted EBITDAX margin would have been 42% and 41%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COSTS PER BOE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68"/>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92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Twelve Months</w:t>
            </w:r>
          </w:p>
        </w:tc>
      </w:tr>
      <w:tr>
        <w:trPr>
          <w:trHeight w:val="26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r>
        <w:trPr>
          <w:trHeight w:val="249"/>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Production costs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18.61</w:t>
            </w:r>
          </w:p>
        </w:tc>
        <w:tc>
          <w:tcPr>
            <w:tcW w:w="120" w:type="dxa"/>
            <w:vAlign w:val="bottom"/>
          </w:tcPr>
          <w:p>
            <w:pPr>
              <w:spacing w:after="0"/>
              <w:rPr>
                <w:sz w:val="21"/>
                <w:szCs w:val="21"/>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19.64</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18.88</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18.64</w:t>
            </w:r>
          </w:p>
        </w:tc>
      </w:tr>
      <w:tr>
        <w:trPr>
          <w:trHeight w:val="271"/>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Excess costs attributable to PSC-type contracts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w:t>
            </w:r>
          </w:p>
        </w:tc>
        <w:tc>
          <w:tcPr>
            <w:tcW w:w="6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238"/>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Production costs, excluding effects of PSC-type contracts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17.44</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18.31</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137"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t>PV-10 AND STANDARDIZED MEASURE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following table presents a reconciliation of the GAAP financial measure of standardized measure of discounted future net cash flows to the non-GAAP financial measure of</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PV-10:</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2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49"/>
        </w:trPr>
        <w:tc>
          <w:tcPr>
            <w:tcW w:w="8720" w:type="dxa"/>
            <w:vAlign w:val="bottom"/>
            <w:gridSpan w:val="2"/>
          </w:tcPr>
          <w:p>
            <w:pPr>
              <w:ind w:left="40"/>
              <w:spacing w:after="0"/>
              <w:rPr>
                <w:sz w:val="20"/>
                <w:szCs w:val="20"/>
                <w:color w:val="auto"/>
              </w:rPr>
            </w:pPr>
            <w:r>
              <w:rPr>
                <w:rFonts w:ascii="Arial" w:cs="Arial" w:eastAsia="Arial" w:hAnsi="Arial"/>
                <w:sz w:val="14"/>
                <w:szCs w:val="14"/>
                <w:color w:val="auto"/>
              </w:rPr>
              <w:t>Standardized measure of discounted future net cash flows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7,275</w:t>
            </w:r>
          </w:p>
        </w:tc>
      </w:tr>
      <w:tr>
        <w:trPr>
          <w:trHeight w:val="271"/>
        </w:trPr>
        <w:tc>
          <w:tcPr>
            <w:tcW w:w="8720" w:type="dxa"/>
            <w:vAlign w:val="bottom"/>
            <w:gridSpan w:val="2"/>
          </w:tcPr>
          <w:p>
            <w:pPr>
              <w:ind w:left="40"/>
              <w:spacing w:after="0"/>
              <w:rPr>
                <w:sz w:val="20"/>
                <w:szCs w:val="20"/>
                <w:color w:val="auto"/>
              </w:rPr>
            </w:pPr>
            <w:r>
              <w:rPr>
                <w:rFonts w:ascii="Arial" w:cs="Arial" w:eastAsia="Arial" w:hAnsi="Arial"/>
                <w:sz w:val="14"/>
                <w:szCs w:val="14"/>
                <w:color w:val="auto"/>
              </w:rPr>
              <w:t>Present value of future income taxes discounted at 10%</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2,136</w:t>
            </w:r>
          </w:p>
        </w:tc>
      </w:tr>
      <w:tr>
        <w:trPr>
          <w:trHeight w:val="238"/>
        </w:trPr>
        <w:tc>
          <w:tcPr>
            <w:tcW w:w="8720" w:type="dxa"/>
            <w:vAlign w:val="bottom"/>
            <w:gridSpan w:val="2"/>
          </w:tcPr>
          <w:p>
            <w:pPr>
              <w:ind w:left="40"/>
              <w:spacing w:after="0"/>
              <w:rPr>
                <w:sz w:val="20"/>
                <w:szCs w:val="20"/>
                <w:color w:val="auto"/>
              </w:rPr>
            </w:pPr>
            <w:r>
              <w:rPr>
                <w:rFonts w:ascii="Arial" w:cs="Arial" w:eastAsia="Arial" w:hAnsi="Arial"/>
                <w:sz w:val="14"/>
                <w:szCs w:val="14"/>
                <w:color w:val="auto"/>
              </w:rPr>
              <w:t xml:space="preserve">PV-10 of proved reserves </w:t>
            </w:r>
            <w:r>
              <w:rPr>
                <w:rFonts w:ascii="Arial" w:cs="Arial" w:eastAsia="Arial" w:hAnsi="Arial"/>
                <w:sz w:val="17"/>
                <w:szCs w:val="17"/>
                <w:color w:val="auto"/>
                <w:vertAlign w:val="superscript"/>
              </w:rPr>
              <w:t>(1)</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9,411</w:t>
            </w:r>
          </w:p>
        </w:tc>
      </w:tr>
      <w:tr>
        <w:trPr>
          <w:trHeight w:val="20"/>
        </w:trPr>
        <w:tc>
          <w:tcPr>
            <w:tcW w:w="6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40" w:hanging="5"/>
        <w:spacing w:after="0" w:line="252" w:lineRule="auto"/>
        <w:tabs>
          <w:tab w:leader="none" w:pos="2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PV-10 is a non-GAAP financial measure and represents the year-end present value of estimated future cash inflows from proved oil and natural gas reserves, less future development and production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00"/>
          </w:cols>
          <w:pgMar w:left="240" w:top="1110" w:right="35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Reserve Replacement Ratios </w:t>
            </w:r>
            <w:r>
              <w:rPr>
                <w:rFonts w:ascii="Arial" w:cs="Arial" w:eastAsia="Arial" w:hAnsi="Arial"/>
                <w:sz w:val="17"/>
                <w:szCs w:val="17"/>
                <w:b w:val="1"/>
                <w:bCs w:val="1"/>
                <w:color w:val="auto"/>
                <w:vertAlign w:val="superscript"/>
              </w:rPr>
              <w:t>(1)</w:t>
            </w:r>
          </w:p>
        </w:tc>
        <w:tc>
          <w:tcPr>
            <w:tcW w:w="3620" w:type="dxa"/>
            <w:vAlign w:val="bottom"/>
          </w:tcPr>
          <w:p>
            <w:pPr>
              <w:spacing w:after="0"/>
              <w:rPr>
                <w:sz w:val="17"/>
                <w:szCs w:val="17"/>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306"/>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 xml:space="preserve">Organic Reserve Replacement Ratio </w:t>
            </w:r>
            <w:r>
              <w:rPr>
                <w:rFonts w:ascii="Arial" w:cs="Arial" w:eastAsia="Arial" w:hAnsi="Arial"/>
                <w:sz w:val="17"/>
                <w:szCs w:val="17"/>
                <w:color w:val="auto"/>
                <w:vertAlign w:val="superscript"/>
              </w:rPr>
              <w:t>(2)</w:t>
            </w:r>
          </w:p>
        </w:tc>
        <w:tc>
          <w:tcPr>
            <w:tcW w:w="1180" w:type="dxa"/>
            <w:vAlign w:val="bottom"/>
          </w:tcPr>
          <w:p>
            <w:pPr>
              <w:spacing w:after="0"/>
              <w:rPr>
                <w:sz w:val="24"/>
                <w:szCs w:val="24"/>
                <w:color w:val="auto"/>
              </w:rPr>
            </w:pPr>
          </w:p>
        </w:tc>
      </w:tr>
      <w:tr>
        <w:trPr>
          <w:trHeight w:val="226"/>
        </w:trPr>
        <w:tc>
          <w:tcPr>
            <w:tcW w:w="8780" w:type="dxa"/>
            <w:vAlign w:val="bottom"/>
            <w:gridSpan w:val="2"/>
          </w:tcPr>
          <w:p>
            <w:pPr>
              <w:ind w:left="180"/>
              <w:spacing w:after="0"/>
              <w:rPr>
                <w:sz w:val="20"/>
                <w:szCs w:val="20"/>
                <w:color w:val="auto"/>
              </w:rPr>
            </w:pPr>
            <w:r>
              <w:rPr>
                <w:rFonts w:ascii="Arial" w:cs="Arial" w:eastAsia="Arial" w:hAnsi="Arial"/>
                <w:sz w:val="14"/>
                <w:szCs w:val="14"/>
                <w:color w:val="auto"/>
              </w:rPr>
              <w:t>Extensions and discoveries</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30</w:t>
            </w:r>
          </w:p>
        </w:tc>
      </w:tr>
      <w:tr>
        <w:trPr>
          <w:trHeight w:val="270"/>
        </w:trPr>
        <w:tc>
          <w:tcPr>
            <w:tcW w:w="8780" w:type="dxa"/>
            <w:vAlign w:val="bottom"/>
            <w:gridSpan w:val="2"/>
          </w:tcPr>
          <w:p>
            <w:pPr>
              <w:ind w:left="180"/>
              <w:spacing w:after="0"/>
              <w:rPr>
                <w:sz w:val="20"/>
                <w:szCs w:val="20"/>
                <w:color w:val="auto"/>
              </w:rPr>
            </w:pPr>
            <w:r>
              <w:rPr>
                <w:rFonts w:ascii="Arial" w:cs="Arial" w:eastAsia="Arial" w:hAnsi="Arial"/>
                <w:sz w:val="14"/>
                <w:szCs w:val="14"/>
                <w:color w:val="auto"/>
              </w:rPr>
              <w:t>Improved recovery</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4</w:t>
            </w:r>
          </w:p>
        </w:tc>
      </w:tr>
      <w:tr>
        <w:trPr>
          <w:trHeight w:val="271"/>
        </w:trPr>
        <w:tc>
          <w:tcPr>
            <w:tcW w:w="8780" w:type="dxa"/>
            <w:vAlign w:val="bottom"/>
            <w:gridSpan w:val="2"/>
          </w:tcPr>
          <w:p>
            <w:pPr>
              <w:ind w:left="180"/>
              <w:spacing w:after="0"/>
              <w:rPr>
                <w:sz w:val="20"/>
                <w:szCs w:val="20"/>
                <w:color w:val="auto"/>
              </w:rPr>
            </w:pPr>
            <w:r>
              <w:rPr>
                <w:rFonts w:ascii="Arial" w:cs="Arial" w:eastAsia="Arial" w:hAnsi="Arial"/>
                <w:sz w:val="14"/>
                <w:szCs w:val="14"/>
                <w:color w:val="auto"/>
              </w:rPr>
              <w:t>Revisions related to performance (excluding discretionary PUD downgrades)</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w:t>
            </w:r>
          </w:p>
        </w:tc>
      </w:tr>
      <w:tr>
        <w:trPr>
          <w:trHeight w:val="238"/>
        </w:trPr>
        <w:tc>
          <w:tcPr>
            <w:tcW w:w="8780" w:type="dxa"/>
            <w:vAlign w:val="bottom"/>
            <w:gridSpan w:val="2"/>
          </w:tcPr>
          <w:p>
            <w:pPr>
              <w:ind w:left="280"/>
              <w:spacing w:after="0"/>
              <w:rPr>
                <w:sz w:val="20"/>
                <w:szCs w:val="20"/>
                <w:color w:val="auto"/>
              </w:rPr>
            </w:pPr>
            <w:r>
              <w:rPr>
                <w:rFonts w:ascii="Arial" w:cs="Arial" w:eastAsia="Arial" w:hAnsi="Arial"/>
                <w:sz w:val="14"/>
                <w:szCs w:val="14"/>
                <w:color w:val="auto"/>
              </w:rPr>
              <w:t>Organic proved reserves added - MMBOE (A)</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61</w:t>
            </w:r>
          </w:p>
        </w:tc>
      </w:tr>
      <w:tr>
        <w:trPr>
          <w:trHeight w:val="20"/>
        </w:trPr>
        <w:tc>
          <w:tcPr>
            <w:tcW w:w="5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32"/>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Production in 2018 - MMBOE (B)</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48</w:t>
            </w:r>
          </w:p>
        </w:tc>
      </w:tr>
      <w:tr>
        <w:trPr>
          <w:trHeight w:val="270"/>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Organic reserve replacement ratio (A)/(B)</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127%</w:t>
            </w:r>
          </w:p>
        </w:tc>
      </w:tr>
      <w:tr>
        <w:trPr>
          <w:trHeight w:val="598"/>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 xml:space="preserve">All-in Reserve Replacement Ratio </w:t>
            </w:r>
            <w:r>
              <w:rPr>
                <w:rFonts w:ascii="Arial" w:cs="Arial" w:eastAsia="Arial" w:hAnsi="Arial"/>
                <w:sz w:val="17"/>
                <w:szCs w:val="17"/>
                <w:color w:val="auto"/>
                <w:vertAlign w:val="superscript"/>
              </w:rPr>
              <w:t>(3)</w:t>
            </w:r>
          </w:p>
        </w:tc>
        <w:tc>
          <w:tcPr>
            <w:tcW w:w="1180" w:type="dxa"/>
            <w:vAlign w:val="bottom"/>
          </w:tcPr>
          <w:p>
            <w:pPr>
              <w:spacing w:after="0"/>
              <w:rPr>
                <w:sz w:val="24"/>
                <w:szCs w:val="24"/>
                <w:color w:val="auto"/>
              </w:rPr>
            </w:pPr>
          </w:p>
        </w:tc>
      </w:tr>
      <w:tr>
        <w:trPr>
          <w:trHeight w:val="226"/>
        </w:trPr>
        <w:tc>
          <w:tcPr>
            <w:tcW w:w="8780" w:type="dxa"/>
            <w:vAlign w:val="bottom"/>
            <w:gridSpan w:val="2"/>
          </w:tcPr>
          <w:p>
            <w:pPr>
              <w:ind w:left="180"/>
              <w:spacing w:after="0"/>
              <w:rPr>
                <w:sz w:val="20"/>
                <w:szCs w:val="20"/>
                <w:color w:val="auto"/>
              </w:rPr>
            </w:pPr>
            <w:r>
              <w:rPr>
                <w:rFonts w:ascii="Arial" w:cs="Arial" w:eastAsia="Arial" w:hAnsi="Arial"/>
                <w:sz w:val="14"/>
                <w:szCs w:val="14"/>
                <w:color w:val="auto"/>
              </w:rPr>
              <w:t>Extensions and discoveries</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30</w:t>
            </w:r>
          </w:p>
        </w:tc>
      </w:tr>
      <w:tr>
        <w:trPr>
          <w:trHeight w:val="270"/>
        </w:trPr>
        <w:tc>
          <w:tcPr>
            <w:tcW w:w="8780" w:type="dxa"/>
            <w:vAlign w:val="bottom"/>
            <w:gridSpan w:val="2"/>
          </w:tcPr>
          <w:p>
            <w:pPr>
              <w:ind w:left="180"/>
              <w:spacing w:after="0"/>
              <w:rPr>
                <w:sz w:val="20"/>
                <w:szCs w:val="20"/>
                <w:color w:val="auto"/>
              </w:rPr>
            </w:pPr>
            <w:r>
              <w:rPr>
                <w:rFonts w:ascii="Arial" w:cs="Arial" w:eastAsia="Arial" w:hAnsi="Arial"/>
                <w:sz w:val="14"/>
                <w:szCs w:val="14"/>
                <w:color w:val="auto"/>
              </w:rPr>
              <w:t>Improved recovery</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4</w:t>
            </w:r>
          </w:p>
        </w:tc>
      </w:tr>
      <w:tr>
        <w:trPr>
          <w:trHeight w:val="270"/>
        </w:trPr>
        <w:tc>
          <w:tcPr>
            <w:tcW w:w="8780" w:type="dxa"/>
            <w:vAlign w:val="bottom"/>
            <w:gridSpan w:val="2"/>
          </w:tcPr>
          <w:p>
            <w:pPr>
              <w:ind w:left="180"/>
              <w:spacing w:after="0"/>
              <w:rPr>
                <w:sz w:val="20"/>
                <w:szCs w:val="20"/>
                <w:color w:val="auto"/>
              </w:rPr>
            </w:pPr>
            <w:r>
              <w:rPr>
                <w:rFonts w:ascii="Arial" w:cs="Arial" w:eastAsia="Arial" w:hAnsi="Arial"/>
                <w:sz w:val="14"/>
                <w:szCs w:val="14"/>
                <w:color w:val="auto"/>
              </w:rPr>
              <w:t>Purchases of proved reserves</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64</w:t>
            </w:r>
          </w:p>
        </w:tc>
      </w:tr>
      <w:tr>
        <w:trPr>
          <w:trHeight w:val="270"/>
        </w:trPr>
        <w:tc>
          <w:tcPr>
            <w:tcW w:w="8780" w:type="dxa"/>
            <w:vAlign w:val="bottom"/>
            <w:gridSpan w:val="2"/>
          </w:tcPr>
          <w:p>
            <w:pPr>
              <w:ind w:left="180"/>
              <w:spacing w:after="0"/>
              <w:rPr>
                <w:sz w:val="20"/>
                <w:szCs w:val="20"/>
                <w:color w:val="auto"/>
              </w:rPr>
            </w:pPr>
            <w:r>
              <w:rPr>
                <w:rFonts w:ascii="Arial" w:cs="Arial" w:eastAsia="Arial" w:hAnsi="Arial"/>
                <w:sz w:val="14"/>
                <w:szCs w:val="14"/>
                <w:color w:val="auto"/>
              </w:rPr>
              <w:t>Revisions related to performance</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6</w:t>
            </w:r>
          </w:p>
        </w:tc>
      </w:tr>
      <w:tr>
        <w:trPr>
          <w:trHeight w:val="271"/>
        </w:trPr>
        <w:tc>
          <w:tcPr>
            <w:tcW w:w="8780" w:type="dxa"/>
            <w:vAlign w:val="bottom"/>
            <w:gridSpan w:val="2"/>
          </w:tcPr>
          <w:p>
            <w:pPr>
              <w:ind w:left="180"/>
              <w:spacing w:after="0"/>
              <w:rPr>
                <w:sz w:val="20"/>
                <w:szCs w:val="20"/>
                <w:color w:val="auto"/>
              </w:rPr>
            </w:pPr>
            <w:r>
              <w:rPr>
                <w:rFonts w:ascii="Arial" w:cs="Arial" w:eastAsia="Arial" w:hAnsi="Arial"/>
                <w:sz w:val="14"/>
                <w:szCs w:val="14"/>
                <w:color w:val="auto"/>
              </w:rPr>
              <w:t>Revisions related to price</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38</w:t>
            </w:r>
          </w:p>
        </w:tc>
      </w:tr>
      <w:tr>
        <w:trPr>
          <w:trHeight w:val="238"/>
        </w:trPr>
        <w:tc>
          <w:tcPr>
            <w:tcW w:w="8780" w:type="dxa"/>
            <w:vAlign w:val="bottom"/>
            <w:gridSpan w:val="2"/>
          </w:tcPr>
          <w:p>
            <w:pPr>
              <w:ind w:left="280"/>
              <w:spacing w:after="0"/>
              <w:rPr>
                <w:sz w:val="20"/>
                <w:szCs w:val="20"/>
                <w:color w:val="auto"/>
              </w:rPr>
            </w:pPr>
            <w:r>
              <w:rPr>
                <w:rFonts w:ascii="Arial" w:cs="Arial" w:eastAsia="Arial" w:hAnsi="Arial"/>
                <w:sz w:val="14"/>
                <w:szCs w:val="14"/>
                <w:color w:val="auto"/>
              </w:rPr>
              <w:t>All-in proved reserves added - MMBOE (C)</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142</w:t>
            </w:r>
          </w:p>
        </w:tc>
      </w:tr>
      <w:tr>
        <w:trPr>
          <w:trHeight w:val="20"/>
        </w:trPr>
        <w:tc>
          <w:tcPr>
            <w:tcW w:w="5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32"/>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Production in 2018 - MMBOE (D)</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48</w:t>
            </w:r>
          </w:p>
        </w:tc>
      </w:tr>
      <w:tr>
        <w:trPr>
          <w:trHeight w:val="270"/>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All-in reserve replacement ratio (C)/(D)</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296%</w:t>
            </w:r>
          </w:p>
        </w:tc>
      </w:tr>
    </w:tbl>
    <w:p>
      <w:pPr>
        <w:spacing w:after="0" w:line="299" w:lineRule="exact"/>
        <w:rPr>
          <w:sz w:val="20"/>
          <w:szCs w:val="20"/>
          <w:color w:val="auto"/>
        </w:rPr>
      </w:pPr>
    </w:p>
    <w:p>
      <w:pPr>
        <w:ind w:left="40" w:right="80" w:hanging="5"/>
        <w:spacing w:after="0" w:line="266"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reserve replacement ratio is a non-GAAP measure that management uses to gauge the results of its capital program. There is no guarantee that historical sources of reserve additions will continue as many factors fully or partially outside management's control, including commodity prices, availability of capital and the underlying geology, affect reserves additions. Other oil and gas producers may use different methods to calculate replacement ratios, which may affect comparability.</w:t>
      </w:r>
    </w:p>
    <w:p>
      <w:pPr>
        <w:spacing w:after="0" w:line="329" w:lineRule="exact"/>
        <w:rPr>
          <w:rFonts w:ascii="Arial" w:cs="Arial" w:eastAsia="Arial" w:hAnsi="Arial"/>
          <w:sz w:val="14"/>
          <w:szCs w:val="14"/>
          <w:color w:val="auto"/>
        </w:rPr>
      </w:pPr>
    </w:p>
    <w:p>
      <w:pPr>
        <w:ind w:left="40" w:right="260" w:hanging="5"/>
        <w:spacing w:after="0" w:line="291"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organic reserve replacement ratio is calculated for a specified period using the proved oil-equivalent additions from extensions and discoveries, improved recovery and performance-related revisions (excluding 21 MMBOE of proved undeveloped reserves downgraded at management's discretion), divided by oil-equivalent production.</w:t>
      </w:r>
    </w:p>
    <w:p>
      <w:pPr>
        <w:spacing w:after="0" w:line="271" w:lineRule="exact"/>
        <w:rPr>
          <w:rFonts w:ascii="Arial" w:cs="Arial" w:eastAsia="Arial" w:hAnsi="Arial"/>
          <w:sz w:val="14"/>
          <w:szCs w:val="14"/>
          <w:color w:val="auto"/>
        </w:rPr>
      </w:pPr>
    </w:p>
    <w:p>
      <w:pPr>
        <w:ind w:left="40" w:right="80" w:hanging="5"/>
        <w:spacing w:after="0" w:line="291"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all-in reserve replacement ratio is calculated for a specified period using the proved oil-equivalent additions from extensions and discoveries, improved recovery, revisions and purchases, divided by oil-equivalent production.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Finding and Development Costs</w:t>
            </w:r>
            <w:r>
              <w:rPr>
                <w:rFonts w:ascii="Arial" w:cs="Arial" w:eastAsia="Arial" w:hAnsi="Arial"/>
                <w:sz w:val="17"/>
                <w:szCs w:val="17"/>
                <w:b w:val="1"/>
                <w:bCs w:val="1"/>
                <w:color w:val="auto"/>
                <w:vertAlign w:val="superscript"/>
              </w:rPr>
              <w:t>(4)</w:t>
            </w:r>
          </w:p>
        </w:tc>
        <w:tc>
          <w:tcPr>
            <w:tcW w:w="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Exploration and development costs - in millions (A)</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690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Property acquisition costs - in millions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554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Total costs incurred - in millions (B)</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Organic proved reserves added - MMBOE (C)</w:t>
            </w:r>
          </w:p>
        </w:tc>
        <w:tc>
          <w:tcPr>
            <w:tcW w:w="28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61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780" w:type="dxa"/>
            <w:vAlign w:val="bottom"/>
            <w:gridSpan w:val="2"/>
            <w:vMerge w:val="restart"/>
          </w:tcPr>
          <w:p>
            <w:pPr>
              <w:ind w:left="40"/>
              <w:spacing w:after="0"/>
              <w:rPr>
                <w:sz w:val="20"/>
                <w:szCs w:val="20"/>
                <w:color w:val="auto"/>
              </w:rPr>
            </w:pPr>
            <w:r>
              <w:rPr>
                <w:rFonts w:ascii="Arial" w:cs="Arial" w:eastAsia="Arial" w:hAnsi="Arial"/>
                <w:sz w:val="14"/>
                <w:szCs w:val="14"/>
                <w:color w:val="auto"/>
              </w:rPr>
              <w:t>Organic finding and development costs - $/BOE (A)/(C)</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11.31</w:t>
            </w:r>
          </w:p>
        </w:tc>
        <w:tc>
          <w:tcPr>
            <w:tcW w:w="14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78"/>
        </w:trPr>
        <w:tc>
          <w:tcPr>
            <w:tcW w:w="878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6"/>
        </w:trPr>
        <w:tc>
          <w:tcPr>
            <w:tcW w:w="8780" w:type="dxa"/>
            <w:vAlign w:val="bottom"/>
            <w:gridSpan w:val="2"/>
          </w:tcPr>
          <w:p>
            <w:pPr>
              <w:ind w:left="40"/>
              <w:spacing w:after="0"/>
              <w:rPr>
                <w:sz w:val="20"/>
                <w:szCs w:val="20"/>
                <w:color w:val="auto"/>
              </w:rPr>
            </w:pPr>
            <w:r>
              <w:rPr>
                <w:rFonts w:ascii="Arial" w:cs="Arial" w:eastAsia="Arial" w:hAnsi="Arial"/>
                <w:sz w:val="14"/>
                <w:szCs w:val="14"/>
                <w:color w:val="auto"/>
              </w:rPr>
              <w:t>Total reserve replacements - MMBOE (D)</w:t>
            </w:r>
          </w:p>
        </w:tc>
        <w:tc>
          <w:tcPr>
            <w:tcW w:w="28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142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780" w:type="dxa"/>
            <w:vAlign w:val="bottom"/>
            <w:gridSpan w:val="2"/>
            <w:vMerge w:val="restart"/>
          </w:tcPr>
          <w:p>
            <w:pPr>
              <w:ind w:left="40"/>
              <w:spacing w:after="0"/>
              <w:rPr>
                <w:sz w:val="20"/>
                <w:szCs w:val="20"/>
                <w:color w:val="auto"/>
              </w:rPr>
            </w:pPr>
            <w:r>
              <w:rPr>
                <w:rFonts w:ascii="Arial" w:cs="Arial" w:eastAsia="Arial" w:hAnsi="Arial"/>
                <w:sz w:val="14"/>
                <w:szCs w:val="14"/>
                <w:color w:val="auto"/>
              </w:rPr>
              <w:t>All-in finding and development costs - $/BOE (B)/(D)</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8.76</w:t>
            </w:r>
          </w:p>
        </w:tc>
        <w:tc>
          <w:tcPr>
            <w:tcW w:w="140" w:type="dxa"/>
            <w:vAlign w:val="bottom"/>
          </w:tcPr>
          <w:p>
            <w:pPr>
              <w:jc w:val="right"/>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78"/>
        </w:trPr>
        <w:tc>
          <w:tcPr>
            <w:tcW w:w="878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746" w:right="259" w:bottom="1440" w:gutter="0" w:footer="0" w:header="0"/>
        </w:sectPr>
      </w:pPr>
    </w:p>
    <w:bookmarkStart w:id="18" w:name="page19"/>
    <w:bookmarkEnd w:id="18"/>
    <w:p>
      <w:pPr>
        <w:ind w:left="5" w:right="140" w:hanging="5"/>
        <w:spacing w:after="0" w:line="249" w:lineRule="auto"/>
        <w:tabs>
          <w:tab w:leader="none" w:pos="221"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believe that reporting our finding and development costs can aid investors in their evaluation of our ability to add proved reserves at a reasonable cost but is not a substitute for required GAAP disclosures. Various factors, primarily timing differences and effects of commodity price changes, can cause finding and development costs associated with a particular period's reserves additions to be imprecise. For example, we will need to make more investments in order to develop the proved undeveloped reserves added during the year and any future revisions may change the actual measure from that presented above. In addition, part of the 2018 costs were incurred to convert proved undeveloped reserves from prior years to proved developed reserves. In our calculations, we have not estimated future costs to develop proved undeveloped reserves added in 2018 or removed costs related to proved undeveloped reserves added in prior periods. Our calculations of finding and development costs may not be comparable to similar measures provided by other companies.</w:t>
      </w:r>
    </w:p>
    <w:p>
      <w:pPr>
        <w:spacing w:after="0" w:line="248" w:lineRule="exact"/>
        <w:rPr>
          <w:rFonts w:ascii="Arial" w:cs="Arial" w:eastAsia="Arial" w:hAnsi="Arial"/>
          <w:sz w:val="14"/>
          <w:szCs w:val="14"/>
          <w:color w:val="auto"/>
        </w:rPr>
      </w:pPr>
    </w:p>
    <w:p>
      <w:pPr>
        <w:ind w:left="5" w:hanging="5"/>
        <w:spacing w:after="0" w:line="266" w:lineRule="auto"/>
        <w:tabs>
          <w:tab w:leader="none" w:pos="221"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calculate organic finding and development costs by dividing the costs incurred for the year from the capital program by the amount of oil-equivalent proved reserves added in the same year from improved recovery, extensions and discoveries and performance-related revisions (excluding 21 MMBOE of proved undeveloped reserves downgraded at management's discretion).</w:t>
      </w:r>
    </w:p>
    <w:p>
      <w:pPr>
        <w:spacing w:after="0" w:line="275" w:lineRule="exact"/>
        <w:rPr>
          <w:rFonts w:ascii="Arial" w:cs="Arial" w:eastAsia="Arial" w:hAnsi="Arial"/>
          <w:sz w:val="14"/>
          <w:szCs w:val="14"/>
          <w:color w:val="auto"/>
        </w:rPr>
      </w:pPr>
    </w:p>
    <w:p>
      <w:pPr>
        <w:ind w:left="5" w:right="340" w:hanging="5"/>
        <w:spacing w:after="0" w:line="291" w:lineRule="auto"/>
        <w:tabs>
          <w:tab w:leader="none" w:pos="221"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calculate all-in finding and development costs by dividing the costs incurred for the year by the amount of oil-equivalent proved reserves added in the same year from improved recovery, extensions and discoveries, revisions and purchases.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05"/>
          </w:cols>
          <w:pgMar w:left="275" w:top="748" w:right="31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auto"/>
        </w:rPr>
        <w:t>Attachment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INCOME (LOSS) VARIANCE ANALYSIS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 millions)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40" w:type="dxa"/>
            <w:vAlign w:val="bottom"/>
          </w:tcPr>
          <w:p>
            <w:pPr>
              <w:spacing w:after="0"/>
              <w:rPr>
                <w:sz w:val="20"/>
                <w:szCs w:val="20"/>
                <w:color w:val="auto"/>
              </w:rPr>
            </w:pPr>
            <w:r>
              <w:rPr>
                <w:rFonts w:ascii="Arial" w:cs="Arial" w:eastAsia="Arial" w:hAnsi="Arial"/>
                <w:sz w:val="14"/>
                <w:szCs w:val="14"/>
                <w:b w:val="1"/>
                <w:bCs w:val="1"/>
                <w:color w:val="auto"/>
              </w:rPr>
              <w:t>2017 4th Quarter Adjusted Net Loss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7"/>
                <w:szCs w:val="17"/>
                <w:color w:val="auto"/>
              </w:rPr>
            </w:pPr>
          </w:p>
        </w:tc>
      </w:tr>
      <w:tr>
        <w:trPr>
          <w:trHeight w:val="534"/>
        </w:trPr>
        <w:tc>
          <w:tcPr>
            <w:tcW w:w="5240" w:type="dxa"/>
            <w:vAlign w:val="bottom"/>
          </w:tcPr>
          <w:p>
            <w:pPr>
              <w:spacing w:after="0"/>
              <w:rPr>
                <w:sz w:val="20"/>
                <w:szCs w:val="20"/>
                <w:color w:val="auto"/>
              </w:rPr>
            </w:pPr>
            <w:r>
              <w:rPr>
                <w:rFonts w:ascii="Arial" w:cs="Arial" w:eastAsia="Arial" w:hAnsi="Arial"/>
                <w:sz w:val="14"/>
                <w:szCs w:val="14"/>
                <w:color w:val="auto"/>
              </w:rPr>
              <w:t>Price - Oil</w:t>
            </w:r>
          </w:p>
        </w:tc>
        <w:tc>
          <w:tcPr>
            <w:tcW w:w="5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60" w:type="dxa"/>
            <w:vAlign w:val="bottom"/>
          </w:tcPr>
          <w:p>
            <w:pPr>
              <w:ind w:left="40"/>
              <w:spacing w:after="0"/>
              <w:rPr>
                <w:sz w:val="20"/>
                <w:szCs w:val="20"/>
                <w:color w:val="auto"/>
              </w:rPr>
            </w:pPr>
            <w:r>
              <w:rPr>
                <w:rFonts w:ascii="Arial" w:cs="Arial" w:eastAsia="Arial" w:hAnsi="Arial"/>
                <w:sz w:val="11"/>
                <w:szCs w:val="11"/>
                <w:color w:val="auto"/>
                <w:w w:val="74"/>
              </w:rPr>
              <w:t>(a)</w:t>
            </w: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Price - NGLs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Price - Natural Gas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60" w:type="dxa"/>
            <w:vAlign w:val="bottom"/>
          </w:tcPr>
          <w:p>
            <w:pPr>
              <w:ind w:left="40"/>
              <w:spacing w:after="0"/>
              <w:rPr>
                <w:sz w:val="20"/>
                <w:szCs w:val="20"/>
                <w:color w:val="auto"/>
              </w:rPr>
            </w:pPr>
            <w:r>
              <w:rPr>
                <w:rFonts w:ascii="Arial" w:cs="Arial" w:eastAsia="Arial" w:hAnsi="Arial"/>
                <w:sz w:val="11"/>
                <w:szCs w:val="11"/>
                <w:color w:val="auto"/>
                <w:w w:val="74"/>
              </w:rPr>
              <w:t>(a)</w:t>
            </w: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Volume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Production costs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DD&amp;A rate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Adjusted general &amp; administrative expenses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Other</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3"/>
                <w:szCs w:val="23"/>
                <w:color w:val="auto"/>
              </w:rPr>
            </w:pPr>
          </w:p>
        </w:tc>
      </w:tr>
      <w:tr>
        <w:trPr>
          <w:trHeight w:val="278"/>
        </w:trPr>
        <w:tc>
          <w:tcPr>
            <w:tcW w:w="5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4"/>
                <w:szCs w:val="14"/>
                <w:b w:val="1"/>
                <w:bCs w:val="1"/>
                <w:color w:val="auto"/>
              </w:rPr>
              <w:t>2018 4th Quarter Adjusted Net Income</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w:t>
            </w:r>
          </w:p>
        </w:tc>
        <w:tc>
          <w:tcPr>
            <w:tcW w:w="16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02"/>
        </w:trPr>
        <w:tc>
          <w:tcPr>
            <w:tcW w:w="5240" w:type="dxa"/>
            <w:vAlign w:val="bottom"/>
          </w:tcPr>
          <w:p>
            <w:pPr>
              <w:spacing w:after="0"/>
              <w:rPr>
                <w:sz w:val="20"/>
                <w:szCs w:val="20"/>
                <w:color w:val="auto"/>
              </w:rPr>
            </w:pPr>
            <w:r>
              <w:rPr>
                <w:rFonts w:ascii="Arial" w:cs="Arial" w:eastAsia="Arial" w:hAnsi="Arial"/>
                <w:sz w:val="14"/>
                <w:szCs w:val="14"/>
                <w:b w:val="1"/>
                <w:bCs w:val="1"/>
                <w:color w:val="auto"/>
              </w:rPr>
              <w:t>2017 Twelve-Month Adjusted Net Loss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160" w:type="dxa"/>
            <w:vAlign w:val="bottom"/>
          </w:tcPr>
          <w:p>
            <w:pPr>
              <w:spacing w:after="0"/>
              <w:rPr>
                <w:sz w:val="24"/>
                <w:szCs w:val="24"/>
                <w:color w:val="auto"/>
              </w:rPr>
            </w:pPr>
          </w:p>
        </w:tc>
      </w:tr>
      <w:tr>
        <w:trPr>
          <w:trHeight w:val="534"/>
        </w:trPr>
        <w:tc>
          <w:tcPr>
            <w:tcW w:w="5240" w:type="dxa"/>
            <w:vAlign w:val="bottom"/>
          </w:tcPr>
          <w:p>
            <w:pPr>
              <w:spacing w:after="0"/>
              <w:rPr>
                <w:sz w:val="20"/>
                <w:szCs w:val="20"/>
                <w:color w:val="auto"/>
              </w:rPr>
            </w:pPr>
            <w:r>
              <w:rPr>
                <w:rFonts w:ascii="Arial" w:cs="Arial" w:eastAsia="Arial" w:hAnsi="Arial"/>
                <w:sz w:val="14"/>
                <w:szCs w:val="14"/>
                <w:color w:val="auto"/>
              </w:rPr>
              <w:t>Price - Oil</w:t>
            </w:r>
          </w:p>
        </w:tc>
        <w:tc>
          <w:tcPr>
            <w:tcW w:w="5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60" w:type="dxa"/>
            <w:vAlign w:val="bottom"/>
          </w:tcPr>
          <w:p>
            <w:pPr>
              <w:ind w:left="40"/>
              <w:spacing w:after="0"/>
              <w:rPr>
                <w:sz w:val="20"/>
                <w:szCs w:val="20"/>
                <w:color w:val="auto"/>
              </w:rPr>
            </w:pPr>
            <w:r>
              <w:rPr>
                <w:rFonts w:ascii="Arial" w:cs="Arial" w:eastAsia="Arial" w:hAnsi="Arial"/>
                <w:sz w:val="11"/>
                <w:szCs w:val="11"/>
                <w:color w:val="auto"/>
                <w:w w:val="74"/>
              </w:rPr>
              <w:t>(a)</w:t>
            </w: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Price - NGLs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Price - Natural Gas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60" w:type="dxa"/>
            <w:vAlign w:val="bottom"/>
          </w:tcPr>
          <w:p>
            <w:pPr>
              <w:ind w:left="40"/>
              <w:spacing w:after="0"/>
              <w:rPr>
                <w:sz w:val="20"/>
                <w:szCs w:val="20"/>
                <w:color w:val="auto"/>
              </w:rPr>
            </w:pPr>
            <w:r>
              <w:rPr>
                <w:rFonts w:ascii="Arial" w:cs="Arial" w:eastAsia="Arial" w:hAnsi="Arial"/>
                <w:sz w:val="11"/>
                <w:szCs w:val="11"/>
                <w:color w:val="auto"/>
                <w:w w:val="74"/>
              </w:rPr>
              <w:t>(a)</w:t>
            </w: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Volume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Production costs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DD&amp;A rate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Adjusted general &amp; administrative expenses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23"/>
                <w:szCs w:val="23"/>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Other</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23"/>
                <w:szCs w:val="23"/>
                <w:color w:val="auto"/>
              </w:rPr>
            </w:pPr>
          </w:p>
        </w:tc>
      </w:tr>
      <w:tr>
        <w:trPr>
          <w:trHeight w:val="278"/>
        </w:trPr>
        <w:tc>
          <w:tcPr>
            <w:tcW w:w="5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4"/>
                <w:szCs w:val="14"/>
                <w:b w:val="1"/>
                <w:bCs w:val="1"/>
                <w:color w:val="auto"/>
              </w:rPr>
              <w:t>2018 Twelve-Month Adjusted Net Income</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w:t>
            </w:r>
          </w:p>
        </w:tc>
        <w:tc>
          <w:tcPr>
            <w:tcW w:w="16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 Includes cash settlements on commodity derivatives.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60"/>
          </w:cols>
          <w:pgMar w:left="280" w:top="745"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5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Attachment 6</w:t>
            </w: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 INVESTMENTS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8"/>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Fourth Quarter</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color w:val="auto"/>
              </w:rPr>
              <w:t>Twelve Months</w:t>
            </w:r>
          </w:p>
        </w:tc>
      </w:tr>
      <w:tr>
        <w:trPr>
          <w:trHeight w:val="26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3"/>
                <w:szCs w:val="23"/>
                <w:color w:val="auto"/>
              </w:rPr>
            </w:pPr>
          </w:p>
        </w:tc>
      </w:tr>
      <w:tr>
        <w:trPr>
          <w:trHeight w:val="53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Internally Funded Capital</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174</w:t>
            </w:r>
          </w:p>
        </w:tc>
        <w:tc>
          <w:tcPr>
            <w:tcW w:w="12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641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340" w:type="dxa"/>
            <w:vAlign w:val="bottom"/>
          </w:tcPr>
          <w:p>
            <w:pPr>
              <w:spacing w:after="0"/>
              <w:rPr>
                <w:sz w:val="24"/>
                <w:szCs w:val="24"/>
                <w:color w:val="auto"/>
              </w:rPr>
            </w:pPr>
          </w:p>
        </w:tc>
      </w:tr>
      <w:tr>
        <w:trPr>
          <w:trHeight w:val="43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BSP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340" w:type="dxa"/>
            <w:vAlign w:val="bottom"/>
          </w:tcPr>
          <w:p>
            <w:pPr>
              <w:spacing w:after="0"/>
              <w:rPr>
                <w:sz w:val="24"/>
                <w:szCs w:val="24"/>
                <w:color w:val="auto"/>
              </w:rPr>
            </w:pPr>
          </w:p>
        </w:tc>
      </w:tr>
      <w:tr>
        <w:trPr>
          <w:trHeight w:val="164"/>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Consolidated Reported Capital Investments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186</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690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MIRA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24"/>
                <w:szCs w:val="24"/>
                <w:color w:val="auto"/>
              </w:rPr>
            </w:pPr>
          </w:p>
        </w:tc>
      </w:tr>
      <w:tr>
        <w:trPr>
          <w:trHeight w:val="164"/>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Total Capital Program</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197</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747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7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50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Attachment 7</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50"/>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PRICE STATISTICS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8"/>
        </w:trPr>
        <w:tc>
          <w:tcPr>
            <w:tcW w:w="5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Fourth Quarter</w:t>
            </w: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color w:val="auto"/>
              </w:rPr>
              <w:t>Twelve Months</w:t>
            </w:r>
          </w:p>
        </w:tc>
      </w:tr>
      <w:tr>
        <w:trPr>
          <w:trHeight w:val="266"/>
        </w:trPr>
        <w:tc>
          <w:tcPr>
            <w:tcW w:w="5060" w:type="dxa"/>
            <w:vAlign w:val="bottom"/>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c>
          <w:tcPr>
            <w:tcW w:w="66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3"/>
                <w:szCs w:val="23"/>
                <w:color w:val="auto"/>
              </w:rPr>
            </w:pPr>
          </w:p>
        </w:tc>
      </w:tr>
      <w:tr>
        <w:trPr>
          <w:trHeight w:val="264"/>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Realized Prices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 hedge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59.97</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56.92</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62.60</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51.24</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without hedge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66.12</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59.87</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70.11</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51.47</w:t>
            </w:r>
          </w:p>
        </w:tc>
        <w:tc>
          <w:tcPr>
            <w:tcW w:w="220" w:type="dxa"/>
            <w:vAlign w:val="bottom"/>
          </w:tcPr>
          <w:p>
            <w:pPr>
              <w:spacing w:after="0"/>
              <w:rPr>
                <w:sz w:val="23"/>
                <w:szCs w:val="23"/>
                <w:color w:val="auto"/>
              </w:rPr>
            </w:pPr>
          </w:p>
        </w:tc>
      </w:tr>
      <w:tr>
        <w:trPr>
          <w:trHeight w:val="392"/>
        </w:trPr>
        <w:tc>
          <w:tcPr>
            <w:tcW w:w="5060" w:type="dxa"/>
            <w:vAlign w:val="bottom"/>
          </w:tcPr>
          <w:p>
            <w:pPr>
              <w:ind w:left="80"/>
              <w:spacing w:after="0"/>
              <w:rPr>
                <w:sz w:val="20"/>
                <w:szCs w:val="20"/>
                <w:color w:val="auto"/>
              </w:rPr>
            </w:pPr>
            <w:r>
              <w:rPr>
                <w:rFonts w:ascii="Arial" w:cs="Arial" w:eastAsia="Arial" w:hAnsi="Arial"/>
                <w:sz w:val="14"/>
                <w:szCs w:val="14"/>
                <w:color w:val="auto"/>
              </w:rPr>
              <w:t>NGLs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43.56</w:t>
            </w:r>
          </w:p>
        </w:tc>
        <w:tc>
          <w:tcPr>
            <w:tcW w:w="10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44.03</w:t>
            </w:r>
          </w:p>
        </w:tc>
        <w:tc>
          <w:tcPr>
            <w:tcW w:w="66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43.67</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35.76</w:t>
            </w:r>
          </w:p>
        </w:tc>
        <w:tc>
          <w:tcPr>
            <w:tcW w:w="220" w:type="dxa"/>
            <w:vAlign w:val="bottom"/>
          </w:tcPr>
          <w:p>
            <w:pPr>
              <w:spacing w:after="0"/>
              <w:rPr>
                <w:sz w:val="24"/>
                <w:szCs w:val="24"/>
                <w:color w:val="auto"/>
              </w:rPr>
            </w:pPr>
          </w:p>
        </w:tc>
      </w:tr>
      <w:tr>
        <w:trPr>
          <w:trHeight w:val="436"/>
        </w:trPr>
        <w:tc>
          <w:tcPr>
            <w:tcW w:w="5060" w:type="dxa"/>
            <w:vAlign w:val="bottom"/>
          </w:tcPr>
          <w:p>
            <w:pPr>
              <w:ind w:left="80"/>
              <w:spacing w:after="0"/>
              <w:rPr>
                <w:sz w:val="20"/>
                <w:szCs w:val="20"/>
                <w:color w:val="auto"/>
              </w:rPr>
            </w:pPr>
            <w:r>
              <w:rPr>
                <w:rFonts w:ascii="Arial" w:cs="Arial" w:eastAsia="Arial" w:hAnsi="Arial"/>
                <w:sz w:val="14"/>
                <w:szCs w:val="14"/>
                <w:color w:val="auto"/>
              </w:rPr>
              <w:t xml:space="preserve">Natural gas ($/Mcf) </w:t>
            </w:r>
            <w:r>
              <w:rPr>
                <w:rFonts w:ascii="Arial" w:cs="Arial" w:eastAsia="Arial" w:hAnsi="Arial"/>
                <w:sz w:val="17"/>
                <w:szCs w:val="17"/>
                <w:color w:val="auto"/>
                <w:vertAlign w:val="superscript"/>
              </w:rPr>
              <w:t>(a)</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3.77</w:t>
            </w:r>
          </w:p>
        </w:tc>
        <w:tc>
          <w:tcPr>
            <w:tcW w:w="10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2.77</w:t>
            </w:r>
          </w:p>
        </w:tc>
        <w:tc>
          <w:tcPr>
            <w:tcW w:w="66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2.67</w:t>
            </w:r>
          </w:p>
        </w:tc>
        <w:tc>
          <w:tcPr>
            <w:tcW w:w="220" w:type="dxa"/>
            <w:vAlign w:val="bottom"/>
          </w:tcPr>
          <w:p>
            <w:pPr>
              <w:spacing w:after="0"/>
              <w:rPr>
                <w:sz w:val="24"/>
                <w:szCs w:val="24"/>
                <w:color w:val="auto"/>
              </w:rPr>
            </w:pPr>
          </w:p>
        </w:tc>
      </w:tr>
      <w:tr>
        <w:trPr>
          <w:trHeight w:val="550"/>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Index Prices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Brent oil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68.08</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61.54</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71.53</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54.82</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WTI oil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58.81</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55.40</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64.77</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50.95</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NYMEX gas ($/MMBtu)</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3.40</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2.97</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3.09</w:t>
            </w:r>
          </w:p>
        </w:tc>
        <w:tc>
          <w:tcPr>
            <w:tcW w:w="220" w:type="dxa"/>
            <w:vAlign w:val="bottom"/>
          </w:tcPr>
          <w:p>
            <w:pPr>
              <w:spacing w:after="0"/>
              <w:rPr>
                <w:sz w:val="23"/>
                <w:szCs w:val="23"/>
                <w:color w:val="auto"/>
              </w:rPr>
            </w:pPr>
          </w:p>
        </w:tc>
      </w:tr>
      <w:tr>
        <w:trPr>
          <w:trHeight w:val="594"/>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 hedge as a percentage of Brent</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w:t>
            </w: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without hedge as a percentage of Brent</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w:t>
            </w: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220" w:type="dxa"/>
            <w:vAlign w:val="bottom"/>
          </w:tcPr>
          <w:p>
            <w:pPr>
              <w:spacing w:after="0"/>
              <w:rPr>
                <w:sz w:val="23"/>
                <w:szCs w:val="23"/>
                <w:color w:val="auto"/>
              </w:rPr>
            </w:pPr>
          </w:p>
        </w:tc>
      </w:tr>
      <w:tr>
        <w:trPr>
          <w:trHeight w:val="540"/>
        </w:trPr>
        <w:tc>
          <w:tcPr>
            <w:tcW w:w="5060" w:type="dxa"/>
            <w:vAlign w:val="bottom"/>
          </w:tcPr>
          <w:p>
            <w:pPr>
              <w:ind w:left="80"/>
              <w:spacing w:after="0"/>
              <w:rPr>
                <w:sz w:val="20"/>
                <w:szCs w:val="20"/>
                <w:color w:val="auto"/>
              </w:rPr>
            </w:pPr>
            <w:r>
              <w:rPr>
                <w:rFonts w:ascii="Arial" w:cs="Arial" w:eastAsia="Arial" w:hAnsi="Arial"/>
                <w:sz w:val="14"/>
                <w:szCs w:val="14"/>
                <w:color w:val="auto"/>
              </w:rPr>
              <w:t>Oil with hedge as a percentage of WTI</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24"/>
                <w:szCs w:val="24"/>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without hedge as a percentage of WTI</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w:t>
            </w: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23"/>
                <w:szCs w:val="23"/>
                <w:color w:val="auto"/>
              </w:rPr>
            </w:pPr>
          </w:p>
        </w:tc>
      </w:tr>
      <w:tr>
        <w:trPr>
          <w:trHeight w:val="392"/>
        </w:trPr>
        <w:tc>
          <w:tcPr>
            <w:tcW w:w="5060" w:type="dxa"/>
            <w:vAlign w:val="bottom"/>
          </w:tcPr>
          <w:p>
            <w:pPr>
              <w:ind w:left="80"/>
              <w:spacing w:after="0"/>
              <w:rPr>
                <w:sz w:val="20"/>
                <w:szCs w:val="20"/>
                <w:color w:val="auto"/>
              </w:rPr>
            </w:pPr>
            <w:r>
              <w:rPr>
                <w:rFonts w:ascii="Arial" w:cs="Arial" w:eastAsia="Arial" w:hAnsi="Arial"/>
                <w:sz w:val="14"/>
                <w:szCs w:val="14"/>
                <w:color w:val="auto"/>
              </w:rPr>
              <w:t>NGLs as a percentage of Brent</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24"/>
                <w:szCs w:val="24"/>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NGLs as a percentage of WTI</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w:t>
            </w: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23"/>
                <w:szCs w:val="23"/>
                <w:color w:val="auto"/>
              </w:rPr>
            </w:pPr>
          </w:p>
        </w:tc>
      </w:tr>
      <w:tr>
        <w:trPr>
          <w:trHeight w:val="436"/>
        </w:trPr>
        <w:tc>
          <w:tcPr>
            <w:tcW w:w="5060" w:type="dxa"/>
            <w:vAlign w:val="bottom"/>
          </w:tcPr>
          <w:p>
            <w:pPr>
              <w:ind w:left="80"/>
              <w:spacing w:after="0"/>
              <w:rPr>
                <w:sz w:val="20"/>
                <w:szCs w:val="20"/>
                <w:color w:val="auto"/>
              </w:rPr>
            </w:pPr>
            <w:r>
              <w:rPr>
                <w:rFonts w:ascii="Arial" w:cs="Arial" w:eastAsia="Arial" w:hAnsi="Arial"/>
                <w:sz w:val="14"/>
                <w:szCs w:val="14"/>
                <w:color w:val="auto"/>
              </w:rPr>
              <w:t xml:space="preserve">Natural gas as a percentage of NYMEX </w:t>
            </w:r>
            <w:r>
              <w:rPr>
                <w:rFonts w:ascii="Arial" w:cs="Arial" w:eastAsia="Arial" w:hAnsi="Arial"/>
                <w:sz w:val="17"/>
                <w:szCs w:val="17"/>
                <w:color w:val="auto"/>
                <w:vertAlign w:val="superscript"/>
              </w:rPr>
              <w:t>(a)</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24"/>
                <w:szCs w:val="24"/>
                <w:color w:val="auto"/>
              </w:rPr>
            </w:pPr>
          </w:p>
        </w:tc>
      </w:tr>
    </w:tbl>
    <w:p>
      <w:pPr>
        <w:spacing w:after="0" w:line="296" w:lineRule="exact"/>
        <w:rPr>
          <w:sz w:val="20"/>
          <w:szCs w:val="20"/>
          <w:color w:val="auto"/>
        </w:rPr>
      </w:pPr>
    </w:p>
    <w:p>
      <w:pPr>
        <w:ind w:left="40" w:right="360" w:hanging="5"/>
        <w:spacing w:after="0" w:line="266"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 (a) on Attachment 1 related to our adoption of a new accounting standard regarding the reporting of certain sales related costs. For the three months and twelve months ended December 31, 2018, the realized gas price would have been $3.59 per Mcf and $2.79 per Mcf, respectively, and the realized gas price as a percentage of NYMEX would have been 106% and 94%,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80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8</w:t>
            </w: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FOURTH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r>
      <w:tr>
        <w:trPr>
          <w:trHeight w:val="27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 (Gross)</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3"/>
                <w:szCs w:val="23"/>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r>
      <w:tr>
        <w:trPr>
          <w:trHeight w:val="560"/>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12</w:t>
            </w: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38</w:t>
            </w: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33</w:t>
            </w:r>
          </w:p>
        </w:tc>
      </w:tr>
      <w:tr>
        <w:trPr>
          <w:trHeight w:val="27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w:t>
            </w:r>
          </w:p>
        </w:tc>
      </w:tr>
      <w:tr>
        <w:trPr>
          <w:trHeight w:val="246"/>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90</w:t>
            </w:r>
          </w:p>
        </w:tc>
      </w:tr>
      <w:tr>
        <w:trPr>
          <w:trHeight w:val="573"/>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4"/>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46"/>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r>
      <w:tr>
        <w:trPr>
          <w:trHeight w:val="30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80" w:type="dxa"/>
            <w:vAlign w:val="bottom"/>
          </w:tcPr>
          <w:p>
            <w:pPr>
              <w:jc w:val="center"/>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91</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4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86</w:t>
            </w:r>
          </w:p>
        </w:tc>
      </w:tr>
      <w:tr>
        <w:trPr>
          <w:trHeight w:val="29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r>
      <w:tr>
        <w:trPr>
          <w:trHeight w:val="24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BSP Wells Drilled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w:t>
            </w:r>
          </w:p>
        </w:tc>
      </w:tr>
      <w:tr>
        <w:trPr>
          <w:trHeight w:val="29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r>
      <w:tr>
        <w:trPr>
          <w:trHeight w:val="24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r>
    </w:tbl>
    <w:p>
      <w:pPr>
        <w:spacing w:after="0" w:line="364" w:lineRule="exact"/>
        <w:rPr>
          <w:sz w:val="20"/>
          <w:szCs w:val="20"/>
          <w:color w:val="auto"/>
        </w:rPr>
      </w:pPr>
    </w:p>
    <w:p>
      <w:pPr>
        <w:ind w:left="180" w:hanging="145"/>
        <w:spacing w:after="0"/>
        <w:tabs>
          <w:tab w:leader="none" w:pos="180"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79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3"/>
        </w:trPr>
        <w:tc>
          <w:tcPr>
            <w:tcW w:w="3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Attachment 9</w:t>
            </w:r>
          </w:p>
        </w:tc>
      </w:tr>
      <w:tr>
        <w:trPr>
          <w:trHeight w:val="20"/>
        </w:trPr>
        <w:tc>
          <w:tcPr>
            <w:tcW w:w="376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YEAR DRILLING ACTIVITY</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580" w:type="dxa"/>
            <w:vAlign w:val="bottom"/>
          </w:tcPr>
          <w:p>
            <w:pPr>
              <w:spacing w:after="0"/>
              <w:rPr>
                <w:sz w:val="23"/>
                <w:szCs w:val="23"/>
                <w:color w:val="auto"/>
              </w:rPr>
            </w:pPr>
          </w:p>
        </w:tc>
      </w:tr>
      <w:tr>
        <w:trPr>
          <w:trHeight w:val="271"/>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Wells Drilled (Gross)</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3"/>
                <w:szCs w:val="23"/>
                <w:color w:val="auto"/>
              </w:rPr>
            </w:pP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Total</w:t>
            </w:r>
          </w:p>
        </w:tc>
      </w:tr>
      <w:tr>
        <w:trPr>
          <w:trHeight w:val="560"/>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Primary</w:t>
            </w:r>
          </w:p>
        </w:tc>
        <w:tc>
          <w:tcPr>
            <w:tcW w:w="1360" w:type="dxa"/>
            <w:vAlign w:val="bottom"/>
          </w:tcPr>
          <w:p>
            <w:pPr>
              <w:jc w:val="center"/>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33</w:t>
            </w: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Waterflood</w:t>
            </w:r>
          </w:p>
        </w:tc>
        <w:tc>
          <w:tcPr>
            <w:tcW w:w="1360" w:type="dxa"/>
            <w:vAlign w:val="bottom"/>
          </w:tcPr>
          <w:p>
            <w:pPr>
              <w:jc w:val="center"/>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91</w:t>
            </w: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Steamflood</w:t>
            </w:r>
          </w:p>
        </w:tc>
        <w:tc>
          <w:tcPr>
            <w:tcW w:w="1360" w:type="dxa"/>
            <w:vAlign w:val="bottom"/>
          </w:tcPr>
          <w:p>
            <w:pPr>
              <w:jc w:val="center"/>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182</w:t>
            </w:r>
          </w:p>
        </w:tc>
      </w:tr>
      <w:tr>
        <w:trPr>
          <w:trHeight w:val="274"/>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Unconventional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33</w:t>
            </w:r>
          </w:p>
        </w:tc>
      </w:tr>
      <w:tr>
        <w:trPr>
          <w:trHeight w:val="246"/>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60" w:type="dxa"/>
            <w:vAlign w:val="bottom"/>
          </w:tcPr>
          <w:p>
            <w:pPr>
              <w:jc w:val="center"/>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339</w:t>
            </w:r>
          </w:p>
        </w:tc>
      </w:tr>
      <w:tr>
        <w:trPr>
          <w:trHeight w:val="57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Exploration Wells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Primary</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Waterflood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Steamflood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4"/>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Unconventional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46"/>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30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37"/>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60" w:type="dxa"/>
            <w:vAlign w:val="bottom"/>
          </w:tcPr>
          <w:p>
            <w:pPr>
              <w:jc w:val="center"/>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343</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4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CRC Wells Drilled</w:t>
            </w:r>
          </w:p>
        </w:tc>
        <w:tc>
          <w:tcPr>
            <w:tcW w:w="1360" w:type="dxa"/>
            <w:vAlign w:val="bottom"/>
          </w:tcPr>
          <w:p>
            <w:pPr>
              <w:jc w:val="center"/>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237</w:t>
            </w:r>
          </w:p>
        </w:tc>
      </w:tr>
      <w:tr>
        <w:trPr>
          <w:trHeight w:val="29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r>
      <w:tr>
        <w:trPr>
          <w:trHeight w:val="24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BSP Wells Drilled</w:t>
            </w:r>
          </w:p>
        </w:tc>
        <w:tc>
          <w:tcPr>
            <w:tcW w:w="136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15</w:t>
            </w:r>
          </w:p>
        </w:tc>
      </w:tr>
      <w:tr>
        <w:trPr>
          <w:trHeight w:val="29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r>
      <w:tr>
        <w:trPr>
          <w:trHeight w:val="24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MIRA Wells Drilled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91</w:t>
            </w:r>
          </w:p>
        </w:tc>
      </w:tr>
    </w:tbl>
    <w:p>
      <w:pPr>
        <w:spacing w:after="0" w:line="352" w:lineRule="exact"/>
        <w:rPr>
          <w:sz w:val="20"/>
          <w:szCs w:val="20"/>
          <w:color w:val="auto"/>
        </w:rPr>
      </w:pPr>
    </w:p>
    <w:p>
      <w:pPr>
        <w:ind w:left="180" w:hanging="151"/>
        <w:spacing w:after="0"/>
        <w:tabs>
          <w:tab w:leader="none" w:pos="18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60"/>
          </w:cols>
          <w:pgMar w:left="280" w:top="800"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6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rPr>
              <w:t>Attachment 10</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HEDGES - CURRENT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594"/>
        </w:trPr>
        <w:tc>
          <w:tcPr>
            <w:tcW w:w="636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1Q</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2Q</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3Q</w:t>
            </w:r>
          </w:p>
        </w:tc>
        <w:tc>
          <w:tcPr>
            <w:tcW w:w="78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4Q</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1Q</w:t>
            </w:r>
          </w:p>
        </w:tc>
      </w:tr>
      <w:tr>
        <w:trPr>
          <w:trHeight w:val="270"/>
        </w:trPr>
        <w:tc>
          <w:tcPr>
            <w:tcW w:w="636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b w:val="1"/>
                <w:bCs w:val="1"/>
                <w:color w:val="auto"/>
              </w:rPr>
              <w:t>2019</w:t>
            </w:r>
          </w:p>
        </w:tc>
        <w:tc>
          <w:tcPr>
            <w:tcW w:w="114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rPr>
              <w:t>2020</w:t>
            </w:r>
          </w:p>
        </w:tc>
      </w:tr>
      <w:tr>
        <w:trPr>
          <w:trHeight w:val="264"/>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CRUDE OIL</w:t>
            </w: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4"/>
                <w:szCs w:val="14"/>
                <w:color w:val="auto"/>
              </w:rPr>
              <w:t>Sold Calls: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920" w:type="dxa"/>
            <w:vAlign w:val="bottom"/>
          </w:tcPr>
          <w:p>
            <w:pPr>
              <w:jc w:val="center"/>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920" w:type="dxa"/>
            <w:vAlign w:val="bottom"/>
          </w:tcPr>
          <w:p>
            <w:pPr>
              <w:jc w:val="center"/>
              <w:spacing w:after="0"/>
              <w:rPr>
                <w:sz w:val="20"/>
                <w:szCs w:val="20"/>
                <w:color w:val="auto"/>
              </w:rPr>
            </w:pPr>
            <w:r>
              <w:rPr>
                <w:rFonts w:ascii="Arial" w:cs="Arial" w:eastAsia="Arial" w:hAnsi="Arial"/>
                <w:sz w:val="14"/>
                <w:szCs w:val="14"/>
                <w:color w:val="auto"/>
              </w:rPr>
              <w:t>$66.15</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67"/>
        </w:trPr>
        <w:tc>
          <w:tcPr>
            <w:tcW w:w="6360" w:type="dxa"/>
            <w:vAlign w:val="bottom"/>
          </w:tcPr>
          <w:p>
            <w:pPr>
              <w:ind w:left="20"/>
              <w:spacing w:after="0"/>
              <w:rPr>
                <w:sz w:val="20"/>
                <w:szCs w:val="20"/>
                <w:color w:val="auto"/>
              </w:rPr>
            </w:pPr>
            <w:r>
              <w:rPr>
                <w:rFonts w:ascii="Arial" w:cs="Arial" w:eastAsia="Arial" w:hAnsi="Arial"/>
                <w:sz w:val="14"/>
                <w:szCs w:val="14"/>
                <w:color w:val="auto"/>
              </w:rPr>
              <w:t>Purchased Calls: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920" w:type="dxa"/>
            <w:vAlign w:val="bottom"/>
          </w:tcPr>
          <w:p>
            <w:pPr>
              <w:jc w:val="center"/>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3"/>
                <w:szCs w:val="2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920" w:type="dxa"/>
            <w:vAlign w:val="bottom"/>
          </w:tcPr>
          <w:p>
            <w:pPr>
              <w:jc w:val="center"/>
              <w:spacing w:after="0"/>
              <w:rPr>
                <w:sz w:val="20"/>
                <w:szCs w:val="20"/>
                <w:color w:val="auto"/>
              </w:rPr>
            </w:pPr>
            <w:r>
              <w:rPr>
                <w:rFonts w:ascii="Arial" w:cs="Arial" w:eastAsia="Arial" w:hAnsi="Arial"/>
                <w:sz w:val="14"/>
                <w:szCs w:val="14"/>
                <w:color w:val="auto"/>
              </w:rPr>
              <w:t>$71.00</w:t>
            </w:r>
          </w:p>
        </w:tc>
        <w:tc>
          <w:tcPr>
            <w:tcW w:w="120" w:type="dxa"/>
            <w:vAlign w:val="bottom"/>
          </w:tcPr>
          <w:p>
            <w:pPr>
              <w:spacing w:after="0"/>
              <w:rPr>
                <w:sz w:val="23"/>
                <w:szCs w:val="2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67"/>
        </w:trPr>
        <w:tc>
          <w:tcPr>
            <w:tcW w:w="6360" w:type="dxa"/>
            <w:vAlign w:val="bottom"/>
          </w:tcPr>
          <w:p>
            <w:pPr>
              <w:ind w:left="20"/>
              <w:spacing w:after="0"/>
              <w:rPr>
                <w:sz w:val="20"/>
                <w:szCs w:val="20"/>
                <w:color w:val="auto"/>
              </w:rPr>
            </w:pPr>
            <w:r>
              <w:rPr>
                <w:rFonts w:ascii="Arial" w:cs="Arial" w:eastAsia="Arial" w:hAnsi="Arial"/>
                <w:sz w:val="14"/>
                <w:szCs w:val="14"/>
                <w:color w:val="auto"/>
              </w:rPr>
              <w:t>Purchased Puts: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920" w:type="dxa"/>
            <w:vAlign w:val="bottom"/>
          </w:tcPr>
          <w:p>
            <w:pPr>
              <w:jc w:val="center"/>
              <w:spacing w:after="0"/>
              <w:rPr>
                <w:sz w:val="20"/>
                <w:szCs w:val="20"/>
                <w:color w:val="auto"/>
              </w:rPr>
            </w:pPr>
            <w:r>
              <w:rPr>
                <w:rFonts w:ascii="Arial" w:cs="Arial" w:eastAsia="Arial" w:hAnsi="Arial"/>
                <w:sz w:val="14"/>
                <w:szCs w:val="14"/>
                <w:color w:val="auto"/>
              </w:rPr>
              <w:t>38,000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3"/>
                <w:szCs w:val="23"/>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35,000</w:t>
            </w:r>
          </w:p>
        </w:tc>
        <w:tc>
          <w:tcPr>
            <w:tcW w:w="1140" w:type="dxa"/>
            <w:vAlign w:val="bottom"/>
            <w:gridSpan w:val="3"/>
          </w:tcPr>
          <w:p>
            <w:pPr>
              <w:jc w:val="center"/>
              <w:ind w:left="148"/>
              <w:spacing w:after="0"/>
              <w:rPr>
                <w:sz w:val="20"/>
                <w:szCs w:val="20"/>
                <w:color w:val="auto"/>
              </w:rPr>
            </w:pPr>
            <w:r>
              <w:rPr>
                <w:rFonts w:ascii="Arial" w:cs="Arial" w:eastAsia="Arial" w:hAnsi="Arial"/>
                <w:sz w:val="14"/>
                <w:szCs w:val="14"/>
                <w:color w:val="auto"/>
              </w:rPr>
              <w:t>10,000</w:t>
            </w: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920" w:type="dxa"/>
            <w:vAlign w:val="bottom"/>
          </w:tcPr>
          <w:p>
            <w:pPr>
              <w:jc w:val="center"/>
              <w:spacing w:after="0"/>
              <w:rPr>
                <w:sz w:val="20"/>
                <w:szCs w:val="20"/>
                <w:color w:val="auto"/>
              </w:rPr>
            </w:pPr>
            <w:r>
              <w:rPr>
                <w:rFonts w:ascii="Arial" w:cs="Arial" w:eastAsia="Arial" w:hAnsi="Arial"/>
                <w:sz w:val="14"/>
                <w:szCs w:val="14"/>
                <w:color w:val="auto"/>
              </w:rPr>
              <w:t>$65.66</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$69.75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23"/>
                <w:szCs w:val="23"/>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$75.71</w:t>
            </w:r>
          </w:p>
        </w:tc>
        <w:tc>
          <w:tcPr>
            <w:tcW w:w="1140" w:type="dxa"/>
            <w:vAlign w:val="bottom"/>
            <w:gridSpan w:val="3"/>
          </w:tcPr>
          <w:p>
            <w:pPr>
              <w:jc w:val="center"/>
              <w:ind w:left="148"/>
              <w:spacing w:after="0"/>
              <w:rPr>
                <w:sz w:val="20"/>
                <w:szCs w:val="20"/>
                <w:color w:val="auto"/>
              </w:rPr>
            </w:pPr>
            <w:r>
              <w:rPr>
                <w:rFonts w:ascii="Arial" w:cs="Arial" w:eastAsia="Arial" w:hAnsi="Arial"/>
                <w:sz w:val="14"/>
                <w:szCs w:val="14"/>
                <w:color w:val="auto"/>
              </w:rPr>
              <w:t>$75.00</w:t>
            </w:r>
          </w:p>
        </w:tc>
      </w:tr>
      <w:tr>
        <w:trPr>
          <w:trHeight w:val="567"/>
        </w:trPr>
        <w:tc>
          <w:tcPr>
            <w:tcW w:w="6360" w:type="dxa"/>
            <w:vAlign w:val="bottom"/>
          </w:tcPr>
          <w:p>
            <w:pPr>
              <w:ind w:left="20"/>
              <w:spacing w:after="0"/>
              <w:rPr>
                <w:sz w:val="20"/>
                <w:szCs w:val="20"/>
                <w:color w:val="auto"/>
              </w:rPr>
            </w:pPr>
            <w:r>
              <w:rPr>
                <w:rFonts w:ascii="Arial" w:cs="Arial" w:eastAsia="Arial" w:hAnsi="Arial"/>
                <w:sz w:val="14"/>
                <w:szCs w:val="14"/>
                <w:color w:val="auto"/>
              </w:rPr>
              <w:t>Sold Puts: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920" w:type="dxa"/>
            <w:vAlign w:val="bottom"/>
          </w:tcPr>
          <w:p>
            <w:pPr>
              <w:jc w:val="center"/>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3"/>
                <w:szCs w:val="23"/>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35,000</w:t>
            </w:r>
          </w:p>
        </w:tc>
        <w:tc>
          <w:tcPr>
            <w:tcW w:w="1140" w:type="dxa"/>
            <w:vAlign w:val="bottom"/>
            <w:gridSpan w:val="3"/>
          </w:tcPr>
          <w:p>
            <w:pPr>
              <w:jc w:val="center"/>
              <w:ind w:left="148"/>
              <w:spacing w:after="0"/>
              <w:rPr>
                <w:sz w:val="20"/>
                <w:szCs w:val="20"/>
                <w:color w:val="auto"/>
              </w:rPr>
            </w:pPr>
            <w:r>
              <w:rPr>
                <w:rFonts w:ascii="Arial" w:cs="Arial" w:eastAsia="Arial" w:hAnsi="Arial"/>
                <w:sz w:val="14"/>
                <w:szCs w:val="14"/>
                <w:color w:val="auto"/>
              </w:rPr>
              <w:t>10,000</w:t>
            </w: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920" w:type="dxa"/>
            <w:vAlign w:val="bottom"/>
          </w:tcPr>
          <w:p>
            <w:pPr>
              <w:jc w:val="center"/>
              <w:spacing w:after="0"/>
              <w:rPr>
                <w:sz w:val="20"/>
                <w:szCs w:val="20"/>
                <w:color w:val="auto"/>
              </w:rPr>
            </w:pPr>
            <w:r>
              <w:rPr>
                <w:rFonts w:ascii="Arial" w:cs="Arial" w:eastAsia="Arial" w:hAnsi="Arial"/>
                <w:sz w:val="14"/>
                <w:szCs w:val="14"/>
                <w:color w:val="auto"/>
              </w:rPr>
              <w:t>$51.88</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$55.71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23"/>
                <w:szCs w:val="23"/>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$60.00</w:t>
            </w:r>
          </w:p>
        </w:tc>
        <w:tc>
          <w:tcPr>
            <w:tcW w:w="1140" w:type="dxa"/>
            <w:vAlign w:val="bottom"/>
            <w:gridSpan w:val="3"/>
          </w:tcPr>
          <w:p>
            <w:pPr>
              <w:jc w:val="center"/>
              <w:ind w:left="148"/>
              <w:spacing w:after="0"/>
              <w:rPr>
                <w:sz w:val="20"/>
                <w:szCs w:val="20"/>
                <w:color w:val="auto"/>
              </w:rPr>
            </w:pPr>
            <w:r>
              <w:rPr>
                <w:rFonts w:ascii="Arial" w:cs="Arial" w:eastAsia="Arial" w:hAnsi="Arial"/>
                <w:sz w:val="14"/>
                <w:szCs w:val="14"/>
                <w:color w:val="auto"/>
              </w:rPr>
              <w:t>$60.00</w:t>
            </w:r>
          </w:p>
        </w:tc>
      </w:tr>
      <w:tr>
        <w:trPr>
          <w:trHeight w:val="567"/>
        </w:trPr>
        <w:tc>
          <w:tcPr>
            <w:tcW w:w="6360" w:type="dxa"/>
            <w:vAlign w:val="bottom"/>
          </w:tcPr>
          <w:p>
            <w:pPr>
              <w:ind w:left="20"/>
              <w:spacing w:after="0"/>
              <w:rPr>
                <w:sz w:val="20"/>
                <w:szCs w:val="20"/>
                <w:color w:val="auto"/>
              </w:rPr>
            </w:pPr>
            <w:r>
              <w:rPr>
                <w:rFonts w:ascii="Arial" w:cs="Arial" w:eastAsia="Arial" w:hAnsi="Arial"/>
                <w:sz w:val="14"/>
                <w:szCs w:val="14"/>
                <w:color w:val="auto"/>
              </w:rPr>
              <w:t>Swaps: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920" w:type="dxa"/>
            <w:vAlign w:val="bottom"/>
          </w:tcPr>
          <w:p>
            <w:pPr>
              <w:jc w:val="center"/>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23"/>
                <w:szCs w:val="2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920" w:type="dxa"/>
            <w:vAlign w:val="bottom"/>
          </w:tcPr>
          <w:p>
            <w:pPr>
              <w:jc w:val="center"/>
              <w:spacing w:after="0"/>
              <w:rPr>
                <w:sz w:val="20"/>
                <w:szCs w:val="20"/>
                <w:color w:val="auto"/>
              </w:rPr>
            </w:pPr>
            <w:r>
              <w:rPr>
                <w:rFonts w:ascii="Arial" w:cs="Arial" w:eastAsia="Arial" w:hAnsi="Arial"/>
                <w:sz w:val="14"/>
                <w:szCs w:val="14"/>
                <w:color w:val="auto"/>
              </w:rPr>
              <w:t>$67.71</w:t>
            </w:r>
          </w:p>
        </w:tc>
        <w:tc>
          <w:tcPr>
            <w:tcW w:w="120" w:type="dxa"/>
            <w:vAlign w:val="bottom"/>
          </w:tcPr>
          <w:p>
            <w:pPr>
              <w:spacing w:after="0"/>
              <w:rPr>
                <w:sz w:val="23"/>
                <w:szCs w:val="2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319" w:lineRule="exact"/>
        <w:rPr>
          <w:sz w:val="20"/>
          <w:szCs w:val="20"/>
          <w:color w:val="auto"/>
        </w:rPr>
      </w:pPr>
    </w:p>
    <w:p>
      <w:pPr>
        <w:ind w:left="20" w:right="60"/>
        <w:spacing w:after="0" w:line="258" w:lineRule="auto"/>
        <w:rPr>
          <w:sz w:val="20"/>
          <w:szCs w:val="20"/>
          <w:color w:val="auto"/>
        </w:rPr>
      </w:pPr>
      <w:r>
        <w:rPr>
          <w:rFonts w:ascii="Arial" w:cs="Arial" w:eastAsia="Arial" w:hAnsi="Arial"/>
          <w:sz w:val="14"/>
          <w:szCs w:val="14"/>
          <w:color w:val="auto"/>
        </w:rPr>
        <w:t>The BSP JV entered into crude oil derivatives that are included in our consolidated results but not in the above table. The hedges entered into by the BSP JV could affect the timing of the redemption of the JV interest. The BSP JV sold calls for up to approximately 1,000 barrels per day at a weighted-average price per barrel of $60.00 for 2019 through 2020. The BSP JV purchased puts for up to approximately 2,000 barrels per day at a weighted-average price per barrel of approximately $50.00 for 2019 through 2021. The BSP JV also entered into natural gas swaps for insignificant volumes for periods through May 2021.</w:t>
      </w:r>
    </w:p>
    <w:p>
      <w:pPr>
        <w:spacing w:after="0" w:line="334" w:lineRule="exact"/>
        <w:rPr>
          <w:sz w:val="20"/>
          <w:szCs w:val="20"/>
          <w:color w:val="auto"/>
        </w:rPr>
      </w:pPr>
    </w:p>
    <w:p>
      <w:pPr>
        <w:ind w:left="20" w:right="160"/>
        <w:spacing w:after="0" w:line="266" w:lineRule="auto"/>
        <w:rPr>
          <w:sz w:val="20"/>
          <w:szCs w:val="20"/>
          <w:color w:val="auto"/>
        </w:rPr>
      </w:pPr>
      <w:r>
        <w:rPr>
          <w:rFonts w:ascii="Arial" w:cs="Arial" w:eastAsia="Arial" w:hAnsi="Arial"/>
          <w:sz w:val="14"/>
          <w:szCs w:val="14"/>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360"/>
          </w:cols>
          <w:pgMar w:left="280" w:top="800"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3"/>
        </w:trPr>
        <w:tc>
          <w:tcPr>
            <w:tcW w:w="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Attachment 11</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gridSpan w:val="3"/>
          </w:tcPr>
          <w:p>
            <w:pPr>
              <w:ind w:left="40"/>
              <w:spacing w:after="0"/>
              <w:rPr>
                <w:sz w:val="20"/>
                <w:szCs w:val="20"/>
                <w:color w:val="auto"/>
              </w:rPr>
            </w:pPr>
            <w:r>
              <w:rPr>
                <w:rFonts w:ascii="Arial" w:cs="Arial" w:eastAsia="Arial" w:hAnsi="Arial"/>
                <w:sz w:val="14"/>
                <w:szCs w:val="14"/>
                <w:b w:val="1"/>
                <w:bCs w:val="1"/>
                <w:color w:val="auto"/>
              </w:rPr>
              <w:t>RESERVES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Ventura</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36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700" w:type="dxa"/>
            <w:vAlign w:val="bottom"/>
          </w:tcPr>
          <w:p>
            <w:pPr>
              <w:ind w:lef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Oil Reserves (MMBbl)</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660" w:type="dxa"/>
            <w:vAlign w:val="bottom"/>
            <w:gridSpan w:val="3"/>
            <w:vMerge w:val="continue"/>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Proved Developed Reserves</w:t>
            </w:r>
          </w:p>
        </w:tc>
        <w:tc>
          <w:tcPr>
            <w:tcW w:w="1380" w:type="dxa"/>
            <w:vAlign w:val="bottom"/>
          </w:tcPr>
          <w:p>
            <w:pPr>
              <w:jc w:val="center"/>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74"/>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Proved Undeveloped Reserves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46"/>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600"/>
        </w:trPr>
        <w:tc>
          <w:tcPr>
            <w:tcW w:w="3660" w:type="dxa"/>
            <w:vAlign w:val="bottom"/>
            <w:gridSpan w:val="3"/>
          </w:tcPr>
          <w:p>
            <w:pPr>
              <w:ind w:left="40"/>
              <w:spacing w:after="0"/>
              <w:rPr>
                <w:sz w:val="20"/>
                <w:szCs w:val="20"/>
                <w:color w:val="auto"/>
              </w:rPr>
            </w:pPr>
            <w:r>
              <w:rPr>
                <w:rFonts w:ascii="Arial" w:cs="Arial" w:eastAsia="Arial" w:hAnsi="Arial"/>
                <w:sz w:val="14"/>
                <w:szCs w:val="14"/>
                <w:b w:val="1"/>
                <w:bCs w:val="1"/>
                <w:color w:val="auto"/>
              </w:rPr>
              <w:t>NGLs Reserves (MMBbl)</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Proved Developed Reserves</w:t>
            </w:r>
          </w:p>
        </w:tc>
        <w:tc>
          <w:tcPr>
            <w:tcW w:w="1380" w:type="dxa"/>
            <w:vAlign w:val="bottom"/>
          </w:tcPr>
          <w:p>
            <w:pPr>
              <w:jc w:val="center"/>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4"/>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Proved Undeveloped Reserves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46"/>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00"/>
        </w:trPr>
        <w:tc>
          <w:tcPr>
            <w:tcW w:w="3660" w:type="dxa"/>
            <w:vAlign w:val="bottom"/>
            <w:gridSpan w:val="3"/>
          </w:tcPr>
          <w:p>
            <w:pPr>
              <w:ind w:left="40"/>
              <w:spacing w:after="0"/>
              <w:rPr>
                <w:sz w:val="20"/>
                <w:szCs w:val="20"/>
                <w:color w:val="auto"/>
              </w:rPr>
            </w:pPr>
            <w:r>
              <w:rPr>
                <w:rFonts w:ascii="Arial" w:cs="Arial" w:eastAsia="Arial" w:hAnsi="Arial"/>
                <w:sz w:val="14"/>
                <w:szCs w:val="14"/>
                <w:b w:val="1"/>
                <w:bCs w:val="1"/>
                <w:color w:val="auto"/>
              </w:rPr>
              <w:t>Natural Gas Reserves (Bcf)</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Proved Developed Reserves</w:t>
            </w:r>
          </w:p>
        </w:tc>
        <w:tc>
          <w:tcPr>
            <w:tcW w:w="1380" w:type="dxa"/>
            <w:vAlign w:val="bottom"/>
          </w:tcPr>
          <w:p>
            <w:pPr>
              <w:jc w:val="center"/>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74"/>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Proved Undeveloped Reserves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46"/>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648"/>
        </w:trPr>
        <w:tc>
          <w:tcPr>
            <w:tcW w:w="36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Reserves (MMBoe)</w:t>
            </w:r>
            <w:r>
              <w:rPr>
                <w:rFonts w:ascii="Arial" w:cs="Arial" w:eastAsia="Arial" w:hAnsi="Arial"/>
                <w:sz w:val="17"/>
                <w:szCs w:val="17"/>
                <w:b w:val="1"/>
                <w:bCs w:val="1"/>
                <w:color w:val="auto"/>
                <w:vertAlign w:val="superscript"/>
              </w:rPr>
              <w:t>(a)</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Proved Developed Reserves</w:t>
            </w:r>
          </w:p>
        </w:tc>
        <w:tc>
          <w:tcPr>
            <w:tcW w:w="1380" w:type="dxa"/>
            <w:vAlign w:val="bottom"/>
          </w:tcPr>
          <w:p>
            <w:pPr>
              <w:jc w:val="center"/>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74"/>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Proved Undeveloped Reserves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46"/>
        </w:trPr>
        <w:tc>
          <w:tcPr>
            <w:tcW w:w="3660" w:type="dxa"/>
            <w:vAlign w:val="bottom"/>
            <w:gridSpan w:val="3"/>
          </w:tcPr>
          <w:p>
            <w:pPr>
              <w:ind w:left="4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 MMBbl refers to millions of barrels; Bcf refers to billions of cubic feet; MMBoe refers to millions of barrels of oil equivalent.</w:t>
      </w:r>
    </w:p>
    <w:p>
      <w:pPr>
        <w:spacing w:after="0" w:line="244" w:lineRule="exact"/>
        <w:rPr>
          <w:sz w:val="20"/>
          <w:szCs w:val="20"/>
          <w:color w:val="auto"/>
        </w:rPr>
      </w:pPr>
    </w:p>
    <w:p>
      <w:pPr>
        <w:ind w:left="40" w:right="320" w:hanging="5"/>
        <w:spacing w:after="0" w:line="291" w:lineRule="auto"/>
        <w:tabs>
          <w:tab w:leader="none" w:pos="2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Bbl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800"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Attachment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27305</wp:posOffset>
            </wp:positionV>
            <wp:extent cx="70834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342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44450</wp:posOffset>
            </wp:positionV>
            <wp:extent cx="70834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FIRST QUARTER GUIDANCE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80" w:type="dxa"/>
            <w:vAlign w:val="bottom"/>
          </w:tcPr>
          <w:p>
            <w:pPr>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Q1 2019 </w:t>
            </w:r>
            <w:r>
              <w:rPr>
                <w:rFonts w:ascii="Arial" w:cs="Arial" w:eastAsia="Arial" w:hAnsi="Arial"/>
                <w:sz w:val="21"/>
                <w:szCs w:val="21"/>
                <w:b w:val="1"/>
                <w:bCs w:val="1"/>
                <w:color w:val="auto"/>
                <w:vertAlign w:val="superscript"/>
              </w:rPr>
              <w:t>(a)</w:t>
            </w:r>
          </w:p>
        </w:tc>
        <w:tc>
          <w:tcPr>
            <w:tcW w:w="2320" w:type="dxa"/>
            <w:vAlign w:val="bottom"/>
          </w:tcPr>
          <w:p>
            <w:pPr>
              <w:spacing w:after="0"/>
              <w:rPr>
                <w:sz w:val="23"/>
                <w:szCs w:val="23"/>
                <w:color w:val="auto"/>
              </w:rPr>
            </w:pPr>
          </w:p>
        </w:tc>
      </w:tr>
      <w:tr>
        <w:trPr>
          <w:trHeight w:val="194"/>
        </w:trPr>
        <w:tc>
          <w:tcPr>
            <w:tcW w:w="5680" w:type="dxa"/>
            <w:vAlign w:val="bottom"/>
          </w:tcPr>
          <w:p>
            <w:pPr>
              <w:spacing w:after="0"/>
              <w:rPr>
                <w:sz w:val="20"/>
                <w:szCs w:val="20"/>
                <w:color w:val="auto"/>
              </w:rPr>
            </w:pPr>
            <w:r>
              <w:rPr>
                <w:rFonts w:ascii="Arial" w:cs="Arial" w:eastAsia="Arial" w:hAnsi="Arial"/>
                <w:sz w:val="14"/>
                <w:szCs w:val="14"/>
                <w:color w:val="auto"/>
              </w:rPr>
              <w:t>Oil</w:t>
            </w:r>
          </w:p>
        </w:tc>
        <w:tc>
          <w:tcPr>
            <w:tcW w:w="2320" w:type="dxa"/>
            <w:vAlign w:val="bottom"/>
          </w:tcPr>
          <w:p>
            <w:pPr>
              <w:ind w:left="580"/>
              <w:spacing w:after="0"/>
              <w:rPr>
                <w:sz w:val="20"/>
                <w:szCs w:val="20"/>
                <w:color w:val="auto"/>
              </w:rPr>
            </w:pPr>
            <w:r>
              <w:rPr>
                <w:rFonts w:ascii="Arial" w:cs="Arial" w:eastAsia="Arial" w:hAnsi="Arial"/>
                <w:sz w:val="14"/>
                <w:szCs w:val="14"/>
                <w:color w:val="auto"/>
              </w:rPr>
              <w:t>94% to 99% of Brent</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NGLs</w:t>
            </w:r>
          </w:p>
        </w:tc>
        <w:tc>
          <w:tcPr>
            <w:tcW w:w="2320" w:type="dxa"/>
            <w:vAlign w:val="bottom"/>
          </w:tcPr>
          <w:p>
            <w:pPr>
              <w:ind w:left="580"/>
              <w:spacing w:after="0"/>
              <w:rPr>
                <w:sz w:val="20"/>
                <w:szCs w:val="20"/>
                <w:color w:val="auto"/>
              </w:rPr>
            </w:pPr>
            <w:r>
              <w:rPr>
                <w:rFonts w:ascii="Arial" w:cs="Arial" w:eastAsia="Arial" w:hAnsi="Arial"/>
                <w:sz w:val="14"/>
                <w:szCs w:val="14"/>
                <w:color w:val="auto"/>
              </w:rPr>
              <w:t>55% to 60% of Brent</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Natural Gas</w:t>
            </w:r>
          </w:p>
        </w:tc>
        <w:tc>
          <w:tcPr>
            <w:tcW w:w="2320" w:type="dxa"/>
            <w:vAlign w:val="bottom"/>
          </w:tcPr>
          <w:p>
            <w:pPr>
              <w:ind w:left="580"/>
              <w:spacing w:after="0"/>
              <w:rPr>
                <w:sz w:val="20"/>
                <w:szCs w:val="20"/>
                <w:color w:val="auto"/>
              </w:rPr>
            </w:pPr>
            <w:r>
              <w:rPr>
                <w:rFonts w:ascii="Arial" w:cs="Arial" w:eastAsia="Arial" w:hAnsi="Arial"/>
                <w:sz w:val="14"/>
                <w:szCs w:val="14"/>
                <w:color w:val="auto"/>
              </w:rPr>
              <w:t>100% to 110% of NYMEX</w:t>
            </w:r>
          </w:p>
        </w:tc>
      </w:tr>
      <w:tr>
        <w:trPr>
          <w:trHeight w:val="519"/>
        </w:trPr>
        <w:tc>
          <w:tcPr>
            <w:tcW w:w="5680" w:type="dxa"/>
            <w:vAlign w:val="bottom"/>
          </w:tcPr>
          <w:p>
            <w:pPr>
              <w:spacing w:after="0"/>
              <w:rPr>
                <w:sz w:val="20"/>
                <w:szCs w:val="20"/>
                <w:color w:val="auto"/>
              </w:rPr>
            </w:pPr>
            <w:r>
              <w:rPr>
                <w:rFonts w:ascii="Arial" w:cs="Arial" w:eastAsia="Arial" w:hAnsi="Arial"/>
                <w:sz w:val="14"/>
                <w:szCs w:val="14"/>
                <w:b w:val="1"/>
                <w:bCs w:val="1"/>
                <w:color w:val="auto"/>
              </w:rPr>
              <w:t>2019 First Quarter Production, Capital and Income Statement Guidance</w:t>
            </w:r>
          </w:p>
        </w:tc>
        <w:tc>
          <w:tcPr>
            <w:tcW w:w="2320" w:type="dxa"/>
            <w:vAlign w:val="bottom"/>
          </w:tcPr>
          <w:p>
            <w:pPr>
              <w:spacing w:after="0"/>
              <w:rPr>
                <w:sz w:val="24"/>
                <w:szCs w:val="24"/>
                <w:color w:val="auto"/>
              </w:rPr>
            </w:pPr>
          </w:p>
        </w:tc>
      </w:tr>
      <w:tr>
        <w:trPr>
          <w:trHeight w:val="314"/>
        </w:trPr>
        <w:tc>
          <w:tcPr>
            <w:tcW w:w="5680" w:type="dxa"/>
            <w:vAlign w:val="bottom"/>
          </w:tcPr>
          <w:p>
            <w:pPr>
              <w:spacing w:after="0"/>
              <w:rPr>
                <w:sz w:val="20"/>
                <w:szCs w:val="20"/>
                <w:color w:val="auto"/>
              </w:rPr>
            </w:pPr>
            <w:r>
              <w:rPr>
                <w:rFonts w:ascii="Arial" w:cs="Arial" w:eastAsia="Arial" w:hAnsi="Arial"/>
                <w:sz w:val="14"/>
                <w:szCs w:val="14"/>
                <w:color w:val="auto"/>
              </w:rPr>
              <w:t xml:space="preserve">Production </w:t>
            </w:r>
            <w:r>
              <w:rPr>
                <w:rFonts w:ascii="Arial" w:cs="Arial" w:eastAsia="Arial" w:hAnsi="Arial"/>
                <w:sz w:val="17"/>
                <w:szCs w:val="17"/>
                <w:color w:val="auto"/>
                <w:vertAlign w:val="superscript"/>
              </w:rPr>
              <w:t>(b) &amp; (c)</w:t>
            </w:r>
          </w:p>
        </w:tc>
        <w:tc>
          <w:tcPr>
            <w:tcW w:w="2320" w:type="dxa"/>
            <w:vAlign w:val="bottom"/>
          </w:tcPr>
          <w:p>
            <w:pPr>
              <w:ind w:left="580"/>
              <w:spacing w:after="0"/>
              <w:rPr>
                <w:sz w:val="20"/>
                <w:szCs w:val="20"/>
                <w:color w:val="auto"/>
              </w:rPr>
            </w:pPr>
            <w:r>
              <w:rPr>
                <w:rFonts w:ascii="Arial" w:cs="Arial" w:eastAsia="Arial" w:hAnsi="Arial"/>
                <w:sz w:val="14"/>
                <w:szCs w:val="14"/>
                <w:color w:val="auto"/>
              </w:rPr>
              <w:t>132 to 137 MBOE per day</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 xml:space="preserve">Capital </w:t>
            </w:r>
            <w:r>
              <w:rPr>
                <w:rFonts w:ascii="Arial" w:cs="Arial" w:eastAsia="Arial" w:hAnsi="Arial"/>
                <w:sz w:val="17"/>
                <w:szCs w:val="17"/>
                <w:color w:val="auto"/>
                <w:vertAlign w:val="superscript"/>
              </w:rPr>
              <w:t>(d)</w:t>
            </w:r>
          </w:p>
        </w:tc>
        <w:tc>
          <w:tcPr>
            <w:tcW w:w="2320" w:type="dxa"/>
            <w:vAlign w:val="bottom"/>
          </w:tcPr>
          <w:p>
            <w:pPr>
              <w:ind w:left="580"/>
              <w:spacing w:after="0"/>
              <w:rPr>
                <w:sz w:val="20"/>
                <w:szCs w:val="20"/>
                <w:color w:val="auto"/>
              </w:rPr>
            </w:pPr>
            <w:r>
              <w:rPr>
                <w:rFonts w:ascii="Arial" w:cs="Arial" w:eastAsia="Arial" w:hAnsi="Arial"/>
                <w:sz w:val="14"/>
                <w:szCs w:val="14"/>
                <w:color w:val="auto"/>
              </w:rPr>
              <w:t>$110 million to $140 million</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 xml:space="preserve">Production costs </w:t>
            </w:r>
            <w:r>
              <w:rPr>
                <w:rFonts w:ascii="Arial" w:cs="Arial" w:eastAsia="Arial" w:hAnsi="Arial"/>
                <w:sz w:val="17"/>
                <w:szCs w:val="17"/>
                <w:color w:val="auto"/>
                <w:vertAlign w:val="superscript"/>
              </w:rPr>
              <w:t>(b) &amp; (c)</w:t>
            </w:r>
          </w:p>
        </w:tc>
        <w:tc>
          <w:tcPr>
            <w:tcW w:w="2320" w:type="dxa"/>
            <w:vAlign w:val="bottom"/>
          </w:tcPr>
          <w:p>
            <w:pPr>
              <w:ind w:left="580"/>
              <w:spacing w:after="0"/>
              <w:rPr>
                <w:sz w:val="20"/>
                <w:szCs w:val="20"/>
                <w:color w:val="auto"/>
              </w:rPr>
            </w:pPr>
            <w:r>
              <w:rPr>
                <w:rFonts w:ascii="Arial" w:cs="Arial" w:eastAsia="Arial" w:hAnsi="Arial"/>
                <w:sz w:val="14"/>
                <w:szCs w:val="14"/>
                <w:color w:val="auto"/>
              </w:rPr>
              <w:t>$18.25 to $19.75 per BOE</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 xml:space="preserve">Adjusted general and administrative expenses </w:t>
            </w:r>
            <w:r>
              <w:rPr>
                <w:rFonts w:ascii="Arial" w:cs="Arial" w:eastAsia="Arial" w:hAnsi="Arial"/>
                <w:sz w:val="17"/>
                <w:szCs w:val="17"/>
                <w:color w:val="auto"/>
                <w:vertAlign w:val="superscript"/>
              </w:rPr>
              <w:t>(b) &amp; (e)</w:t>
            </w:r>
          </w:p>
        </w:tc>
        <w:tc>
          <w:tcPr>
            <w:tcW w:w="2320" w:type="dxa"/>
            <w:vAlign w:val="bottom"/>
          </w:tcPr>
          <w:p>
            <w:pPr>
              <w:ind w:left="580"/>
              <w:spacing w:after="0"/>
              <w:rPr>
                <w:sz w:val="20"/>
                <w:szCs w:val="20"/>
                <w:color w:val="auto"/>
              </w:rPr>
            </w:pPr>
            <w:r>
              <w:rPr>
                <w:rFonts w:ascii="Arial" w:cs="Arial" w:eastAsia="Arial" w:hAnsi="Arial"/>
                <w:sz w:val="14"/>
                <w:szCs w:val="14"/>
                <w:color w:val="auto"/>
              </w:rPr>
              <w:t>$6.55 to $6.95 per BOE</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 xml:space="preserve">Depreciation, depletion and amortization </w:t>
            </w:r>
            <w:r>
              <w:rPr>
                <w:rFonts w:ascii="Arial" w:cs="Arial" w:eastAsia="Arial" w:hAnsi="Arial"/>
                <w:sz w:val="17"/>
                <w:szCs w:val="17"/>
                <w:color w:val="auto"/>
                <w:vertAlign w:val="superscript"/>
              </w:rPr>
              <w:t>(b)</w:t>
            </w:r>
          </w:p>
        </w:tc>
        <w:tc>
          <w:tcPr>
            <w:tcW w:w="2320" w:type="dxa"/>
            <w:vAlign w:val="bottom"/>
          </w:tcPr>
          <w:p>
            <w:pPr>
              <w:ind w:left="580"/>
              <w:spacing w:after="0"/>
              <w:rPr>
                <w:sz w:val="20"/>
                <w:szCs w:val="20"/>
                <w:color w:val="auto"/>
              </w:rPr>
            </w:pPr>
            <w:r>
              <w:rPr>
                <w:rFonts w:ascii="Arial" w:cs="Arial" w:eastAsia="Arial" w:hAnsi="Arial"/>
                <w:sz w:val="14"/>
                <w:szCs w:val="14"/>
                <w:color w:val="auto"/>
              </w:rPr>
              <w:t>$9.85 to $10.15 per BOE</w:t>
            </w:r>
          </w:p>
        </w:tc>
      </w:tr>
      <w:tr>
        <w:trPr>
          <w:trHeight w:val="220"/>
        </w:trPr>
        <w:tc>
          <w:tcPr>
            <w:tcW w:w="568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2320" w:type="dxa"/>
            <w:vAlign w:val="bottom"/>
          </w:tcPr>
          <w:p>
            <w:pPr>
              <w:ind w:left="580"/>
              <w:spacing w:after="0"/>
              <w:rPr>
                <w:sz w:val="20"/>
                <w:szCs w:val="20"/>
                <w:color w:val="auto"/>
              </w:rPr>
            </w:pPr>
            <w:r>
              <w:rPr>
                <w:rFonts w:ascii="Arial" w:cs="Arial" w:eastAsia="Arial" w:hAnsi="Arial"/>
                <w:sz w:val="14"/>
                <w:szCs w:val="14"/>
                <w:color w:val="auto"/>
              </w:rPr>
              <w:t>$41 million to $45 million</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Exploration expense</w:t>
            </w:r>
          </w:p>
        </w:tc>
        <w:tc>
          <w:tcPr>
            <w:tcW w:w="2320" w:type="dxa"/>
            <w:vAlign w:val="bottom"/>
          </w:tcPr>
          <w:p>
            <w:pPr>
              <w:ind w:left="580"/>
              <w:spacing w:after="0"/>
              <w:rPr>
                <w:sz w:val="20"/>
                <w:szCs w:val="20"/>
                <w:color w:val="auto"/>
              </w:rPr>
            </w:pPr>
            <w:r>
              <w:rPr>
                <w:rFonts w:ascii="Arial" w:cs="Arial" w:eastAsia="Arial" w:hAnsi="Arial"/>
                <w:sz w:val="14"/>
                <w:szCs w:val="14"/>
                <w:color w:val="auto"/>
              </w:rPr>
              <w:t>$9 million to $14 million</w:t>
            </w:r>
          </w:p>
        </w:tc>
      </w:tr>
      <w:tr>
        <w:trPr>
          <w:trHeight w:val="324"/>
        </w:trPr>
        <w:tc>
          <w:tcPr>
            <w:tcW w:w="5680" w:type="dxa"/>
            <w:vAlign w:val="bottom"/>
          </w:tcPr>
          <w:p>
            <w:pPr>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7"/>
                <w:szCs w:val="17"/>
                <w:b w:val="1"/>
                <w:bCs w:val="1"/>
                <w:color w:val="auto"/>
                <w:vertAlign w:val="superscript"/>
              </w:rPr>
              <w:t>(f)</w:t>
            </w:r>
          </w:p>
        </w:tc>
        <w:tc>
          <w:tcPr>
            <w:tcW w:w="2320" w:type="dxa"/>
            <w:vAlign w:val="bottom"/>
          </w:tcPr>
          <w:p>
            <w:pPr>
              <w:ind w:left="580"/>
              <w:spacing w:after="0"/>
              <w:rPr>
                <w:sz w:val="20"/>
                <w:szCs w:val="20"/>
                <w:color w:val="auto"/>
              </w:rPr>
            </w:pPr>
            <w:r>
              <w:rPr>
                <w:rFonts w:ascii="Arial" w:cs="Arial" w:eastAsia="Arial" w:hAnsi="Arial"/>
                <w:sz w:val="14"/>
                <w:szCs w:val="14"/>
                <w:color w:val="auto"/>
              </w:rPr>
              <w:t>$98 million to $103 million</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17"/>
                <w:szCs w:val="17"/>
                <w:b w:val="1"/>
                <w:bCs w:val="1"/>
                <w:color w:val="auto"/>
                <w:vertAlign w:val="superscript"/>
              </w:rPr>
              <w:t>(f)</w:t>
            </w:r>
          </w:p>
        </w:tc>
        <w:tc>
          <w:tcPr>
            <w:tcW w:w="2320" w:type="dxa"/>
            <w:vAlign w:val="bottom"/>
          </w:tcPr>
          <w:p>
            <w:pPr>
              <w:ind w:left="580"/>
              <w:spacing w:after="0"/>
              <w:rPr>
                <w:sz w:val="20"/>
                <w:szCs w:val="20"/>
                <w:color w:val="auto"/>
              </w:rPr>
            </w:pPr>
            <w:r>
              <w:rPr>
                <w:rFonts w:ascii="Arial" w:cs="Arial" w:eastAsia="Arial" w:hAnsi="Arial"/>
                <w:sz w:val="14"/>
                <w:szCs w:val="14"/>
                <w:color w:val="auto"/>
              </w:rPr>
              <w:t>$70 million to $75 million</w:t>
            </w:r>
          </w:p>
        </w:tc>
      </w:tr>
      <w:tr>
        <w:trPr>
          <w:trHeight w:val="216"/>
        </w:trPr>
        <w:tc>
          <w:tcPr>
            <w:tcW w:w="5680" w:type="dxa"/>
            <w:vAlign w:val="bottom"/>
          </w:tcPr>
          <w:p>
            <w:pPr>
              <w:spacing w:after="0"/>
              <w:rPr>
                <w:sz w:val="20"/>
                <w:szCs w:val="20"/>
                <w:color w:val="auto"/>
              </w:rPr>
            </w:pPr>
            <w:r>
              <w:rPr>
                <w:rFonts w:ascii="Arial" w:cs="Arial" w:eastAsia="Arial" w:hAnsi="Arial"/>
                <w:sz w:val="14"/>
                <w:szCs w:val="14"/>
                <w:color w:val="auto"/>
              </w:rPr>
              <w:t>Income tax expense rate</w:t>
            </w:r>
          </w:p>
        </w:tc>
        <w:tc>
          <w:tcPr>
            <w:tcW w:w="2320" w:type="dxa"/>
            <w:vAlign w:val="bottom"/>
          </w:tcPr>
          <w:p>
            <w:pPr>
              <w:ind w:left="580"/>
              <w:spacing w:after="0"/>
              <w:rPr>
                <w:sz w:val="20"/>
                <w:szCs w:val="20"/>
                <w:color w:val="auto"/>
              </w:rPr>
            </w:pPr>
            <w:r>
              <w:rPr>
                <w:rFonts w:ascii="Arial" w:cs="Arial" w:eastAsia="Arial" w:hAnsi="Arial"/>
                <w:sz w:val="14"/>
                <w:szCs w:val="14"/>
                <w:color w:val="auto"/>
              </w:rPr>
              <w:t>0%</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Cash tax rate</w:t>
            </w:r>
          </w:p>
        </w:tc>
        <w:tc>
          <w:tcPr>
            <w:tcW w:w="2320" w:type="dxa"/>
            <w:vAlign w:val="bottom"/>
          </w:tcPr>
          <w:p>
            <w:pPr>
              <w:ind w:left="580"/>
              <w:spacing w:after="0"/>
              <w:rPr>
                <w:sz w:val="20"/>
                <w:szCs w:val="20"/>
                <w:color w:val="auto"/>
              </w:rPr>
            </w:pPr>
            <w:r>
              <w:rPr>
                <w:rFonts w:ascii="Arial" w:cs="Arial" w:eastAsia="Arial" w:hAnsi="Arial"/>
                <w:sz w:val="14"/>
                <w:szCs w:val="14"/>
                <w:color w:val="auto"/>
              </w:rPr>
              <w:t>0%</w:t>
            </w:r>
          </w:p>
        </w:tc>
      </w:tr>
      <w:tr>
        <w:trPr>
          <w:trHeight w:val="918"/>
        </w:trPr>
        <w:tc>
          <w:tcPr>
            <w:tcW w:w="5680" w:type="dxa"/>
            <w:vAlign w:val="bottom"/>
          </w:tcPr>
          <w:p>
            <w:pPr>
              <w:spacing w:after="0"/>
              <w:rPr>
                <w:sz w:val="20"/>
                <w:szCs w:val="20"/>
                <w:color w:val="auto"/>
              </w:rPr>
            </w:pPr>
            <w:r>
              <w:rPr>
                <w:rFonts w:ascii="Arial" w:cs="Arial" w:eastAsia="Arial" w:hAnsi="Arial"/>
                <w:sz w:val="14"/>
                <w:szCs w:val="14"/>
                <w:b w:val="1"/>
                <w:bCs w:val="1"/>
                <w:color w:val="auto"/>
              </w:rPr>
              <w:t xml:space="preserve">Pre-tax 2019 First Quarter Price Sensitivities </w:t>
            </w:r>
            <w:r>
              <w:rPr>
                <w:rFonts w:ascii="Arial" w:cs="Arial" w:eastAsia="Arial" w:hAnsi="Arial"/>
                <w:sz w:val="17"/>
                <w:szCs w:val="17"/>
                <w:b w:val="1"/>
                <w:bCs w:val="1"/>
                <w:color w:val="auto"/>
                <w:vertAlign w:val="superscript"/>
              </w:rPr>
              <w:t>(g)</w:t>
            </w:r>
          </w:p>
        </w:tc>
        <w:tc>
          <w:tcPr>
            <w:tcW w:w="2320" w:type="dxa"/>
            <w:vAlign w:val="bottom"/>
          </w:tcPr>
          <w:p>
            <w:pPr>
              <w:spacing w:after="0"/>
              <w:rPr>
                <w:sz w:val="24"/>
                <w:szCs w:val="24"/>
                <w:color w:val="auto"/>
              </w:rPr>
            </w:pPr>
          </w:p>
        </w:tc>
      </w:tr>
      <w:tr>
        <w:trPr>
          <w:trHeight w:val="266"/>
        </w:trPr>
        <w:tc>
          <w:tcPr>
            <w:tcW w:w="5680" w:type="dxa"/>
            <w:vAlign w:val="bottom"/>
          </w:tcPr>
          <w:p>
            <w:pPr>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17"/>
                <w:szCs w:val="17"/>
                <w:color w:val="auto"/>
                <w:vertAlign w:val="superscript"/>
              </w:rPr>
              <w:t>(h)</w:t>
            </w:r>
          </w:p>
        </w:tc>
        <w:tc>
          <w:tcPr>
            <w:tcW w:w="2320" w:type="dxa"/>
            <w:vAlign w:val="bottom"/>
          </w:tcPr>
          <w:p>
            <w:pPr>
              <w:ind w:left="580"/>
              <w:spacing w:after="0"/>
              <w:rPr>
                <w:sz w:val="20"/>
                <w:szCs w:val="20"/>
                <w:color w:val="auto"/>
              </w:rPr>
            </w:pPr>
            <w:r>
              <w:rPr>
                <w:rFonts w:ascii="Arial" w:cs="Arial" w:eastAsia="Arial" w:hAnsi="Arial"/>
                <w:sz w:val="14"/>
                <w:szCs w:val="14"/>
                <w:color w:val="auto"/>
              </w:rPr>
              <w:t>$4.6 million</w:t>
            </w:r>
          </w:p>
        </w:tc>
      </w:tr>
      <w:tr>
        <w:trPr>
          <w:trHeight w:val="220"/>
        </w:trPr>
        <w:tc>
          <w:tcPr>
            <w:tcW w:w="5680" w:type="dxa"/>
            <w:vAlign w:val="bottom"/>
          </w:tcPr>
          <w:p>
            <w:pPr>
              <w:spacing w:after="0"/>
              <w:rPr>
                <w:sz w:val="20"/>
                <w:szCs w:val="20"/>
                <w:color w:val="auto"/>
              </w:rPr>
            </w:pPr>
            <w:r>
              <w:rPr>
                <w:rFonts w:ascii="Arial" w:cs="Arial" w:eastAsia="Arial" w:hAnsi="Arial"/>
                <w:sz w:val="14"/>
                <w:szCs w:val="14"/>
                <w:color w:val="auto"/>
              </w:rPr>
              <w:t>$1 change in Brent index - NGLs</w:t>
            </w:r>
          </w:p>
        </w:tc>
        <w:tc>
          <w:tcPr>
            <w:tcW w:w="2320" w:type="dxa"/>
            <w:vAlign w:val="bottom"/>
          </w:tcPr>
          <w:p>
            <w:pPr>
              <w:ind w:left="580"/>
              <w:spacing w:after="0"/>
              <w:rPr>
                <w:sz w:val="20"/>
                <w:szCs w:val="20"/>
                <w:color w:val="auto"/>
              </w:rPr>
            </w:pPr>
            <w:r>
              <w:rPr>
                <w:rFonts w:ascii="Arial" w:cs="Arial" w:eastAsia="Arial" w:hAnsi="Arial"/>
                <w:sz w:val="14"/>
                <w:szCs w:val="14"/>
                <w:color w:val="auto"/>
              </w:rPr>
              <w:t>$0.9 million</w:t>
            </w:r>
          </w:p>
        </w:tc>
      </w:tr>
      <w:tr>
        <w:trPr>
          <w:trHeight w:val="270"/>
        </w:trPr>
        <w:tc>
          <w:tcPr>
            <w:tcW w:w="5680" w:type="dxa"/>
            <w:vAlign w:val="bottom"/>
          </w:tcPr>
          <w:p>
            <w:pPr>
              <w:spacing w:after="0"/>
              <w:rPr>
                <w:sz w:val="20"/>
                <w:szCs w:val="20"/>
                <w:color w:val="auto"/>
              </w:rPr>
            </w:pPr>
            <w:r>
              <w:rPr>
                <w:rFonts w:ascii="Arial" w:cs="Arial" w:eastAsia="Arial" w:hAnsi="Arial"/>
                <w:sz w:val="14"/>
                <w:szCs w:val="14"/>
                <w:color w:val="auto"/>
              </w:rPr>
              <w:t>$0.50 change in NYMEX - Gas</w:t>
            </w:r>
          </w:p>
        </w:tc>
        <w:tc>
          <w:tcPr>
            <w:tcW w:w="2320" w:type="dxa"/>
            <w:vAlign w:val="bottom"/>
          </w:tcPr>
          <w:p>
            <w:pPr>
              <w:ind w:left="580"/>
              <w:spacing w:after="0"/>
              <w:rPr>
                <w:sz w:val="20"/>
                <w:szCs w:val="20"/>
                <w:color w:val="auto"/>
              </w:rPr>
            </w:pPr>
            <w:r>
              <w:rPr>
                <w:rFonts w:ascii="Arial" w:cs="Arial" w:eastAsia="Arial" w:hAnsi="Arial"/>
                <w:sz w:val="14"/>
                <w:szCs w:val="14"/>
                <w:color w:val="auto"/>
              </w:rPr>
              <w:t>$4.7 million</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hanging="217"/>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55" w:lineRule="exact"/>
        <w:rPr>
          <w:rFonts w:ascii="Arial" w:cs="Arial" w:eastAsia="Arial" w:hAnsi="Arial"/>
          <w:sz w:val="14"/>
          <w:szCs w:val="14"/>
          <w:color w:val="auto"/>
        </w:rPr>
      </w:pPr>
    </w:p>
    <w:p>
      <w:pPr>
        <w:ind w:left="220" w:hanging="217"/>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an average assumed Q1 2019 Brent price of $60 per barrel.</w:t>
      </w:r>
    </w:p>
    <w:p>
      <w:pPr>
        <w:spacing w:after="0" w:line="55" w:lineRule="exact"/>
        <w:rPr>
          <w:rFonts w:ascii="Arial" w:cs="Arial" w:eastAsia="Arial" w:hAnsi="Arial"/>
          <w:sz w:val="14"/>
          <w:szCs w:val="14"/>
          <w:color w:val="auto"/>
        </w:rPr>
      </w:pPr>
    </w:p>
    <w:p>
      <w:pPr>
        <w:ind w:firstLine="3"/>
        <w:spacing w:after="0" w:line="266" w:lineRule="auto"/>
        <w:tabs>
          <w:tab w:leader="none" w:pos="208"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an average assumed Brent price of $65 per barrel, Q1 2019 production would be 131 to 136 MBOE per day and production costs would be $18.40 to $19.90 per BOE. Based on an average assumed Brent price of $70 per barrel, Q1 2019 production would be 130 to 135 MBOE per day and production costs would be $18.50 to $20.00 per BOE.</w:t>
      </w:r>
    </w:p>
    <w:p>
      <w:pPr>
        <w:spacing w:after="0" w:line="4" w:lineRule="exact"/>
        <w:rPr>
          <w:rFonts w:ascii="Arial" w:cs="Arial" w:eastAsia="Arial" w:hAnsi="Arial"/>
          <w:sz w:val="14"/>
          <w:szCs w:val="14"/>
          <w:color w:val="auto"/>
        </w:rPr>
      </w:pPr>
    </w:p>
    <w:p>
      <w:pPr>
        <w:ind w:left="220" w:hanging="217"/>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Capital guidance includes CRC, BSP and MIRA capital.</w:t>
      </w:r>
    </w:p>
    <w:p>
      <w:pPr>
        <w:spacing w:after="0" w:line="55" w:lineRule="exact"/>
        <w:rPr>
          <w:rFonts w:ascii="Arial" w:cs="Arial" w:eastAsia="Arial" w:hAnsi="Arial"/>
          <w:sz w:val="14"/>
          <w:szCs w:val="14"/>
          <w:color w:val="auto"/>
        </w:rPr>
      </w:pPr>
    </w:p>
    <w:p>
      <w:pPr>
        <w:ind w:right="80" w:firstLine="3"/>
        <w:spacing w:after="0" w:line="251" w:lineRule="auto"/>
        <w:tabs>
          <w:tab w:leader="none" w:pos="2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long-term incentive compensation programs for employees are stock based but payable in cash. Accounting rules require that we adjust the cumulative liability for all vested but unpaid awards under these programs to the amount that would be paid using our stock price as of the end of each reporting period. Therefore, in addition to the normal pro-rata vesting expense associated with these programs, our quarterly G&amp;A expense could include this cumulative adjustment depending on movement in our stock price. Our stock price used to set first quarter 2019 guidance was $20.00 per share. This results in an upward cumulative stock compensation adjustment due to the higher stock price compared to year-end. Only about 1/3 of such cumulative adjustment would result in a cash liability in the same year as the adjustment because of the pro-rata three-year vesting of our incentive compensation programs.</w:t>
      </w:r>
    </w:p>
    <w:p>
      <w:pPr>
        <w:spacing w:after="0" w:line="16" w:lineRule="exact"/>
        <w:rPr>
          <w:rFonts w:ascii="Arial" w:cs="Arial" w:eastAsia="Arial" w:hAnsi="Arial"/>
          <w:sz w:val="14"/>
          <w:szCs w:val="14"/>
          <w:color w:val="auto"/>
        </w:rPr>
      </w:pPr>
    </w:p>
    <w:p>
      <w:pPr>
        <w:ind w:right="160" w:firstLine="3"/>
        <w:spacing w:after="0" w:line="281" w:lineRule="auto"/>
        <w:tabs>
          <w:tab w:leader="none" w:pos="1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Interest expense includes cash interest, original issue discount and amortization of deferred financing costs as well as the deferred gain that resulted from the December 2015 debt exchange. Cash interest for the quarter is lower than interest expense due to the timing of interest payments.</w:t>
      </w:r>
    </w:p>
    <w:p>
      <w:pPr>
        <w:spacing w:after="0" w:line="1" w:lineRule="exact"/>
        <w:rPr>
          <w:rFonts w:ascii="Arial" w:cs="Arial" w:eastAsia="Arial" w:hAnsi="Arial"/>
          <w:sz w:val="14"/>
          <w:szCs w:val="14"/>
          <w:color w:val="auto"/>
        </w:rPr>
      </w:pPr>
    </w:p>
    <w:p>
      <w:pPr>
        <w:ind w:left="220" w:hanging="217"/>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55" w:lineRule="exact"/>
        <w:rPr>
          <w:rFonts w:ascii="Arial" w:cs="Arial" w:eastAsia="Arial" w:hAnsi="Arial"/>
          <w:sz w:val="14"/>
          <w:szCs w:val="14"/>
          <w:color w:val="auto"/>
        </w:rPr>
      </w:pPr>
    </w:p>
    <w:p>
      <w:pPr>
        <w:ind w:firstLine="3"/>
        <w:spacing w:after="0" w:line="291" w:lineRule="auto"/>
        <w:tabs>
          <w:tab w:leader="none" w:pos="2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barrels which have no upside limitation. We have downside protection on approximately 53% of our oil production, at a weighted average Brent floor price of $66 per barrel below which we receive Brent plus approximately $14 per barrel.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24</w:t>
      </w:r>
    </w:p>
    <w:sectPr>
      <w:pgSz w:w="11900" w:h="16838" w:orient="portrait"/>
      <w:cols w:equalWidth="0" w:num="1">
        <w:col w:w="11060"/>
      </w:cols>
      <w:pgMar w:left="400" w:top="74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4"/>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2019-12-28T15:55:21Z</dcterms:created>
  <dcterms:modified xsi:type="dcterms:W3CDTF">2019-12-28T15:55:21Z</dcterms:modified>
</cp:coreProperties>
</file>