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60" w:type="dxa"/>
            <w:vAlign w:val="bottom"/>
            <w:gridSpan w:val="2"/>
            <w:vMerge w:val="restart"/>
          </w:tcPr>
          <w:p>
            <w:pPr>
              <w:spacing w:after="0"/>
              <w:rPr>
                <w:rFonts w:ascii="Arial" w:cs="Arial" w:eastAsia="Arial" w:hAnsi="Arial"/>
                <w:sz w:val="14"/>
                <w:szCs w:val="14"/>
                <w:color w:val="0000EE"/>
                <w:w w:val="97"/>
              </w:rPr>
            </w:pPr>
            <w:hyperlink r:id="rId12">
              <w:r>
                <w:rPr>
                  <w:rFonts w:ascii="Arial" w:cs="Arial" w:eastAsia="Arial" w:hAnsi="Arial"/>
                  <w:sz w:val="14"/>
                  <w:szCs w:val="14"/>
                  <w:color w:val="0000EE"/>
                  <w:w w:val="97"/>
                </w:rPr>
                <w:t>Moncrief Richard W.</w:t>
              </w:r>
            </w:hyperlink>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California Resources Corp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CRC</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6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00" w:type="dxa"/>
            <w:vAlign w:val="bottom"/>
            <w:vMerge w:val="restart"/>
          </w:tcPr>
          <w:p>
            <w:pPr>
              <w:ind w:left="4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gridSpan w:val="7"/>
          </w:tcPr>
          <w:p>
            <w:pPr>
              <w:spacing w:after="0"/>
              <w:rPr>
                <w:sz w:val="20"/>
                <w:szCs w:val="20"/>
                <w:color w:val="auto"/>
              </w:rPr>
            </w:pPr>
            <w:r>
              <w:rPr>
                <w:rFonts w:ascii="Arial" w:cs="Arial" w:eastAsia="Arial" w:hAnsi="Arial"/>
                <w:sz w:val="9"/>
                <w:szCs w:val="9"/>
                <w:color w:val="auto"/>
              </w:rPr>
              <w:t>3. Date of Earliest Transaction (Month/Day/Year)</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05/11/2017</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2"/>
                <w:szCs w:val="12"/>
                <w:color w:val="0000FF"/>
              </w:rPr>
              <w:t>SUITE 900</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8"/>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7"/>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8"/>
            <w:vMerge w:val="continue"/>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340" w:type="dxa"/>
            <w:vAlign w:val="bottom"/>
            <w:gridSpan w:val="3"/>
          </w:tcPr>
          <w:p>
            <w:pPr>
              <w:ind w:left="40"/>
              <w:spacing w:after="0"/>
              <w:rPr>
                <w:sz w:val="20"/>
                <w:szCs w:val="20"/>
                <w:color w:val="auto"/>
              </w:rPr>
            </w:pPr>
            <w:r>
              <w:rPr>
                <w:rFonts w:ascii="Arial" w:cs="Arial" w:eastAsia="Arial" w:hAnsi="Arial"/>
                <w:sz w:val="9"/>
                <w:szCs w:val="9"/>
                <w:color w:val="auto"/>
              </w:rPr>
              <w:t>(Street)</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2"/>
                <w:szCs w:val="12"/>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2"/>
                <w:szCs w:val="12"/>
                <w:color w:val="0000FF"/>
              </w:rPr>
              <w:t>LOS ANGELES</w:t>
            </w:r>
          </w:p>
        </w:tc>
        <w:tc>
          <w:tcPr>
            <w:tcW w:w="700" w:type="dxa"/>
            <w:vAlign w:val="bottom"/>
          </w:tcPr>
          <w:p>
            <w:pPr>
              <w:ind w:left="40"/>
              <w:spacing w:after="0"/>
              <w:rPr>
                <w:sz w:val="20"/>
                <w:szCs w:val="20"/>
                <w:color w:val="auto"/>
              </w:rPr>
            </w:pPr>
            <w:r>
              <w:rPr>
                <w:rFonts w:ascii="Arial" w:cs="Arial" w:eastAsia="Arial" w:hAnsi="Arial"/>
                <w:sz w:val="12"/>
                <w:szCs w:val="12"/>
                <w:color w:val="0000FF"/>
              </w:rPr>
              <w:t>CA</w:t>
            </w:r>
          </w:p>
        </w:tc>
        <w:tc>
          <w:tcPr>
            <w:tcW w:w="1440" w:type="dxa"/>
            <w:vAlign w:val="bottom"/>
            <w:gridSpan w:val="2"/>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9"/>
                <w:szCs w:val="9"/>
                <w:color w:val="auto"/>
              </w:rPr>
              <w:t>(City)</w:t>
            </w:r>
          </w:p>
        </w:tc>
        <w:tc>
          <w:tcPr>
            <w:tcW w:w="700" w:type="dxa"/>
            <w:vAlign w:val="bottom"/>
          </w:tcPr>
          <w:p>
            <w:pPr>
              <w:ind w:left="4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4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2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0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400" w:type="dxa"/>
            <w:vAlign w:val="bottom"/>
          </w:tcPr>
          <w:p>
            <w:pPr>
              <w:spacing w:after="0"/>
              <w:rPr>
                <w:sz w:val="9"/>
                <w:szCs w:val="9"/>
                <w:color w:val="auto"/>
              </w:rPr>
            </w:pPr>
          </w:p>
        </w:tc>
        <w:tc>
          <w:tcPr>
            <w:tcW w:w="600" w:type="dxa"/>
            <w:vAlign w:val="bottom"/>
          </w:tcPr>
          <w:p>
            <w:pPr>
              <w:ind w:left="1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color w:val="0000FF"/>
              </w:rPr>
              <w:t>Common Stock</w:t>
            </w:r>
          </w:p>
        </w:tc>
        <w:tc>
          <w:tcPr>
            <w:tcW w:w="7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05/11/2017</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vertAlign w:val="subscript"/>
              </w:rPr>
              <w:t>A</w:t>
            </w:r>
            <w:r>
              <w:rPr>
                <w:rFonts w:ascii="Arial" w:cs="Arial" w:eastAsia="Arial" w:hAnsi="Arial"/>
                <w:sz w:val="8"/>
                <w:szCs w:val="8"/>
                <w:color w:val="008000"/>
              </w:rPr>
              <w:t>(1)</w:t>
            </w:r>
          </w:p>
        </w:tc>
        <w:tc>
          <w:tcPr>
            <w:tcW w:w="2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rPr>
              <w:t>11,128</w:t>
            </w:r>
            <w:r>
              <w:rPr>
                <w:rFonts w:ascii="Arial" w:cs="Arial" w:eastAsia="Arial" w:hAnsi="Arial"/>
                <w:sz w:val="15"/>
                <w:szCs w:val="15"/>
                <w:color w:val="008000"/>
                <w:vertAlign w:val="superscript"/>
              </w:rPr>
              <w:t>(2)</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right"/>
              <w:ind w:right="23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440"/>
              <w:spacing w:after="0"/>
              <w:rPr>
                <w:sz w:val="20"/>
                <w:szCs w:val="20"/>
                <w:color w:val="auto"/>
              </w:rPr>
            </w:pPr>
            <w:r>
              <w:rPr>
                <w:rFonts w:ascii="Arial" w:cs="Arial" w:eastAsia="Arial" w:hAnsi="Arial"/>
                <w:sz w:val="12"/>
                <w:szCs w:val="12"/>
                <w:color w:val="0000FF"/>
              </w:rPr>
              <w:t>22,676</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3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80" w:type="dxa"/>
            <w:vAlign w:val="bottom"/>
          </w:tcPr>
          <w:p>
            <w:pPr>
              <w:spacing w:after="0"/>
              <w:rPr>
                <w:sz w:val="9"/>
                <w:szCs w:val="9"/>
                <w:color w:val="auto"/>
              </w:rPr>
            </w:pPr>
          </w:p>
        </w:tc>
        <w:tc>
          <w:tcPr>
            <w:tcW w:w="1080" w:type="dxa"/>
            <w:vAlign w:val="bottom"/>
            <w:gridSpan w:val="3"/>
          </w:tcPr>
          <w:p>
            <w:pPr>
              <w:ind w:left="4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0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4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ind w:left="20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8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0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5"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Grant of Restricted Stock Units (RSUs) pursuant to California Resources Corporation's Long-Term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 RSUs will vest, in their entirety, on May 11, 2018.</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0"/>
          <w:szCs w:val="20"/>
          <w:color w:val="auto"/>
        </w:rPr>
      </w:pPr>
    </w:p>
    <w:p>
      <w:pPr>
        <w:ind w:left="6900"/>
        <w:spacing w:after="0"/>
        <w:rPr>
          <w:sz w:val="20"/>
          <w:szCs w:val="20"/>
          <w:color w:val="auto"/>
        </w:rPr>
      </w:pPr>
      <w:r>
        <w:rPr>
          <w:rFonts w:ascii="Arial" w:cs="Arial" w:eastAsia="Arial" w:hAnsi="Arial"/>
          <w:sz w:val="11"/>
          <w:szCs w:val="11"/>
          <w:color w:val="0000FF"/>
        </w:rPr>
        <w:t>/s/ Ulrik Damborg,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wp:posOffset>
            </wp:positionV>
            <wp:extent cx="1186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6180" cy="5715"/>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Richard W. Moncrief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63119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31190"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354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9"/>
          <w:szCs w:val="9"/>
          <w:color w:val="0000FF"/>
        </w:rPr>
        <w:t>05/15/2017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8760" w:space="42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10th day of May, 2017.</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Richard W. Moncrief</w:t>
      </w:r>
    </w:p>
    <w:p>
      <w:pPr>
        <w:ind w:left="8"/>
        <w:spacing w:after="0"/>
        <w:rPr>
          <w:sz w:val="20"/>
          <w:szCs w:val="20"/>
          <w:color w:val="auto"/>
        </w:rPr>
      </w:pPr>
      <w:r>
        <w:rPr>
          <w:rFonts w:ascii="Courier New" w:cs="Courier New" w:eastAsia="Courier New" w:hAnsi="Courier New"/>
          <w:sz w:val="12"/>
          <w:szCs w:val="12"/>
          <w:color w:val="auto"/>
        </w:rPr>
        <w:t>Richard W. Moncrief</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75"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2019-12-04T02:32:18Z</dcterms:created>
  <dcterms:modified xsi:type="dcterms:W3CDTF">2019-12-04T02:32:18Z</dcterms:modified>
</cp:coreProperties>
</file>