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UNITED STATES</w:t>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SECURITIES AND EXCHANGE COMMISSION</w:t>
      </w:r>
    </w:p>
    <w:p>
      <w:pPr>
        <w:pStyle w:val="TextBody"/>
        <w:bidi w:val="0"/>
        <w:spacing w:lineRule="auto" w:line="288" w:before="0" w:after="0"/>
        <w:jc w:val="center"/>
        <w:rPr>
          <w:rFonts w:ascii="Arial;sans-serif" w:hAnsi="Arial;sans-serif"/>
          <w:b w:val="false"/>
          <w:color w:val="000000"/>
          <w:sz w:val="26"/>
        </w:rPr>
      </w:pPr>
      <w:r>
        <w:rPr>
          <w:rFonts w:ascii="Arial;sans-serif" w:hAnsi="Arial;sans-serif"/>
          <w:b w:val="false"/>
          <w:color w:val="000000"/>
          <w:sz w:val="26"/>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center"/>
        <w:rPr/>
      </w:pPr>
      <w:r>
        <w:rPr>
          <w:color w:val="000000"/>
        </w:rPr>
        <w:t xml:space="preserve">☑ </w:t>
      </w:r>
      <w:r>
        <w:rPr>
          <w:rFonts w:ascii="Arial;sans-serif" w:hAnsi="Arial;sans-serif"/>
          <w:b/>
          <w:color w:val="000000"/>
          <w:sz w:val="26"/>
        </w:rPr>
        <w:t>QUARTERLY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For the quarterly period ended June 30, 2025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OR</w:t>
      </w:r>
    </w:p>
    <w:p>
      <w:pPr>
        <w:pStyle w:val="TextBody"/>
        <w:bidi w:val="0"/>
        <w:spacing w:lineRule="auto" w:line="288" w:before="0" w:after="0"/>
        <w:jc w:val="center"/>
        <w:rPr/>
      </w:pPr>
      <w:r>
        <w:rPr>
          <w:color w:val="000000"/>
        </w:rPr>
        <w:t xml:space="preserve">☐ </w:t>
      </w:r>
      <w:r>
        <w:rPr>
          <w:rFonts w:ascii="Arial;sans-serif" w:hAnsi="Arial;sans-serif"/>
          <w:b/>
          <w:color w:val="000000"/>
          <w:sz w:val="26"/>
        </w:rPr>
        <w:t>TRANSITION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___________ to 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Commission file number 001-36478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California Resources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127" w:type="dxa"/>
        <w:jc w:val="center"/>
        <w:tblInd w:w="0" w:type="dxa"/>
        <w:tblLayout w:type="fixed"/>
        <w:tblCellMar>
          <w:top w:w="28" w:type="dxa"/>
          <w:left w:w="28" w:type="dxa"/>
          <w:bottom w:w="28" w:type="dxa"/>
          <w:right w:w="28" w:type="dxa"/>
        </w:tblCellMar>
      </w:tblPr>
      <w:tblGrid>
        <w:gridCol w:w="1070"/>
        <w:gridCol w:w="939"/>
        <w:gridCol w:w="946"/>
        <w:gridCol w:w="109"/>
        <w:gridCol w:w="109"/>
        <w:gridCol w:w="109"/>
        <w:gridCol w:w="539"/>
        <w:gridCol w:w="539"/>
        <w:gridCol w:w="767"/>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46-5670947</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(I.R.S. Employer </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1 World Trade Center, Suite 1500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Long Beach, California 90831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(888) 848-4754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Securities registered pursuant to Section 12(b) of the Exchange Act:</w:t>
      </w:r>
    </w:p>
    <w:tbl>
      <w:tblPr>
        <w:tblW w:w="8098" w:type="dxa"/>
        <w:jc w:val="center"/>
        <w:tblInd w:w="0" w:type="dxa"/>
        <w:tblLayout w:type="fixed"/>
        <w:tblCellMar>
          <w:top w:w="28" w:type="dxa"/>
          <w:left w:w="28" w:type="dxa"/>
          <w:bottom w:w="28" w:type="dxa"/>
          <w:right w:w="28" w:type="dxa"/>
        </w:tblCellMar>
      </w:tblPr>
      <w:tblGrid>
        <w:gridCol w:w="672"/>
        <w:gridCol w:w="592"/>
        <w:gridCol w:w="595"/>
        <w:gridCol w:w="609"/>
        <w:gridCol w:w="609"/>
        <w:gridCol w:w="611"/>
        <w:gridCol w:w="1291"/>
        <w:gridCol w:w="1291"/>
        <w:gridCol w:w="1828"/>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CRC</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New York Stock Exchange</w:t>
            </w:r>
          </w:p>
        </w:tc>
      </w:tr>
    </w:tbl>
    <w:p>
      <w:pPr>
        <w:pStyle w:val="TextBody"/>
        <w:bidi w:val="0"/>
        <w:spacing w:before="0" w:after="0"/>
        <w:jc w:val="center"/>
        <w:rPr/>
      </w:pPr>
      <w:r>
        <w:rPr/>
      </w:r>
    </w:p>
    <w:p>
      <w:pPr>
        <w:pStyle w:val="TextBody"/>
        <w:bidi w:val="0"/>
        <w:spacing w:lineRule="auto" w:line="288" w:before="0" w:after="120"/>
        <w:jc w:val="both"/>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w:t>
      </w:r>
    </w:p>
    <w:p>
      <w:pPr>
        <w:pStyle w:val="TextBody"/>
        <w:bidi w:val="0"/>
        <w:spacing w:lineRule="auto" w:line="288" w:before="0" w:after="120"/>
        <w:jc w:val="both"/>
        <w:rPr/>
      </w:pPr>
      <w:r>
        <w:rPr>
          <w:rFonts w:ascii="Arial;sans-serif" w:hAnsi="Arial;sans-serif"/>
          <w:b w:val="false"/>
          <w:color w:val="000000"/>
          <w:sz w:val="19"/>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20"/>
        </w:rPr>
        <w:t xml:space="preserve">(§232.405 of this chapter) </w:t>
      </w:r>
      <w:r>
        <w:rPr>
          <w:rFonts w:ascii="Arial;sans-serif" w:hAnsi="Arial;sans-serif"/>
          <w:b w:val="false"/>
          <w:color w:val="000000"/>
          <w:sz w:val="19"/>
        </w:rPr>
        <w:t>during the preceding 12 months (or for such shorter period that the registrant was required to submit such files).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045" w:type="dxa"/>
        <w:jc w:val="center"/>
        <w:tblInd w:w="0" w:type="dxa"/>
        <w:tblLayout w:type="fixed"/>
        <w:tblCellMar>
          <w:top w:w="28" w:type="dxa"/>
          <w:left w:w="28" w:type="dxa"/>
          <w:bottom w:w="28" w:type="dxa"/>
          <w:right w:w="28" w:type="dxa"/>
        </w:tblCellMar>
      </w:tblPr>
      <w:tblGrid>
        <w:gridCol w:w="924"/>
        <w:gridCol w:w="812"/>
        <w:gridCol w:w="814"/>
        <w:gridCol w:w="109"/>
        <w:gridCol w:w="109"/>
        <w:gridCol w:w="109"/>
        <w:gridCol w:w="829"/>
        <w:gridCol w:w="829"/>
        <w:gridCol w:w="832"/>
        <w:gridCol w:w="109"/>
        <w:gridCol w:w="109"/>
        <w:gridCol w:w="109"/>
        <w:gridCol w:w="659"/>
        <w:gridCol w:w="659"/>
        <w:gridCol w:w="661"/>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lineRule="auto" w:line="288" w:before="60" w:after="283"/>
        <w:jc w:val="left"/>
        <w:rPr/>
      </w:pPr>
      <w:r>
        <w:rPr>
          <w:rFonts w:ascii="Arial;sans-serif" w:hAnsi="Arial;sans-serif"/>
          <w:b w:val="false"/>
          <w:color w:val="000000"/>
          <w:sz w:val="19"/>
        </w:rPr>
        <w:t xml:space="preserve">Indicate by check mark whether the registrant is a shell company (as defined in Rule 12b-2 of the Exchange Act).     </w:t>
      </w:r>
      <w:r>
        <w:rPr>
          <w:color w:val="000000"/>
        </w:rPr>
        <w:t xml:space="preserve">☐ </w:t>
      </w:r>
      <w:r>
        <w:rPr>
          <w:rFonts w:ascii="Arial;sans-serif" w:hAnsi="Arial;sans-serif"/>
          <w:b w:val="false"/>
          <w:color w:val="000000"/>
          <w:sz w:val="19"/>
        </w:rPr>
        <w:t xml:space="preserve">Yes    </w:t>
      </w:r>
      <w:r>
        <w:rPr>
          <w:color w:val="000000"/>
        </w:rPr>
        <w:t xml:space="preserve">☑ </w:t>
      </w:r>
      <w:r>
        <w:rPr>
          <w:rFonts w:ascii="Arial;sans-serif" w:hAnsi="Arial;sans-serif"/>
          <w:b w:val="false"/>
          <w:color w:val="000000"/>
          <w:sz w:val="19"/>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pPr>
      <w:r>
        <w:rPr>
          <w:rFonts w:ascii="Arial;sans-serif" w:hAnsi="Arial;sans-serif"/>
          <w:b w:val="false"/>
          <w:color w:val="000000"/>
          <w:sz w:val="19"/>
        </w:rPr>
        <w:t>Indicate by check mark whether the registrant has filed all documents and reports required to be filed by Section 12, 13 or 15(d) of the Securities Exchange Act of 1934 subsequent to the distribution of securities under a plan confirmed by a court.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before="60" w:after="283"/>
        <w:jc w:val="both"/>
        <w:rPr/>
      </w:pPr>
      <w:r>
        <w:rPr/>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 xml:space="preserve">Indicate the number of shares outstanding for each of the issuer's classes of common stock, as of the latest practicable date. </w:t>
      </w:r>
    </w:p>
    <w:p>
      <w:pPr>
        <w:pStyle w:val="TextBody"/>
        <w:bidi w:val="0"/>
        <w:spacing w:lineRule="auto" w:line="288" w:before="60" w:after="283"/>
        <w:jc w:val="left"/>
        <w:rPr/>
      </w:pPr>
      <w:r>
        <w:rPr>
          <w:rFonts w:ascii="Arial;sans-serif" w:hAnsi="Arial;sans-serif"/>
          <w:b w:val="false"/>
          <w:color w:val="000000"/>
          <w:sz w:val="19"/>
        </w:rPr>
        <w:t>The number of shares of common stock outstanding as of June 30, 2025</w:t>
      </w:r>
      <w:r>
        <w:rPr>
          <w:color w:val="000000"/>
          <w:shd w:fill="FFFFFF" w:val="clear"/>
        </w:rPr>
        <w:t xml:space="preserve"> </w:t>
      </w:r>
      <w:r>
        <w:rPr>
          <w:rFonts w:ascii="Arial;sans-serif" w:hAnsi="Arial;sans-serif"/>
          <w:b w:val="false"/>
          <w:color w:val="000000"/>
          <w:sz w:val="19"/>
          <w:shd w:fill="FFFFFF" w:val="clear"/>
        </w:rPr>
        <w:t>was 83,679,985.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042" w:type="dxa"/>
        <w:jc w:val="center"/>
        <w:tblInd w:w="0" w:type="dxa"/>
        <w:tblLayout w:type="fixed"/>
        <w:tblCellMar>
          <w:top w:w="28" w:type="dxa"/>
          <w:left w:w="28" w:type="dxa"/>
          <w:bottom w:w="28" w:type="dxa"/>
          <w:right w:w="28" w:type="dxa"/>
        </w:tblCellMar>
      </w:tblPr>
      <w:tblGrid>
        <w:gridCol w:w="298"/>
        <w:gridCol w:w="263"/>
        <w:gridCol w:w="264"/>
        <w:gridCol w:w="2613"/>
        <w:gridCol w:w="2613"/>
        <w:gridCol w:w="2619"/>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Financial Statements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6">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Balance Sheets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9">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22">
              <w:r>
                <w:rPr>
                  <w:rStyle w:val="InternetLink"/>
                  <w:rFonts w:ascii="Arial;sans-serif" w:hAnsi="Arial;sans-serif"/>
                  <w:b/>
                  <w:strike w:val="false"/>
                  <w:dstrike w:val="false"/>
                  <w:color w:val="000000"/>
                  <w:sz w:val="20"/>
                  <w:u w:val="none"/>
                  <w:effect w:val="none"/>
                </w:rPr>
                <w:t>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Statements of Comprehensive Income (Loss)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25">
              <w:r>
                <w:rPr>
                  <w:rStyle w:val="InternetLink"/>
                  <w:rFonts w:ascii="Arial;sans-serif" w:hAnsi="Arial;sans-serif"/>
                  <w:b/>
                  <w:strike w:val="false"/>
                  <w:dstrike w:val="false"/>
                  <w:color w:val="000000"/>
                  <w:sz w:val="20"/>
                  <w:u w:val="none"/>
                  <w:effect w:val="none"/>
                </w:rPr>
                <w:t>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28">
              <w:r>
                <w:rPr>
                  <w:rStyle w:val="InternetLink"/>
                  <w:rFonts w:ascii="Arial;sans-serif" w:hAnsi="Arial;sans-serif"/>
                  <w:b/>
                  <w:strike w:val="false"/>
                  <w:dstrike w:val="false"/>
                  <w:color w:val="000000"/>
                  <w:sz w:val="20"/>
                  <w:u w:val="none"/>
                  <w:effect w:val="none"/>
                </w:rPr>
                <w:t>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34">
              <w:r>
                <w:rPr>
                  <w:rStyle w:val="InternetLink"/>
                  <w:rFonts w:ascii="Arial;sans-serif" w:hAnsi="Arial;sans-serif"/>
                  <w:b/>
                  <w:strike w:val="false"/>
                  <w:dstrike w:val="false"/>
                  <w:color w:val="000000"/>
                  <w:sz w:val="20"/>
                  <w:u w:val="none"/>
                  <w:effect w:val="none"/>
                </w:rPr>
                <w:t>9</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to the Condensed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37">
              <w:r>
                <w:rPr>
                  <w:rStyle w:val="InternetLink"/>
                  <w:rFonts w:ascii="Arial;sans-serif" w:hAnsi="Arial;sans-serif"/>
                  <w:b/>
                  <w:strike w:val="false"/>
                  <w:dstrike w:val="false"/>
                  <w:color w:val="000000"/>
                  <w:sz w:val="20"/>
                  <w:u w:val="none"/>
                  <w:effect w:val="none"/>
                </w:rPr>
                <w:t>10</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12">
              <w:r>
                <w:rPr>
                  <w:rStyle w:val="InternetLink"/>
                  <w:rFonts w:ascii="Arial;sans-serif" w:hAnsi="Arial;sans-serif"/>
                  <w:b/>
                  <w:strike w:val="false"/>
                  <w:dstrike w:val="false"/>
                  <w:color w:val="000000"/>
                  <w:sz w:val="20"/>
                  <w:u w:val="none"/>
                  <w:effect w:val="none"/>
                </w:rPr>
                <w:t>35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15">
              <w:r>
                <w:rPr>
                  <w:rStyle w:val="InternetLink"/>
                  <w:rFonts w:ascii="Arial;sans-serif" w:hAnsi="Arial;sans-serif"/>
                  <w:b/>
                  <w:strike w:val="false"/>
                  <w:dstrike w:val="false"/>
                  <w:color w:val="000000"/>
                  <w:sz w:val="20"/>
                  <w:u w:val="none"/>
                  <w:effect w:val="none"/>
                </w:rPr>
                <w:t>35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Business Environment and Industry Outlook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18">
              <w:r>
                <w:rPr>
                  <w:rStyle w:val="InternetLink"/>
                  <w:rFonts w:ascii="Arial;sans-serif" w:hAnsi="Arial;sans-serif"/>
                  <w:b/>
                  <w:strike w:val="false"/>
                  <w:dstrike w:val="false"/>
                  <w:color w:val="000000"/>
                  <w:sz w:val="20"/>
                  <w:u w:val="none"/>
                  <w:effect w:val="none"/>
                </w:rPr>
                <w:t>35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Regulatory Updates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21">
              <w:r>
                <w:rPr>
                  <w:rStyle w:val="InternetLink"/>
                  <w:rFonts w:ascii="Arial;sans-serif" w:hAnsi="Arial;sans-serif"/>
                  <w:b/>
                  <w:strike w:val="false"/>
                  <w:dstrike w:val="false"/>
                  <w:color w:val="000000"/>
                  <w:sz w:val="20"/>
                  <w:u w:val="none"/>
                  <w:effect w:val="none"/>
                </w:rPr>
                <w:t>36</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Statements of Operations Analysis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27">
              <w:r>
                <w:rPr>
                  <w:rStyle w:val="InternetLink"/>
                  <w:rFonts w:ascii="Arial;sans-serif" w:hAnsi="Arial;sans-serif"/>
                  <w:b/>
                  <w:strike w:val="false"/>
                  <w:dstrike w:val="false"/>
                  <w:color w:val="000000"/>
                  <w:sz w:val="20"/>
                  <w:u w:val="none"/>
                  <w:effect w:val="none"/>
                </w:rPr>
                <w:t>37</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Results of Our Oil and Natural Gas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33">
              <w:r>
                <w:rPr>
                  <w:rStyle w:val="InternetLink"/>
                  <w:rFonts w:ascii="Arial;sans-serif" w:hAnsi="Arial;sans-serif"/>
                  <w:b/>
                  <w:strike w:val="false"/>
                  <w:dstrike w:val="false"/>
                  <w:color w:val="000000"/>
                  <w:sz w:val="20"/>
                  <w:u w:val="none"/>
                  <w:effect w:val="none"/>
                </w:rPr>
                <w:t>44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Results of Our Carbon Management Segment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48">
              <w:r>
                <w:rPr>
                  <w:rStyle w:val="InternetLink"/>
                  <w:rFonts w:ascii="Arial;sans-serif" w:hAnsi="Arial;sans-serif"/>
                  <w:b/>
                  <w:strike w:val="false"/>
                  <w:dstrike w:val="false"/>
                  <w:color w:val="000000"/>
                  <w:sz w:val="20"/>
                  <w:u w:val="none"/>
                  <w:effect w:val="none"/>
                </w:rPr>
                <w:t>48</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Liquidity and Capital Resources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51">
              <w:r>
                <w:rPr>
                  <w:rStyle w:val="InternetLink"/>
                  <w:rFonts w:ascii="Arial;sans-serif" w:hAnsi="Arial;sans-serif"/>
                  <w:b/>
                  <w:strike w:val="false"/>
                  <w:dstrike w:val="false"/>
                  <w:color w:val="000000"/>
                  <w:sz w:val="20"/>
                  <w:u w:val="none"/>
                  <w:effect w:val="none"/>
                </w:rPr>
                <w:t>48</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Divestitures and Assets Held for Sale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54">
              <w:r>
                <w:rPr>
                  <w:rStyle w:val="InternetLink"/>
                  <w:rFonts w:ascii="Arial;sans-serif" w:hAnsi="Arial;sans-serif"/>
                  <w:b/>
                  <w:strike w:val="false"/>
                  <w:dstrike w:val="false"/>
                  <w:color w:val="000000"/>
                  <w:sz w:val="20"/>
                  <w:u w:val="none"/>
                  <w:effect w:val="none"/>
                </w:rPr>
                <w:t>51</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Lawsuits, Claims, Commitments and Contingencies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57">
              <w:r>
                <w:rPr>
                  <w:rStyle w:val="InternetLink"/>
                  <w:rFonts w:ascii="Arial;sans-serif" w:hAnsi="Arial;sans-serif"/>
                  <w:b/>
                  <w:strike w:val="false"/>
                  <w:dstrike w:val="false"/>
                  <w:color w:val="000000"/>
                  <w:sz w:val="20"/>
                  <w:u w:val="none"/>
                  <w:effect w:val="none"/>
                </w:rPr>
                <w:t>51</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Critical Accounting Estimates and Significant Accounting and Disclosure Changes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60">
              <w:r>
                <w:rPr>
                  <w:rStyle w:val="InternetLink"/>
                  <w:rFonts w:ascii="Arial;sans-serif" w:hAnsi="Arial;sans-serif"/>
                  <w:b/>
                  <w:strike w:val="false"/>
                  <w:dstrike w:val="false"/>
                  <w:color w:val="000000"/>
                  <w:sz w:val="20"/>
                  <w:u w:val="none"/>
                  <w:effect w:val="none"/>
                </w:rPr>
                <w:t>52</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Forward-Looking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63">
              <w:r>
                <w:rPr>
                  <w:rStyle w:val="InternetLink"/>
                  <w:rFonts w:ascii="Arial;sans-serif" w:hAnsi="Arial;sans-serif"/>
                  <w:b/>
                  <w:strike w:val="false"/>
                  <w:dstrike w:val="false"/>
                  <w:color w:val="000000"/>
                  <w:sz w:val="20"/>
                  <w:u w:val="none"/>
                  <w:effect w:val="none"/>
                </w:rPr>
                <w:t>53</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66">
              <w:r>
                <w:rPr>
                  <w:rStyle w:val="InternetLink"/>
                  <w:rFonts w:ascii="Arial;sans-serif" w:hAnsi="Arial;sans-serif"/>
                  <w:b/>
                  <w:strike w:val="false"/>
                  <w:dstrike w:val="false"/>
                  <w:color w:val="000000"/>
                  <w:sz w:val="20"/>
                  <w:u w:val="none"/>
                  <w:effect w:val="none"/>
                </w:rPr>
                <w:t>54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4</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69">
              <w:r>
                <w:rPr>
                  <w:rStyle w:val="InternetLink"/>
                  <w:rFonts w:ascii="Arial;sans-serif" w:hAnsi="Arial;sans-serif"/>
                  <w:b/>
                  <w:strike w:val="false"/>
                  <w:dstrike w:val="false"/>
                  <w:color w:val="000000"/>
                  <w:sz w:val="20"/>
                  <w:u w:val="none"/>
                  <w:effect w:val="none"/>
                </w:rPr>
                <w:t>55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Legal Proceedings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75">
              <w:r>
                <w:rPr>
                  <w:rStyle w:val="InternetLink"/>
                  <w:rFonts w:ascii="Arial;sans-serif" w:hAnsi="Arial;sans-serif"/>
                  <w:b/>
                  <w:strike w:val="false"/>
                  <w:dstrike w:val="false"/>
                  <w:color w:val="000000"/>
                  <w:sz w:val="20"/>
                  <w:u w:val="none"/>
                  <w:effect w:val="none"/>
                </w:rPr>
                <w:t>56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78">
              <w:r>
                <w:rPr>
                  <w:rStyle w:val="InternetLink"/>
                  <w:rFonts w:ascii="Arial;sans-serif" w:hAnsi="Arial;sans-serif"/>
                  <w:b/>
                  <w:strike w:val="false"/>
                  <w:dstrike w:val="false"/>
                  <w:color w:val="000000"/>
                  <w:sz w:val="20"/>
                  <w:u w:val="none"/>
                  <w:effect w:val="none"/>
                </w:rPr>
                <w:t>56</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81">
              <w:r>
                <w:rPr>
                  <w:rStyle w:val="InternetLink"/>
                  <w:rFonts w:ascii="Arial;sans-serif" w:hAnsi="Arial;sans-serif"/>
                  <w:b/>
                  <w:strike w:val="false"/>
                  <w:dstrike w:val="false"/>
                  <w:color w:val="000000"/>
                  <w:sz w:val="20"/>
                  <w:u w:val="none"/>
                  <w:effect w:val="none"/>
                </w:rPr>
                <w:t>56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Disclosures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84">
              <w:r>
                <w:rPr>
                  <w:rStyle w:val="InternetLink"/>
                  <w:rFonts w:ascii="Arial;sans-serif" w:hAnsi="Arial;sans-serif"/>
                  <w:b/>
                  <w:strike w:val="false"/>
                  <w:dstrike w:val="false"/>
                  <w:color w:val="000000"/>
                  <w:sz w:val="20"/>
                  <w:u w:val="none"/>
                  <w:effect w:val="none"/>
                </w:rPr>
                <w:t>56</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Exhibits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997e515d6cb42d493cccc088374cdb8_190">
              <w:r>
                <w:rPr>
                  <w:rStyle w:val="InternetLink"/>
                  <w:rFonts w:ascii="Arial;sans-serif" w:hAnsi="Arial;sans-serif"/>
                  <w:b/>
                  <w:strike w:val="false"/>
                  <w:dstrike w:val="false"/>
                  <w:color w:val="000000"/>
                  <w:sz w:val="20"/>
                  <w:u w:val="none"/>
                  <w:effect w:val="non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GLOSSARY AND SELECTED ABBREVIATIONS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abbreviations and definitions of certain terms used within this Form 10-Q: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w:t>
      </w:r>
      <w:r>
        <w:rPr>
          <w:color w:val="000000"/>
        </w:rPr>
        <w:t xml:space="preserve"> </w:t>
      </w:r>
      <w:r>
        <w:rPr>
          <w:rFonts w:ascii="Arial;sans-serif" w:hAnsi="Arial;sans-serif"/>
          <w:b w:val="false"/>
          <w:color w:val="000000"/>
          <w:sz w:val="20"/>
        </w:rPr>
        <w:t>- Assembly Bill.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ABR</w:t>
      </w:r>
      <w:r>
        <w:rPr>
          <w:color w:val="000000"/>
        </w:rPr>
        <w:t xml:space="preserve"> </w:t>
      </w:r>
      <w:r>
        <w:rPr>
          <w:rFonts w:ascii="Arial;sans-serif" w:hAnsi="Arial;sans-serif"/>
          <w:b w:val="false"/>
          <w:color w:val="000000"/>
          <w:sz w:val="20"/>
        </w:rPr>
        <w:t>- Alternate base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Aera</w:t>
      </w:r>
      <w:r>
        <w:rPr>
          <w:color w:val="000000"/>
        </w:rPr>
        <w:t xml:space="preserve"> </w:t>
      </w:r>
      <w:r>
        <w:rPr>
          <w:rFonts w:ascii="Arial;sans-serif" w:hAnsi="Arial;sans-serif"/>
          <w:b w:val="false"/>
          <w:color w:val="000000"/>
          <w:sz w:val="20"/>
        </w:rPr>
        <w:t>- Aera Energy LLC.</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Aera Merger</w:t>
      </w:r>
      <w:r>
        <w:rPr>
          <w:color w:val="000000"/>
        </w:rPr>
        <w:t xml:space="preserve"> </w:t>
      </w:r>
      <w:r>
        <w:rPr>
          <w:rFonts w:ascii="Arial;sans-serif" w:hAnsi="Arial;sans-serif"/>
          <w:b w:val="false"/>
          <w:color w:val="000000"/>
          <w:sz w:val="20"/>
        </w:rPr>
        <w:t>- The transactions contemplated by the Merger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ASC</w:t>
      </w:r>
      <w:r>
        <w:rPr>
          <w:color w:val="000000"/>
        </w:rPr>
        <w:t xml:space="preserve"> </w:t>
      </w:r>
      <w:r>
        <w:rPr>
          <w:rFonts w:ascii="Arial;sans-serif" w:hAnsi="Arial;sans-serif"/>
          <w:b w:val="false"/>
          <w:color w:val="000000"/>
          <w:sz w:val="20"/>
        </w:rPr>
        <w:t>- Accounting Standards Codification.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ARO</w:t>
      </w:r>
      <w:r>
        <w:rPr>
          <w:color w:val="000000"/>
        </w:rPr>
        <w:t xml:space="preserve"> </w:t>
      </w:r>
      <w:r>
        <w:rPr>
          <w:rFonts w:ascii="Arial;sans-serif" w:hAnsi="Arial;sans-serif"/>
          <w:b w:val="false"/>
          <w:color w:val="000000"/>
          <w:sz w:val="20"/>
        </w:rPr>
        <w:t xml:space="preserve">- Asset retirement obligation.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w:t>
      </w:r>
      <w:r>
        <w:rPr>
          <w:color w:val="000000"/>
        </w:rPr>
        <w:t xml:space="preserve"> </w:t>
      </w:r>
      <w:r>
        <w:rPr>
          <w:rFonts w:ascii="Arial;sans-serif" w:hAnsi="Arial;sans-serif"/>
          <w:b w:val="false"/>
          <w:color w:val="000000"/>
          <w:sz w:val="20"/>
        </w:rPr>
        <w:t>- Barrel.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Bbl/d</w:t>
      </w:r>
      <w:r>
        <w:rPr>
          <w:color w:val="000000"/>
        </w:rPr>
        <w:t xml:space="preserve"> </w:t>
      </w:r>
      <w:r>
        <w:rPr>
          <w:rFonts w:ascii="Arial;sans-serif" w:hAnsi="Arial;sans-serif"/>
          <w:b w:val="false"/>
          <w:color w:val="000000"/>
          <w:sz w:val="20"/>
        </w:rPr>
        <w:t>-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w:t>
      </w:r>
      <w:r>
        <w:rPr>
          <w:color w:val="000000"/>
        </w:rPr>
        <w:t xml:space="preserve"> </w:t>
      </w:r>
      <w:r>
        <w:rPr>
          <w:rFonts w:ascii="Arial;sans-serif" w:hAnsi="Arial;sans-serif"/>
          <w:b w:val="false"/>
          <w:color w:val="000000"/>
          <w:sz w:val="20"/>
        </w:rPr>
        <w:t>- Billion cubic feet.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Bcfe</w:t>
      </w:r>
      <w:r>
        <w:rPr>
          <w:color w:val="000000"/>
        </w:rPr>
        <w:t xml:space="preserve"> </w:t>
      </w:r>
      <w:r>
        <w:rPr>
          <w:rFonts w:ascii="Arial;sans-serif" w:hAnsi="Arial;sans-serif"/>
          <w:b w:val="false"/>
          <w:color w:val="000000"/>
          <w:sz w:val="20"/>
        </w:rPr>
        <w:t>- Billion cubic feet of natural gas equivalent using the ratio of one barrel of oil, condensate, or NGLs converted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w:t>
      </w:r>
      <w:r>
        <w:rPr>
          <w:color w:val="000000"/>
        </w:rPr>
        <w:t xml:space="preserve"> </w:t>
      </w:r>
      <w:r>
        <w:rPr>
          <w:rFonts w:ascii="Arial;sans-serif" w:hAnsi="Arial;sans-serif"/>
          <w:b w:val="false"/>
          <w:color w:val="000000"/>
          <w:sz w:val="20"/>
        </w:rPr>
        <w:t xml:space="preserve">- We convert natural gas volumes to crude oil equivalents using a ratio of six thousand cubic feet (Mcf) to one barrel of crude oil equivalent based on energy content. This is a widely used conversion method in the oil and natural gas industry.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Boe/d</w:t>
      </w:r>
      <w:r>
        <w:rPr>
          <w:color w:val="000000"/>
        </w:rPr>
        <w:t xml:space="preserve"> </w:t>
      </w:r>
      <w:r>
        <w:rPr>
          <w:rFonts w:ascii="Arial;sans-serif" w:hAnsi="Arial;sans-serif"/>
          <w:b w:val="false"/>
          <w:color w:val="000000"/>
          <w:sz w:val="20"/>
        </w:rPr>
        <w:t>- Barrel of oil equivalent per day.</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i/>
          <w:color w:val="000000"/>
          <w:sz w:val="20"/>
        </w:rPr>
        <w:t>Brookfield</w:t>
      </w:r>
      <w:r>
        <w:rPr>
          <w:color w:val="000000"/>
        </w:rPr>
        <w:t xml:space="preserve"> </w:t>
      </w:r>
      <w:r>
        <w:rPr>
          <w:rFonts w:ascii="Arial;sans-serif" w:hAnsi="Arial;sans-serif"/>
          <w:b w:val="false"/>
          <w:color w:val="000000"/>
          <w:sz w:val="20"/>
        </w:rPr>
        <w:t xml:space="preserve">- </w:t>
      </w:r>
      <w:r>
        <w:rPr>
          <w:rFonts w:ascii="Arial;sans-serif" w:hAnsi="Arial;sans-serif"/>
          <w:b w:val="false"/>
          <w:color w:val="000000"/>
          <w:sz w:val="20"/>
          <w:shd w:fill="FFFFFF" w:val="clear"/>
        </w:rPr>
        <w:t>BGTF Sierra Aggregator LLC.</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Btu</w:t>
      </w:r>
      <w:r>
        <w:rPr>
          <w:color w:val="000000"/>
        </w:rPr>
        <w:t xml:space="preserve"> </w:t>
      </w:r>
      <w:r>
        <w:rPr>
          <w:rFonts w:ascii="Arial;sans-serif" w:hAnsi="Arial;sans-serif"/>
          <w:b w:val="false"/>
          <w:color w:val="000000"/>
          <w:sz w:val="20"/>
        </w:rPr>
        <w:t>- British thermal unit.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CalGEM</w:t>
      </w:r>
      <w:r>
        <w:rPr>
          <w:color w:val="000000"/>
        </w:rPr>
        <w:t xml:space="preserve"> </w:t>
      </w:r>
      <w:r>
        <w:rPr>
          <w:rFonts w:ascii="Arial;sans-serif" w:hAnsi="Arial;sans-serif"/>
          <w:b w:val="false"/>
          <w:color w:val="000000"/>
          <w:sz w:val="20"/>
        </w:rPr>
        <w:t>- California Geologic Energy Management Division.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CAISO</w:t>
      </w:r>
      <w:r>
        <w:rPr>
          <w:color w:val="000000"/>
        </w:rPr>
        <w:t xml:space="preserve"> </w:t>
      </w:r>
      <w:r>
        <w:rPr>
          <w:rFonts w:ascii="Arial;sans-serif" w:hAnsi="Arial;sans-serif"/>
          <w:b w:val="false"/>
          <w:color w:val="000000"/>
          <w:sz w:val="20"/>
        </w:rPr>
        <w:t>- California Independent System Operator.</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i/>
          <w:color w:val="000000"/>
          <w:sz w:val="20"/>
        </w:rPr>
        <w:t>Carbon TerraVault JV</w:t>
      </w:r>
      <w:r>
        <w:rPr>
          <w:color w:val="000000"/>
        </w:rPr>
        <w:t xml:space="preserve"> </w:t>
      </w:r>
      <w:r>
        <w:rPr>
          <w:rFonts w:ascii="Arial;sans-serif" w:hAnsi="Arial;sans-serif"/>
          <w:b w:val="false"/>
          <w:color w:val="000000"/>
          <w:sz w:val="20"/>
        </w:rPr>
        <w:t>- A</w:t>
      </w:r>
      <w:r>
        <w:rPr>
          <w:color w:val="000000"/>
          <w:shd w:fill="FFFFFF" w:val="clear"/>
        </w:rPr>
        <w:t xml:space="preserve"> </w:t>
      </w:r>
      <w:r>
        <w:rPr>
          <w:rFonts w:ascii="Arial;sans-serif" w:hAnsi="Arial;sans-serif"/>
          <w:b w:val="false"/>
          <w:color w:val="000000"/>
          <w:sz w:val="20"/>
          <w:shd w:fill="FFFFFF" w:val="clear"/>
        </w:rPr>
        <w:t xml:space="preserve">joint venture between our wholly-owned subsidiary Carbon TerraVault I, LLC with Brookfield for the further development of a carbon management business in California.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CCS</w:t>
      </w:r>
      <w:r>
        <w:rPr>
          <w:color w:val="000000"/>
        </w:rPr>
        <w:t xml:space="preserve"> </w:t>
      </w:r>
      <w:r>
        <w:rPr>
          <w:rFonts w:ascii="Arial;sans-serif" w:hAnsi="Arial;sans-serif"/>
          <w:b w:val="false"/>
          <w:color w:val="000000"/>
          <w:sz w:val="20"/>
        </w:rPr>
        <w:t>- Carbon capture and storage.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CDMA</w:t>
      </w:r>
      <w:r>
        <w:rPr>
          <w:color w:val="000000"/>
        </w:rPr>
        <w:t xml:space="preserve"> </w:t>
      </w:r>
      <w:r>
        <w:rPr>
          <w:rFonts w:ascii="Arial;sans-serif" w:hAnsi="Arial;sans-serif"/>
          <w:b w:val="false"/>
          <w:color w:val="000000"/>
          <w:sz w:val="20"/>
        </w:rPr>
        <w:t>- Carbon Dioxide Management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CEQA</w:t>
      </w:r>
      <w:r>
        <w:rPr>
          <w:color w:val="000000"/>
        </w:rPr>
        <w:t xml:space="preserve"> </w:t>
      </w:r>
      <w:r>
        <w:rPr>
          <w:rFonts w:ascii="Arial;sans-serif" w:hAnsi="Arial;sans-serif"/>
          <w:b w:val="false"/>
          <w:color w:val="000000"/>
          <w:sz w:val="20"/>
        </w:rPr>
        <w:t>- California Environmental Quality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CO</w:t>
      </w:r>
      <w:r>
        <w:rPr>
          <w:rFonts w:ascii="Arial;sans-serif" w:hAnsi="Arial;sans-serif"/>
          <w:b/>
          <w:i/>
          <w:color w:val="000000"/>
          <w:sz w:val="13"/>
        </w:rPr>
        <w:t>2</w:t>
      </w:r>
      <w:r>
        <w:rPr>
          <w:color w:val="000000"/>
        </w:rPr>
        <w:t xml:space="preserve"> </w:t>
      </w:r>
      <w:r>
        <w:rPr>
          <w:rFonts w:ascii="Arial;sans-serif" w:hAnsi="Arial;sans-serif"/>
          <w:b w:val="false"/>
          <w:color w:val="000000"/>
          <w:sz w:val="20"/>
        </w:rPr>
        <w:t>- Carbon dioxide.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DAC</w:t>
      </w:r>
      <w:r>
        <w:rPr>
          <w:color w:val="000000"/>
        </w:rPr>
        <w:t xml:space="preserve"> </w:t>
      </w:r>
      <w:r>
        <w:rPr>
          <w:rFonts w:ascii="Arial;sans-serif" w:hAnsi="Arial;sans-serif"/>
          <w:b w:val="false"/>
          <w:color w:val="000000"/>
          <w:sz w:val="20"/>
        </w:rPr>
        <w:t>- Direct air capture.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DD&amp;A</w:t>
      </w:r>
      <w:r>
        <w:rPr>
          <w:color w:val="000000"/>
        </w:rPr>
        <w:t xml:space="preserve"> </w:t>
      </w:r>
      <w:r>
        <w:rPr>
          <w:rFonts w:ascii="Arial;sans-serif" w:hAnsi="Arial;sans-serif"/>
          <w:b w:val="false"/>
          <w:color w:val="000000"/>
          <w:sz w:val="20"/>
        </w:rPr>
        <w:t>- Depletion, depreciation, and amortization.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EOR</w:t>
      </w:r>
      <w:r>
        <w:rPr>
          <w:color w:val="000000"/>
        </w:rPr>
        <w:t xml:space="preserve"> </w:t>
      </w:r>
      <w:r>
        <w:rPr>
          <w:rFonts w:ascii="Arial;sans-serif" w:hAnsi="Arial;sans-serif"/>
          <w:b w:val="false"/>
          <w:color w:val="000000"/>
          <w:sz w:val="20"/>
        </w:rPr>
        <w:t>- Enhanced oil recovery.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EPA</w:t>
      </w:r>
      <w:r>
        <w:rPr>
          <w:color w:val="000000"/>
        </w:rPr>
        <w:t xml:space="preserve"> </w:t>
      </w:r>
      <w:r>
        <w:rPr>
          <w:rFonts w:ascii="Arial;sans-serif" w:hAnsi="Arial;sans-serif"/>
          <w:b w:val="false"/>
          <w:color w:val="000000"/>
          <w:sz w:val="20"/>
        </w:rPr>
        <w:t xml:space="preserve">- United States Environmental Protection Agency.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ESG</w:t>
      </w:r>
      <w:r>
        <w:rPr>
          <w:color w:val="000000"/>
        </w:rPr>
        <w:t xml:space="preserve"> </w:t>
      </w:r>
      <w:r>
        <w:rPr>
          <w:rFonts w:ascii="Arial;sans-serif" w:hAnsi="Arial;sans-serif"/>
          <w:b w:val="false"/>
          <w:color w:val="000000"/>
          <w:sz w:val="20"/>
        </w:rPr>
        <w:t xml:space="preserve">- Environmental, social and governance.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E&amp;P</w:t>
      </w:r>
      <w:r>
        <w:rPr>
          <w:color w:val="000000"/>
        </w:rPr>
        <w:t xml:space="preserve"> </w:t>
      </w:r>
      <w:r>
        <w:rPr>
          <w:rFonts w:ascii="Arial;sans-serif" w:hAnsi="Arial;sans-serif"/>
          <w:b w:val="false"/>
          <w:color w:val="000000"/>
          <w:sz w:val="20"/>
        </w:rPr>
        <w:t>- Exploration and production.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GAAP</w:t>
      </w:r>
      <w:r>
        <w:rPr>
          <w:color w:val="000000"/>
        </w:rPr>
        <w:t xml:space="preserve"> </w:t>
      </w:r>
      <w:r>
        <w:rPr>
          <w:rFonts w:ascii="Arial;sans-serif" w:hAnsi="Arial;sans-serif"/>
          <w:b w:val="false"/>
          <w:color w:val="000000"/>
          <w:sz w:val="20"/>
        </w:rPr>
        <w:t>- United States Generally Accepted Accounting Principles.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G&amp;A</w:t>
      </w:r>
      <w:r>
        <w:rPr>
          <w:color w:val="000000"/>
        </w:rPr>
        <w:t xml:space="preserve"> </w:t>
      </w:r>
      <w:r>
        <w:rPr>
          <w:rFonts w:ascii="Arial;sans-serif" w:hAnsi="Arial;sans-serif"/>
          <w:b w:val="false"/>
          <w:color w:val="000000"/>
          <w:sz w:val="20"/>
        </w:rPr>
        <w:t>- General and administrative expenses.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GHG</w:t>
      </w:r>
      <w:r>
        <w:rPr>
          <w:color w:val="000000"/>
        </w:rPr>
        <w:t xml:space="preserve"> </w:t>
      </w:r>
      <w:r>
        <w:rPr>
          <w:rFonts w:ascii="Arial;sans-serif" w:hAnsi="Arial;sans-serif"/>
          <w:b w:val="false"/>
          <w:color w:val="000000"/>
          <w:sz w:val="20"/>
        </w:rPr>
        <w:t>- Greenhouse gases.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JV</w:t>
      </w:r>
      <w:r>
        <w:rPr>
          <w:color w:val="000000"/>
        </w:rPr>
        <w:t xml:space="preserve"> </w:t>
      </w:r>
      <w:r>
        <w:rPr>
          <w:rFonts w:ascii="Arial;sans-serif" w:hAnsi="Arial;sans-serif"/>
          <w:b w:val="false"/>
          <w:color w:val="000000"/>
          <w:sz w:val="20"/>
        </w:rPr>
        <w:t>- Joint venture.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LCFS</w:t>
      </w:r>
      <w:r>
        <w:rPr>
          <w:color w:val="000000"/>
        </w:rPr>
        <w:t xml:space="preserve"> </w:t>
      </w:r>
      <w:r>
        <w:rPr>
          <w:rFonts w:ascii="Arial;sans-serif" w:hAnsi="Arial;sans-serif"/>
          <w:b w:val="false"/>
          <w:color w:val="000000"/>
          <w:sz w:val="20"/>
        </w:rPr>
        <w:t xml:space="preserve">- Low Carbon Fuel Standard.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w:t>
      </w:r>
      <w:r>
        <w:rPr>
          <w:color w:val="000000"/>
        </w:rPr>
        <w:t xml:space="preserve"> </w:t>
      </w:r>
      <w:r>
        <w:rPr>
          <w:rFonts w:ascii="Arial;sans-serif" w:hAnsi="Arial;sans-serif"/>
          <w:b w:val="false"/>
          <w:color w:val="000000"/>
          <w:sz w:val="20"/>
        </w:rPr>
        <w:t>- One thousand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MBbl/d</w:t>
      </w:r>
      <w:r>
        <w:rPr>
          <w:color w:val="000000"/>
        </w:rPr>
        <w:t xml:space="preserve"> </w:t>
      </w:r>
      <w:r>
        <w:rPr>
          <w:rFonts w:ascii="Arial;sans-serif" w:hAnsi="Arial;sans-serif"/>
          <w:b w:val="false"/>
          <w:color w:val="000000"/>
          <w:sz w:val="20"/>
        </w:rPr>
        <w:t>- One thousand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MBoe/d</w:t>
      </w:r>
      <w:r>
        <w:rPr>
          <w:color w:val="000000"/>
        </w:rPr>
        <w:t xml:space="preserve"> </w:t>
      </w:r>
      <w:r>
        <w:rPr>
          <w:rFonts w:ascii="Arial;sans-serif" w:hAnsi="Arial;sans-serif"/>
          <w:b w:val="false"/>
          <w:color w:val="000000"/>
          <w:sz w:val="20"/>
        </w:rPr>
        <w:t>- One thousand barrels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MBw/d</w:t>
      </w:r>
      <w:r>
        <w:rPr>
          <w:color w:val="000000"/>
        </w:rPr>
        <w:t xml:space="preserve"> </w:t>
      </w:r>
      <w:r>
        <w:rPr>
          <w:rFonts w:ascii="Arial;sans-serif" w:hAnsi="Arial;sans-serif"/>
          <w:b w:val="false"/>
          <w:color w:val="000000"/>
          <w:sz w:val="20"/>
        </w:rPr>
        <w:t>- One thousand barrels of water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Mcf</w:t>
      </w:r>
      <w:r>
        <w:rPr>
          <w:color w:val="000000"/>
        </w:rPr>
        <w:t xml:space="preserve"> </w:t>
      </w:r>
      <w:r>
        <w:rPr>
          <w:rFonts w:ascii="Arial;sans-serif" w:hAnsi="Arial;sans-serif"/>
          <w:b w:val="false"/>
          <w:color w:val="000000"/>
          <w:sz w:val="20"/>
        </w:rPr>
        <w:t>- One thousand cubic feet of natural gas equivalent, with liquids converted to an equivalent volume of natural gas using the ratio of one barrel of oil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Merger Agreement</w:t>
      </w:r>
      <w:r>
        <w:rPr>
          <w:color w:val="000000"/>
        </w:rPr>
        <w:t xml:space="preserve"> </w:t>
      </w:r>
      <w:r>
        <w:rPr>
          <w:rFonts w:ascii="Arial;sans-serif" w:hAnsi="Arial;sans-serif"/>
          <w:b w:val="false"/>
          <w:color w:val="000000"/>
          <w:sz w:val="20"/>
        </w:rPr>
        <w:t>- Definitive agreement and plan of merger related to the transactions to obtain all of the ownership interests in Aera.</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MHp</w:t>
      </w:r>
      <w:r>
        <w:rPr>
          <w:color w:val="000000"/>
        </w:rPr>
        <w:t xml:space="preserve"> </w:t>
      </w:r>
      <w:r>
        <w:rPr>
          <w:rFonts w:ascii="Arial;sans-serif" w:hAnsi="Arial;sans-serif"/>
          <w:b w:val="false"/>
          <w:color w:val="000000"/>
          <w:sz w:val="20"/>
        </w:rPr>
        <w:t>- One thousand horsepower.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MMBbl</w:t>
      </w:r>
      <w:r>
        <w:rPr>
          <w:color w:val="000000"/>
        </w:rPr>
        <w:t xml:space="preserve"> </w:t>
      </w:r>
      <w:r>
        <w:rPr>
          <w:rFonts w:ascii="Arial;sans-serif" w:hAnsi="Arial;sans-serif"/>
          <w:b w:val="false"/>
          <w:color w:val="000000"/>
          <w:sz w:val="20"/>
        </w:rPr>
        <w:t>- One million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MMBoe</w:t>
      </w:r>
      <w:r>
        <w:rPr>
          <w:color w:val="000000"/>
        </w:rPr>
        <w:t xml:space="preserve"> </w:t>
      </w:r>
      <w:r>
        <w:rPr>
          <w:rFonts w:ascii="Arial;sans-serif" w:hAnsi="Arial;sans-serif"/>
          <w:b w:val="false"/>
          <w:color w:val="000000"/>
          <w:sz w:val="20"/>
        </w:rPr>
        <w:t>- One million barrels of oil equivalent.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MMBtu</w:t>
      </w:r>
      <w:r>
        <w:rPr>
          <w:color w:val="000000"/>
        </w:rPr>
        <w:t xml:space="preserve"> </w:t>
      </w:r>
      <w:r>
        <w:rPr>
          <w:rFonts w:ascii="Arial;sans-serif" w:hAnsi="Arial;sans-serif"/>
          <w:b w:val="false"/>
          <w:color w:val="000000"/>
          <w:sz w:val="20"/>
        </w:rPr>
        <w:t>- One million British thermal units.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MMcf/d</w:t>
      </w:r>
      <w:r>
        <w:rPr>
          <w:color w:val="000000"/>
        </w:rPr>
        <w:t xml:space="preserve"> </w:t>
      </w:r>
      <w:r>
        <w:rPr>
          <w:rFonts w:ascii="Arial;sans-serif" w:hAnsi="Arial;sans-serif"/>
          <w:b w:val="false"/>
          <w:color w:val="000000"/>
          <w:sz w:val="20"/>
        </w:rPr>
        <w:t>- One million cubic feet of natural gas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w:t>
      </w:r>
      <w:r>
        <w:rPr>
          <w:color w:val="000000"/>
        </w:rPr>
        <w:t xml:space="preserve"> </w:t>
      </w:r>
      <w:r>
        <w:rPr>
          <w:rFonts w:ascii="Arial;sans-serif" w:hAnsi="Arial;sans-serif"/>
          <w:b w:val="false"/>
          <w:color w:val="000000"/>
          <w:sz w:val="20"/>
        </w:rPr>
        <w:t>- Million metric tons.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MMTPA</w:t>
      </w:r>
      <w:r>
        <w:rPr>
          <w:color w:val="000000"/>
        </w:rPr>
        <w:t xml:space="preserve"> </w:t>
      </w:r>
      <w:r>
        <w:rPr>
          <w:rFonts w:ascii="Arial;sans-serif" w:hAnsi="Arial;sans-serif"/>
          <w:b w:val="false"/>
          <w:color w:val="000000"/>
          <w:sz w:val="20"/>
        </w:rPr>
        <w:t xml:space="preserve">- Million metric tons per annum.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MW</w:t>
      </w:r>
      <w:r>
        <w:rPr>
          <w:color w:val="000000"/>
        </w:rPr>
        <w:t xml:space="preserve"> </w:t>
      </w:r>
      <w:r>
        <w:rPr>
          <w:rFonts w:ascii="Arial;sans-serif" w:hAnsi="Arial;sans-serif"/>
          <w:b w:val="false"/>
          <w:color w:val="000000"/>
          <w:sz w:val="20"/>
        </w:rPr>
        <w:t>- Megawatts of 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NGLs</w:t>
      </w:r>
      <w:r>
        <w:rPr>
          <w:color w:val="000000"/>
        </w:rPr>
        <w:t xml:space="preserve"> </w:t>
      </w:r>
      <w:r>
        <w:rPr>
          <w:rFonts w:ascii="Arial;sans-serif" w:hAnsi="Arial;sans-serif"/>
          <w:b w:val="false"/>
          <w:color w:val="000000"/>
          <w:sz w:val="20"/>
        </w:rPr>
        <w:t>- Natural gas liquids. Hydrocarbons found in natural gas that may be extracted as purity products such as ethane, propane, isobutane and normal butane, and natural gasoline.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NYMEX</w:t>
      </w:r>
      <w:r>
        <w:rPr>
          <w:color w:val="000000"/>
        </w:rPr>
        <w:t xml:space="preserve"> </w:t>
      </w:r>
      <w:r>
        <w:rPr>
          <w:rFonts w:ascii="Arial;sans-serif" w:hAnsi="Arial;sans-serif"/>
          <w:b w:val="false"/>
          <w:color w:val="000000"/>
          <w:sz w:val="20"/>
        </w:rPr>
        <w:t>- The New York Mercantile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OCTG</w:t>
      </w:r>
      <w:r>
        <w:rPr>
          <w:color w:val="000000"/>
        </w:rPr>
        <w:t xml:space="preserve"> </w:t>
      </w:r>
      <w:r>
        <w:rPr>
          <w:rFonts w:ascii="Arial;sans-serif" w:hAnsi="Arial;sans-serif"/>
          <w:b w:val="false"/>
          <w:color w:val="000000"/>
          <w:sz w:val="20"/>
        </w:rPr>
        <w:t>- Oil country tubular goods.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Oil spill prevention rate</w:t>
      </w:r>
      <w:r>
        <w:rPr>
          <w:color w:val="000000"/>
        </w:rPr>
        <w:t xml:space="preserve"> </w:t>
      </w:r>
      <w:r>
        <w:rPr>
          <w:rFonts w:ascii="Arial;sans-serif" w:hAnsi="Arial;sans-serif"/>
          <w:b w:val="false"/>
          <w:color w:val="000000"/>
          <w:sz w:val="20"/>
        </w:rPr>
        <w:t xml:space="preserve">- Calculated as total Boe less net barrels lost divided by total Boe.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OPEC</w:t>
      </w:r>
      <w:r>
        <w:rPr>
          <w:color w:val="000000"/>
        </w:rPr>
        <w:t xml:space="preserve"> </w:t>
      </w:r>
      <w:r>
        <w:rPr>
          <w:rFonts w:ascii="Arial;sans-serif" w:hAnsi="Arial;sans-serif"/>
          <w:b w:val="false"/>
          <w:color w:val="000000"/>
          <w:sz w:val="20"/>
        </w:rPr>
        <w:t>- Organization of the Petroleum Exporting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OPEC+ </w:t>
      </w:r>
      <w:r>
        <w:rPr>
          <w:rFonts w:ascii="Arial;sans-serif" w:hAnsi="Arial;sans-serif"/>
          <w:b w:val="false"/>
          <w:color w:val="000000"/>
          <w:sz w:val="20"/>
        </w:rPr>
        <w:t>- OPEC together with Russia and certain other producing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PHMSA</w:t>
      </w:r>
      <w:r>
        <w:rPr>
          <w:color w:val="000000"/>
        </w:rPr>
        <w:t xml:space="preserve"> </w:t>
      </w:r>
      <w:r>
        <w:rPr>
          <w:rFonts w:ascii="Arial;sans-serif" w:hAnsi="Arial;sans-serif"/>
          <w:b w:val="false"/>
          <w:color w:val="000000"/>
          <w:sz w:val="20"/>
        </w:rPr>
        <w:t>- Pipeline and Hazardous Materials Safety Administration.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developed reserves</w:t>
      </w:r>
      <w:r>
        <w:rPr>
          <w:color w:val="000000"/>
        </w:rPr>
        <w:t xml:space="preserve"> </w:t>
      </w:r>
      <w:r>
        <w:rPr>
          <w:rFonts w:ascii="Arial;sans-serif" w:hAnsi="Arial;sans-serif"/>
          <w:b w:val="false"/>
          <w:color w:val="000000"/>
          <w:sz w:val="20"/>
        </w:rPr>
        <w:t>- Reserves that can be expected to be recovered through existing wells with existing equipment and operating methods.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reserves</w:t>
      </w:r>
      <w:r>
        <w:rPr>
          <w:color w:val="000000"/>
        </w:rPr>
        <w:t xml:space="preserve"> </w:t>
      </w:r>
      <w:r>
        <w:rPr>
          <w:rFonts w:ascii="Arial;sans-serif" w:hAnsi="Arial;sans-serif"/>
          <w:b w:val="false"/>
          <w:color w:val="000000"/>
          <w:sz w:val="20"/>
        </w:rPr>
        <w:t>- The estimated quantities of natural gas, NGLs, and oil that geological and engineering data demonstrate with reasonable certainty to be commercially recoverable in future years from known reservoirs under existing economic conditions, operating methods and government regulations.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undeveloped reserves</w:t>
      </w:r>
      <w:r>
        <w:rPr>
          <w:color w:val="000000"/>
        </w:rPr>
        <w:t xml:space="preserve"> </w:t>
      </w:r>
      <w:r>
        <w:rPr>
          <w:rFonts w:ascii="Arial;sans-serif" w:hAnsi="Arial;sans-serif"/>
          <w:b w:val="false"/>
          <w:color w:val="000000"/>
          <w:sz w:val="20"/>
        </w:rPr>
        <w:t>- Proved reserves that are expected to be recovered from new wells on undrilled acreage that are reasonably certain of production when drilled or from existing wells where a relatively major expenditure is required for recompletion.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PSCs</w:t>
      </w:r>
      <w:r>
        <w:rPr>
          <w:color w:val="000000"/>
        </w:rPr>
        <w:t xml:space="preserve"> </w:t>
      </w:r>
      <w:r>
        <w:rPr>
          <w:rFonts w:ascii="Arial;sans-serif" w:hAnsi="Arial;sans-serif"/>
          <w:b w:val="false"/>
          <w:color w:val="000000"/>
          <w:sz w:val="20"/>
        </w:rPr>
        <w:t>- Production-sharing contracts.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PV-10</w:t>
      </w:r>
      <w:r>
        <w:rPr>
          <w:color w:val="000000"/>
        </w:rPr>
        <w:t xml:space="preserve"> </w:t>
      </w:r>
      <w:r>
        <w:rPr>
          <w:rFonts w:ascii="Arial;sans-serif" w:hAnsi="Arial;sans-serif"/>
          <w:b w:val="false"/>
          <w:color w:val="000000"/>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Responsible Net Zero </w:t>
      </w:r>
      <w:r>
        <w:rPr>
          <w:color w:val="000000"/>
        </w:rPr>
        <w:t xml:space="preserve">– </w:t>
      </w:r>
      <w:r>
        <w:rPr>
          <w:rFonts w:ascii="Arial;sans-serif" w:hAnsi="Arial;sans-serif"/>
          <w:b w:val="false"/>
          <w:color w:val="000000"/>
          <w:sz w:val="20"/>
        </w:rPr>
        <w:t xml:space="preserve">Refers to our net zero emissions goal adopted by our Board of Directors in May 2025. Refer to </w:t>
      </w:r>
      <w:r>
        <w:rPr>
          <w:rFonts w:ascii="Arial;sans-serif" w:hAnsi="Arial;sans-serif"/>
          <w:b w:val="false"/>
          <w:i/>
          <w:color w:val="000000"/>
          <w:sz w:val="20"/>
        </w:rPr>
        <w:t xml:space="preserve">Part I, Item 2 – Management's Discussion and Analysis of Financial Condition and Results of Operations, Responsible Net Zero Goal </w:t>
      </w:r>
      <w:r>
        <w:rPr>
          <w:rFonts w:ascii="Arial;sans-serif" w:hAnsi="Arial;sans-serif"/>
          <w:b w:val="false"/>
          <w:color w:val="000000"/>
          <w:sz w:val="20"/>
        </w:rPr>
        <w:t>for more information.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SB</w:t>
      </w:r>
      <w:r>
        <w:rPr>
          <w:color w:val="000000"/>
        </w:rPr>
        <w:t xml:space="preserve"> </w:t>
      </w:r>
      <w:r>
        <w:rPr>
          <w:rFonts w:ascii="Arial;sans-serif" w:hAnsi="Arial;sans-serif"/>
          <w:b w:val="false"/>
          <w:color w:val="000000"/>
          <w:sz w:val="20"/>
        </w:rPr>
        <w:t>- Senate Bill.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1 emissions</w:t>
      </w:r>
      <w:r>
        <w:rPr>
          <w:color w:val="000000"/>
        </w:rPr>
        <w:t xml:space="preserve"> </w:t>
      </w:r>
      <w:r>
        <w:rPr>
          <w:rFonts w:ascii="Arial;sans-serif" w:hAnsi="Arial;sans-serif"/>
          <w:b w:val="false"/>
          <w:color w:val="000000"/>
          <w:sz w:val="20"/>
        </w:rPr>
        <w:t>- Our direct emissions.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2 emissions</w:t>
      </w:r>
      <w:r>
        <w:rPr>
          <w:color w:val="000000"/>
        </w:rPr>
        <w:t xml:space="preserve"> </w:t>
      </w:r>
      <w:r>
        <w:rPr>
          <w:rFonts w:ascii="Arial;sans-serif" w:hAnsi="Arial;sans-serif"/>
          <w:b w:val="false"/>
          <w:color w:val="000000"/>
          <w:sz w:val="20"/>
        </w:rPr>
        <w:t>- Indirect emissions from energy that we use (</w:t>
      </w:r>
      <w:r>
        <w:rPr>
          <w:rFonts w:ascii="Arial;sans-serif" w:hAnsi="Arial;sans-serif"/>
          <w:b w:val="false"/>
          <w:i/>
          <w:color w:val="000000"/>
          <w:sz w:val="20"/>
        </w:rPr>
        <w:t>e.g.</w:t>
      </w:r>
      <w:r>
        <w:rPr>
          <w:rFonts w:ascii="Arial;sans-serif" w:hAnsi="Arial;sans-serif"/>
          <w:b w:val="false"/>
          <w:color w:val="000000"/>
          <w:sz w:val="20"/>
        </w:rPr>
        <w:t xml:space="preserve">, electricity, heat, steam, cooling) that is produced by others.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3 emissions</w:t>
      </w:r>
      <w:r>
        <w:rPr>
          <w:color w:val="000000"/>
        </w:rPr>
        <w:t xml:space="preserve"> </w:t>
      </w:r>
      <w:r>
        <w:rPr>
          <w:rFonts w:ascii="Arial;sans-serif" w:hAnsi="Arial;sans-serif"/>
          <w:b w:val="false"/>
          <w:color w:val="000000"/>
          <w:sz w:val="20"/>
        </w:rPr>
        <w:t>- Indirect emissions from upstream and downstream processing and use of our products.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SDWA</w:t>
      </w:r>
      <w:r>
        <w:rPr>
          <w:color w:val="000000"/>
        </w:rPr>
        <w:t xml:space="preserve"> </w:t>
      </w:r>
      <w:r>
        <w:rPr>
          <w:rFonts w:ascii="Arial;sans-serif" w:hAnsi="Arial;sans-serif"/>
          <w:b w:val="false"/>
          <w:color w:val="000000"/>
          <w:sz w:val="20"/>
        </w:rPr>
        <w:t>- Safe Drinking Water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w:t>
      </w:r>
      <w:r>
        <w:rPr>
          <w:color w:val="000000"/>
        </w:rPr>
        <w:t xml:space="preserve"> </w:t>
      </w:r>
      <w:r>
        <w:rPr>
          <w:rFonts w:ascii="Arial;sans-serif" w:hAnsi="Arial;sans-serif"/>
          <w:b w:val="false"/>
          <w:color w:val="000000"/>
          <w:sz w:val="20"/>
        </w:rPr>
        <w:t xml:space="preserve">- United States Securities and Exchange Commission.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 Prices</w:t>
      </w:r>
      <w:r>
        <w:rPr>
          <w:color w:val="000000"/>
        </w:rPr>
        <w:t xml:space="preserve"> </w:t>
      </w:r>
      <w:r>
        <w:rPr>
          <w:rFonts w:ascii="Arial;sans-serif" w:hAnsi="Arial;sans-serif"/>
          <w:b w:val="false"/>
          <w:color w:val="000000"/>
          <w:sz w:val="20"/>
        </w:rPr>
        <w:t xml:space="preserve">- The unweighted arithmetic average of the first day-of-the-month price for each month within the year used to determine estimated volumes and cash flows for our proved reserves.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SOFR</w:t>
      </w:r>
      <w:r>
        <w:rPr>
          <w:color w:val="000000"/>
        </w:rPr>
        <w:t xml:space="preserve"> </w:t>
      </w:r>
      <w:r>
        <w:rPr>
          <w:rFonts w:ascii="Arial;sans-serif" w:hAnsi="Arial;sans-serif"/>
          <w:b w:val="false"/>
          <w:color w:val="000000"/>
          <w:sz w:val="20"/>
        </w:rPr>
        <w:t xml:space="preserve">- Secured overnight financing rate as administered by the Federal Reserve Bank of New York.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Standardized measure</w:t>
      </w:r>
      <w:r>
        <w:rPr>
          <w:color w:val="000000"/>
        </w:rPr>
        <w:t xml:space="preserve"> </w:t>
      </w:r>
      <w:r>
        <w:rPr>
          <w:rFonts w:ascii="Arial;sans-serif" w:hAnsi="Arial;sans-serif"/>
          <w:b w:val="false"/>
          <w:color w:val="000000"/>
          <w:sz w:val="20"/>
        </w:rPr>
        <w:t>-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TRIR</w:t>
      </w:r>
      <w:r>
        <w:rPr>
          <w:color w:val="000000"/>
        </w:rPr>
        <w:t xml:space="preserve"> </w:t>
      </w:r>
      <w:r>
        <w:rPr>
          <w:rFonts w:ascii="Arial;sans-serif" w:hAnsi="Arial;sans-serif"/>
          <w:b w:val="false"/>
          <w:color w:val="000000"/>
          <w:sz w:val="20"/>
        </w:rPr>
        <w:t xml:space="preserve">- Total Recordable Incident Rate calculated as recordable incidents per 200,000 hours for all workers (employees and contractors).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Working interest</w:t>
      </w:r>
      <w:r>
        <w:rPr>
          <w:color w:val="000000"/>
        </w:rPr>
        <w:t xml:space="preserve"> </w:t>
      </w:r>
      <w:r>
        <w:rPr>
          <w:rFonts w:ascii="Arial;sans-serif" w:hAnsi="Arial;sans-serif"/>
          <w:b w:val="false"/>
          <w:color w:val="000000"/>
          <w:sz w:val="20"/>
        </w:rPr>
        <w:t xml:space="preserve">- The right granted to a lessee of a property to explore for and to produce and own oil, natural gas or other minerals in-place. A working interest owner bears the cost of development and operations of the property.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WTI</w:t>
      </w:r>
      <w:r>
        <w:rPr>
          <w:color w:val="000000"/>
        </w:rPr>
        <w:t xml:space="preserve"> </w:t>
      </w:r>
      <w:r>
        <w:rPr>
          <w:rFonts w:ascii="Arial;sans-serif" w:hAnsi="Arial;sans-serif"/>
          <w:b w:val="false"/>
          <w:color w:val="000000"/>
          <w:sz w:val="20"/>
        </w:rPr>
        <w:t>- West Texas Intermediate.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of June 30, 2025 and December 31, 2024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share data)</w:t>
      </w:r>
    </w:p>
    <w:p>
      <w:pPr>
        <w:pStyle w:val="TextBody"/>
        <w:bidi w:val="0"/>
        <w:spacing w:before="0" w:after="0"/>
        <w:jc w:val="center"/>
        <w:rPr/>
      </w:pPr>
      <w:r>
        <w:rPr/>
      </w:r>
    </w:p>
    <w:tbl>
      <w:tblPr>
        <w:tblW w:w="7586" w:type="dxa"/>
        <w:jc w:val="center"/>
        <w:tblInd w:w="0" w:type="dxa"/>
        <w:tblLayout w:type="fixed"/>
        <w:tblCellMar>
          <w:top w:w="28" w:type="dxa"/>
          <w:left w:w="28" w:type="dxa"/>
          <w:bottom w:w="28" w:type="dxa"/>
          <w:right w:w="28" w:type="dxa"/>
        </w:tblCellMar>
      </w:tblPr>
      <w:tblGrid>
        <w:gridCol w:w="1734"/>
        <w:gridCol w:w="1521"/>
        <w:gridCol w:w="1530"/>
        <w:gridCol w:w="232"/>
        <w:gridCol w:w="712"/>
        <w:gridCol w:w="121"/>
        <w:gridCol w:w="109"/>
        <w:gridCol w:w="109"/>
        <w:gridCol w:w="109"/>
        <w:gridCol w:w="293"/>
        <w:gridCol w:w="900"/>
        <w:gridCol w:w="216"/>
      </w:tblGrid>
      <w:tr>
        <w:trPr/>
        <w:tc>
          <w:tcPr>
            <w:tcW w:w="17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(audited)</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 from affiliate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color w:val="000000"/>
                <w:sz w:val="20"/>
              </w:rPr>
            </w:pPr>
            <w:r>
              <w:rPr>
                <w:rFonts w:ascii="Arial;sans-serif" w:hAnsi="Arial;sans-serif"/>
                <w:b/>
                <w:color w:val="000000"/>
                <w:sz w:val="20"/>
              </w:rPr>
              <w:t>PROPERTY, PLANT AND EQUIPMENT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 IN UNCONSOLIDATED SUBSIDIARY</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DEFERRED INCOME TAXES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69"/>
        <w:gridCol w:w="2409"/>
        <w:gridCol w:w="2421"/>
        <w:gridCol w:w="211"/>
        <w:gridCol w:w="646"/>
        <w:gridCol w:w="109"/>
        <w:gridCol w:w="109"/>
        <w:gridCol w:w="109"/>
        <w:gridCol w:w="109"/>
        <w:gridCol w:w="211"/>
        <w:gridCol w:w="646"/>
        <w:gridCol w:w="156"/>
      </w:tblGrid>
      <w:tr>
        <w:trPr/>
        <w:tc>
          <w:tcPr>
            <w:tcW w:w="3069"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(20,000,000 shares authorized at $0.01 par value) no shares outstanding at June 30, 2025 and December 31, 2024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(200,000,000 shares authorized at $0.01 par value) (105,031,217 and 109,613,585 shares issued; 83,679,985 and 91,100,322 shares outstanding at June 30, 2025 and December 31, 2024)</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(21,351,232 shares held at cost at June 30, 2025 and 18,513,263 shares held at cost at December 31, 2024)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2050"/>
                <wp:effectExtent l="0" t="0" r="0" b="0"/>
                <wp:wrapNone/>
                <wp:docPr id="6" name="Frame6"/>
                <a:graphic xmlns:a="http://schemas.openxmlformats.org/drawingml/2006/main">
                  <a:graphicData uri="http://schemas.microsoft.com/office/word/2010/wordprocessingShape">
                    <wps:wsp>
                      <wps:cNvSpPr txBox="1"/>
                      <wps:spPr>
                        <a:xfrm>
                          <a:off x="0" y="0"/>
                          <a:ext cx="6480175" cy="116205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six months ended June 30, 2025 and 2024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millions, except share and per share data; shares in millions)</w:t>
      </w:r>
    </w:p>
    <w:tbl>
      <w:tblPr>
        <w:tblW w:w="9732" w:type="dxa"/>
        <w:jc w:val="center"/>
        <w:tblInd w:w="0" w:type="dxa"/>
        <w:tblLayout w:type="fixed"/>
        <w:tblCellMar>
          <w:top w:w="28" w:type="dxa"/>
          <w:left w:w="28" w:type="dxa"/>
          <w:bottom w:w="28" w:type="dxa"/>
          <w:right w:w="28" w:type="dxa"/>
        </w:tblCellMar>
      </w:tblPr>
      <w:tblGrid>
        <w:gridCol w:w="1728"/>
        <w:gridCol w:w="1517"/>
        <w:gridCol w:w="1525"/>
        <w:gridCol w:w="109"/>
        <w:gridCol w:w="211"/>
        <w:gridCol w:w="541"/>
        <w:gridCol w:w="109"/>
        <w:gridCol w:w="109"/>
        <w:gridCol w:w="109"/>
        <w:gridCol w:w="109"/>
        <w:gridCol w:w="211"/>
        <w:gridCol w:w="541"/>
        <w:gridCol w:w="109"/>
        <w:gridCol w:w="109"/>
        <w:gridCol w:w="109"/>
        <w:gridCol w:w="109"/>
        <w:gridCol w:w="211"/>
        <w:gridCol w:w="646"/>
        <w:gridCol w:w="109"/>
        <w:gridCol w:w="109"/>
        <w:gridCol w:w="109"/>
        <w:gridCol w:w="109"/>
        <w:gridCol w:w="211"/>
        <w:gridCol w:w="601"/>
        <w:gridCol w:w="109"/>
        <w:gridCol w:w="109"/>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revenue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on natural gas purchase derivatives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investment in unconsolidated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0740"/>
                <wp:effectExtent l="0" t="0" r="0" b="0"/>
                <wp:wrapNone/>
                <wp:docPr id="7" name="Frame7"/>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six months ended June 30, 2025 and 2024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31"/>
        <w:gridCol w:w="1921"/>
        <w:gridCol w:w="1854"/>
        <w:gridCol w:w="238"/>
        <w:gridCol w:w="543"/>
        <w:gridCol w:w="122"/>
        <w:gridCol w:w="122"/>
        <w:gridCol w:w="122"/>
        <w:gridCol w:w="122"/>
        <w:gridCol w:w="238"/>
        <w:gridCol w:w="306"/>
        <w:gridCol w:w="122"/>
        <w:gridCol w:w="109"/>
        <w:gridCol w:w="109"/>
        <w:gridCol w:w="109"/>
        <w:gridCol w:w="212"/>
        <w:gridCol w:w="484"/>
        <w:gridCol w:w="109"/>
        <w:gridCol w:w="109"/>
        <w:gridCol w:w="109"/>
        <w:gridCol w:w="109"/>
        <w:gridCol w:w="212"/>
        <w:gridCol w:w="317"/>
        <w:gridCol w:w="109"/>
        <w:gridCol w:w="167"/>
      </w:tblGrid>
      <w:tr>
        <w:trPr/>
        <w:tc>
          <w:tcPr>
            <w:tcW w:w="223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6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67" w:type="dxa"/>
            <w:tcBorders/>
            <w:vAlign w:val="center"/>
          </w:tcPr>
          <w:p>
            <w:pPr>
              <w:pStyle w:val="TableContents"/>
              <w:bidi w:val="0"/>
              <w:spacing w:before="0" w:after="283"/>
              <w:jc w:val="left"/>
              <w:rPr>
                <w:sz w:val="4"/>
                <w:szCs w:val="4"/>
              </w:rPr>
            </w:pPr>
            <w:r>
              <w:rPr>
                <w:sz w:val="4"/>
                <w:szCs w:val="4"/>
              </w:rPr>
            </w:r>
          </w:p>
        </w:tc>
      </w:tr>
      <w:tr>
        <w:trPr/>
        <w:tc>
          <w:tcPr>
            <w:tcW w:w="6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comprehensive loss</w:t>
            </w:r>
            <w:r>
              <w:rPr>
                <w:rFonts w:ascii="Arial;sans-serif" w:hAnsi="Arial;sans-serif"/>
                <w:b w:val="false"/>
                <w:color w:val="000000"/>
                <w:sz w:val="13"/>
              </w:rPr>
              <w:t>(a)</w:t>
            </w:r>
            <w:r>
              <w:rPr>
                <w:rFonts w:ascii="Arial;sans-serif" w:hAnsi="Arial;sans-serif"/>
                <w:b w:val="false"/>
                <w:color w:val="000000"/>
                <w:sz w:val="20"/>
              </w:rPr>
              <w:t xml:space="preserve">: </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Actuarial gain associated with pension and postretirement plans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 included in net periodic benefit cost, net of tax</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0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 (loss)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 Tax effects of the actuarial gain associated with pension and postretirement plans and amortization of prior service cost credit were insignificant for the three and six months ended June 30, 2025 and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40740"/>
                <wp:effectExtent l="0" t="0" r="0" b="0"/>
                <wp:wrapNone/>
                <wp:docPr id="8" name="Frame8"/>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Stockholders' Equity (unaudited) </w:t>
      </w:r>
    </w:p>
    <w:p>
      <w:pPr>
        <w:pStyle w:val="TextBody"/>
        <w:bidi w:val="0"/>
        <w:spacing w:lineRule="auto" w:line="288" w:before="0" w:after="0"/>
        <w:jc w:val="center"/>
        <w:rPr/>
      </w:pPr>
      <w:r>
        <w:rPr>
          <w:rFonts w:ascii="Arial;sans-serif" w:hAnsi="Arial;sans-serif"/>
          <w:b/>
          <w:color w:val="000000"/>
          <w:sz w:val="20"/>
        </w:rPr>
        <w:t>For the three and six</w:t>
      </w:r>
      <w:r>
        <w:rPr>
          <w:color w:val="000000"/>
        </w:rPr>
        <w:t xml:space="preserve"> </w:t>
      </w:r>
      <w:r>
        <w:rPr>
          <w:rFonts w:ascii="Arial;sans-serif" w:hAnsi="Arial;sans-serif"/>
          <w:b/>
          <w:color w:val="000000"/>
          <w:sz w:val="20"/>
        </w:rPr>
        <w:t>months ended June 30, 2025 and 2024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425"/>
        <w:gridCol w:w="428"/>
        <w:gridCol w:w="343"/>
        <w:gridCol w:w="423"/>
        <w:gridCol w:w="192"/>
        <w:gridCol w:w="109"/>
        <w:gridCol w:w="109"/>
        <w:gridCol w:w="109"/>
        <w:gridCol w:w="224"/>
        <w:gridCol w:w="565"/>
        <w:gridCol w:w="124"/>
        <w:gridCol w:w="109"/>
        <w:gridCol w:w="109"/>
        <w:gridCol w:w="109"/>
        <w:gridCol w:w="276"/>
        <w:gridCol w:w="787"/>
        <w:gridCol w:w="155"/>
        <w:gridCol w:w="109"/>
        <w:gridCol w:w="109"/>
        <w:gridCol w:w="109"/>
        <w:gridCol w:w="234"/>
        <w:gridCol w:w="665"/>
        <w:gridCol w:w="130"/>
        <w:gridCol w:w="109"/>
        <w:gridCol w:w="109"/>
        <w:gridCol w:w="109"/>
        <w:gridCol w:w="438"/>
        <w:gridCol w:w="740"/>
        <w:gridCol w:w="244"/>
        <w:gridCol w:w="109"/>
        <w:gridCol w:w="109"/>
        <w:gridCol w:w="109"/>
        <w:gridCol w:w="109"/>
        <w:gridCol w:w="109"/>
        <w:gridCol w:w="109"/>
        <w:gridCol w:w="109"/>
        <w:gridCol w:w="196"/>
        <w:gridCol w:w="556"/>
        <w:gridCol w:w="164"/>
      </w:tblGrid>
      <w:tr>
        <w:trPr/>
        <w:tc>
          <w:tcPr>
            <w:tcW w:w="8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c>
          <w:tcPr>
            <w:tcW w:w="1243" w:type="dxa"/>
            <w:gridSpan w:val="6"/>
            <w:tcBorders/>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2025</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2025</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03"/>
        <w:gridCol w:w="403"/>
        <w:gridCol w:w="406"/>
        <w:gridCol w:w="352"/>
        <w:gridCol w:w="434"/>
        <w:gridCol w:w="198"/>
        <w:gridCol w:w="109"/>
        <w:gridCol w:w="109"/>
        <w:gridCol w:w="109"/>
        <w:gridCol w:w="230"/>
        <w:gridCol w:w="581"/>
        <w:gridCol w:w="128"/>
        <w:gridCol w:w="109"/>
        <w:gridCol w:w="109"/>
        <w:gridCol w:w="109"/>
        <w:gridCol w:w="290"/>
        <w:gridCol w:w="828"/>
        <w:gridCol w:w="163"/>
        <w:gridCol w:w="109"/>
        <w:gridCol w:w="109"/>
        <w:gridCol w:w="109"/>
        <w:gridCol w:w="242"/>
        <w:gridCol w:w="688"/>
        <w:gridCol w:w="134"/>
        <w:gridCol w:w="109"/>
        <w:gridCol w:w="109"/>
        <w:gridCol w:w="109"/>
        <w:gridCol w:w="396"/>
        <w:gridCol w:w="821"/>
        <w:gridCol w:w="221"/>
        <w:gridCol w:w="109"/>
        <w:gridCol w:w="109"/>
        <w:gridCol w:w="109"/>
        <w:gridCol w:w="109"/>
        <w:gridCol w:w="109"/>
        <w:gridCol w:w="109"/>
        <w:gridCol w:w="109"/>
        <w:gridCol w:w="196"/>
        <w:gridCol w:w="556"/>
        <w:gridCol w:w="164"/>
      </w:tblGrid>
      <w:tr>
        <w:trPr/>
        <w:tc>
          <w:tcPr>
            <w:tcW w:w="7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2"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2024</w:t>
            </w:r>
          </w:p>
        </w:tc>
        <w:tc>
          <w:tcPr>
            <w:tcW w:w="1461" w:type="dxa"/>
            <w:gridSpan w:val="8"/>
            <w:tcBorders/>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2024</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2024</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40740"/>
                <wp:effectExtent l="0" t="0" r="0" b="0"/>
                <wp:wrapNone/>
                <wp:docPr id="9" name="Frame9"/>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425"/>
        <w:gridCol w:w="428"/>
        <w:gridCol w:w="343"/>
        <w:gridCol w:w="423"/>
        <w:gridCol w:w="192"/>
        <w:gridCol w:w="109"/>
        <w:gridCol w:w="109"/>
        <w:gridCol w:w="109"/>
        <w:gridCol w:w="224"/>
        <w:gridCol w:w="565"/>
        <w:gridCol w:w="124"/>
        <w:gridCol w:w="109"/>
        <w:gridCol w:w="109"/>
        <w:gridCol w:w="109"/>
        <w:gridCol w:w="276"/>
        <w:gridCol w:w="787"/>
        <w:gridCol w:w="155"/>
        <w:gridCol w:w="109"/>
        <w:gridCol w:w="109"/>
        <w:gridCol w:w="109"/>
        <w:gridCol w:w="234"/>
        <w:gridCol w:w="665"/>
        <w:gridCol w:w="130"/>
        <w:gridCol w:w="109"/>
        <w:gridCol w:w="109"/>
        <w:gridCol w:w="109"/>
        <w:gridCol w:w="438"/>
        <w:gridCol w:w="740"/>
        <w:gridCol w:w="244"/>
        <w:gridCol w:w="109"/>
        <w:gridCol w:w="109"/>
        <w:gridCol w:w="109"/>
        <w:gridCol w:w="109"/>
        <w:gridCol w:w="109"/>
        <w:gridCol w:w="109"/>
        <w:gridCol w:w="109"/>
        <w:gridCol w:w="196"/>
        <w:gridCol w:w="556"/>
        <w:gridCol w:w="164"/>
      </w:tblGrid>
      <w:tr>
        <w:trPr/>
        <w:tc>
          <w:tcPr>
            <w:tcW w:w="8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c>
          <w:tcPr>
            <w:tcW w:w="1243" w:type="dxa"/>
            <w:gridSpan w:val="6"/>
            <w:tcBorders/>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2024</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2025</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425"/>
        <w:gridCol w:w="428"/>
        <w:gridCol w:w="343"/>
        <w:gridCol w:w="423"/>
        <w:gridCol w:w="192"/>
        <w:gridCol w:w="109"/>
        <w:gridCol w:w="109"/>
        <w:gridCol w:w="109"/>
        <w:gridCol w:w="224"/>
        <w:gridCol w:w="565"/>
        <w:gridCol w:w="124"/>
        <w:gridCol w:w="109"/>
        <w:gridCol w:w="109"/>
        <w:gridCol w:w="109"/>
        <w:gridCol w:w="276"/>
        <w:gridCol w:w="787"/>
        <w:gridCol w:w="155"/>
        <w:gridCol w:w="109"/>
        <w:gridCol w:w="109"/>
        <w:gridCol w:w="109"/>
        <w:gridCol w:w="234"/>
        <w:gridCol w:w="665"/>
        <w:gridCol w:w="130"/>
        <w:gridCol w:w="109"/>
        <w:gridCol w:w="109"/>
        <w:gridCol w:w="109"/>
        <w:gridCol w:w="438"/>
        <w:gridCol w:w="740"/>
        <w:gridCol w:w="244"/>
        <w:gridCol w:w="109"/>
        <w:gridCol w:w="109"/>
        <w:gridCol w:w="109"/>
        <w:gridCol w:w="109"/>
        <w:gridCol w:w="109"/>
        <w:gridCol w:w="109"/>
        <w:gridCol w:w="109"/>
        <w:gridCol w:w="196"/>
        <w:gridCol w:w="556"/>
        <w:gridCol w:w="164"/>
      </w:tblGrid>
      <w:tr>
        <w:trPr/>
        <w:tc>
          <w:tcPr>
            <w:tcW w:w="8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2024</w:t>
            </w:r>
          </w:p>
        </w:tc>
        <w:tc>
          <w:tcPr>
            <w:tcW w:w="1243" w:type="dxa"/>
            <w:gridSpan w:val="6"/>
            <w:tcBorders/>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2023</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2024</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left"/>
        <w:rPr/>
      </w:pPr>
      <w:r>
        <w:rPr/>
      </w:r>
    </w:p>
    <w:p>
      <w:pPr>
        <w:pStyle w:val="TextBody"/>
        <w:bidi w:val="0"/>
        <w:spacing w:before="0" w:after="40"/>
        <w:ind w:left="0" w:right="0" w:hanging="180"/>
        <w:jc w:val="left"/>
        <w:rPr/>
      </w:pPr>
      <w:r>
        <w:rPr/>
      </w:r>
    </w:p>
    <w:p>
      <w:pPr>
        <w:pStyle w:val="TextBody"/>
        <w:bidi w:val="0"/>
        <w:spacing w:before="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40740"/>
                <wp:effectExtent l="0" t="0" r="0" b="0"/>
                <wp:wrapNone/>
                <wp:docPr id="10" name="Frame10"/>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(unaudited)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six months ended June 30, 2025 and 2024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927"/>
        <w:gridCol w:w="1636"/>
        <w:gridCol w:w="1645"/>
        <w:gridCol w:w="211"/>
        <w:gridCol w:w="481"/>
        <w:gridCol w:w="109"/>
        <w:gridCol w:w="109"/>
        <w:gridCol w:w="109"/>
        <w:gridCol w:w="109"/>
        <w:gridCol w:w="211"/>
        <w:gridCol w:w="646"/>
        <w:gridCol w:w="109"/>
        <w:gridCol w:w="109"/>
        <w:gridCol w:w="109"/>
        <w:gridCol w:w="109"/>
        <w:gridCol w:w="211"/>
        <w:gridCol w:w="481"/>
        <w:gridCol w:w="109"/>
        <w:gridCol w:w="109"/>
        <w:gridCol w:w="109"/>
        <w:gridCol w:w="109"/>
        <w:gridCol w:w="211"/>
        <w:gridCol w:w="646"/>
        <w:gridCol w:w="109"/>
        <w:gridCol w:w="109"/>
        <w:gridCol w:w="109"/>
        <w:gridCol w:w="109"/>
        <w:gridCol w:w="155"/>
      </w:tblGrid>
      <w:tr>
        <w:trPr/>
        <w:tc>
          <w:tcPr>
            <w:tcW w:w="192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OPERATING ACTIVITIES</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Adjustments to reconcile net income (loss) to net cash provided by operating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provision (benefit)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commodity derivatives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payments on settled commodity derivatives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on early extinguishment of debt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non-cash charges to income,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changes in operating assets and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INVESTING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divestitures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FINANCING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Revolving Credit Facility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2029 Senior Notes,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equivalents on equity-settled awards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Bridge loan commitments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amendment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redemption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cash (used in) provided by financing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Increase (decrease) in cash and cash equivalents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equivalents—beginning of period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40740"/>
                <wp:effectExtent l="0" t="0" r="0" b="0"/>
                <wp:wrapNone/>
                <wp:docPr id="11" name="Frame11"/>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June 30, 2025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On July 1, 2024, pursuant to the Agreement and Plan of Merger, dated as of February 7, 2024 (the Merger Agreement), we obtained all of the ownership interests in Aera Energy LLC (Aera) (Aera Merger). Our consolidated results of operations include the results of Aera beginning July 1, 2024, the closing date of the Aera Merger. The Aera Merger significantly impacted the comparability of our financial results for the three and six months ended June 30, 2025 as compared to the three and six months ended June 30, 2024. See </w:t>
      </w:r>
      <w:r>
        <w:rPr>
          <w:rFonts w:ascii="Arial;sans-serif" w:hAnsi="Arial;sans-serif"/>
          <w:b w:val="false"/>
          <w:i/>
          <w:color w:val="000000"/>
          <w:sz w:val="20"/>
        </w:rPr>
        <w:t xml:space="preserve">Note 2 Aera Merger </w:t>
      </w:r>
      <w:r>
        <w:rPr>
          <w:rFonts w:ascii="Arial;sans-serif" w:hAnsi="Arial;sans-serif"/>
          <w:b w:val="false"/>
          <w:color w:val="000000"/>
          <w:sz w:val="20"/>
        </w:rPr>
        <w:t>for transaction details.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Except when the context otherwise requires or where otherwise indicated, all references to ‘‘CRC,’’ the ‘‘Company,’’ ‘‘we,’’ ‘‘us’’ and ‘‘our’’ refer to California Resources Corporation and its subsidiaries as of the date presented.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the opinion of our management, the accompanying unaudited condensed consolidated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investments in our unconsolidated subsidiaries are recognized either at cost, as is the case with </w:t>
      </w:r>
      <w:r>
        <w:rPr>
          <w:rFonts w:ascii="Arial;sans-serif" w:hAnsi="Arial;sans-serif"/>
          <w:b w:val="false"/>
          <w:color w:val="000000"/>
          <w:sz w:val="20"/>
          <w:shd w:fill="FFFFFF" w:val="clear"/>
        </w:rPr>
        <w:t>Carbon TerraVault JV HoldCo, LLC, or at fair value if acquired in a business combination, as is the case for Midway Sunset Cogeneration Company. These investments are then</w:t>
      </w:r>
      <w:r>
        <w:rPr>
          <w:color w:val="000000"/>
        </w:rPr>
        <w:t xml:space="preserve"> </w:t>
      </w:r>
      <w:r>
        <w:rPr>
          <w:rFonts w:ascii="Arial;sans-serif" w:hAnsi="Arial;sans-serif"/>
          <w:b w:val="false"/>
          <w:color w:val="000000"/>
          <w:sz w:val="20"/>
        </w:rPr>
        <w:t xml:space="preserve">adjusted for our proportionate share of income or loss in addition to contributions and distributions.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2024 (2024 Annual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carrying amounts of cash, cash equivalents and on-balance sheet financial instruments, other than debt, approximate fair value. Refer to </w:t>
      </w:r>
      <w:r>
        <w:rPr>
          <w:rFonts w:ascii="Arial;sans-serif" w:hAnsi="Arial;sans-serif"/>
          <w:b w:val="false"/>
          <w:i/>
          <w:color w:val="000000"/>
          <w:sz w:val="20"/>
        </w:rPr>
        <w:t>Note 4 Debt</w:t>
      </w:r>
      <w:r>
        <w:rPr>
          <w:color w:val="000000"/>
        </w:rPr>
        <w:t xml:space="preserve"> </w:t>
      </w:r>
      <w:r>
        <w:rPr>
          <w:rFonts w:ascii="Arial;sans-serif" w:hAnsi="Arial;sans-serif"/>
          <w:b w:val="false"/>
          <w:color w:val="000000"/>
          <w:sz w:val="20"/>
        </w:rPr>
        <w:t xml:space="preserve">for the fair value of our debt.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AERA MERGER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1, 2024, we obtained by way of merger all of the ownership interests in Aera. Aera is a leading operator of mature fields in California, primarily in the San Joaquin and Ventura basins, with high oil-weighted production. The Aera Merger adds significant proved developed reserves to CRC. In connection with the closing of the Aera Merger, we issued shares of common stock to the former Aera owners. We also paid approximately $990 million in connection with the extinguishment of all of Aera's outstanding indebtedness using the proceeds from the issuance of our 8.25% senior notes due 2029 (2029 Senior Notes) and cash on hand.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As of July 1, 2024, and immediately following closing of the Aera Merger, our existing stockholders prior to the Aera Merger owned 76% of CRC and the former owners of Aera owned 24% of CRC. For more information on the 2029 Senior Notes, refer to </w:t>
      </w:r>
      <w:r>
        <w:rPr>
          <w:rFonts w:ascii="Arial;sans-serif" w:hAnsi="Arial;sans-serif"/>
          <w:b w:val="false"/>
          <w:i/>
          <w:color w:val="000000"/>
          <w:sz w:val="20"/>
        </w:rPr>
        <w:t xml:space="preserve">Note 4 Debt. </w:t>
      </w:r>
      <w:r>
        <w:rPr>
          <w:rFonts w:ascii="Arial;sans-serif" w:hAnsi="Arial;sans-serif"/>
          <w:b w:val="false"/>
          <w:color w:val="000000"/>
          <w:sz w:val="20"/>
        </w:rPr>
        <w:t>See</w:t>
      </w:r>
      <w:r>
        <w:rPr>
          <w:color w:val="000000"/>
        </w:rPr>
        <w:t xml:space="preserve"> </w:t>
      </w:r>
      <w:r>
        <w:rPr>
          <w:rFonts w:ascii="Arial;sans-serif" w:hAnsi="Arial;sans-serif"/>
          <w:b w:val="false"/>
          <w:i/>
          <w:color w:val="000000"/>
          <w:sz w:val="20"/>
        </w:rPr>
        <w:t xml:space="preserve">Note 10 Stockholders' Equity </w:t>
      </w:r>
      <w:r>
        <w:rPr>
          <w:rFonts w:ascii="Arial;sans-serif" w:hAnsi="Arial;sans-serif"/>
          <w:b w:val="false"/>
          <w:color w:val="000000"/>
          <w:sz w:val="20"/>
        </w:rPr>
        <w:t xml:space="preserve">for details on a repurchase of shares during the second quarter of 2025 from one of the former Aera owners.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measured assets and liabilities at acquisition date fair value on a nonrecurring basis.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consideration transferred: </w:t>
      </w:r>
    </w:p>
    <w:p>
      <w:pPr>
        <w:pStyle w:val="TextBody"/>
        <w:bidi w:val="0"/>
        <w:spacing w:before="0" w:after="0"/>
        <w:ind w:left="0" w:right="0" w:firstLine="360"/>
        <w:jc w:val="left"/>
        <w:rPr/>
      </w:pPr>
      <w:r>
        <w:rPr/>
      </w:r>
    </w:p>
    <w:tbl>
      <w:tblPr>
        <w:tblW w:w="8322" w:type="dxa"/>
        <w:jc w:val="left"/>
        <w:tblInd w:w="0" w:type="dxa"/>
        <w:tblLayout w:type="fixed"/>
        <w:tblCellMar>
          <w:top w:w="28" w:type="dxa"/>
          <w:left w:w="28" w:type="dxa"/>
          <w:bottom w:w="28" w:type="dxa"/>
          <w:right w:w="28" w:type="dxa"/>
        </w:tblCellMar>
      </w:tblPr>
      <w:tblGrid>
        <w:gridCol w:w="1650"/>
        <w:gridCol w:w="1453"/>
        <w:gridCol w:w="1457"/>
        <w:gridCol w:w="109"/>
        <w:gridCol w:w="109"/>
        <w:gridCol w:w="109"/>
        <w:gridCol w:w="714"/>
        <w:gridCol w:w="2196"/>
        <w:gridCol w:w="525"/>
      </w:tblGrid>
      <w:tr>
        <w:trP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Merger Consideration</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share and per share data)</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Shares of common stock (dividend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21,422,972 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Common stock per share fair value on July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Fair value of share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1,141 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Settlement of Aera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990 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Purchase price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Total 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2,121 </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represents the final purchase price allocation to the identifiable assets acquired and the liabilities assumed based on their estimated fair values as of the closing date of the Aera Merger: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1"/>
        <w:gridCol w:w="762"/>
        <w:gridCol w:w="695"/>
        <w:gridCol w:w="714"/>
        <w:gridCol w:w="2189"/>
        <w:gridCol w:w="369"/>
        <w:gridCol w:w="109"/>
        <w:gridCol w:w="109"/>
        <w:gridCol w:w="109"/>
        <w:gridCol w:w="377"/>
        <w:gridCol w:w="727"/>
        <w:gridCol w:w="196"/>
        <w:gridCol w:w="109"/>
        <w:gridCol w:w="109"/>
        <w:gridCol w:w="109"/>
        <w:gridCol w:w="527"/>
        <w:gridCol w:w="1619"/>
        <w:gridCol w:w="395"/>
      </w:tblGrid>
      <w:tr>
        <w:trPr/>
        <w:tc>
          <w:tcPr>
            <w:tcW w:w="98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Preliminary Purchase Price Allocation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Adjustments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Purchase Price Allocation as of June 30, 2025</w:t>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 Acquired</w:t>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w:t>
            </w:r>
          </w:p>
        </w:tc>
        <w:tc>
          <w:tcPr>
            <w:tcW w:w="2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Inventories</w:t>
            </w:r>
          </w:p>
        </w:tc>
        <w:tc>
          <w:tcPr>
            <w:tcW w:w="2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2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2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2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3,080 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Pension and other postretirement benefits</w:t>
            </w:r>
          </w:p>
        </w:tc>
        <w:tc>
          <w:tcPr>
            <w:tcW w:w="2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 Acquired</w:t>
            </w:r>
          </w:p>
        </w:tc>
        <w:tc>
          <w:tcPr>
            <w:tcW w:w="2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3,679 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Assumed</w:t>
            </w:r>
          </w:p>
        </w:tc>
        <w:tc>
          <w:tcPr>
            <w:tcW w:w="3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2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2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Pension and other postretirement benefits</w:t>
            </w:r>
          </w:p>
        </w:tc>
        <w:tc>
          <w:tcPr>
            <w:tcW w:w="2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2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Assumed</w:t>
            </w:r>
          </w:p>
        </w:tc>
        <w:tc>
          <w:tcPr>
            <w:tcW w:w="2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Assets Acquired</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r>
      <w:tr>
        <w:trPr/>
        <w:tc>
          <w:tcPr>
            <w:tcW w:w="2438" w:type="dxa"/>
            <w:gridSpan w:val="3"/>
            <w:tcBorders/>
            <w:vAlign w:val="center"/>
          </w:tcPr>
          <w:p>
            <w:pPr>
              <w:pStyle w:val="TableContents"/>
              <w:bidi w:val="0"/>
              <w:spacing w:before="0" w:after="283"/>
              <w:jc w:val="left"/>
              <w:rPr>
                <w:sz w:val="4"/>
                <w:szCs w:val="4"/>
              </w:rPr>
            </w:pPr>
            <w:r>
              <w:rPr>
                <w:sz w:val="4"/>
                <w:szCs w:val="4"/>
              </w:rPr>
            </w:r>
          </w:p>
        </w:tc>
        <w:tc>
          <w:tcPr>
            <w:tcW w:w="3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Supplemental Pro Forma Information (unaudited)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supplemental pro forma financial information presents the condensed consolidated results of operations for the three and six months ended June 30, 2024 as if the Aera Merger had occurred on January 1, 2024.</w:t>
      </w:r>
    </w:p>
    <w:p>
      <w:pPr>
        <w:pStyle w:val="TextBody"/>
        <w:bidi w:val="0"/>
        <w:spacing w:before="0" w:after="0"/>
        <w:jc w:val="left"/>
        <w:rPr/>
      </w:pPr>
      <w:r>
        <w:rPr/>
      </w:r>
    </w:p>
    <w:tbl>
      <w:tblPr>
        <w:tblW w:w="8765" w:type="dxa"/>
        <w:jc w:val="left"/>
        <w:tblInd w:w="0" w:type="dxa"/>
        <w:tblLayout w:type="fixed"/>
        <w:tblCellMar>
          <w:top w:w="28" w:type="dxa"/>
          <w:left w:w="28" w:type="dxa"/>
          <w:bottom w:w="28" w:type="dxa"/>
          <w:right w:w="28" w:type="dxa"/>
        </w:tblCellMar>
      </w:tblPr>
      <w:tblGrid>
        <w:gridCol w:w="968"/>
        <w:gridCol w:w="848"/>
        <w:gridCol w:w="854"/>
        <w:gridCol w:w="626"/>
        <w:gridCol w:w="1916"/>
        <w:gridCol w:w="323"/>
        <w:gridCol w:w="109"/>
        <w:gridCol w:w="109"/>
        <w:gridCol w:w="109"/>
        <w:gridCol w:w="576"/>
        <w:gridCol w:w="1766"/>
        <w:gridCol w:w="298"/>
        <w:gridCol w:w="109"/>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income (loss)</w:t>
            </w:r>
            <w:r>
              <w:rPr>
                <w:rFonts w:ascii="Arial;sans-serif" w:hAnsi="Arial;sans-serif"/>
                <w:b w:val="false"/>
                <w:color w:val="000000"/>
                <w:sz w:val="13"/>
              </w:rPr>
              <w:t>(a)</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 per share</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 xml:space="preserve">(a)The six months ended June 30, 2024 reflects a net loss of </w:t>
      </w:r>
      <w:r>
        <w:rPr>
          <w:rFonts w:ascii="Arial;sans-serif" w:hAnsi="Arial;sans-serif"/>
          <w:b w:val="false"/>
          <w:color w:val="000000"/>
          <w:sz w:val="16"/>
        </w:rPr>
        <w:t>$118 million</w:t>
      </w:r>
      <w:r>
        <w:rPr>
          <w:color w:val="000000"/>
          <w:shd w:fill="FFFFFF" w:val="clear"/>
        </w:rPr>
        <w:t xml:space="preserve"> </w:t>
      </w:r>
      <w:r>
        <w:rPr>
          <w:rFonts w:ascii="Arial;sans-serif" w:hAnsi="Arial;sans-serif"/>
          <w:b w:val="false"/>
          <w:color w:val="000000"/>
          <w:sz w:val="16"/>
          <w:shd w:fill="FFFFFF" w:val="clear"/>
        </w:rPr>
        <w:t>primarily resulting from a significant net loss on commodity derivatives related to hedge positions held by Aera.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pro forma information is presented for illustration purposes only and is not necessarily indicative of the operating results that would have occurred had the Aera Merger been completed on January 1, 2024, nor is it necessarily indicative of future operating results of the combined entity. The pro forma financial information for the three and six months ended June 30, 2024 is a result of combining our three and six months statements of operations with Aera's pre-merger results from January 1, 2024 and the pro forma adjustments include estimates and assumptions based on currently available information. The pro forma results do not reflect any cost savings anticipated as a result of the Aera Merger and exclude the impact of any severance. The pro forma results include adjustments to depreciation, depletion and amortization (DD&amp;A) based on the purchase price allocated to property, plant, and equipment and the estimated useful lives as well as adjustments to interest and accretion expense. We also included pro forma adjustments for certain compensation-related costs and transaction costs we incurred related to the Aera Merger. Management believes the estimates and assumptions are reasonable, and the relative effects of the Aera Merger are properly reflected. Future results may vary significantly from the financial results reflected in the table above.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3    INVESTMENTS AND RELATED PARTY TRANSACTIONS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tables present changes to our investments in unconsolidated subsidiaries for the periods presented: </w:t>
      </w:r>
    </w:p>
    <w:p>
      <w:pPr>
        <w:pStyle w:val="TextBody"/>
        <w:bidi w:val="0"/>
        <w:spacing w:before="0" w:after="0"/>
        <w:jc w:val="both"/>
        <w:rPr/>
      </w:pPr>
      <w:r>
        <w:rPr/>
      </w:r>
    </w:p>
    <w:tbl>
      <w:tblPr>
        <w:tblW w:w="6674" w:type="dxa"/>
        <w:jc w:val="left"/>
        <w:tblInd w:w="0" w:type="dxa"/>
        <w:tblLayout w:type="fixed"/>
        <w:tblCellMar>
          <w:top w:w="28" w:type="dxa"/>
          <w:left w:w="28" w:type="dxa"/>
          <w:bottom w:w="28" w:type="dxa"/>
          <w:right w:w="28" w:type="dxa"/>
        </w:tblCellMar>
      </w:tblPr>
      <w:tblGrid>
        <w:gridCol w:w="1640"/>
        <w:gridCol w:w="1441"/>
        <w:gridCol w:w="1448"/>
        <w:gridCol w:w="610"/>
        <w:gridCol w:w="1087"/>
        <w:gridCol w:w="448"/>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Carbon TerraVault JV</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December 31, 2024</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Contributions</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June 30, 2025</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08"/>
        <w:gridCol w:w="2098"/>
        <w:gridCol w:w="2109"/>
        <w:gridCol w:w="1020"/>
        <w:gridCol w:w="1820"/>
        <w:gridCol w:w="750"/>
      </w:tblGrid>
      <w:tr>
        <w:trPr/>
        <w:tc>
          <w:tcPr>
            <w:tcW w:w="240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Midway Sunset Cogeneration Company</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December 31, 2024</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Adjustment to the preliminary purchase price allocation (see </w:t>
            </w:r>
            <w:r>
              <w:rPr>
                <w:rFonts w:ascii="Arial;sans-serif" w:hAnsi="Arial;sans-serif"/>
                <w:b w:val="false"/>
                <w:i/>
                <w:color w:val="000000"/>
                <w:sz w:val="20"/>
              </w:rPr>
              <w:t>Note 2 Aera Merger</w:t>
            </w:r>
            <w:r>
              <w:rPr>
                <w:rFonts w:ascii="Arial;sans-serif" w:hAnsi="Arial;sans-serif"/>
                <w:b w:val="false"/>
                <w:color w:val="000000"/>
                <w:sz w:val="20"/>
              </w:rPr>
              <w:t>)</w:t>
            </w:r>
          </w:p>
        </w:tc>
        <w:tc>
          <w:tcPr>
            <w:tcW w:w="2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from investment in unconsolidated subsidiary</w:t>
            </w:r>
          </w:p>
        </w:tc>
        <w:tc>
          <w:tcPr>
            <w:tcW w:w="2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3590"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June 30, 2025</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Carbon TerraVault JV</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August 2022, we entered into a joint venture with BGTF Sierra Aggregator LLC (Brookfield) for the further development of a carbon management business in California (Carbon TerraVault JV). We hold a </w:t>
      </w:r>
      <w:r>
        <w:rPr>
          <w:rFonts w:ascii="Arial;sans-serif" w:hAnsi="Arial;sans-serif"/>
          <w:b w:val="false"/>
          <w:color w:val="000000"/>
          <w:sz w:val="20"/>
        </w:rPr>
        <w:t>51%</w:t>
      </w:r>
      <w:r>
        <w:rPr>
          <w:color w:val="000000"/>
          <w:shd w:fill="FFFFFF" w:val="clear"/>
        </w:rPr>
        <w:t xml:space="preserve"> </w:t>
      </w:r>
      <w:r>
        <w:rPr>
          <w:rFonts w:ascii="Arial;sans-serif" w:hAnsi="Arial;sans-serif"/>
          <w:b w:val="false"/>
          <w:color w:val="000000"/>
          <w:sz w:val="20"/>
          <w:shd w:fill="FFFFFF" w:val="clear"/>
        </w:rPr>
        <w:t xml:space="preserve">interest in the Carbon TerraVault JV and Brookfield holds a </w:t>
      </w:r>
      <w:r>
        <w:rPr>
          <w:rFonts w:ascii="Arial;sans-serif" w:hAnsi="Arial;sans-serif"/>
          <w:b w:val="false"/>
          <w:color w:val="000000"/>
          <w:sz w:val="20"/>
        </w:rPr>
        <w:t>49%</w:t>
      </w:r>
      <w:r>
        <w:rPr>
          <w:color w:val="000000"/>
          <w:shd w:fill="FFFFFF" w:val="clear"/>
        </w:rPr>
        <w:t xml:space="preserve"> </w:t>
      </w:r>
      <w:r>
        <w:rPr>
          <w:rFonts w:ascii="Arial;sans-serif" w:hAnsi="Arial;sans-serif"/>
          <w:b w:val="false"/>
          <w:color w:val="000000"/>
          <w:sz w:val="20"/>
          <w:shd w:fill="FFFFFF" w:val="clear"/>
        </w:rPr>
        <w:t>interest. The Carbon TerraVault JV holds rights to inject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into the 26R reservoir in our Elk Hills field for permanent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storage (26R reservoir).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Because the parties have certain put and call rights (repurchase features) with respect to the 26R reservoir if certain milestones are not met, the initial investment by Brookfield is reflected as a contingent liability included in other long-term liabilities on our condensed consolidated balance sheets. The contingent liability was $107 million at December 31, 2024 and $112 million at June 30, 2025, inclusive of interest. The amount payable to Brookfield under the put and call rights, if exercised, includes additional capital contributions made by Brookfield to develop the 26R storage reservoir, inclusive of interest. This payment would differ from the contingent liability currently recognized because the contingent liability reported in other long-term liabilities on our condensed consolidated balance sheet relates solely to the initial investment and does not include capital contributions made by Brookfield for ongoing development activities to the Carbon TerraVault JV.</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 below presents the summarized financial information related to our equity method investment in the Carbon TerraVault JV (and does not include amounts we have incurred related to development of our carbon management business, Carbon TerraVault), along with related party transactions for the periods presented. </w:t>
      </w:r>
    </w:p>
    <w:p>
      <w:pPr>
        <w:pStyle w:val="TextBody"/>
        <w:bidi w:val="0"/>
        <w:spacing w:before="0" w:after="0"/>
        <w:jc w:val="left"/>
        <w:rPr/>
      </w:pPr>
      <w:r>
        <w:rPr/>
      </w:r>
    </w:p>
    <w:tbl>
      <w:tblPr>
        <w:tblW w:w="5067" w:type="dxa"/>
        <w:jc w:val="left"/>
        <w:tblInd w:w="0" w:type="dxa"/>
        <w:tblLayout w:type="fixed"/>
        <w:tblCellMar>
          <w:top w:w="28" w:type="dxa"/>
          <w:left w:w="28" w:type="dxa"/>
          <w:bottom w:w="28" w:type="dxa"/>
          <w:right w:w="28" w:type="dxa"/>
        </w:tblCellMar>
      </w:tblPr>
      <w:tblGrid>
        <w:gridCol w:w="885"/>
        <w:gridCol w:w="778"/>
        <w:gridCol w:w="782"/>
        <w:gridCol w:w="233"/>
        <w:gridCol w:w="532"/>
        <w:gridCol w:w="120"/>
        <w:gridCol w:w="109"/>
        <w:gridCol w:w="109"/>
        <w:gridCol w:w="109"/>
        <w:gridCol w:w="351"/>
        <w:gridCol w:w="801"/>
        <w:gridCol w:w="258"/>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Receivable from affiliate</w:t>
            </w:r>
            <w:r>
              <w:rPr>
                <w:rFonts w:ascii="Arial;sans-serif" w:hAnsi="Arial;sans-serif"/>
                <w:b w:val="false"/>
                <w:color w:val="000000"/>
                <w:sz w:val="13"/>
              </w:rPr>
              <w:t>(a)</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long-term liabilities</w:t>
            </w:r>
            <w:r>
              <w:rPr>
                <w:rFonts w:ascii="Arial;sans-serif" w:hAnsi="Arial;sans-serif"/>
                <w:b w:val="false"/>
                <w:color w:val="000000"/>
                <w:sz w:val="13"/>
              </w:rPr>
              <w:t>(b)</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At June 30, 2025, the amount of $31 million includes the remaining $28 million of Brookfield's first and second installments of their initial investment which is available to us and $3 million related to the Master Service Agreement (MSA) and vendor reimbursements. At December 31, 2024, the amount of $46 million includes $43 million remaining of Brookfield's initial contribution available to us and $3 million related to the MSA and vendor reimbursements.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(b)Other long-term liabilities include the contingent liability related to the Carbon TerraVault JV put and call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recognized a loss of $1 million and $2 million for the three and six months ended June 30, 2025, respectively, and a loss of $4 million and $7 million for the three and six months ended June 30, 2024, respectively, related to our investment in the Carbon TerraVault JV.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are also performing well abandonment work at our Elk Hills field to prepare our 26R reservoir for injection of CO</w:t>
      </w:r>
      <w:r>
        <w:rPr>
          <w:rFonts w:ascii="Arial;sans-serif" w:hAnsi="Arial;sans-serif"/>
          <w:b w:val="false"/>
          <w:color w:val="000000"/>
          <w:sz w:val="13"/>
        </w:rPr>
        <w:t>2</w:t>
      </w:r>
      <w:r>
        <w:rPr>
          <w:rFonts w:ascii="Arial;sans-serif" w:hAnsi="Arial;sans-serif"/>
          <w:b w:val="false"/>
          <w:color w:val="000000"/>
          <w:sz w:val="20"/>
        </w:rPr>
        <w:t xml:space="preserve">. During the three and six months ended June 30, 2025, we performed abandonment work and sought reimbursement in the amounts of $6 million and $8 million, respectively, from the Carbon TerraVault JV. During the three and six months ended June 30, 2024, we performed abandonment work and sought reimbursement in the amounts of $5 million and $9 million, respectively, from the Carbon TerraVault JV. We recorded these reimbursements as a reduction to property, plant and equipment, net on our condensed consolidated balance sheets.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Midway Sunset Cogeneration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In July 2024, our merger with Aera led to our partial ownership of Midway Sunset Cogeneration Company, which owns, manages, and operates a cogeneration facility in Kern County, California. The Midway Sunset Cogeneration Company is owned 50% by us and 50% by San Joaquin Energy Company, a subsidiary of NRG Energy Inc. We recorded our investment in the Midway Sunset Cogeneration Company at $52 million as of July 1, 2024, which was $41 million</w:t>
      </w:r>
      <w:r>
        <w:rPr>
          <w:color w:val="000000"/>
          <w:shd w:fill="FFFFFF" w:val="clear"/>
        </w:rPr>
        <w:t xml:space="preserve"> </w:t>
      </w:r>
      <w:r>
        <w:rPr>
          <w:rFonts w:ascii="Arial;sans-serif" w:hAnsi="Arial;sans-serif"/>
          <w:b w:val="false"/>
          <w:color w:val="000000"/>
          <w:sz w:val="20"/>
          <w:shd w:fill="FFFFFF" w:val="clear"/>
        </w:rPr>
        <w:t>in</w:t>
      </w:r>
      <w:r>
        <w:rPr>
          <w:color w:val="000000"/>
        </w:rPr>
        <w:t xml:space="preserve"> </w:t>
      </w:r>
      <w:r>
        <w:rPr>
          <w:rFonts w:ascii="Arial;sans-serif" w:hAnsi="Arial;sans-serif"/>
          <w:b w:val="false"/>
          <w:color w:val="000000"/>
          <w:sz w:val="20"/>
        </w:rPr>
        <w:t xml:space="preserve">excess of the carrying value of the underlying assets held by the partnership. This difference is associated with property, plant and equipment and we expect this amount will reverse over the remaining useful life of the power plant. There are no significant transactions between us and Midway Sunset Cogeneration Company. Our 50% share of the net income related to our investment in Midway Sunset Cogeneration Company for the three and six months ended June 30, 2025 was $1 million.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4    DEBT</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of June 30, 2025 and December 31, 2024, our long-term debt consisted of the following:</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318"/>
        <w:gridCol w:w="1115"/>
        <w:gridCol w:w="1119"/>
        <w:gridCol w:w="228"/>
        <w:gridCol w:w="520"/>
        <w:gridCol w:w="117"/>
        <w:gridCol w:w="109"/>
        <w:gridCol w:w="109"/>
        <w:gridCol w:w="109"/>
        <w:gridCol w:w="281"/>
        <w:gridCol w:w="864"/>
        <w:gridCol w:w="147"/>
        <w:gridCol w:w="109"/>
        <w:gridCol w:w="109"/>
        <w:gridCol w:w="109"/>
        <w:gridCol w:w="663"/>
        <w:gridCol w:w="663"/>
        <w:gridCol w:w="666"/>
        <w:gridCol w:w="109"/>
        <w:gridCol w:w="109"/>
        <w:gridCol w:w="109"/>
        <w:gridCol w:w="462"/>
        <w:gridCol w:w="436"/>
        <w:gridCol w:w="625"/>
      </w:tblGrid>
      <w:tr>
        <w:trPr/>
        <w:tc>
          <w:tcPr>
            <w:tcW w:w="131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1850" w:type="dxa"/>
            <w:gridSpan w:val="6"/>
            <w:tcBorders/>
          </w:tcPr>
          <w:p>
            <w:pPr>
              <w:pStyle w:val="TableContents"/>
              <w:bidi w:val="0"/>
              <w:spacing w:before="0" w:after="283"/>
              <w:jc w:val="left"/>
              <w:rPr>
                <w:sz w:val="4"/>
                <w:szCs w:val="4"/>
              </w:rPr>
            </w:pPr>
            <w:r>
              <w:rPr>
                <w:sz w:val="4"/>
                <w:szCs w:val="4"/>
              </w:rPr>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Maturity</w:t>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SOFR plus 2.50%-3.50%</w:t>
            </w:r>
          </w:p>
          <w:p>
            <w:pPr>
              <w:pStyle w:val="TableContents"/>
              <w:bidi w:val="0"/>
              <w:spacing w:lineRule="auto" w:line="240" w:before="0" w:after="0"/>
              <w:jc w:val="center"/>
              <w:rPr/>
            </w:pPr>
            <w:r>
              <w:rPr>
                <w:rFonts w:ascii="Arial;sans-serif" w:hAnsi="Arial;sans-serif"/>
                <w:b w:val="false"/>
                <w:color w:val="000000"/>
                <w:sz w:val="20"/>
              </w:rPr>
              <w:t>ABR plus 1.50%-2.50%</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March 16, 2029</w:t>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Senior Notes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February 1, 2026</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Senior Notes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June 15, 2029</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Principal amount</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Unamortized debt discount and issuance costs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Unamortized premium</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debt, net</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Long-term debt, net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(a)</w:t>
      </w:r>
      <w:r>
        <w:rPr>
          <w:rFonts w:ascii="Arial;sans-serif" w:hAnsi="Arial;sans-serif"/>
          <w:b w:val="false"/>
          <w:color w:val="000000"/>
          <w:sz w:val="16"/>
          <w:shd w:fill="FFFFFF" w:val="clear"/>
        </w:rPr>
        <w:t xml:space="preserve">At our election, borrowings under the amended Revolving Credit Facility may be alternate base rate (ABR) loans or term SOFR loans, plus an applicable margin. ABR loans bear interest at a rate equal to the highest of (i) the federal funds effective rate plus </w:t>
      </w:r>
      <w:r>
        <w:rPr>
          <w:rFonts w:ascii="Arial;sans-serif" w:hAnsi="Arial;sans-serif"/>
          <w:b w:val="false"/>
          <w:color w:val="000000"/>
          <w:sz w:val="16"/>
        </w:rPr>
        <w:t>0.50%</w:t>
      </w:r>
      <w:r>
        <w:rPr>
          <w:rFonts w:ascii="Arial;sans-serif" w:hAnsi="Arial;sans-serif"/>
          <w:b w:val="false"/>
          <w:color w:val="000000"/>
          <w:sz w:val="16"/>
          <w:shd w:fill="FFFFFF" w:val="clear"/>
        </w:rPr>
        <w:t xml:space="preserve">, (ii) the administrative agent prime rate and (iii) the one-month SOFR rate plus </w:t>
      </w:r>
      <w:r>
        <w:rPr>
          <w:rFonts w:ascii="Arial;sans-serif" w:hAnsi="Arial;sans-serif"/>
          <w:b w:val="false"/>
          <w:color w:val="000000"/>
          <w:sz w:val="16"/>
        </w:rPr>
        <w:t>1%</w:t>
      </w:r>
      <w:r>
        <w:rPr>
          <w:rFonts w:ascii="Arial;sans-serif" w:hAnsi="Arial;sans-serif"/>
          <w:b w:val="false"/>
          <w:color w:val="000000"/>
          <w:sz w:val="16"/>
          <w:shd w:fill="FFFFFF" w:val="clear"/>
        </w:rPr>
        <w:t xml:space="preserve">. Term SOFR loans bear interest at term SOFR, plus an additional </w:t>
      </w:r>
      <w:r>
        <w:rPr>
          <w:rFonts w:ascii="Arial;sans-serif" w:hAnsi="Arial;sans-serif"/>
          <w:b w:val="false"/>
          <w:color w:val="000000"/>
          <w:sz w:val="16"/>
        </w:rPr>
        <w:t>10</w:t>
      </w:r>
      <w:r>
        <w:rPr>
          <w:color w:val="000000"/>
          <w:shd w:fill="FFFFFF" w:val="clear"/>
        </w:rPr>
        <w:t xml:space="preserve"> </w:t>
      </w:r>
      <w:r>
        <w:rPr>
          <w:rFonts w:ascii="Arial;sans-serif" w:hAnsi="Arial;sans-serif"/>
          <w:b w:val="false"/>
          <w:color w:val="000000"/>
          <w:sz w:val="16"/>
          <w:shd w:fill="FFFFFF" w:val="clear"/>
        </w:rPr>
        <w:t>basis points per annum credit spread adjustment.</w:t>
      </w:r>
      <w:r>
        <w:rPr>
          <w:color w:val="000000"/>
        </w:rPr>
        <w:t xml:space="preserve"> </w:t>
      </w:r>
      <w:r>
        <w:rPr>
          <w:rFonts w:ascii="Arial;sans-serif" w:hAnsi="Arial;sans-serif"/>
          <w:b w:val="false"/>
          <w:color w:val="000000"/>
          <w:sz w:val="16"/>
          <w:shd w:fill="FFFFFF" w:val="clear"/>
        </w:rPr>
        <w:t xml:space="preserve">The applicable margin is adjusted based on a commitment utilization percentage and will vary from (i) in the case of ABR loans, </w:t>
      </w:r>
      <w:r>
        <w:rPr>
          <w:rFonts w:ascii="Arial;sans-serif" w:hAnsi="Arial;sans-serif"/>
          <w:b w:val="false"/>
          <w:color w:val="000000"/>
          <w:sz w:val="16"/>
        </w:rPr>
        <w:t>1.50%</w:t>
      </w:r>
      <w:r>
        <w:rPr>
          <w:color w:val="000000"/>
          <w:shd w:fill="FFFFFF" w:val="clear"/>
        </w:rPr>
        <w:t xml:space="preserve"> </w:t>
      </w:r>
      <w:r>
        <w:rPr>
          <w:rFonts w:ascii="Arial;sans-serif" w:hAnsi="Arial;sans-serif"/>
          <w:b w:val="false"/>
          <w:color w:val="000000"/>
          <w:sz w:val="16"/>
          <w:shd w:fill="FFFFFF" w:val="clear"/>
        </w:rPr>
        <w:t xml:space="preserve">to </w:t>
      </w:r>
      <w:r>
        <w:rPr>
          <w:rFonts w:ascii="Arial;sans-serif" w:hAnsi="Arial;sans-serif"/>
          <w:b w:val="false"/>
          <w:color w:val="000000"/>
          <w:sz w:val="16"/>
        </w:rPr>
        <w:t>2.50%</w:t>
      </w:r>
      <w:r>
        <w:rPr>
          <w:color w:val="000000"/>
          <w:shd w:fill="FFFFFF" w:val="clear"/>
        </w:rPr>
        <w:t xml:space="preserve"> </w:t>
      </w:r>
      <w:r>
        <w:rPr>
          <w:rFonts w:ascii="Arial;sans-serif" w:hAnsi="Arial;sans-serif"/>
          <w:b w:val="false"/>
          <w:color w:val="000000"/>
          <w:sz w:val="16"/>
          <w:shd w:fill="FFFFFF" w:val="clear"/>
        </w:rPr>
        <w:t xml:space="preserve">and (ii) in the case of term SOFR loans, </w:t>
      </w:r>
      <w:r>
        <w:rPr>
          <w:rFonts w:ascii="Arial;sans-serif" w:hAnsi="Arial;sans-serif"/>
          <w:b w:val="false"/>
          <w:color w:val="000000"/>
          <w:sz w:val="16"/>
        </w:rPr>
        <w:t>2.50%</w:t>
      </w:r>
      <w:r>
        <w:rPr>
          <w:color w:val="000000"/>
          <w:shd w:fill="FFFFFF" w:val="clear"/>
        </w:rPr>
        <w:t xml:space="preserve"> </w:t>
      </w:r>
      <w:r>
        <w:rPr>
          <w:rFonts w:ascii="Arial;sans-serif" w:hAnsi="Arial;sans-serif"/>
          <w:b w:val="false"/>
          <w:color w:val="000000"/>
          <w:sz w:val="16"/>
          <w:shd w:fill="FFFFFF" w:val="clear"/>
        </w:rPr>
        <w:t xml:space="preserve">to </w:t>
      </w:r>
      <w:r>
        <w:rPr>
          <w:rFonts w:ascii="Arial;sans-serif" w:hAnsi="Arial;sans-serif"/>
          <w:b w:val="false"/>
          <w:color w:val="000000"/>
          <w:sz w:val="16"/>
        </w:rPr>
        <w:t>3.50%</w:t>
      </w:r>
      <w:r>
        <w:rPr>
          <w:rFonts w:ascii="Arial;sans-serif" w:hAnsi="Arial;sans-serif"/>
          <w:b w:val="false"/>
          <w:color w:val="000000"/>
          <w:sz w:val="16"/>
          <w:shd w:fill="FFFFFF" w:val="clear"/>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Amended and Restated Credit Agreement, dated April 26, 2023 (Revolving Credit Facility), consists of a senior revolving loan facility with an aggregate commitment of $1.15 billion. The amount we are able to borrow under our Revolving Credit Facility is limited to the amount of these commitments. Our Revolving Credit Facility also includes a sub-limit of $300 million for the issuance of letters of credit. As of June 30, 2025, $167 million letters of credit were issued to support ordinary course marketing, insurance, regulatory and other matters. As of June 30, 2025, we had $983 million of availability on our Revolving Credit Facility after taking into account $167 million in letters of credit outstanding. Our borrowing base of $1.5 billion is redetermined semi-annually and was re-affirmed in April 2025. </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shown in the table below, we estimate the fair value of our fixed rate 2029 Senior Notes and 2026 Senior Notes based on known prices from market transactions (using Level 1 inputs on the fair value hierarchy). </w:t>
      </w:r>
    </w:p>
    <w:p>
      <w:pPr>
        <w:pStyle w:val="TextBody"/>
        <w:bidi w:val="0"/>
        <w:spacing w:before="0" w:after="0"/>
        <w:ind w:left="0" w:right="0" w:firstLine="360"/>
        <w:jc w:val="left"/>
        <w:rPr/>
      </w:pPr>
      <w:r>
        <w:rPr/>
      </w:r>
    </w:p>
    <w:tbl>
      <w:tblPr>
        <w:tblW w:w="5567" w:type="dxa"/>
        <w:jc w:val="left"/>
        <w:tblInd w:w="0" w:type="dxa"/>
        <w:tblLayout w:type="fixed"/>
        <w:tblCellMar>
          <w:top w:w="28" w:type="dxa"/>
          <w:left w:w="28" w:type="dxa"/>
          <w:bottom w:w="28" w:type="dxa"/>
          <w:right w:w="28" w:type="dxa"/>
        </w:tblCellMar>
      </w:tblPr>
      <w:tblGrid>
        <w:gridCol w:w="1035"/>
        <w:gridCol w:w="912"/>
        <w:gridCol w:w="918"/>
        <w:gridCol w:w="211"/>
        <w:gridCol w:w="646"/>
        <w:gridCol w:w="109"/>
        <w:gridCol w:w="109"/>
        <w:gridCol w:w="109"/>
        <w:gridCol w:w="109"/>
        <w:gridCol w:w="293"/>
        <w:gridCol w:w="900"/>
        <w:gridCol w:w="216"/>
      </w:tblGrid>
      <w:tr>
        <w:trPr/>
        <w:tc>
          <w:tcPr>
            <w:tcW w:w="103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Fixed rate debt</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2026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2029 Senior Notes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Fair Value of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2025, we were in compliance with all financial and other debt covenants under our Revolving Credit Facility, 2026 Senior Notes and 2029 Senior Notes.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Note Redemptions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February 2025, we redeemed $123 million of our 7.125% senior notes due 2026 (2026 Senior Notes) at 100% of the principal amount, resulting in an extinguishment loss in the amount of $1 million for the write-off of unamortized debt issuance costs. There were no repurchases or redemptions of our 2026 Senior Notes in the three months ended June 30, 2025 or the three and six months ended June 30,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LAWSUITS, CLAIMS, COMMITMENTS AND CONTINGENCIES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party to various legal and/or regulatory proceedings from time to time arising in the ordinary course of business. We accrue reserves for currently outstanding lawsuits, claims and proceedings when we determine it is probable that a liability has been incurred and the liability can be reasonably estimated. Reserve balances for these items at June 30, 2025 and December 31, 2024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Due to the preliminary stage of the process, no cost estimates to abandon the offshore platforms have been determined. For the three and six months ended June 30, 2025, other operating expenses, net on our condensed consolidated statement of operations includes $2 million for our ongoing share of maintenance costs during the pendency of the challenge to the BSEE order.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and 2024, the California Geologic Energy Management Division (CalGEM) plugged and abandoned approximately 120 "orphaned" oil and gas wells located in Cat Canyon, Santa Barbara County, at an aggregate cost of $25 million. These wells had previously been operated by us prior to being sold to their current operators. CalGEM is seeking to recover these costs from us due to our prior operatorship of the wells, and we are disputing these claims. In connection with this dispute, we were required to remit $25 million to CalGEM under protest pending the outcome of this matter. For the three and six months ended June 30, 2025, other operating expenses, net on our condensed consolidated statement of operations includes $25 million related to this matter.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DERIVATIVES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enter into commodity derivative contracts to help protect our cash flows, margins and capital program from the volatility of commodity prices. We primarily hedge a portion of our forecasted oil production and purchased natural gas used in our steamflood operations. We did not have any derivative instruments designated as accounting hedges as of and for the three and six months ended June 30, 2025 and 2024. Unless otherwise indicated, we use the term "hedge" to describe derivative instruments that are designed to implement our hedging strategy.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Summary of Derivative Contracts</w:t>
      </w:r>
    </w:p>
    <w:p>
      <w:pPr>
        <w:pStyle w:val="TextBody"/>
        <w:bidi w:val="0"/>
        <w:spacing w:before="0" w:after="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held the following Brent-based contracts as of June 30, 2025:</w:t>
      </w:r>
    </w:p>
    <w:p>
      <w:pPr>
        <w:pStyle w:val="TextBody"/>
        <w:bidi w:val="0"/>
        <w:spacing w:before="0" w:after="0"/>
        <w:ind w:left="0" w:right="0" w:firstLine="360"/>
        <w:jc w:val="left"/>
        <w:rPr/>
      </w:pPr>
      <w:r>
        <w:rPr/>
      </w:r>
    </w:p>
    <w:tbl>
      <w:tblPr>
        <w:tblW w:w="10450" w:type="dxa"/>
        <w:jc w:val="left"/>
        <w:tblInd w:w="0" w:type="dxa"/>
        <w:tblLayout w:type="fixed"/>
        <w:tblCellMar>
          <w:top w:w="28" w:type="dxa"/>
          <w:left w:w="28" w:type="dxa"/>
          <w:bottom w:w="28" w:type="dxa"/>
          <w:right w:w="28" w:type="dxa"/>
        </w:tblCellMar>
      </w:tblPr>
      <w:tblGrid>
        <w:gridCol w:w="829"/>
        <w:gridCol w:w="445"/>
        <w:gridCol w:w="407"/>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2H</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2028</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Calls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Puts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Swaps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At June 30, 2025, we also held the following swaps to hedge purchased natural gas used in our operations as shown in the table below.</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95"/>
        <w:gridCol w:w="635"/>
        <w:gridCol w:w="640"/>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5"/>
      </w:tblGrid>
      <w:tr>
        <w:trPr/>
        <w:tc>
          <w:tcPr>
            <w:tcW w:w="8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2H</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2028</w:t>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SoCal Border</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NWPL Rockies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and six months ended June 30, 2025 and 2024, we also had a limited number of derivative contracts related to our natural gas marketing activities that were intended to lock in locational price spreads. These derivative contracts were not significant to our results of operations or financial statements taken as a whole.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outcomes of the derivative positions shown in the tables above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Sold calls – we make settlement payments for prices above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Purchased puts – we receive settlement payments for prices below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Swaps – with respect to swaps for crude oil, we make settlement payments for prices above the indicated weighted-average price per barrel and receive settlement payments for prices below the indicated weighted-average price per barrel. With respect to swaps for purchased natural gas, we receive settlement payments for prices above the indicated weighted-average price per MMBtu and we make settlement payments for prices below the weighted-average price per MMBtu.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 of Derivatives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Derivative instruments not designated as hedging instruments are required to be recorded on the balance sheet at fair value. We report gains and losses on our derivative contracts related to our oil production and our marketing activities in operating revenue on our consolidated statements of operations as shown in the table below: </w:t>
      </w:r>
    </w:p>
    <w:p>
      <w:pPr>
        <w:pStyle w:val="TextBody"/>
        <w:bidi w:val="0"/>
        <w:spacing w:before="0" w:after="0"/>
        <w:ind w:left="0" w:right="0" w:firstLine="360"/>
        <w:jc w:val="left"/>
        <w:rPr/>
      </w:pPr>
      <w:r>
        <w:rPr/>
      </w:r>
    </w:p>
    <w:tbl>
      <w:tblPr>
        <w:tblW w:w="8973" w:type="dxa"/>
        <w:jc w:val="left"/>
        <w:tblInd w:w="0" w:type="dxa"/>
        <w:tblLayout w:type="fixed"/>
        <w:tblCellMar>
          <w:top w:w="28" w:type="dxa"/>
          <w:left w:w="28" w:type="dxa"/>
          <w:bottom w:w="28" w:type="dxa"/>
          <w:right w:w="28" w:type="dxa"/>
        </w:tblCellMar>
      </w:tblPr>
      <w:tblGrid>
        <w:gridCol w:w="1394"/>
        <w:gridCol w:w="1227"/>
        <w:gridCol w:w="1234"/>
        <w:gridCol w:w="331"/>
        <w:gridCol w:w="755"/>
        <w:gridCol w:w="171"/>
        <w:gridCol w:w="171"/>
        <w:gridCol w:w="171"/>
        <w:gridCol w:w="171"/>
        <w:gridCol w:w="331"/>
        <w:gridCol w:w="590"/>
        <w:gridCol w:w="171"/>
        <w:gridCol w:w="109"/>
        <w:gridCol w:w="109"/>
        <w:gridCol w:w="109"/>
        <w:gridCol w:w="211"/>
        <w:gridCol w:w="481"/>
        <w:gridCol w:w="109"/>
        <w:gridCol w:w="109"/>
        <w:gridCol w:w="109"/>
        <w:gridCol w:w="109"/>
        <w:gridCol w:w="211"/>
        <w:gridCol w:w="436"/>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commodity derivative gain (loss)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settlements and amortized premiums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commodity derivatives</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report gains and losses on our commodity derivative c</w:t>
      </w:r>
      <w:r>
        <w:rPr>
          <w:rFonts w:ascii="Arial;sans-serif" w:hAnsi="Arial;sans-serif"/>
          <w:b w:val="false"/>
          <w:color w:val="000000"/>
          <w:sz w:val="20"/>
          <w:shd w:fill="FFFFFF" w:val="clear"/>
        </w:rPr>
        <w:t>ontracts related to purchases of natural gas in operating expenses on our condensed consolidated statement</w:t>
      </w:r>
      <w:r>
        <w:rPr>
          <w:rFonts w:ascii="Arial;sans-serif" w:hAnsi="Arial;sans-serif"/>
          <w:b w:val="false"/>
          <w:color w:val="000000"/>
          <w:sz w:val="20"/>
        </w:rPr>
        <w:t xml:space="preserve">s of operations as shown in the table below: </w:t>
      </w:r>
    </w:p>
    <w:p>
      <w:pPr>
        <w:pStyle w:val="TextBody"/>
        <w:bidi w:val="0"/>
        <w:spacing w:before="0" w:after="0"/>
        <w:jc w:val="left"/>
        <w:rPr/>
      </w:pPr>
      <w:r>
        <w:rPr/>
      </w:r>
    </w:p>
    <w:tbl>
      <w:tblPr>
        <w:tblW w:w="9560" w:type="dxa"/>
        <w:jc w:val="left"/>
        <w:tblInd w:w="0" w:type="dxa"/>
        <w:tblLayout w:type="fixed"/>
        <w:tblCellMar>
          <w:top w:w="28" w:type="dxa"/>
          <w:left w:w="28" w:type="dxa"/>
          <w:bottom w:w="28" w:type="dxa"/>
          <w:right w:w="28" w:type="dxa"/>
        </w:tblCellMar>
      </w:tblPr>
      <w:tblGrid>
        <w:gridCol w:w="1640"/>
        <w:gridCol w:w="1441"/>
        <w:gridCol w:w="1449"/>
        <w:gridCol w:w="371"/>
        <w:gridCol w:w="582"/>
        <w:gridCol w:w="191"/>
        <w:gridCol w:w="191"/>
        <w:gridCol w:w="191"/>
        <w:gridCol w:w="191"/>
        <w:gridCol w:w="371"/>
        <w:gridCol w:w="582"/>
        <w:gridCol w:w="191"/>
        <w:gridCol w:w="109"/>
        <w:gridCol w:w="109"/>
        <w:gridCol w:w="109"/>
        <w:gridCol w:w="218"/>
        <w:gridCol w:w="452"/>
        <w:gridCol w:w="113"/>
        <w:gridCol w:w="113"/>
        <w:gridCol w:w="113"/>
        <w:gridCol w:w="113"/>
        <w:gridCol w:w="218"/>
        <w:gridCol w:w="343"/>
        <w:gridCol w:w="159"/>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gain on natural gas purchase derivatives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on natural gas purchase derivatives</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derivative contracts are measured at fair value using industry-standard models with various inputs, including quoted forward prices, and are classified as Level 2 in the required fair value hierarchy for the periods presented. The following tables present the fair values of our outstanding commodity derivatives as of June 30, 2025 and December 31, 2024. </w:t>
      </w:r>
    </w:p>
    <w:p>
      <w:pPr>
        <w:pStyle w:val="TextBody"/>
        <w:bidi w:val="0"/>
        <w:spacing w:before="0" w:after="0"/>
        <w:ind w:left="0" w:right="0" w:firstLine="360"/>
        <w:jc w:val="left"/>
        <w:rPr/>
      </w:pPr>
      <w:r>
        <w:rPr/>
      </w:r>
    </w:p>
    <w:tbl>
      <w:tblPr>
        <w:tblW w:w="8345"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734"/>
        <w:gridCol w:w="1675"/>
        <w:gridCol w:w="380"/>
        <w:gridCol w:w="109"/>
        <w:gridCol w:w="109"/>
        <w:gridCol w:w="109"/>
        <w:gridCol w:w="222"/>
        <w:gridCol w:w="428"/>
        <w:gridCol w:w="116"/>
        <w:gridCol w:w="109"/>
        <w:gridCol w:w="109"/>
        <w:gridCol w:w="109"/>
        <w:gridCol w:w="378"/>
        <w:gridCol w:w="861"/>
        <w:gridCol w:w="275"/>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3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tbl>
      <w:tblPr>
        <w:tblW w:w="8354"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843"/>
        <w:gridCol w:w="1507"/>
        <w:gridCol w:w="439"/>
        <w:gridCol w:w="109"/>
        <w:gridCol w:w="109"/>
        <w:gridCol w:w="109"/>
        <w:gridCol w:w="222"/>
        <w:gridCol w:w="436"/>
        <w:gridCol w:w="116"/>
        <w:gridCol w:w="109"/>
        <w:gridCol w:w="109"/>
        <w:gridCol w:w="109"/>
        <w:gridCol w:w="399"/>
        <w:gridCol w:w="825"/>
        <w:gridCol w:w="291"/>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83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components of our income tax provision (benefit) and effective tax rate:</w:t>
      </w:r>
    </w:p>
    <w:p>
      <w:pPr>
        <w:pStyle w:val="TextBody"/>
        <w:bidi w:val="0"/>
        <w:spacing w:before="0" w:after="0"/>
        <w:ind w:left="0" w:right="0" w:firstLine="360"/>
        <w:jc w:val="left"/>
        <w:rPr/>
      </w:pPr>
      <w:r>
        <w:rPr/>
      </w:r>
    </w:p>
    <w:tbl>
      <w:tblPr>
        <w:tblW w:w="9785" w:type="dxa"/>
        <w:jc w:val="left"/>
        <w:tblInd w:w="0" w:type="dxa"/>
        <w:tblLayout w:type="fixed"/>
        <w:tblCellMar>
          <w:top w:w="28" w:type="dxa"/>
          <w:left w:w="28" w:type="dxa"/>
          <w:bottom w:w="28" w:type="dxa"/>
          <w:right w:w="28" w:type="dxa"/>
        </w:tblCellMar>
      </w:tblPr>
      <w:tblGrid>
        <w:gridCol w:w="1259"/>
        <w:gridCol w:w="1108"/>
        <w:gridCol w:w="1113"/>
        <w:gridCol w:w="277"/>
        <w:gridCol w:w="632"/>
        <w:gridCol w:w="376"/>
        <w:gridCol w:w="143"/>
        <w:gridCol w:w="143"/>
        <w:gridCol w:w="143"/>
        <w:gridCol w:w="277"/>
        <w:gridCol w:w="494"/>
        <w:gridCol w:w="376"/>
        <w:gridCol w:w="109"/>
        <w:gridCol w:w="109"/>
        <w:gridCol w:w="109"/>
        <w:gridCol w:w="261"/>
        <w:gridCol w:w="595"/>
        <w:gridCol w:w="354"/>
        <w:gridCol w:w="134"/>
        <w:gridCol w:w="134"/>
        <w:gridCol w:w="134"/>
        <w:gridCol w:w="261"/>
        <w:gridCol w:w="409"/>
        <w:gridCol w:w="354"/>
        <w:gridCol w:w="109"/>
        <w:gridCol w:w="109"/>
        <w:gridCol w:w="109"/>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income tax provision</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 provision (benefit)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Income tax provision (benefit)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Effective tax rate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income tax provision or benefit for interim periods is determined by applying an estimated annual effective tax rate to income (loss) before income taxes with the result adjusted for discrete items, if any, in the relevant period. Our annual effective tax rate of 29% and 27% for the three months ended June 30, 2025 and 2024, respectively, differed from the U.S. statutory rate of 21% primarily due to state taxes. Our annual effective tax rate of 29% for the six months ended June 30, 2025 differed from the U.S. statutory rate of 21% primarily due to state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annual effective tax rate of 75% differed from the U.S. statutory rate of 21% for the six months ended June 30, 2024 primarily due to the settlement of stock-based compensation awards in the first quarter of 2024 at a share price which exceeded the grant date value used to recognize compensation expense for financial accounting. The difference resulted in a tax benefit and had the effect of increasing our effective tax rate for the six months ended June 30,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4, 2025, An Act to Provide for Reconciliation Pursuant to Title II of H. Con. Res. 14th and commonly referred to as the One Big Beautiful Bill Act was signed into law. This law contains several legislative changes including the reinstatement of full expensing for qualified assets placed in service after January 19, 2025. This law also reinstated the expensing of all domestic research and development costs, including favorable transition rules, and increases the limitation on the amount of annual business interest expense which can be deducted each year.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Management expects to realize the recorded deferred tax assets primarily through future income and reversal of taxable temporary differences. Realization of our existing deferred tax assets is not assured and depends on a number of factors including our ability to generate sufficient taxable income in future periods.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DIVESTITURES AND ASSETS HELD FOR SALE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Fort Apache in Huntington Beach</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March 2024, we sold our 0.9-acre Fort Apache real estate property in Huntington Beach, California for $10 million and recognized a $6 million gain. </w:t>
      </w:r>
    </w:p>
    <w:p>
      <w:pPr>
        <w:pStyle w:val="TextBody"/>
        <w:bidi w:val="0"/>
        <w:spacing w:before="0" w:after="0"/>
        <w:ind w:left="0" w:right="0" w:firstLine="36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Carbon Management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2022, we acquired properties for carbon management activities with the intent to divest a portion of these assets. The assets are carried at fair value and classified as held for sale as of June 30, 2025 on our condensed consolidated balance sheet. In May 2025, we sold a portion of these properties for $1 million. We did not recognize a gain or loss on this transaction.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9    SEGMENT INFORMATION</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conduct our business primarily through two reportable segments: (1) oil and natural gas and (2) carbon management. We identified these segments based on the nature of their activities, the types of products sold and services to be provided. Our oil and natural gas segment explores for, develops, and produces oil and condensate, natural gas liquids and natural gas. Our carbon management segment, that we refer to as Carbon TerraVault, is primarily expected to build, install, operate and maintain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capture equipment, transportation assets and storage facilities. Our oil and natural gas segment and carbon management segment operate exclusively in California.</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Revenues related to sales of produced natural gas to our Elk Hills power plant are included in oil, natural gas and natural gas liquids sales in the table below. Direct labor-related costs are allocated to our reportable segments based on job function. General and administrative expenses are allocated to a segment if they directly support a segment's activities. We do not allocate income taxes to our segments. We use proportionate consolidation to account for our share of oil and natural gas producing activities.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tables provide segment profit or loss and reconciliations of segment profit or loss to total operating revenues and consolidated income before income taxes for the three and six months ended June 30, 2025 and 2024.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92"/>
        <w:gridCol w:w="690"/>
        <w:gridCol w:w="693"/>
        <w:gridCol w:w="337"/>
        <w:gridCol w:w="745"/>
        <w:gridCol w:w="174"/>
        <w:gridCol w:w="109"/>
        <w:gridCol w:w="109"/>
        <w:gridCol w:w="109"/>
        <w:gridCol w:w="447"/>
        <w:gridCol w:w="863"/>
        <w:gridCol w:w="232"/>
        <w:gridCol w:w="109"/>
        <w:gridCol w:w="109"/>
        <w:gridCol w:w="109"/>
        <w:gridCol w:w="461"/>
        <w:gridCol w:w="1020"/>
        <w:gridCol w:w="238"/>
        <w:gridCol w:w="109"/>
        <w:gridCol w:w="109"/>
        <w:gridCol w:w="109"/>
        <w:gridCol w:w="375"/>
        <w:gridCol w:w="481"/>
        <w:gridCol w:w="195"/>
        <w:gridCol w:w="109"/>
        <w:gridCol w:w="109"/>
        <w:gridCol w:w="109"/>
        <w:gridCol w:w="109"/>
        <w:gridCol w:w="109"/>
        <w:gridCol w:w="211"/>
        <w:gridCol w:w="466"/>
        <w:gridCol w:w="159"/>
      </w:tblGrid>
      <w:tr>
        <w:trPr/>
        <w:tc>
          <w:tcPr>
            <w:tcW w:w="89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945" w:type="dxa"/>
            <w:gridSpan w:val="4"/>
            <w:tcBorders/>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945" w:type="dxa"/>
            <w:gridSpan w:val="4"/>
            <w:tcBorders/>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includes net gain from commodity derivatives, revenue from marketing of purchased commodities, electricity revenue, interest income and unallocated other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3"/>
        <w:gridCol w:w="539"/>
        <w:gridCol w:w="541"/>
        <w:gridCol w:w="270"/>
        <w:gridCol w:w="597"/>
        <w:gridCol w:w="139"/>
        <w:gridCol w:w="109"/>
        <w:gridCol w:w="109"/>
        <w:gridCol w:w="109"/>
        <w:gridCol w:w="397"/>
        <w:gridCol w:w="766"/>
        <w:gridCol w:w="206"/>
        <w:gridCol w:w="109"/>
        <w:gridCol w:w="109"/>
        <w:gridCol w:w="109"/>
        <w:gridCol w:w="366"/>
        <w:gridCol w:w="809"/>
        <w:gridCol w:w="189"/>
        <w:gridCol w:w="109"/>
        <w:gridCol w:w="109"/>
        <w:gridCol w:w="109"/>
        <w:gridCol w:w="488"/>
        <w:gridCol w:w="940"/>
        <w:gridCol w:w="254"/>
        <w:gridCol w:w="109"/>
        <w:gridCol w:w="109"/>
        <w:gridCol w:w="109"/>
        <w:gridCol w:w="109"/>
        <w:gridCol w:w="109"/>
        <w:gridCol w:w="211"/>
        <w:gridCol w:w="466"/>
        <w:gridCol w:w="109"/>
        <w:gridCol w:w="409"/>
      </w:tblGrid>
      <w:tr>
        <w:trPr/>
        <w:tc>
          <w:tcPr>
            <w:tcW w:w="98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4"/>
            <w:tcBorders/>
          </w:tcPr>
          <w:p>
            <w:pPr>
              <w:pStyle w:val="TableContents"/>
              <w:bidi w:val="0"/>
              <w:spacing w:before="0" w:after="283"/>
              <w:jc w:val="left"/>
              <w:rPr>
                <w:sz w:val="4"/>
                <w:szCs w:val="4"/>
              </w:rPr>
            </w:pPr>
            <w:r>
              <w:rPr>
                <w:sz w:val="4"/>
                <w:szCs w:val="4"/>
              </w:rPr>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4"/>
            <w:tcBorders/>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costs: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subsidiaries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profit or loss</w:t>
            </w:r>
            <w:r>
              <w:rPr>
                <w:rFonts w:ascii="Arial;sans-serif" w:hAnsi="Arial;sans-serif"/>
                <w:b w:val="false"/>
                <w:color w:val="000000"/>
                <w:sz w:val="12"/>
              </w:rPr>
              <w:t>(b)</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Unallocated amounts</w:t>
            </w:r>
            <w:r>
              <w:rPr>
                <w:rFonts w:ascii="Arial;sans-serif" w:hAnsi="Arial;sans-serif"/>
                <w:b w:val="false"/>
                <w:color w:val="000000"/>
                <w:sz w:val="12"/>
              </w:rPr>
              <w:t>(c)</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segment expenses for our oil and natural gas segment includes transportation costs, accretion expense, and other operating expenses, net. Other segment expenses for our carbon management segment primarily includes operating lease costs.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(b)Other profit or loss includes the margin we earn from marketing activities and the margin we earn on sales of electricity from our Elk Hills power plant to customers.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(c)Unallocated amounts include net gain from commodity derivatives, net loss on natural gas purchase derivatives, transportation costs, other operating expenses, net, interest income and unallocated other revenue.</w:t>
      </w:r>
    </w:p>
    <w:tbl>
      <w:tblPr>
        <w:tblW w:w="10205" w:type="dxa"/>
        <w:jc w:val="left"/>
        <w:tblInd w:w="0" w:type="dxa"/>
        <w:tblLayout w:type="fixed"/>
        <w:tblCellMar>
          <w:top w:w="28" w:type="dxa"/>
          <w:left w:w="28" w:type="dxa"/>
          <w:bottom w:w="28" w:type="dxa"/>
          <w:right w:w="28" w:type="dxa"/>
        </w:tblCellMar>
      </w:tblPr>
      <w:tblGrid>
        <w:gridCol w:w="883"/>
        <w:gridCol w:w="777"/>
        <w:gridCol w:w="780"/>
        <w:gridCol w:w="323"/>
        <w:gridCol w:w="713"/>
        <w:gridCol w:w="166"/>
        <w:gridCol w:w="109"/>
        <w:gridCol w:w="109"/>
        <w:gridCol w:w="109"/>
        <w:gridCol w:w="437"/>
        <w:gridCol w:w="842"/>
        <w:gridCol w:w="226"/>
        <w:gridCol w:w="109"/>
        <w:gridCol w:w="109"/>
        <w:gridCol w:w="109"/>
        <w:gridCol w:w="441"/>
        <w:gridCol w:w="975"/>
        <w:gridCol w:w="228"/>
        <w:gridCol w:w="109"/>
        <w:gridCol w:w="109"/>
        <w:gridCol w:w="109"/>
        <w:gridCol w:w="375"/>
        <w:gridCol w:w="481"/>
        <w:gridCol w:w="195"/>
        <w:gridCol w:w="109"/>
        <w:gridCol w:w="109"/>
        <w:gridCol w:w="109"/>
        <w:gridCol w:w="109"/>
        <w:gridCol w:w="109"/>
        <w:gridCol w:w="211"/>
        <w:gridCol w:w="466"/>
        <w:gridCol w:w="160"/>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2024</w:t>
            </w:r>
          </w:p>
        </w:tc>
        <w:tc>
          <w:tcPr>
            <w:tcW w:w="946" w:type="dxa"/>
            <w:gridSpan w:val="4"/>
            <w:tcBorders/>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946" w:type="dxa"/>
            <w:gridSpan w:val="4"/>
            <w:tcBorders/>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NGL sales to external customers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 and income includes net gain from commodity derivatives, revenue from marketing of purchased commodities, electricity revenue, interest income and unallocated other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8"/>
        <w:gridCol w:w="568"/>
        <w:gridCol w:w="571"/>
        <w:gridCol w:w="280"/>
        <w:gridCol w:w="618"/>
        <w:gridCol w:w="144"/>
        <w:gridCol w:w="109"/>
        <w:gridCol w:w="109"/>
        <w:gridCol w:w="109"/>
        <w:gridCol w:w="404"/>
        <w:gridCol w:w="780"/>
        <w:gridCol w:w="209"/>
        <w:gridCol w:w="109"/>
        <w:gridCol w:w="109"/>
        <w:gridCol w:w="109"/>
        <w:gridCol w:w="380"/>
        <w:gridCol w:w="840"/>
        <w:gridCol w:w="196"/>
        <w:gridCol w:w="109"/>
        <w:gridCol w:w="109"/>
        <w:gridCol w:w="109"/>
        <w:gridCol w:w="505"/>
        <w:gridCol w:w="974"/>
        <w:gridCol w:w="263"/>
        <w:gridCol w:w="109"/>
        <w:gridCol w:w="109"/>
        <w:gridCol w:w="109"/>
        <w:gridCol w:w="109"/>
        <w:gridCol w:w="109"/>
        <w:gridCol w:w="211"/>
        <w:gridCol w:w="466"/>
        <w:gridCol w:w="109"/>
        <w:gridCol w:w="163"/>
      </w:tblGrid>
      <w:tr>
        <w:trPr/>
        <w:tc>
          <w:tcPr>
            <w:tcW w:w="99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2024</w:t>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4"/>
            <w:tcBorders/>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4"/>
            <w:tcBorders/>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subsidiary</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profit or loss</w:t>
            </w:r>
            <w:r>
              <w:rPr>
                <w:rFonts w:ascii="Arial;sans-serif" w:hAnsi="Arial;sans-serif"/>
                <w:b w:val="false"/>
                <w:color w:val="000000"/>
                <w:sz w:val="12"/>
              </w:rPr>
              <w:t>(b)</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Unallocated amounts</w:t>
            </w:r>
            <w:r>
              <w:rPr>
                <w:rFonts w:ascii="Arial;sans-serif" w:hAnsi="Arial;sans-serif"/>
                <w:b w:val="false"/>
                <w:color w:val="000000"/>
                <w:sz w:val="12"/>
              </w:rPr>
              <w:t>(c)</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(a)Amounts for our oil and natural gas segment include transportation costs, accretion expense, asset impairment, and other operating expenses, net. Amounts for our carbon management segment primarily include operating lease costs.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(b)Other profit or loss includes margin from purchased commodities and the margin we earn on sales of electricity from our Elk Hills power plant to customers.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(c)Unallocated amounts include net gain from commodity derivatives, transportation costs, interest and debt expense, other operating expenses, net, other non-operating loss, interest income, unallocated other revenue, and gain on asset divestitures.</w:t>
      </w:r>
    </w:p>
    <w:p>
      <w:pPr>
        <w:pStyle w:val="TextBody"/>
        <w:bidi w:val="0"/>
        <w:spacing w:before="40" w:after="283"/>
        <w:jc w:val="left"/>
        <w:rPr/>
      </w:pPr>
      <w:r>
        <w:rPr/>
      </w:r>
    </w:p>
    <w:tbl>
      <w:tblPr>
        <w:tblW w:w="10205" w:type="dxa"/>
        <w:jc w:val="left"/>
        <w:tblInd w:w="0" w:type="dxa"/>
        <w:tblLayout w:type="fixed"/>
        <w:tblCellMar>
          <w:top w:w="28" w:type="dxa"/>
          <w:left w:w="28" w:type="dxa"/>
          <w:bottom w:w="28" w:type="dxa"/>
          <w:right w:w="28" w:type="dxa"/>
        </w:tblCellMar>
      </w:tblPr>
      <w:tblGrid>
        <w:gridCol w:w="857"/>
        <w:gridCol w:w="652"/>
        <w:gridCol w:w="654"/>
        <w:gridCol w:w="293"/>
        <w:gridCol w:w="856"/>
        <w:gridCol w:w="151"/>
        <w:gridCol w:w="109"/>
        <w:gridCol w:w="109"/>
        <w:gridCol w:w="109"/>
        <w:gridCol w:w="439"/>
        <w:gridCol w:w="848"/>
        <w:gridCol w:w="228"/>
        <w:gridCol w:w="109"/>
        <w:gridCol w:w="109"/>
        <w:gridCol w:w="109"/>
        <w:gridCol w:w="373"/>
        <w:gridCol w:w="1095"/>
        <w:gridCol w:w="196"/>
        <w:gridCol w:w="109"/>
        <w:gridCol w:w="109"/>
        <w:gridCol w:w="109"/>
        <w:gridCol w:w="318"/>
        <w:gridCol w:w="567"/>
        <w:gridCol w:w="166"/>
        <w:gridCol w:w="109"/>
        <w:gridCol w:w="109"/>
        <w:gridCol w:w="109"/>
        <w:gridCol w:w="109"/>
        <w:gridCol w:w="109"/>
        <w:gridCol w:w="211"/>
        <w:gridCol w:w="616"/>
        <w:gridCol w:w="159"/>
      </w:tblGrid>
      <w:tr>
        <w:trPr/>
        <w:tc>
          <w:tcPr>
            <w:tcW w:w="85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c>
          <w:tcPr>
            <w:tcW w:w="1095" w:type="dxa"/>
            <w:gridSpan w:val="4"/>
            <w:tcBorders/>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5" w:type="dxa"/>
            <w:gridSpan w:val="4"/>
            <w:tcBorders/>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includes net gain from commodity derivatives, revenue from marketing of purchased commodities, electricity revenue, interest income and unallocated other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1"/>
        <w:gridCol w:w="537"/>
        <w:gridCol w:w="539"/>
        <w:gridCol w:w="252"/>
        <w:gridCol w:w="737"/>
        <w:gridCol w:w="130"/>
        <w:gridCol w:w="109"/>
        <w:gridCol w:w="109"/>
        <w:gridCol w:w="109"/>
        <w:gridCol w:w="397"/>
        <w:gridCol w:w="765"/>
        <w:gridCol w:w="205"/>
        <w:gridCol w:w="109"/>
        <w:gridCol w:w="109"/>
        <w:gridCol w:w="109"/>
        <w:gridCol w:w="305"/>
        <w:gridCol w:w="895"/>
        <w:gridCol w:w="160"/>
        <w:gridCol w:w="109"/>
        <w:gridCol w:w="109"/>
        <w:gridCol w:w="109"/>
        <w:gridCol w:w="486"/>
        <w:gridCol w:w="938"/>
        <w:gridCol w:w="254"/>
        <w:gridCol w:w="109"/>
        <w:gridCol w:w="109"/>
        <w:gridCol w:w="109"/>
        <w:gridCol w:w="109"/>
        <w:gridCol w:w="109"/>
        <w:gridCol w:w="211"/>
        <w:gridCol w:w="616"/>
        <w:gridCol w:w="109"/>
        <w:gridCol w:w="162"/>
      </w:tblGrid>
      <w:tr>
        <w:trPr/>
        <w:tc>
          <w:tcPr>
            <w:tcW w:w="98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1"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4"/>
            <w:tcBorders/>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1"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4"/>
            <w:tcBorders/>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profit or loss</w:t>
            </w:r>
            <w:r>
              <w:rPr>
                <w:rFonts w:ascii="Arial;sans-serif" w:hAnsi="Arial;sans-serif"/>
                <w:b w:val="false"/>
                <w:color w:val="000000"/>
                <w:sz w:val="12"/>
              </w:rPr>
              <w:t>(b)</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Unallocated amounts</w:t>
            </w:r>
            <w:r>
              <w:rPr>
                <w:rFonts w:ascii="Arial;sans-serif" w:hAnsi="Arial;sans-serif"/>
                <w:b w:val="false"/>
                <w:color w:val="000000"/>
                <w:sz w:val="12"/>
              </w:rPr>
              <w:t>(c)</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segment expenses for our oil and natural gas segment includes transportation costs, accretion expense, and other operating expenses, net. Other segment expenses for our carbon management segment primarily includes operating lease costs.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(b)Other profit or loss includes the margin we earn from marketing activities and the margin we earn on sales of electricity from our Elk Hills power plant to customers.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(c)Unallocated amounts include net gain from commodity derivatives, net gain on natural gas purchase derivatives, transportation costs, other operating expenses, net, other non-operating losses, loss on early extinguishment of debt, interest income and unallocated other revenue.</w:t>
      </w:r>
    </w:p>
    <w:p>
      <w:pPr>
        <w:pStyle w:val="TextBody"/>
        <w:bidi w:val="0"/>
        <w:spacing w:before="40" w:after="283"/>
        <w:jc w:val="left"/>
        <w:rPr/>
      </w:pPr>
      <w:r>
        <w:rPr/>
      </w:r>
    </w:p>
    <w:tbl>
      <w:tblPr>
        <w:tblW w:w="10205" w:type="dxa"/>
        <w:jc w:val="left"/>
        <w:tblInd w:w="0" w:type="dxa"/>
        <w:tblLayout w:type="fixed"/>
        <w:tblCellMar>
          <w:top w:w="28" w:type="dxa"/>
          <w:left w:w="28" w:type="dxa"/>
          <w:bottom w:w="28" w:type="dxa"/>
          <w:right w:w="28" w:type="dxa"/>
        </w:tblCellMar>
      </w:tblPr>
      <w:tblGrid>
        <w:gridCol w:w="883"/>
        <w:gridCol w:w="777"/>
        <w:gridCol w:w="780"/>
        <w:gridCol w:w="323"/>
        <w:gridCol w:w="713"/>
        <w:gridCol w:w="166"/>
        <w:gridCol w:w="109"/>
        <w:gridCol w:w="109"/>
        <w:gridCol w:w="109"/>
        <w:gridCol w:w="437"/>
        <w:gridCol w:w="842"/>
        <w:gridCol w:w="226"/>
        <w:gridCol w:w="109"/>
        <w:gridCol w:w="109"/>
        <w:gridCol w:w="109"/>
        <w:gridCol w:w="441"/>
        <w:gridCol w:w="975"/>
        <w:gridCol w:w="228"/>
        <w:gridCol w:w="109"/>
        <w:gridCol w:w="109"/>
        <w:gridCol w:w="109"/>
        <w:gridCol w:w="318"/>
        <w:gridCol w:w="567"/>
        <w:gridCol w:w="166"/>
        <w:gridCol w:w="109"/>
        <w:gridCol w:w="109"/>
        <w:gridCol w:w="109"/>
        <w:gridCol w:w="109"/>
        <w:gridCol w:w="109"/>
        <w:gridCol w:w="211"/>
        <w:gridCol w:w="466"/>
        <w:gridCol w:w="160"/>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2024</w:t>
            </w:r>
          </w:p>
        </w:tc>
        <w:tc>
          <w:tcPr>
            <w:tcW w:w="946" w:type="dxa"/>
            <w:gridSpan w:val="4"/>
            <w:tcBorders/>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946" w:type="dxa"/>
            <w:gridSpan w:val="4"/>
            <w:tcBorders/>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NGL sales to external customers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244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 and income includes net loss from commodity derivatives, revenue from marketing of purchased commodities, electricity revenue, interest income and unallocated other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8"/>
        <w:gridCol w:w="568"/>
        <w:gridCol w:w="571"/>
        <w:gridCol w:w="280"/>
        <w:gridCol w:w="618"/>
        <w:gridCol w:w="144"/>
        <w:gridCol w:w="109"/>
        <w:gridCol w:w="109"/>
        <w:gridCol w:w="109"/>
        <w:gridCol w:w="404"/>
        <w:gridCol w:w="780"/>
        <w:gridCol w:w="209"/>
        <w:gridCol w:w="109"/>
        <w:gridCol w:w="109"/>
        <w:gridCol w:w="109"/>
        <w:gridCol w:w="380"/>
        <w:gridCol w:w="840"/>
        <w:gridCol w:w="196"/>
        <w:gridCol w:w="109"/>
        <w:gridCol w:w="109"/>
        <w:gridCol w:w="109"/>
        <w:gridCol w:w="505"/>
        <w:gridCol w:w="974"/>
        <w:gridCol w:w="263"/>
        <w:gridCol w:w="109"/>
        <w:gridCol w:w="109"/>
        <w:gridCol w:w="109"/>
        <w:gridCol w:w="109"/>
        <w:gridCol w:w="109"/>
        <w:gridCol w:w="211"/>
        <w:gridCol w:w="466"/>
        <w:gridCol w:w="109"/>
        <w:gridCol w:w="163"/>
      </w:tblGrid>
      <w:tr>
        <w:trPr/>
        <w:tc>
          <w:tcPr>
            <w:tcW w:w="99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2024</w:t>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4"/>
            <w:tcBorders/>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4"/>
            <w:tcBorders/>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subsidiary</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profit or loss</w:t>
            </w:r>
            <w:r>
              <w:rPr>
                <w:rFonts w:ascii="Arial;sans-serif" w:hAnsi="Arial;sans-serif"/>
                <w:b w:val="false"/>
                <w:color w:val="000000"/>
                <w:sz w:val="12"/>
              </w:rPr>
              <w:t>(b)</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Unallocated amounts</w:t>
            </w:r>
            <w:r>
              <w:rPr>
                <w:rFonts w:ascii="Arial;sans-serif" w:hAnsi="Arial;sans-serif"/>
                <w:b w:val="false"/>
                <w:color w:val="000000"/>
                <w:sz w:val="12"/>
              </w:rPr>
              <w:t>(c)</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(a)Amounts for our oil and natural gas segment include transportation costs, accretion expense, asset impairment and other operating expenses, net. Amounts for our carbon management segment primarily include operating lease costs.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(b)Other profit or loss includes margin from purchased commodities and the margin we earn on sales of electricity from our Elk Hills power plant to customers.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(c)Unallocated amounts include net loss from commodity derivatives, transportation costs, interest and debt expense, other operating expenses, net, other non-operating loss, interest income, unallocated other revenue, and gain on asset divestitures.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following table provides capital investment by segment and a reconciliation to our consolidated capital investment for the three and six months ended June 30, 2025 and 2024. We do not provide total assets by segment because this is not used by our Chief Operating Decision Maker. See </w:t>
      </w:r>
      <w:r>
        <w:rPr>
          <w:rFonts w:ascii="Arial;sans-serif" w:hAnsi="Arial;sans-serif"/>
          <w:b w:val="false"/>
          <w:i/>
          <w:color w:val="000000"/>
          <w:sz w:val="20"/>
        </w:rPr>
        <w:t>Note 3 Investments and Related Party Transactions</w:t>
      </w:r>
      <w:r>
        <w:rPr>
          <w:color w:val="000000"/>
        </w:rPr>
        <w:t xml:space="preserve"> </w:t>
      </w:r>
      <w:r>
        <w:rPr>
          <w:rFonts w:ascii="Arial;sans-serif" w:hAnsi="Arial;sans-serif"/>
          <w:b w:val="false"/>
          <w:color w:val="000000"/>
          <w:sz w:val="20"/>
        </w:rPr>
        <w:t xml:space="preserve">for information on our investment in the Carbon TerraVault JV, which is part of our carbon management segment.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047"/>
        <w:gridCol w:w="922"/>
        <w:gridCol w:w="926"/>
        <w:gridCol w:w="538"/>
        <w:gridCol w:w="958"/>
        <w:gridCol w:w="280"/>
        <w:gridCol w:w="109"/>
        <w:gridCol w:w="109"/>
        <w:gridCol w:w="109"/>
        <w:gridCol w:w="688"/>
        <w:gridCol w:w="885"/>
        <w:gridCol w:w="359"/>
        <w:gridCol w:w="109"/>
        <w:gridCol w:w="109"/>
        <w:gridCol w:w="109"/>
        <w:gridCol w:w="543"/>
        <w:gridCol w:w="1047"/>
        <w:gridCol w:w="284"/>
        <w:gridCol w:w="109"/>
        <w:gridCol w:w="109"/>
        <w:gridCol w:w="109"/>
        <w:gridCol w:w="211"/>
        <w:gridCol w:w="376"/>
        <w:gridCol w:w="160"/>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Oil and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Carbon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2025</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2024</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2"/>
        <w:gridCol w:w="875"/>
        <w:gridCol w:w="878"/>
        <w:gridCol w:w="543"/>
        <w:gridCol w:w="968"/>
        <w:gridCol w:w="283"/>
        <w:gridCol w:w="109"/>
        <w:gridCol w:w="109"/>
        <w:gridCol w:w="109"/>
        <w:gridCol w:w="692"/>
        <w:gridCol w:w="890"/>
        <w:gridCol w:w="361"/>
        <w:gridCol w:w="109"/>
        <w:gridCol w:w="109"/>
        <w:gridCol w:w="109"/>
        <w:gridCol w:w="572"/>
        <w:gridCol w:w="1020"/>
        <w:gridCol w:w="297"/>
        <w:gridCol w:w="109"/>
        <w:gridCol w:w="109"/>
        <w:gridCol w:w="109"/>
        <w:gridCol w:w="211"/>
        <w:gridCol w:w="481"/>
        <w:gridCol w:w="161"/>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Oil and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Carbon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2025</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2024</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10    STOCKHOLDERS' EQUITY</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Board of Directors authorized a Share Repurchase Program to acquire up to $1.35 billion of our common stock through December 31, 2025. The total value of shares that may yet be purchased under the Share Repurchase Program totaled $205 million as of June 30, 2025. Refer to </w:t>
      </w:r>
      <w:r>
        <w:rPr>
          <w:rFonts w:ascii="Arial;sans-serif" w:hAnsi="Arial;sans-serif"/>
          <w:b w:val="false"/>
          <w:i/>
          <w:color w:val="000000"/>
          <w:sz w:val="20"/>
        </w:rPr>
        <w:t>Note 16 Subsequent Events</w:t>
      </w:r>
      <w:r>
        <w:rPr>
          <w:color w:val="000000"/>
        </w:rPr>
        <w:t xml:space="preserve"> </w:t>
      </w:r>
      <w:r>
        <w:rPr>
          <w:rFonts w:ascii="Arial;sans-serif" w:hAnsi="Arial;sans-serif"/>
          <w:b w:val="false"/>
          <w:color w:val="000000"/>
          <w:sz w:val="20"/>
        </w:rPr>
        <w:t xml:space="preserve">for more information on a recent extension to our Share Repurchase Program.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our Share Repurchase Program, we repurchased 5,516,050 shares of common stock during the three months ended June 30, 2025, including 4,950,000 shares from IKAV Impact S.a.r.l. (IKAV) at a price of $46.00 per share in a privately negotiated transaction. For the three months ended June 30, 2025, the aggregate purchase price consideration, inclusive of excise tax, for our shares was $253 million, including $228 million for the repurchase of the shares held by IKAV. We funded our share repurchases with available cash.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Simultaneously with the consummation of the stock repurchase from IKAV, the lock-up restrictions applicable to sales of common stock by IKAV and its affiliates IKAV Energy, Inc. and Simlog Inc. pursuant to a Registration Rights Agreement, dated July 1, 2024, with the sellers party thereto ceased to be effective. This transaction did not impact any other terms of the Aera Merger.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is a summary of our share repurchases, for the periods presented: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35"/>
        <w:gridCol w:w="735"/>
        <w:gridCol w:w="738"/>
        <w:gridCol w:w="950"/>
        <w:gridCol w:w="844"/>
        <w:gridCol w:w="846"/>
        <w:gridCol w:w="109"/>
        <w:gridCol w:w="109"/>
        <w:gridCol w:w="109"/>
        <w:gridCol w:w="631"/>
        <w:gridCol w:w="1441"/>
        <w:gridCol w:w="328"/>
        <w:gridCol w:w="109"/>
        <w:gridCol w:w="109"/>
        <w:gridCol w:w="109"/>
        <w:gridCol w:w="458"/>
        <w:gridCol w:w="1404"/>
        <w:gridCol w:w="341"/>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2024</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703,839 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2025</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5,516,050 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2024</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1,769,603 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2025</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7,787,969 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total value of shares purchased includes accrued excise taxes, which are generally paid in the year following the share repurchase. Commissions paid on share repurchases were not significant in all periods presented.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declared the following cash dividends for each of the periods presented. </w:t>
      </w:r>
    </w:p>
    <w:p>
      <w:pPr>
        <w:pStyle w:val="TextBody"/>
        <w:bidi w:val="0"/>
        <w:spacing w:before="0" w:after="0"/>
        <w:ind w:left="0" w:right="0" w:firstLine="360"/>
        <w:jc w:val="left"/>
        <w:rPr/>
      </w:pPr>
      <w:r>
        <w:rPr/>
      </w:r>
    </w:p>
    <w:tbl>
      <w:tblPr>
        <w:tblW w:w="6626" w:type="dxa"/>
        <w:jc w:val="left"/>
        <w:tblInd w:w="0" w:type="dxa"/>
        <w:tblLayout w:type="fixed"/>
        <w:tblCellMar>
          <w:top w:w="28" w:type="dxa"/>
          <w:left w:w="28" w:type="dxa"/>
          <w:bottom w:w="28" w:type="dxa"/>
          <w:right w:w="28" w:type="dxa"/>
        </w:tblCellMar>
      </w:tblPr>
      <w:tblGrid>
        <w:gridCol w:w="1199"/>
        <w:gridCol w:w="1051"/>
        <w:gridCol w:w="1064"/>
        <w:gridCol w:w="441"/>
        <w:gridCol w:w="785"/>
        <w:gridCol w:w="229"/>
        <w:gridCol w:w="109"/>
        <w:gridCol w:w="109"/>
        <w:gridCol w:w="109"/>
        <w:gridCol w:w="289"/>
        <w:gridCol w:w="1030"/>
        <w:gridCol w:w="211"/>
      </w:tblGrid>
      <w:tr>
        <w:trPr/>
        <w:tc>
          <w:tcPr>
            <w:tcW w:w="119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Rate Per Share</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2025</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2025</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2025</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Six months ended June 30, 2025</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2024</w:t>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2024</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2024</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Six months ended June 30, 2024</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addition to dividends on our common stock shown in the table above, we paid </w:t>
      </w:r>
      <w:r>
        <w:rPr>
          <w:rFonts w:ascii="Arial;sans-serif" w:hAnsi="Arial;sans-serif"/>
          <w:b w:val="false"/>
          <w:color w:val="000000"/>
          <w:sz w:val="20"/>
        </w:rPr>
        <w:t>$1 million</w:t>
      </w:r>
      <w:r>
        <w:rPr>
          <w:color w:val="000000"/>
          <w:shd w:fill="FFFFFF" w:val="clear"/>
        </w:rPr>
        <w:t xml:space="preserve"> </w:t>
      </w:r>
      <w:r>
        <w:rPr>
          <w:rFonts w:ascii="Arial;sans-serif" w:hAnsi="Arial;sans-serif"/>
          <w:b w:val="false"/>
          <w:color w:val="000000"/>
          <w:sz w:val="20"/>
          <w:shd w:fill="FFFFFF" w:val="clear"/>
        </w:rPr>
        <w:t xml:space="preserve">of dividend equivalents on equity-settled stock-based compensation awards in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2025</w:t>
      </w:r>
      <w:r>
        <w:rPr>
          <w:rFonts w:ascii="Arial;sans-serif" w:hAnsi="Arial;sans-serif"/>
          <w:b w:val="false"/>
          <w:color w:val="000000"/>
          <w:sz w:val="20"/>
          <w:shd w:fill="FFFFFF" w:val="clear"/>
        </w:rPr>
        <w:t xml:space="preserve">. We paid </w:t>
      </w:r>
      <w:r>
        <w:rPr>
          <w:rFonts w:ascii="Arial;sans-serif" w:hAnsi="Arial;sans-serif"/>
          <w:b w:val="false"/>
          <w:color w:val="000000"/>
          <w:sz w:val="20"/>
        </w:rPr>
        <w:t>$4 million</w:t>
      </w:r>
      <w:r>
        <w:rPr>
          <w:color w:val="000000"/>
          <w:shd w:fill="FFFFFF" w:val="clear"/>
        </w:rPr>
        <w:t xml:space="preserve"> </w:t>
      </w:r>
      <w:r>
        <w:rPr>
          <w:rFonts w:ascii="Arial;sans-serif" w:hAnsi="Arial;sans-serif"/>
          <w:b w:val="false"/>
          <w:color w:val="000000"/>
          <w:sz w:val="20"/>
          <w:shd w:fill="FFFFFF" w:val="clear"/>
        </w:rPr>
        <w:t xml:space="preserve">of dividend equivalents in the six months ended June 30, 2024. Future cash dividends, and the establishment of record and payment dates, are subject to final determination by our Board of Directors each quarter after reviewing our financial performance and position. See </w:t>
      </w:r>
      <w:r>
        <w:rPr>
          <w:rFonts w:ascii="Arial;sans-serif" w:hAnsi="Arial;sans-serif"/>
          <w:b w:val="false"/>
          <w:i/>
          <w:color w:val="000000"/>
          <w:sz w:val="20"/>
          <w:shd w:fill="FFFFFF" w:val="clear"/>
        </w:rPr>
        <w:t>Note 16 Subsequent Events</w:t>
      </w:r>
      <w:r>
        <w:rPr>
          <w:color w:val="000000"/>
          <w:shd w:fill="FFFFFF" w:val="clear"/>
        </w:rPr>
        <w:t xml:space="preserve"> </w:t>
      </w:r>
      <w:r>
        <w:rPr>
          <w:rFonts w:ascii="Arial;sans-serif" w:hAnsi="Arial;sans-serif"/>
          <w:b w:val="false"/>
          <w:color w:val="000000"/>
          <w:sz w:val="20"/>
          <w:shd w:fill="FFFFFF" w:val="clear"/>
        </w:rPr>
        <w:t xml:space="preserve">for information on future cash dividends.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EARNINGS PER SHARE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Basic and diluted earnings per share (EPS) were calculated using the treasury stock method for the three and six months ended June 30, 2025 and 2024. Our restricted stock unit (RSU) and performance stock unit (PSU) awards are not considered participating securities since the dividend rights on unvested shares are forfeitable.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basic EPS, the weighted-average number of common shares outstanding excludes shares underlying our equity-settled awards and warrants. For diluted EPS, the basic shares outstanding are adjusted by adding potential common shares, if dilutive.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 for the three and six months ended June 30, 2025 and 2024:</w:t>
      </w:r>
    </w:p>
    <w:p>
      <w:pPr>
        <w:pStyle w:val="TextBody"/>
        <w:bidi w:val="0"/>
        <w:spacing w:before="0" w:after="0"/>
        <w:jc w:val="left"/>
        <w:rPr/>
      </w:pPr>
      <w:r>
        <w:rPr/>
      </w:r>
    </w:p>
    <w:tbl>
      <w:tblPr>
        <w:tblW w:w="9877" w:type="dxa"/>
        <w:jc w:val="left"/>
        <w:tblInd w:w="0" w:type="dxa"/>
        <w:tblLayout w:type="fixed"/>
        <w:tblCellMar>
          <w:top w:w="28" w:type="dxa"/>
          <w:left w:w="28" w:type="dxa"/>
          <w:bottom w:w="28" w:type="dxa"/>
          <w:right w:w="28" w:type="dxa"/>
        </w:tblCellMar>
      </w:tblPr>
      <w:tblGrid>
        <w:gridCol w:w="1293"/>
        <w:gridCol w:w="1137"/>
        <w:gridCol w:w="1140"/>
        <w:gridCol w:w="295"/>
        <w:gridCol w:w="756"/>
        <w:gridCol w:w="152"/>
        <w:gridCol w:w="152"/>
        <w:gridCol w:w="152"/>
        <w:gridCol w:w="152"/>
        <w:gridCol w:w="295"/>
        <w:gridCol w:w="756"/>
        <w:gridCol w:w="152"/>
        <w:gridCol w:w="109"/>
        <w:gridCol w:w="109"/>
        <w:gridCol w:w="109"/>
        <w:gridCol w:w="264"/>
        <w:gridCol w:w="677"/>
        <w:gridCol w:w="136"/>
        <w:gridCol w:w="136"/>
        <w:gridCol w:w="136"/>
        <w:gridCol w:w="136"/>
        <w:gridCol w:w="264"/>
        <w:gridCol w:w="752"/>
        <w:gridCol w:w="136"/>
        <w:gridCol w:w="109"/>
        <w:gridCol w:w="109"/>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 for Basic and Diluted EPS</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Basic EPS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Potential common shares, if dilutive: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Diluted EPS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EPS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potentially dilutive weighted-average common shares of 6 million which were excluded from the denominator of diluted EPS for the six months ended June 30, 2024 included (i) 4.2 million for shares issuable upon exercise of warrants, (ii) 800,000 for shares issuable upon settlement of RSUs and (iii) 1 million shares issuable upon settlement of PSUs.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12    PENSION AND POSTRETIREMENT BENEFIT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components of the net periodic benefit costs for our defined benefit pension and postretirement benefit plans for the three and six months ended June 30, 2025 and 2024:</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69"/>
        <w:gridCol w:w="1158"/>
        <w:gridCol w:w="1166"/>
        <w:gridCol w:w="339"/>
        <w:gridCol w:w="613"/>
        <w:gridCol w:w="163"/>
        <w:gridCol w:w="163"/>
        <w:gridCol w:w="163"/>
        <w:gridCol w:w="163"/>
        <w:gridCol w:w="427"/>
        <w:gridCol w:w="822"/>
        <w:gridCol w:w="222"/>
        <w:gridCol w:w="109"/>
        <w:gridCol w:w="109"/>
        <w:gridCol w:w="109"/>
        <w:gridCol w:w="336"/>
        <w:gridCol w:w="607"/>
        <w:gridCol w:w="161"/>
        <w:gridCol w:w="161"/>
        <w:gridCol w:w="161"/>
        <w:gridCol w:w="161"/>
        <w:gridCol w:w="414"/>
        <w:gridCol w:w="798"/>
        <w:gridCol w:w="311"/>
      </w:tblGrid>
      <w:tr>
        <w:trPr/>
        <w:tc>
          <w:tcPr>
            <w:tcW w:w="136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5397" w:type="dxa"/>
            <w:gridSpan w:val="18"/>
            <w:tcBorders/>
          </w:tcPr>
          <w:p>
            <w:pPr>
              <w:pStyle w:val="TableContents"/>
              <w:bidi w:val="0"/>
              <w:spacing w:before="0" w:after="283"/>
              <w:jc w:val="left"/>
              <w:rPr>
                <w:sz w:val="4"/>
                <w:szCs w:val="4"/>
              </w:rPr>
            </w:pPr>
            <w:r>
              <w:rPr>
                <w:sz w:val="4"/>
                <w:szCs w:val="4"/>
              </w:rPr>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 benefits earned during the period</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loss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93"/>
        <w:gridCol w:w="1186"/>
        <w:gridCol w:w="1194"/>
        <w:gridCol w:w="327"/>
        <w:gridCol w:w="599"/>
        <w:gridCol w:w="159"/>
        <w:gridCol w:w="159"/>
        <w:gridCol w:w="159"/>
        <w:gridCol w:w="159"/>
        <w:gridCol w:w="525"/>
        <w:gridCol w:w="674"/>
        <w:gridCol w:w="272"/>
        <w:gridCol w:w="109"/>
        <w:gridCol w:w="109"/>
        <w:gridCol w:w="109"/>
        <w:gridCol w:w="324"/>
        <w:gridCol w:w="595"/>
        <w:gridCol w:w="158"/>
        <w:gridCol w:w="158"/>
        <w:gridCol w:w="158"/>
        <w:gridCol w:w="158"/>
        <w:gridCol w:w="502"/>
        <w:gridCol w:w="645"/>
        <w:gridCol w:w="374"/>
      </w:tblGrid>
      <w:tr>
        <w:trPr/>
        <w:tc>
          <w:tcPr>
            <w:tcW w:w="13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773"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5347" w:type="dxa"/>
            <w:gridSpan w:val="18"/>
            <w:tcBorders/>
          </w:tcPr>
          <w:p>
            <w:pPr>
              <w:pStyle w:val="TableContents"/>
              <w:bidi w:val="0"/>
              <w:spacing w:before="0" w:after="283"/>
              <w:jc w:val="left"/>
              <w:rPr>
                <w:sz w:val="4"/>
                <w:szCs w:val="4"/>
              </w:rPr>
            </w:pPr>
            <w:r>
              <w:rPr>
                <w:sz w:val="4"/>
                <w:szCs w:val="4"/>
              </w:rPr>
            </w:r>
          </w:p>
        </w:tc>
      </w:tr>
      <w:tr>
        <w:trPr/>
        <w:tc>
          <w:tcPr>
            <w:tcW w:w="3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r>
      <w:tr>
        <w:trPr/>
        <w:tc>
          <w:tcPr>
            <w:tcW w:w="3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 benefits earned during the period</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773"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loss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Contributions to our pension benefit plans were insignificant during the </w:t>
      </w:r>
      <w:r>
        <w:rPr>
          <w:rFonts w:ascii="Arial;sans-serif" w:hAnsi="Arial;sans-serif"/>
          <w:b w:val="false"/>
          <w:color w:val="000000"/>
          <w:sz w:val="20"/>
        </w:rPr>
        <w:t>three and six months ended June 30, 2025. During the three and six months ended June 30, 2024, we contributed $2 million to our pension benefit plans</w:t>
      </w:r>
      <w:r>
        <w:rPr>
          <w:rFonts w:ascii="Arial;sans-serif" w:hAnsi="Arial;sans-serif"/>
          <w:b w:val="false"/>
          <w:color w:val="000000"/>
          <w:sz w:val="20"/>
          <w:shd w:fill="FFFFFF" w:val="clear"/>
        </w:rPr>
        <w:t xml:space="preserve">. We do not expect to need to make any contributions to our qualified pension plans to satisfy minimum funding requirements during the remainder of </w:t>
      </w:r>
      <w:r>
        <w:rPr>
          <w:rFonts w:ascii="Arial;sans-serif" w:hAnsi="Arial;sans-serif"/>
          <w:b w:val="false"/>
          <w:color w:val="000000"/>
          <w:sz w:val="20"/>
        </w:rPr>
        <w:t>2025</w:t>
      </w:r>
      <w:r>
        <w:rPr>
          <w:rFonts w:ascii="Arial;sans-serif" w:hAnsi="Arial;sans-serif"/>
          <w:b w:val="false"/>
          <w:color w:val="000000"/>
          <w:sz w:val="20"/>
          <w:shd w:fill="FFFFFF" w:val="clear"/>
        </w:rPr>
        <w:t xml:space="preserve">. We expect to contribute an insignificant amount to fund our pension benefit distributions during the remainder of </w:t>
      </w:r>
      <w:r>
        <w:rPr>
          <w:rFonts w:ascii="Arial;sans-serif" w:hAnsi="Arial;sans-serif"/>
          <w:b w:val="false"/>
          <w:color w:val="000000"/>
          <w:sz w:val="20"/>
        </w:rPr>
        <w:t>2025</w:t>
      </w:r>
      <w:r>
        <w:rPr>
          <w:rFonts w:ascii="Arial;sans-serif" w:hAnsi="Arial;sans-serif"/>
          <w:b w:val="false"/>
          <w:color w:val="000000"/>
          <w:sz w:val="20"/>
          <w:shd w:fill="FFFFFF" w:val="clear"/>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NOTE 13    SUPPLEMENTAL ACCOUNT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Restricted cash</w:t>
      </w:r>
      <w:r>
        <w:rPr>
          <w:color w:val="000000"/>
        </w:rPr>
        <w:t xml:space="preserve"> — </w:t>
      </w:r>
      <w:r>
        <w:rPr>
          <w:rFonts w:ascii="Arial;sans-serif" w:hAnsi="Arial;sans-serif"/>
          <w:b w:val="false"/>
          <w:color w:val="000000"/>
          <w:sz w:val="20"/>
        </w:rPr>
        <w:t>Cash and cash equivalents includes restricted cash of $16 million and $18 million at June 30, 2025 and December 31, 2024, respectively. Restricted cash primarily includes funds held in an escrow account established to secure oil field well and infrastructure abandonment and habitat restoration at an oil and gas field previously owned by Aera.</w:t>
      </w:r>
    </w:p>
    <w:p>
      <w:pPr>
        <w:pStyle w:val="TextBody"/>
        <w:bidi w:val="0"/>
        <w:spacing w:lineRule="auto" w:line="288" w:before="0" w:after="0"/>
        <w:ind w:left="0" w:right="0" w:firstLine="360"/>
        <w:jc w:val="left"/>
        <w:rPr/>
      </w:pPr>
      <w:r>
        <w:rPr>
          <w:rFonts w:ascii="Arial;sans-serif" w:hAnsi="Arial;sans-serif"/>
          <w:b/>
          <w:i/>
          <w:color w:val="000000"/>
          <w:sz w:val="20"/>
        </w:rPr>
        <w:t>Revenues</w:t>
      </w:r>
      <w:r>
        <w:rPr>
          <w:color w:val="000000"/>
        </w:rPr>
        <w:t xml:space="preserve"> — </w:t>
      </w:r>
      <w:r>
        <w:rPr>
          <w:rFonts w:ascii="Arial;sans-serif" w:hAnsi="Arial;sans-serif"/>
          <w:b w:val="false"/>
          <w:color w:val="000000"/>
          <w:sz w:val="20"/>
        </w:rPr>
        <w:t xml:space="preserve">We derive most of our revenue from sales of oil, natural gas and natural gas liquids, with the remaining revenue primarily generated from sales of electricity and revenue from resource adequacy contracts in addition to revenue from marketing activities related to storage and managing excess pipeline capacity. The following table provides disaggregated revenue for sales of produced oil, natural gas and natural gas liquids to customers: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413"/>
        <w:gridCol w:w="1247"/>
        <w:gridCol w:w="1262"/>
        <w:gridCol w:w="311"/>
        <w:gridCol w:w="710"/>
        <w:gridCol w:w="160"/>
        <w:gridCol w:w="160"/>
        <w:gridCol w:w="160"/>
        <w:gridCol w:w="160"/>
        <w:gridCol w:w="311"/>
        <w:gridCol w:w="710"/>
        <w:gridCol w:w="160"/>
        <w:gridCol w:w="109"/>
        <w:gridCol w:w="109"/>
        <w:gridCol w:w="109"/>
        <w:gridCol w:w="265"/>
        <w:gridCol w:w="811"/>
        <w:gridCol w:w="136"/>
        <w:gridCol w:w="136"/>
        <w:gridCol w:w="136"/>
        <w:gridCol w:w="136"/>
        <w:gridCol w:w="265"/>
        <w:gridCol w:w="604"/>
        <w:gridCol w:w="136"/>
        <w:gridCol w:w="109"/>
        <w:gridCol w:w="109"/>
        <w:gridCol w:w="109"/>
        <w:gridCol w:w="162"/>
      </w:tblGrid>
      <w:tr>
        <w:trPr/>
        <w:tc>
          <w:tcPr>
            <w:tcW w:w="141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Natural gas liquids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From time-to-time, we enter into transactions for third-party production, which we report as revenue from marketing of purchased commodities on our condensed consolidated statements of operations. Revenues from marketing of purchased commodities primarily results from the storage or transportation of natural gas to take advantage of differences in pricing or location, or marketing oil sales that have resulted from third-party purchases. The following table provides disaggregated revenue for sales to customers related to our marketing activities: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9"/>
        <w:gridCol w:w="1316"/>
        <w:gridCol w:w="1314"/>
        <w:gridCol w:w="332"/>
        <w:gridCol w:w="592"/>
        <w:gridCol w:w="171"/>
        <w:gridCol w:w="171"/>
        <w:gridCol w:w="171"/>
        <w:gridCol w:w="171"/>
        <w:gridCol w:w="332"/>
        <w:gridCol w:w="592"/>
        <w:gridCol w:w="171"/>
        <w:gridCol w:w="109"/>
        <w:gridCol w:w="109"/>
        <w:gridCol w:w="109"/>
        <w:gridCol w:w="277"/>
        <w:gridCol w:w="634"/>
        <w:gridCol w:w="143"/>
        <w:gridCol w:w="143"/>
        <w:gridCol w:w="143"/>
        <w:gridCol w:w="143"/>
        <w:gridCol w:w="277"/>
        <w:gridCol w:w="634"/>
        <w:gridCol w:w="143"/>
        <w:gridCol w:w="109"/>
        <w:gridCol w:w="109"/>
        <w:gridCol w:w="109"/>
        <w:gridCol w:w="162"/>
      </w:tblGrid>
      <w:tr>
        <w:trPr/>
        <w:tc>
          <w:tcPr>
            <w:tcW w:w="151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liquids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Inventories</w:t>
      </w:r>
      <w:r>
        <w:rPr>
          <w:color w:val="000000"/>
        </w:rPr>
        <w:t xml:space="preserve"> — </w:t>
      </w:r>
      <w:r>
        <w:rPr>
          <w:rFonts w:ascii="Arial;sans-serif" w:hAnsi="Arial;sans-serif"/>
          <w:b w:val="false"/>
          <w:color w:val="000000"/>
          <w:sz w:val="20"/>
        </w:rPr>
        <w:t>Materials and supplies, which primarily consist of well equipment and tubular goods used in our oil and natural gas operations and critical spares related to our cogeneration power plants, are valued at weighted-average cost and are reviewed periodically for obsolescence. Finished goods include produced oil and natural gas liquids in storage, which are valued at the lower of cost or net realizable value. Inventories, by category, are as follows:</w:t>
      </w:r>
    </w:p>
    <w:tbl>
      <w:tblPr>
        <w:tblW w:w="4689" w:type="dxa"/>
        <w:jc w:val="left"/>
        <w:tblInd w:w="0" w:type="dxa"/>
        <w:tblLayout w:type="fixed"/>
        <w:tblCellMar>
          <w:top w:w="28" w:type="dxa"/>
          <w:left w:w="28" w:type="dxa"/>
          <w:bottom w:w="28" w:type="dxa"/>
          <w:right w:w="28" w:type="dxa"/>
        </w:tblCellMar>
      </w:tblPr>
      <w:tblGrid>
        <w:gridCol w:w="750"/>
        <w:gridCol w:w="657"/>
        <w:gridCol w:w="662"/>
        <w:gridCol w:w="268"/>
        <w:gridCol w:w="478"/>
        <w:gridCol w:w="138"/>
        <w:gridCol w:w="109"/>
        <w:gridCol w:w="109"/>
        <w:gridCol w:w="109"/>
        <w:gridCol w:w="400"/>
        <w:gridCol w:w="715"/>
        <w:gridCol w:w="29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current assets, net</w:t>
      </w:r>
      <w:r>
        <w:rPr>
          <w:color w:val="000000"/>
        </w:rPr>
        <w:t xml:space="preserve"> — </w:t>
      </w:r>
      <w:r>
        <w:rPr>
          <w:rFonts w:ascii="Arial;sans-serif" w:hAnsi="Arial;sans-serif"/>
          <w:b w:val="false"/>
          <w:color w:val="000000"/>
          <w:sz w:val="20"/>
        </w:rPr>
        <w:t>Other current assets, net include the following:</w:t>
      </w:r>
    </w:p>
    <w:tbl>
      <w:tblPr>
        <w:tblW w:w="6731" w:type="dxa"/>
        <w:jc w:val="left"/>
        <w:tblInd w:w="0" w:type="dxa"/>
        <w:tblLayout w:type="fixed"/>
        <w:tblCellMar>
          <w:top w:w="28" w:type="dxa"/>
          <w:left w:w="28" w:type="dxa"/>
          <w:bottom w:w="28" w:type="dxa"/>
          <w:right w:w="28" w:type="dxa"/>
        </w:tblCellMar>
      </w:tblPr>
      <w:tblGrid>
        <w:gridCol w:w="1486"/>
        <w:gridCol w:w="1307"/>
        <w:gridCol w:w="1316"/>
        <w:gridCol w:w="233"/>
        <w:gridCol w:w="532"/>
        <w:gridCol w:w="120"/>
        <w:gridCol w:w="109"/>
        <w:gridCol w:w="109"/>
        <w:gridCol w:w="109"/>
        <w:gridCol w:w="351"/>
        <w:gridCol w:w="801"/>
        <w:gridCol w:w="258"/>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amounts due from joint interest partners</w:t>
            </w:r>
            <w:r>
              <w:rPr>
                <w:rFonts w:ascii="Arial;sans-serif" w:hAnsi="Arial;sans-serif"/>
                <w:b w:val="false"/>
                <w:color w:val="000000"/>
                <w:sz w:val="13"/>
              </w:rPr>
              <w:t>(a)</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Greenhouse gas allowances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(a)The amounts due from joint interest partners include insignificant amounts of allowances for credit losses for each period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noncurrent assets</w:t>
      </w:r>
      <w:r>
        <w:rPr>
          <w:color w:val="000000"/>
        </w:rPr>
        <w:t xml:space="preserve"> — </w:t>
      </w:r>
      <w:r>
        <w:rPr>
          <w:rFonts w:ascii="Arial;sans-serif" w:hAnsi="Arial;sans-serif"/>
          <w:b w:val="false"/>
          <w:color w:val="000000"/>
          <w:sz w:val="20"/>
        </w:rPr>
        <w:t>Other noncurrent assets include the following:</w:t>
      </w:r>
    </w:p>
    <w:tbl>
      <w:tblPr>
        <w:tblW w:w="7152" w:type="dxa"/>
        <w:jc w:val="left"/>
        <w:tblInd w:w="0" w:type="dxa"/>
        <w:tblLayout w:type="fixed"/>
        <w:tblCellMar>
          <w:top w:w="28" w:type="dxa"/>
          <w:left w:w="28" w:type="dxa"/>
          <w:bottom w:w="28" w:type="dxa"/>
          <w:right w:w="28" w:type="dxa"/>
        </w:tblCellMar>
      </w:tblPr>
      <w:tblGrid>
        <w:gridCol w:w="1640"/>
        <w:gridCol w:w="1443"/>
        <w:gridCol w:w="1447"/>
        <w:gridCol w:w="233"/>
        <w:gridCol w:w="532"/>
        <w:gridCol w:w="120"/>
        <w:gridCol w:w="109"/>
        <w:gridCol w:w="109"/>
        <w:gridCol w:w="109"/>
        <w:gridCol w:w="351"/>
        <w:gridCol w:w="801"/>
        <w:gridCol w:w="258"/>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 Revolving Credit Facility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Emission reduction credits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Funded pension</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Postretirement plan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left"/>
        <w:rPr/>
      </w:pPr>
      <w:r>
        <w:rPr>
          <w:rFonts w:ascii="Arial;sans-serif" w:hAnsi="Arial;sans-serif"/>
          <w:b/>
          <w:i/>
          <w:color w:val="000000"/>
          <w:sz w:val="20"/>
        </w:rPr>
        <w:t>Accrued liabilities</w:t>
      </w:r>
      <w:r>
        <w:rPr>
          <w:color w:val="000000"/>
        </w:rPr>
        <w:t xml:space="preserve"> — </w:t>
      </w:r>
      <w:r>
        <w:rPr>
          <w:rFonts w:ascii="Arial;sans-serif" w:hAnsi="Arial;sans-serif"/>
          <w:b w:val="false"/>
          <w:color w:val="000000"/>
          <w:sz w:val="20"/>
        </w:rPr>
        <w:t>Accrued liabilities include the following:</w:t>
      </w:r>
    </w:p>
    <w:tbl>
      <w:tblPr>
        <w:tblW w:w="9132" w:type="dxa"/>
        <w:jc w:val="left"/>
        <w:tblInd w:w="0" w:type="dxa"/>
        <w:tblLayout w:type="fixed"/>
        <w:tblCellMar>
          <w:top w:w="28" w:type="dxa"/>
          <w:left w:w="28" w:type="dxa"/>
          <w:bottom w:w="28" w:type="dxa"/>
          <w:right w:w="28" w:type="dxa"/>
        </w:tblCellMar>
      </w:tblPr>
      <w:tblGrid>
        <w:gridCol w:w="2360"/>
        <w:gridCol w:w="2072"/>
        <w:gridCol w:w="2078"/>
        <w:gridCol w:w="233"/>
        <w:gridCol w:w="532"/>
        <w:gridCol w:w="120"/>
        <w:gridCol w:w="109"/>
        <w:gridCol w:w="109"/>
        <w:gridCol w:w="109"/>
        <w:gridCol w:w="351"/>
        <w:gridCol w:w="801"/>
        <w:gridCol w:w="258"/>
      </w:tblGrid>
      <w:tr>
        <w:trPr/>
        <w:tc>
          <w:tcPr>
            <w:tcW w:w="2360"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retirement obligations - current portion</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Withholding tax on IKAV stock repurchase (</w:t>
            </w:r>
            <w:r>
              <w:rPr>
                <w:rFonts w:ascii="Arial;sans-serif" w:hAnsi="Arial;sans-serif"/>
                <w:b w:val="false"/>
                <w:i/>
                <w:color w:val="000000"/>
                <w:sz w:val="20"/>
              </w:rPr>
              <w:t>Note 10 Stockholders' Equity</w:t>
            </w:r>
            <w:r>
              <w:rPr>
                <w:rFonts w:ascii="Arial;sans-serif" w:hAnsi="Arial;sans-serif"/>
                <w:b w:val="false"/>
                <w:color w:val="000000"/>
                <w:sz w:val="20"/>
              </w:rPr>
              <w: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Advanced payments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Payable to the former owners of Aera</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liabilities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long-term liabilities</w:t>
      </w:r>
      <w:r>
        <w:rPr>
          <w:color w:val="000000"/>
        </w:rPr>
        <w:t xml:space="preserve"> — </w:t>
      </w:r>
      <w:r>
        <w:rPr>
          <w:rFonts w:ascii="Arial;sans-serif" w:hAnsi="Arial;sans-serif"/>
          <w:b w:val="false"/>
          <w:color w:val="000000"/>
          <w:sz w:val="20"/>
        </w:rPr>
        <w:t xml:space="preserve">Other long-term liabilities include the following: </w:t>
      </w:r>
    </w:p>
    <w:p>
      <w:pPr>
        <w:pStyle w:val="TextBody"/>
        <w:bidi w:val="0"/>
        <w:spacing w:before="0" w:after="0"/>
        <w:ind w:left="0" w:right="0" w:firstLine="360"/>
        <w:jc w:val="left"/>
        <w:rPr/>
      </w:pPr>
      <w:r>
        <w:rPr/>
      </w:r>
    </w:p>
    <w:tbl>
      <w:tblPr>
        <w:tblW w:w="9026" w:type="dxa"/>
        <w:jc w:val="left"/>
        <w:tblInd w:w="0" w:type="dxa"/>
        <w:tblLayout w:type="fixed"/>
        <w:tblCellMar>
          <w:top w:w="28" w:type="dxa"/>
          <w:left w:w="28" w:type="dxa"/>
          <w:bottom w:w="28" w:type="dxa"/>
          <w:right w:w="28" w:type="dxa"/>
        </w:tblCellMar>
      </w:tblPr>
      <w:tblGrid>
        <w:gridCol w:w="2322"/>
        <w:gridCol w:w="2037"/>
        <w:gridCol w:w="2045"/>
        <w:gridCol w:w="233"/>
        <w:gridCol w:w="532"/>
        <w:gridCol w:w="120"/>
        <w:gridCol w:w="109"/>
        <w:gridCol w:w="109"/>
        <w:gridCol w:w="109"/>
        <w:gridCol w:w="351"/>
        <w:gridCol w:w="801"/>
        <w:gridCol w:w="258"/>
      </w:tblGrid>
      <w:tr>
        <w:trPr/>
        <w:tc>
          <w:tcPr>
            <w:tcW w:w="2322"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and pension benefit plans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Contingent liability (</w:t>
            </w:r>
            <w:r>
              <w:rPr>
                <w:rFonts w:ascii="Arial;sans-serif" w:hAnsi="Arial;sans-serif"/>
                <w:b w:val="false"/>
                <w:i/>
                <w:color w:val="000000"/>
                <w:sz w:val="20"/>
              </w:rPr>
              <w:t>Note 3 Investments and Related Party Transactions</w:t>
            </w:r>
            <w:r>
              <w:rPr>
                <w:rFonts w:ascii="Arial;sans-serif" w:hAnsi="Arial;sans-serif"/>
                <w:b w:val="false"/>
                <w:color w:val="000000"/>
                <w:sz w:val="20"/>
              </w:rPr>
              <w: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14    SUPPLEMENTAL CASH FLOW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Supplemental disclosures to our condensed consolidated statements of cash flows are presented below:</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89"/>
        <w:gridCol w:w="1484"/>
        <w:gridCol w:w="1490"/>
        <w:gridCol w:w="289"/>
        <w:gridCol w:w="557"/>
        <w:gridCol w:w="149"/>
        <w:gridCol w:w="149"/>
        <w:gridCol w:w="149"/>
        <w:gridCol w:w="149"/>
        <w:gridCol w:w="289"/>
        <w:gridCol w:w="557"/>
        <w:gridCol w:w="149"/>
        <w:gridCol w:w="109"/>
        <w:gridCol w:w="109"/>
        <w:gridCol w:w="109"/>
        <w:gridCol w:w="276"/>
        <w:gridCol w:w="492"/>
        <w:gridCol w:w="142"/>
        <w:gridCol w:w="142"/>
        <w:gridCol w:w="142"/>
        <w:gridCol w:w="142"/>
        <w:gridCol w:w="276"/>
        <w:gridCol w:w="532"/>
        <w:gridCol w:w="142"/>
        <w:gridCol w:w="109"/>
        <w:gridCol w:w="109"/>
        <w:gridCol w:w="109"/>
        <w:gridCol w:w="165"/>
      </w:tblGrid>
      <w:tr>
        <w:trPr/>
        <w:tc>
          <w:tcPr>
            <w:tcW w:w="168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Supplemental cash flow information</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paid, net of amounts capitalized</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Contributions to the Carbon TerraVault JV</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Issuance of shares for stock-based compensation awards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accrued for stock-based compensation awards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Excise tax on share repurchases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Withholding tax on the Stock Repurchase</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15    CONDENSED CONSOLIDATING FINANCIAL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designated certain of our subsidiaries as Unrestricted Subsidiaries under the indenture governing our 2026 Senior Notes (2026 Senior Notes Indenture) and the indenture governing our 2029 Senior Notes (2029 Senior Notes Indenture). Unrestricted Subsidiaries (as defined in the 2026 Senior Notes Indenture and 2029 Senior Notes Indenture) are subject to fewer restrictions under the indentures. We are required under the 2026 Senior Notes Indenture and 2029 Senior Notes Indenture to present the financial condition and results of operations of CRC and its Restricted Subsidiaries (as defined in the 2026 Senior Notes Indenture and 2029 Senior Notes Indenture) separate from the financial condition and results of operations of its Unrestricted Subsidiaries. The following condensed consolidating balance sheets as of June 30, 2025 and December 31, 2024 and the condensed consolidating statements of operations for the three and six months ended June 30, 2025 and 2024, as applicable, reflect the condensed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June 30, 2025 and December 31, 2024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84"/>
        <w:gridCol w:w="396"/>
        <w:gridCol w:w="400"/>
        <w:gridCol w:w="211"/>
        <w:gridCol w:w="646"/>
        <w:gridCol w:w="109"/>
        <w:gridCol w:w="109"/>
        <w:gridCol w:w="109"/>
        <w:gridCol w:w="109"/>
        <w:gridCol w:w="408"/>
        <w:gridCol w:w="931"/>
        <w:gridCol w:w="211"/>
        <w:gridCol w:w="109"/>
        <w:gridCol w:w="109"/>
        <w:gridCol w:w="109"/>
        <w:gridCol w:w="300"/>
        <w:gridCol w:w="1069"/>
        <w:gridCol w:w="156"/>
        <w:gridCol w:w="109"/>
        <w:gridCol w:w="109"/>
        <w:gridCol w:w="109"/>
        <w:gridCol w:w="254"/>
        <w:gridCol w:w="905"/>
        <w:gridCol w:w="132"/>
        <w:gridCol w:w="109"/>
        <w:gridCol w:w="109"/>
        <w:gridCol w:w="109"/>
        <w:gridCol w:w="288"/>
        <w:gridCol w:w="882"/>
        <w:gridCol w:w="215"/>
      </w:tblGrid>
      <w:tr>
        <w:trPr/>
        <w:tc>
          <w:tcPr>
            <w:tcW w:w="138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June 30, 2025</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Investment in unconsolidated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(21,836)</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6,712 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2"/>
        <w:gridCol w:w="398"/>
        <w:gridCol w:w="400"/>
        <w:gridCol w:w="211"/>
        <w:gridCol w:w="646"/>
        <w:gridCol w:w="109"/>
        <w:gridCol w:w="109"/>
        <w:gridCol w:w="109"/>
        <w:gridCol w:w="109"/>
        <w:gridCol w:w="408"/>
        <w:gridCol w:w="931"/>
        <w:gridCol w:w="211"/>
        <w:gridCol w:w="109"/>
        <w:gridCol w:w="109"/>
        <w:gridCol w:w="109"/>
        <w:gridCol w:w="300"/>
        <w:gridCol w:w="1069"/>
        <w:gridCol w:w="156"/>
        <w:gridCol w:w="109"/>
        <w:gridCol w:w="109"/>
        <w:gridCol w:w="109"/>
        <w:gridCol w:w="254"/>
        <w:gridCol w:w="905"/>
        <w:gridCol w:w="132"/>
        <w:gridCol w:w="109"/>
        <w:gridCol w:w="109"/>
        <w:gridCol w:w="109"/>
        <w:gridCol w:w="288"/>
        <w:gridCol w:w="882"/>
        <w:gridCol w:w="215"/>
      </w:tblGrid>
      <w:tr>
        <w:trPr/>
        <w:tc>
          <w:tcPr>
            <w:tcW w:w="138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December 31, 2024</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21,386 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(19,887)</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Statement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six months ended June 30, 2025 and 2024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453"/>
        <w:gridCol w:w="1033"/>
        <w:gridCol w:w="234"/>
        <w:gridCol w:w="109"/>
        <w:gridCol w:w="109"/>
        <w:gridCol w:w="109"/>
        <w:gridCol w:w="375"/>
        <w:gridCol w:w="721"/>
        <w:gridCol w:w="195"/>
        <w:gridCol w:w="109"/>
        <w:gridCol w:w="109"/>
        <w:gridCol w:w="109"/>
        <w:gridCol w:w="344"/>
        <w:gridCol w:w="785"/>
        <w:gridCol w:w="25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2025</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9"/>
        <w:gridCol w:w="525"/>
        <w:gridCol w:w="528"/>
        <w:gridCol w:w="211"/>
        <w:gridCol w:w="397"/>
        <w:gridCol w:w="109"/>
        <w:gridCol w:w="109"/>
        <w:gridCol w:w="109"/>
        <w:gridCol w:w="109"/>
        <w:gridCol w:w="520"/>
        <w:gridCol w:w="1003"/>
        <w:gridCol w:w="271"/>
        <w:gridCol w:w="109"/>
        <w:gridCol w:w="109"/>
        <w:gridCol w:w="109"/>
        <w:gridCol w:w="460"/>
        <w:gridCol w:w="1049"/>
        <w:gridCol w:w="238"/>
        <w:gridCol w:w="109"/>
        <w:gridCol w:w="109"/>
        <w:gridCol w:w="109"/>
        <w:gridCol w:w="375"/>
        <w:gridCol w:w="721"/>
        <w:gridCol w:w="195"/>
        <w:gridCol w:w="109"/>
        <w:gridCol w:w="109"/>
        <w:gridCol w:w="109"/>
        <w:gridCol w:w="344"/>
        <w:gridCol w:w="785"/>
        <w:gridCol w:w="257"/>
      </w:tblGrid>
      <w:tr>
        <w:trPr/>
        <w:tc>
          <w:tcPr>
            <w:tcW w:w="9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2024</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75"/>
        <w:gridCol w:w="721"/>
        <w:gridCol w:w="195"/>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453"/>
        <w:gridCol w:w="1033"/>
        <w:gridCol w:w="234"/>
        <w:gridCol w:w="109"/>
        <w:gridCol w:w="109"/>
        <w:gridCol w:w="109"/>
        <w:gridCol w:w="375"/>
        <w:gridCol w:w="721"/>
        <w:gridCol w:w="195"/>
        <w:gridCol w:w="109"/>
        <w:gridCol w:w="109"/>
        <w:gridCol w:w="109"/>
        <w:gridCol w:w="344"/>
        <w:gridCol w:w="785"/>
        <w:gridCol w:w="25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2024</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16    SUBSEQUENT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Dividend</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On </w:t>
      </w:r>
      <w:r>
        <w:rPr>
          <w:rFonts w:ascii="Arial;sans-serif" w:hAnsi="Arial;sans-serif"/>
          <w:b w:val="false"/>
          <w:color w:val="000000"/>
          <w:sz w:val="20"/>
        </w:rPr>
        <w:t>August 5, 2025</w:t>
      </w:r>
      <w:r>
        <w:rPr>
          <w:rFonts w:ascii="Arial;sans-serif" w:hAnsi="Arial;sans-serif"/>
          <w:b w:val="false"/>
          <w:color w:val="000000"/>
          <w:sz w:val="20"/>
          <w:shd w:fill="FFFFFF" w:val="clear"/>
        </w:rPr>
        <w:t xml:space="preserve">, our Board of Directors declared a quarterly cash dividend of </w:t>
      </w:r>
      <w:r>
        <w:rPr>
          <w:rFonts w:ascii="Arial;sans-serif" w:hAnsi="Arial;sans-serif"/>
          <w:b w:val="false"/>
          <w:color w:val="000000"/>
          <w:sz w:val="20"/>
        </w:rPr>
        <w:t>$0.3875</w:t>
      </w:r>
      <w:r>
        <w:rPr>
          <w:color w:val="000000"/>
          <w:shd w:fill="FFFFFF" w:val="clear"/>
        </w:rPr>
        <w:t xml:space="preserve"> </w:t>
      </w:r>
      <w:r>
        <w:rPr>
          <w:rFonts w:ascii="Arial;sans-serif" w:hAnsi="Arial;sans-serif"/>
          <w:b w:val="false"/>
          <w:color w:val="000000"/>
          <w:sz w:val="20"/>
          <w:shd w:fill="FFFFFF" w:val="clear"/>
        </w:rPr>
        <w:t xml:space="preserve">per share of common stock. The dividend is payable to shareholders of record at the close of business on </w:t>
      </w:r>
      <w:r>
        <w:rPr>
          <w:rFonts w:ascii="Arial;sans-serif" w:hAnsi="Arial;sans-serif"/>
          <w:b w:val="false"/>
          <w:color w:val="000000"/>
          <w:sz w:val="20"/>
        </w:rPr>
        <w:t>August 27, 2025</w:t>
      </w:r>
      <w:r>
        <w:rPr>
          <w:color w:val="000000"/>
          <w:shd w:fill="FFFFFF" w:val="clear"/>
        </w:rPr>
        <w:t xml:space="preserve"> </w:t>
      </w:r>
      <w:r>
        <w:rPr>
          <w:rFonts w:ascii="Arial;sans-serif" w:hAnsi="Arial;sans-serif"/>
          <w:b w:val="false"/>
          <w:color w:val="000000"/>
          <w:sz w:val="20"/>
          <w:shd w:fill="FFFFFF" w:val="clear"/>
        </w:rPr>
        <w:t xml:space="preserve">and is expected to be paid on </w:t>
      </w:r>
      <w:r>
        <w:rPr>
          <w:rFonts w:ascii="Arial;sans-serif" w:hAnsi="Arial;sans-serif"/>
          <w:b w:val="false"/>
          <w:color w:val="000000"/>
          <w:sz w:val="20"/>
        </w:rPr>
        <w:t>September 12, 2025</w:t>
      </w:r>
      <w:r>
        <w:rPr>
          <w:rFonts w:ascii="Arial;sans-serif" w:hAnsi="Arial;sans-serif"/>
          <w:b w:val="false"/>
          <w:color w:val="000000"/>
          <w:sz w:val="20"/>
          <w:shd w:fill="FFFFFF" w:val="clear"/>
        </w:rPr>
        <w:t>.</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On </w:t>
      </w:r>
      <w:r>
        <w:rPr>
          <w:rFonts w:ascii="Arial;sans-serif" w:hAnsi="Arial;sans-serif"/>
          <w:b w:val="false"/>
          <w:color w:val="000000"/>
          <w:sz w:val="20"/>
        </w:rPr>
        <w:t xml:space="preserve">July 30, 2025 the Board of Directors authorized an </w:t>
      </w:r>
      <w:r>
        <w:rPr>
          <w:rFonts w:ascii="Arial;sans-serif" w:hAnsi="Arial;sans-serif"/>
          <w:b w:val="false"/>
          <w:color w:val="000000"/>
          <w:sz w:val="20"/>
          <w:shd w:fill="FFFFFF" w:val="clear"/>
        </w:rPr>
        <w:t xml:space="preserve">extension of our Share Repurchase Program through June 30, 2026. </w:t>
      </w:r>
      <w:r>
        <w:rPr>
          <w:rFonts w:ascii="Arial;sans-serif" w:hAnsi="Arial;sans-serif"/>
          <w:b w:val="false"/>
          <w:color w:val="000000"/>
          <w:sz w:val="20"/>
        </w:rPr>
        <w:t xml:space="preserve">Refer to </w:t>
      </w:r>
      <w:r>
        <w:rPr>
          <w:rFonts w:ascii="Arial;sans-serif" w:hAnsi="Arial;sans-serif"/>
          <w:b w:val="false"/>
          <w:i/>
          <w:color w:val="000000"/>
          <w:sz w:val="20"/>
        </w:rPr>
        <w:t xml:space="preserve">Note 10 Stockholders' Equity </w:t>
      </w:r>
      <w:r>
        <w:rPr>
          <w:rFonts w:ascii="Arial;sans-serif" w:hAnsi="Arial;sans-serif"/>
          <w:b w:val="false"/>
          <w:color w:val="000000"/>
          <w:sz w:val="20"/>
        </w:rPr>
        <w:t>for more information on our Share Repurchase Program</w:t>
      </w:r>
      <w:r>
        <w:rPr>
          <w:rFonts w:ascii="Arial;sans-serif" w:hAnsi="Arial;sans-serif"/>
          <w:b w:val="false"/>
          <w:color w:val="000000"/>
          <w:sz w:val="20"/>
          <w:shd w:fill="FFFFFF" w:val="clear"/>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2Management’s Discussion and Analysis of Financial Condition and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Except when the context otherwise requires or where otherwise indicated, all references to ‘‘CRC,’’ the ‘‘Company,’’ ‘‘we,’’ ‘‘us’’ and ‘‘our’’ refer to California Resources Corporation and its consolidated subsidiaries as of the date presented.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Business Environment and Industry Outlook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Commodity Prices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operating results, and those of the oil and natural gas industry, are heavily influenced by commodity prices. Oil and natural gas prices and differentials may fluctuate significantly as a result of numerous market-related variables. These and other factors make it challenging to predict realized prices reliably. We may respond to economic conditions by adjusting the amount and allocation of our capital program while continuing to identify efficiencies and cost savings. Volatility in oil and natural gas prices may affect the quantities of oil and natural gas reserves we can economically produce over the longer term. Refer to </w:t>
      </w:r>
      <w:r>
        <w:rPr>
          <w:rFonts w:ascii="Arial;sans-serif" w:hAnsi="Arial;sans-serif"/>
          <w:b w:val="false"/>
          <w:i/>
          <w:color w:val="000000"/>
          <w:sz w:val="20"/>
        </w:rPr>
        <w:t xml:space="preserve">Results of Our Oil and Natural Gas Operations, Production, Prices and Realizations </w:t>
      </w:r>
      <w:r>
        <w:rPr>
          <w:rFonts w:ascii="Arial;sans-serif" w:hAnsi="Arial;sans-serif"/>
          <w:b w:val="false"/>
          <w:color w:val="000000"/>
          <w:sz w:val="20"/>
        </w:rPr>
        <w:t xml:space="preserve">below for information on our realized prices.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2025, Brent prices were negatively affected by a succession of announcements by OPEC+ of its intention to return offline production to market at a much quicker pace than previously anticipated and concern over the state of global trade following a series of tariff announcements. Prices slightly increased in June 2025 as tensions between Iran and Israel became overtly military in nature and a concern developed that petroleum flowing through the Persian Gulf — and through the Strait of Hormuz, in particular — could ultimately be impacted.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Collectively, these factors introduced significant oil price volatility with Brent crude oil prices fluctuating between a low of approximately $60 per barrel in early May and a high of approximately $80 per barrel in mid-June.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average daily benchmark prices for oil and natural gas during the periods presented:</w:t>
      </w:r>
    </w:p>
    <w:tbl>
      <w:tblPr>
        <w:tblW w:w="9876" w:type="dxa"/>
        <w:jc w:val="left"/>
        <w:tblInd w:w="0" w:type="dxa"/>
        <w:tblLayout w:type="fixed"/>
        <w:tblCellMar>
          <w:top w:w="28" w:type="dxa"/>
          <w:left w:w="28" w:type="dxa"/>
          <w:bottom w:w="28" w:type="dxa"/>
          <w:right w:w="28" w:type="dxa"/>
        </w:tblCellMar>
      </w:tblPr>
      <w:tblGrid>
        <w:gridCol w:w="1025"/>
        <w:gridCol w:w="903"/>
        <w:gridCol w:w="907"/>
        <w:gridCol w:w="298"/>
        <w:gridCol w:w="913"/>
        <w:gridCol w:w="154"/>
        <w:gridCol w:w="109"/>
        <w:gridCol w:w="109"/>
        <w:gridCol w:w="109"/>
        <w:gridCol w:w="324"/>
        <w:gridCol w:w="993"/>
        <w:gridCol w:w="167"/>
        <w:gridCol w:w="109"/>
        <w:gridCol w:w="109"/>
        <w:gridCol w:w="109"/>
        <w:gridCol w:w="298"/>
        <w:gridCol w:w="913"/>
        <w:gridCol w:w="154"/>
        <w:gridCol w:w="109"/>
        <w:gridCol w:w="109"/>
        <w:gridCol w:w="109"/>
        <w:gridCol w:w="298"/>
        <w:gridCol w:w="913"/>
        <w:gridCol w:w="154"/>
        <w:gridCol w:w="109"/>
        <w:gridCol w:w="109"/>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 oil ($/Bbl)</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 oil ($/Bbl)</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NYMEX Henry Hub ($/MMBtu)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Supply Chain and Inflation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continued to experience relatively flat pricing from our suppliers in the first half of 2025 as compared to the prior year. Tariff policy changes by the U.S. government for both country of origin and material type remains uncertain. The United States recently expanded tariff rates on imported goods including a 50% tariff on the steel and aluminum value of imported products. These expanded tariff rates, if sustained, could increase our cost of oilfield goods and expand delivery lead times over the longer term. We have taken measures to limit the effects of price increases caused by the recent expansion of U.S. tariffs by entering into fixed price contracts with terms of one to three years for a significant majority of our materials and services based on our current expected development plans. We also pre-purchased inventory prior to the execution of the tariffs and continue to purchase from vendors who source domestic content to limit the impact of foreign tariffs on our business. Overall, we continue to expect minimal impact of tariffs in our supply chain in 2025. Assuming the current tariff regime remains in place or is expanded, our inventory, capital and operating costs could increase over the long-term.</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Marketing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2024, Phillips 66 announced that it plans to close its Wilmington refinery in Los Angeles in late 2025. Additionally, in April 2025, Valero notified the California Energy Commission of its intent to idle, restructure, or cease refining operations at its Benicia refinery in the San Francisco Bay Area by the end of April 2026. Historically, we have sold a portion of our crude oil to these refineries. Assuming both refineries were to cease operations, there will be six remaining major petroleum refineries in California, each of which have a refining capacity greater than 75,000 barrels per day. We expect this would leave California with approximately 1.3 million barrels per day of remaining major refining capacity, which is more than four times the amount of crude oil produced in California in 2024. As a result of this and given the considerable flexibility we have in marketing our production, we do not expect the cessation of operations at these refineries, should they occur, will affect our ability to market our crude oil production. While these announcements have had no impact on our price realizations thus far, fewer refineries in California have the potential to impact our future price realizations.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Updates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Well Permitting</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three months ended June 30, 2025, we received well permits for 86 workovers and 84 sidetracks. The rate at which CalGEM issued permits for workovers and sidetracks during this period continued to increase relative to the three months ended March 31,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first half of 2025, we have received total well permits for 139 workovers, 105 sidetracks and 4 deepenings. We have not received any permits for new wells in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currently hold sufficient permits to maintain our existing two drilling rig capital program throughout 2025. We also have the requisite number of permits in hand to run one active drilling rig throughout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further information regarding well permitting, see </w:t>
      </w:r>
      <w:r>
        <w:rPr>
          <w:rFonts w:ascii="Arial;sans-serif" w:hAnsi="Arial;sans-serif"/>
          <w:b w:val="false"/>
          <w:i/>
          <w:color w:val="000000"/>
          <w:sz w:val="20"/>
        </w:rPr>
        <w:t xml:space="preserve">Part I, Items 1 &amp; 2 – Business and Properties, Regulation of the Industries in Which We Operate, Regulation of Exploration and Production Activities, Well Permitting </w:t>
      </w:r>
      <w:r>
        <w:rPr>
          <w:rFonts w:ascii="Arial;sans-serif" w:hAnsi="Arial;sans-serif"/>
          <w:b w:val="false"/>
          <w:color w:val="000000"/>
          <w:sz w:val="20"/>
        </w:rPr>
        <w:t>in our 2024 Annual Report.</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Arial;sans-serif" w:hAnsi="Arial;sans-serif"/>
          <w:b w:val="false"/>
          <w:i/>
          <w:color w:val="000000"/>
          <w:sz w:val="20"/>
          <w:u w:val="single"/>
        </w:rPr>
        <w:t>Kern County EIR Litigation</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June 26, 2025, the Kern County Board of Supervisors certified a revised Environmental Impact Report (EIR) and approved an ordinance that authorizes the development of oil and natural gas wells in the county consistent with the revised EIR. Kern County is seeking the Trial Court’s determination that the revised EIR complies with the judgment and order of the Trial Court and decision of the Court of Appeal. After that, the Trial Court could lift the stay, subject to further potential appeals. The timing of when or if the Trial Court will take such action is uncertain. If the stay is lifted and no further stay is issued by the Court of Appeal, new well permitting could resume. However, there is no certainty we will obtain permits on that timeline or at all, or that the Trial Court and Court of Appeal will collectively lift the stay before a final, non-appealable ruling upholding the adequacy of the revised EIR is issued. These developments could further adversely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Arial;sans-serif" w:hAnsi="Arial;sans-serif"/>
          <w:b w:val="false"/>
          <w:i/>
          <w:color w:val="000000"/>
          <w:sz w:val="20"/>
          <w:u w:val="single"/>
        </w:rPr>
        <w:t>Waste Emissions Charge</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May 2025, following a joint resolution of disapproval under the Congressional Review Act, the EPA issued a final rule to remove the Waste Emission Charge (WEC) regulations, originally adopted under the Inflation Reduction Act, from the Code of Federal Regulations. As a result, the fees associated with methane emissions from certain oil and gas facilities that would have been due to the EPA in September 2025 will not be collected. Although the underlying statute still requires a methane charge, An Act to Provide for Reconciliation Pursuant to Title II of H. Con. Res. 14th and commonly referred to as the One Big Beautiful Bill Act, postponed implementation from 2024 to 2034.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Water Injection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operations in the Wilmington Oil Field utilize injection wells to reinject produced water pursuant to waterflooding plans. CalGEM has issued a directive to reduce the injection well pressure in a gradual manner in accordance with a five-year injection reduction work plan. The first phase of reduction commenced July 1, 2024 and a second reduction began in January 2025. The next phase of reduction is currently on hold while we evaluate the impact of the previously implemented reductions together with CalGEM. The work plan may be adjusted and it is difficult to predict with accuracy the impact to production and reserves. However, we continue to estimate a negative impact on production of approximately 1 MBoe/d at the end of the current 5-year work plan. We also estimate that the net present value of our proved developed reserves would be negatively impacted by less than 1%. These estimates could change materially pending the results of future technical audits.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Statements of Operations Analysis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consolidated results of operations include the results of Aera beginning July 1, 2024, the closing date of the Aera Merger. For more information on the Aera Merger, see </w:t>
      </w:r>
      <w:r>
        <w:rPr>
          <w:rFonts w:ascii="Arial;sans-serif" w:hAnsi="Arial;sans-serif"/>
          <w:b w:val="false"/>
          <w:i/>
          <w:color w:val="000000"/>
          <w:sz w:val="20"/>
        </w:rPr>
        <w:t>Part I, Item 1 – Financial Statements, Note 2 Aera Merger</w:t>
      </w:r>
      <w:r>
        <w:rPr>
          <w:rFonts w:ascii="Arial;sans-serif" w:hAnsi="Arial;sans-serif"/>
          <w:b w:val="false"/>
          <w:color w:val="000000"/>
          <w:sz w:val="20"/>
        </w:rPr>
        <w:t>. The Aera Merger and related transactions have significantly impacted the comparability of our financial results for the six months ended 2024.</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Three months ended June 30, 2025 compared to March 31, 2025</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revenues for the periods indicated: </w:t>
      </w:r>
    </w:p>
    <w:tbl>
      <w:tblPr>
        <w:tblW w:w="8385" w:type="dxa"/>
        <w:jc w:val="left"/>
        <w:tblInd w:w="0" w:type="dxa"/>
        <w:tblLayout w:type="fixed"/>
        <w:tblCellMar>
          <w:top w:w="28" w:type="dxa"/>
          <w:left w:w="28" w:type="dxa"/>
          <w:bottom w:w="28" w:type="dxa"/>
          <w:right w:w="28" w:type="dxa"/>
        </w:tblCellMar>
      </w:tblPr>
      <w:tblGrid>
        <w:gridCol w:w="1663"/>
        <w:gridCol w:w="1468"/>
        <w:gridCol w:w="1473"/>
        <w:gridCol w:w="359"/>
        <w:gridCol w:w="821"/>
        <w:gridCol w:w="185"/>
        <w:gridCol w:w="114"/>
        <w:gridCol w:w="114"/>
        <w:gridCol w:w="114"/>
        <w:gridCol w:w="390"/>
        <w:gridCol w:w="893"/>
        <w:gridCol w:w="201"/>
        <w:gridCol w:w="109"/>
        <w:gridCol w:w="109"/>
        <w:gridCol w:w="109"/>
        <w:gridCol w:w="109"/>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gain from commodity derivatives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Electricity revenue</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natural gas liquids sales</w:t>
      </w:r>
      <w:r>
        <w:rPr>
          <w:color w:val="000000"/>
        </w:rPr>
        <w:t xml:space="preserve"> — </w:t>
      </w:r>
      <w:r>
        <w:rPr>
          <w:rFonts w:ascii="Arial;sans-serif" w:hAnsi="Arial;sans-serif"/>
          <w:b w:val="false"/>
          <w:color w:val="000000"/>
          <w:sz w:val="20"/>
        </w:rPr>
        <w:t>Oil, natural gas and natural gas liquids sales, excluding the effects of cash settlements on our commodity derivative contracts, were $702 million for the three months ended June 30, 2025, which is a decrease of $112 million compared to $814 million for the three months ended March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shows changes in oil, natural gas and natural gas liquids sales for the three months ended June 30, 2025 compared to the three months ended March 31, 2025: </w:t>
      </w:r>
    </w:p>
    <w:p>
      <w:pPr>
        <w:pStyle w:val="TextBody"/>
        <w:bidi w:val="0"/>
        <w:spacing w:before="0" w:after="0"/>
        <w:ind w:left="0" w:right="0" w:firstLine="360"/>
        <w:jc w:val="left"/>
        <w:rPr/>
      </w:pPr>
      <w:r>
        <w:rPr/>
      </w:r>
    </w:p>
    <w:tbl>
      <w:tblPr>
        <w:tblW w:w="8672" w:type="dxa"/>
        <w:jc w:val="left"/>
        <w:tblInd w:w="0" w:type="dxa"/>
        <w:tblLayout w:type="fixed"/>
        <w:tblCellMar>
          <w:top w:w="28" w:type="dxa"/>
          <w:left w:w="28" w:type="dxa"/>
          <w:bottom w:w="28" w:type="dxa"/>
          <w:right w:w="28" w:type="dxa"/>
        </w:tblCellMar>
      </w:tblPr>
      <w:tblGrid>
        <w:gridCol w:w="1199"/>
        <w:gridCol w:w="1056"/>
        <w:gridCol w:w="1060"/>
        <w:gridCol w:w="211"/>
        <w:gridCol w:w="481"/>
        <w:gridCol w:w="109"/>
        <w:gridCol w:w="109"/>
        <w:gridCol w:w="109"/>
        <w:gridCol w:w="109"/>
        <w:gridCol w:w="211"/>
        <w:gridCol w:w="376"/>
        <w:gridCol w:w="109"/>
        <w:gridCol w:w="109"/>
        <w:gridCol w:w="109"/>
        <w:gridCol w:w="109"/>
        <w:gridCol w:w="359"/>
        <w:gridCol w:w="639"/>
        <w:gridCol w:w="187"/>
        <w:gridCol w:w="109"/>
        <w:gridCol w:w="109"/>
        <w:gridCol w:w="109"/>
        <w:gridCol w:w="422"/>
        <w:gridCol w:w="963"/>
        <w:gridCol w:w="309"/>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Operations</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production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intersegment revenues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gain from commodity derivatives</w:t>
      </w:r>
      <w:r>
        <w:rPr>
          <w:color w:val="000000"/>
        </w:rPr>
        <w:t xml:space="preserve"> — </w:t>
      </w:r>
      <w:r>
        <w:rPr>
          <w:rFonts w:ascii="Arial;sans-serif" w:hAnsi="Arial;sans-serif"/>
          <w:b w:val="false"/>
          <w:color w:val="000000"/>
          <w:sz w:val="20"/>
        </w:rPr>
        <w:t xml:space="preserve">We report gains and losses on our derivative contracts related to sales of our oil and marketing activities in operating revenues. Net gain from commodity derivatives was $157 million for the three months ended June 30, 2025 compared to a net gain of $6 million for the three months ended March 31, 2025. The change primarily resulted from the non-cash changes in the fair value of our outstanding commodity derivatives from the positions held at the end of each measurement period. Gains and losses from our commodity derivative contracts are shown in the table below: </w:t>
      </w:r>
    </w:p>
    <w:p>
      <w:pPr>
        <w:pStyle w:val="TextBody"/>
        <w:bidi w:val="0"/>
        <w:spacing w:before="0" w:after="0"/>
        <w:ind w:left="0" w:right="0" w:firstLine="360"/>
        <w:jc w:val="left"/>
        <w:rPr/>
      </w:pPr>
      <w:r>
        <w:rPr/>
      </w:r>
    </w:p>
    <w:tbl>
      <w:tblPr>
        <w:tblW w:w="7933" w:type="dxa"/>
        <w:jc w:val="left"/>
        <w:tblInd w:w="0" w:type="dxa"/>
        <w:tblLayout w:type="fixed"/>
        <w:tblCellMar>
          <w:top w:w="28" w:type="dxa"/>
          <w:left w:w="28" w:type="dxa"/>
          <w:bottom w:w="28" w:type="dxa"/>
          <w:right w:w="28" w:type="dxa"/>
        </w:tblCellMar>
      </w:tblPr>
      <w:tblGrid>
        <w:gridCol w:w="1693"/>
        <w:gridCol w:w="1489"/>
        <w:gridCol w:w="1497"/>
        <w:gridCol w:w="359"/>
        <w:gridCol w:w="821"/>
        <w:gridCol w:w="185"/>
        <w:gridCol w:w="120"/>
        <w:gridCol w:w="120"/>
        <w:gridCol w:w="120"/>
        <w:gridCol w:w="435"/>
        <w:gridCol w:w="777"/>
        <w:gridCol w:w="317"/>
      </w:tblGrid>
      <w:tr>
        <w:trPr/>
        <w:tc>
          <w:tcPr>
            <w:tcW w:w="169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Non-cash commodity derivative gain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proceeds (settlements) and amortized premiums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gain from commodity derivatives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revenue</w:t>
      </w:r>
      <w:r>
        <w:rPr>
          <w:color w:val="000000"/>
        </w:rPr>
        <w:t xml:space="preserve"> — </w:t>
      </w:r>
      <w:r>
        <w:rPr>
          <w:rFonts w:ascii="Arial;sans-serif" w:hAnsi="Arial;sans-serif"/>
          <w:b w:val="false"/>
          <w:color w:val="000000"/>
          <w:sz w:val="20"/>
        </w:rPr>
        <w:t>Electricity revenue increased by</w:t>
      </w:r>
      <w:r>
        <w:rPr>
          <w:color w:val="000000"/>
          <w:shd w:fill="FFFFFF" w:val="clear"/>
        </w:rPr>
        <w:t xml:space="preserve"> </w:t>
      </w:r>
      <w:r>
        <w:rPr>
          <w:rFonts w:ascii="Arial;sans-serif" w:hAnsi="Arial;sans-serif"/>
          <w:b w:val="false"/>
          <w:color w:val="000000"/>
          <w:sz w:val="20"/>
          <w:shd w:fill="FFFFFF" w:val="clear"/>
        </w:rPr>
        <w:t>$36 million</w:t>
      </w:r>
      <w:r>
        <w:rPr>
          <w:color w:val="000000"/>
        </w:rPr>
        <w:t xml:space="preserve"> </w:t>
      </w:r>
      <w:r>
        <w:rPr>
          <w:rFonts w:ascii="Arial;sans-serif" w:hAnsi="Arial;sans-serif"/>
          <w:b w:val="false"/>
          <w:color w:val="000000"/>
          <w:sz w:val="20"/>
        </w:rPr>
        <w:t>to $58 million for the three months ended June 30, 2025 compared to $22 million for the three months ended March 31, 2025. This increase was primarily a result of higher resource adequacy sales driven by increased seasonal pricing for the three months ended June 30, 2025 compared to the three months ended March 31, 2025, as well as downtime for maintenance that primarily impacted the three months ended March 31, 2025.</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and non-operating expenses and income for the three months ended June 30, 2025 and March 31, 2025. </w:t>
      </w:r>
    </w:p>
    <w:p>
      <w:pPr>
        <w:pStyle w:val="TextBody"/>
        <w:bidi w:val="0"/>
        <w:spacing w:before="0" w:after="0"/>
        <w:ind w:left="0" w:right="0" w:firstLine="360"/>
        <w:jc w:val="left"/>
        <w:rPr/>
      </w:pPr>
      <w:r>
        <w:rPr/>
      </w:r>
    </w:p>
    <w:tbl>
      <w:tblPr>
        <w:tblW w:w="8551" w:type="dxa"/>
        <w:jc w:val="left"/>
        <w:tblInd w:w="0" w:type="dxa"/>
        <w:tblLayout w:type="fixed"/>
        <w:tblCellMar>
          <w:top w:w="28" w:type="dxa"/>
          <w:left w:w="28" w:type="dxa"/>
          <w:bottom w:w="28" w:type="dxa"/>
          <w:right w:w="28" w:type="dxa"/>
        </w:tblCellMar>
      </w:tblPr>
      <w:tblGrid>
        <w:gridCol w:w="1728"/>
        <w:gridCol w:w="1517"/>
        <w:gridCol w:w="1525"/>
        <w:gridCol w:w="359"/>
        <w:gridCol w:w="821"/>
        <w:gridCol w:w="185"/>
        <w:gridCol w:w="114"/>
        <w:gridCol w:w="114"/>
        <w:gridCol w:w="114"/>
        <w:gridCol w:w="390"/>
        <w:gridCol w:w="893"/>
        <w:gridCol w:w="201"/>
        <w:gridCol w:w="109"/>
        <w:gridCol w:w="109"/>
        <w:gridCol w:w="109"/>
        <w:gridCol w:w="109"/>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Transportation costs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on natural gas purchase derivatives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w:t>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subsidiaries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Energy operating costs consist of purchased natural gas used to generate electricity for our operations and steam for our steamfloods, purchased electricity and internal costs to generate electricity used in our operations. These internal costs include an allocation of the direct costs to produce electricity at our Elk Hills power plant based on electricity consumption by our Elk Hills and nearby fields. There is no internal allocation of the costs to produce steam from the power plant used in oil and natural gas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Energy operating costs</w:t>
      </w:r>
      <w:r>
        <w:rPr>
          <w:color w:val="000000"/>
        </w:rPr>
        <w:t xml:space="preserve"> — </w:t>
      </w:r>
      <w:r>
        <w:rPr>
          <w:rFonts w:ascii="Arial;sans-serif" w:hAnsi="Arial;sans-serif"/>
          <w:b w:val="false"/>
          <w:color w:val="000000"/>
          <w:sz w:val="20"/>
        </w:rPr>
        <w:t xml:space="preserve">Energy operating costs for the three months ended June 30, 2025 were $78 million, which was a decrease of $25 million from $103 million for the three months ended March 31, 2025. This decrease was primarily due to lower prices and lower volumes of </w:t>
      </w:r>
      <w:r>
        <w:rPr>
          <w:rFonts w:ascii="Arial;sans-serif" w:hAnsi="Arial;sans-serif"/>
          <w:b w:val="false"/>
          <w:color w:val="000000"/>
          <w:sz w:val="20"/>
          <w:shd w:fill="FFFFFF" w:val="clear"/>
        </w:rPr>
        <w:t>natural gas used in our steamflood operations</w:t>
      </w:r>
      <w:r>
        <w:rPr>
          <w:rFonts w:ascii="Arial;sans-serif" w:hAnsi="Arial;sans-serif"/>
          <w:b w:val="false"/>
          <w:color w:val="000000"/>
          <w:sz w:val="20"/>
        </w:rPr>
        <w:t xml:space="preserve">. For more information on natural gas market prices, see </w:t>
      </w:r>
      <w:r>
        <w:rPr>
          <w:rFonts w:ascii="Arial;sans-serif" w:hAnsi="Arial;sans-serif"/>
          <w:b w:val="false"/>
          <w:i/>
          <w:color w:val="000000"/>
          <w:sz w:val="20"/>
        </w:rPr>
        <w:t>Prices and Realizations</w:t>
      </w:r>
      <w:r>
        <w:rPr>
          <w:color w:val="000000"/>
        </w:rPr>
        <w:t xml:space="preserve"> </w:t>
      </w:r>
      <w:r>
        <w:rPr>
          <w:rFonts w:ascii="Arial;sans-serif" w:hAnsi="Arial;sans-serif"/>
          <w:b w:val="false"/>
          <w:color w:val="000000"/>
          <w:sz w:val="20"/>
        </w:rPr>
        <w:t xml:space="preserve">below.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General and administrative (G&amp;A) expenses were $79 million for the three months ended June 30, 2025 compared to $72 million for the three months ended March 31, 2025, which was an increase of $7 million. The increase was primarily a result of higher legal expenses and compensation-related expenses during the three months ended June 30, 2025.</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Taxes other than on income</w:t>
      </w:r>
      <w:r>
        <w:rPr>
          <w:color w:val="000000"/>
        </w:rPr>
        <w:t xml:space="preserve"> — </w:t>
      </w:r>
      <w:r>
        <w:rPr>
          <w:rFonts w:ascii="Arial;sans-serif" w:hAnsi="Arial;sans-serif"/>
          <w:b w:val="false"/>
          <w:color w:val="000000"/>
          <w:sz w:val="20"/>
        </w:rPr>
        <w:t>Taxes other than on income for the three months ended June 30, 2025 were $47 million, which was a decrease of $23 million from $70 million for the three months ended March 31, 2025. The decrease was primarily due to an adjustment to the production tax rate. We also had lower greenhouse gas expense based on market prices.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Costs related to marketing of purchased commodities</w:t>
      </w:r>
      <w:r>
        <w:rPr>
          <w:color w:val="000000"/>
        </w:rPr>
        <w:t xml:space="preserve"> — </w:t>
      </w:r>
      <w:r>
        <w:rPr>
          <w:rFonts w:ascii="Arial;sans-serif" w:hAnsi="Arial;sans-serif"/>
          <w:b w:val="false"/>
          <w:color w:val="000000"/>
          <w:sz w:val="20"/>
        </w:rPr>
        <w:t>Costs related to marketing of purchased commodities for the three months ended June 30, 2025 were $41 million, which is a decrease of $9 million from $50 million for the three months ended March 31, 2025. This decrease was primarily due to lower natural gas prices, partially offset by increased volumes of purchased natural gas.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Other operating expenses, net increased $32 million to</w:t>
      </w:r>
      <w:r>
        <w:rPr>
          <w:color w:val="000000"/>
          <w:shd w:fill="FFFFFF" w:val="clear"/>
        </w:rPr>
        <w:t xml:space="preserve"> </w:t>
      </w:r>
      <w:r>
        <w:rPr>
          <w:rFonts w:ascii="Arial;sans-serif" w:hAnsi="Arial;sans-serif"/>
          <w:b w:val="false"/>
          <w:color w:val="000000"/>
          <w:sz w:val="20"/>
          <w:shd w:fill="FFFFFF" w:val="clear"/>
        </w:rPr>
        <w:t xml:space="preserve">$65 million </w:t>
      </w:r>
      <w:r>
        <w:rPr>
          <w:rFonts w:ascii="Arial;sans-serif" w:hAnsi="Arial;sans-serif"/>
          <w:b w:val="false"/>
          <w:color w:val="000000"/>
          <w:sz w:val="20"/>
        </w:rPr>
        <w:t xml:space="preserve">for the three months ended June 30, 2025 compared to $33 million for the three months ended March 31, 2025. For the three months ended June 30, 2025 and March 31, 2025, other operating expenses, net includes the following: </w:t>
      </w:r>
    </w:p>
    <w:tbl>
      <w:tblPr>
        <w:tblW w:w="7233" w:type="dxa"/>
        <w:jc w:val="left"/>
        <w:tblInd w:w="0" w:type="dxa"/>
        <w:tblLayout w:type="fixed"/>
        <w:tblCellMar>
          <w:top w:w="28" w:type="dxa"/>
          <w:left w:w="28" w:type="dxa"/>
          <w:bottom w:w="28" w:type="dxa"/>
          <w:right w:w="28" w:type="dxa"/>
        </w:tblCellMar>
      </w:tblPr>
      <w:tblGrid>
        <w:gridCol w:w="1433"/>
        <w:gridCol w:w="1262"/>
        <w:gridCol w:w="1264"/>
        <w:gridCol w:w="413"/>
        <w:gridCol w:w="739"/>
        <w:gridCol w:w="212"/>
        <w:gridCol w:w="127"/>
        <w:gridCol w:w="127"/>
        <w:gridCol w:w="127"/>
        <w:gridCol w:w="435"/>
        <w:gridCol w:w="777"/>
        <w:gridCol w:w="317"/>
      </w:tblGrid>
      <w:tr>
        <w:trPr/>
        <w:tc>
          <w:tcPr>
            <w:tcW w:w="143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 expense</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Aera transaction and integration costs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Severance</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Front-end engineering design studies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 related expenses</w:t>
            </w:r>
            <w:r>
              <w:rPr>
                <w:rFonts w:ascii="Arial;sans-serif" w:hAnsi="Arial;sans-serif"/>
                <w:b w:val="false"/>
                <w:color w:val="000000"/>
                <w:sz w:val="13"/>
              </w:rPr>
              <w:t>(a)</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 other</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 xml:space="preserve">(a)See </w:t>
      </w:r>
      <w:r>
        <w:rPr>
          <w:rFonts w:ascii="Arial;sans-serif" w:hAnsi="Arial;sans-serif"/>
          <w:b w:val="false"/>
          <w:i/>
          <w:color w:val="000000"/>
          <w:sz w:val="16"/>
        </w:rPr>
        <w:t xml:space="preserve">Part I, Item 1 – Financial Statements, Note 5 Lawsuits, Claims, Commitments and Contingencies </w:t>
      </w:r>
      <w:r>
        <w:rPr>
          <w:rFonts w:ascii="Arial;sans-serif" w:hAnsi="Arial;sans-serif"/>
          <w:b w:val="false"/>
          <w:color w:val="000000"/>
          <w:sz w:val="16"/>
        </w:rPr>
        <w:t>for more information on a $25 million payment we made to CalGEM during the three months ended June 30, 2025.</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The income tax provision for the three months ended June 30, 2025 was $70 million (representing an effective tax rate of 29%), compared to a provision of $47 million (representing an effective tax rate of 29%) for the three months ended March 31, 2025. See </w:t>
      </w:r>
      <w:r>
        <w:rPr>
          <w:rFonts w:ascii="Arial;sans-serif" w:hAnsi="Arial;sans-serif"/>
          <w:b w:val="false"/>
          <w:i/>
          <w:color w:val="000000"/>
          <w:sz w:val="20"/>
        </w:rPr>
        <w:t>Part I, Item 1 – Financial Statements, Note 7 Income Taxes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Six months ended June 30, 2025 compared to June 30, 2024</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revenues for the periods indicated: </w:t>
      </w:r>
    </w:p>
    <w:tbl>
      <w:tblPr>
        <w:tblW w:w="8250" w:type="dxa"/>
        <w:jc w:val="left"/>
        <w:tblInd w:w="0" w:type="dxa"/>
        <w:tblLayout w:type="fixed"/>
        <w:tblCellMar>
          <w:top w:w="28" w:type="dxa"/>
          <w:left w:w="28" w:type="dxa"/>
          <w:bottom w:w="28" w:type="dxa"/>
          <w:right w:w="28" w:type="dxa"/>
        </w:tblCellMar>
      </w:tblPr>
      <w:tblGrid>
        <w:gridCol w:w="1663"/>
        <w:gridCol w:w="1468"/>
        <w:gridCol w:w="1473"/>
        <w:gridCol w:w="298"/>
        <w:gridCol w:w="913"/>
        <w:gridCol w:w="154"/>
        <w:gridCol w:w="109"/>
        <w:gridCol w:w="109"/>
        <w:gridCol w:w="109"/>
        <w:gridCol w:w="359"/>
        <w:gridCol w:w="820"/>
        <w:gridCol w:w="185"/>
        <w:gridCol w:w="109"/>
        <w:gridCol w:w="109"/>
        <w:gridCol w:w="109"/>
        <w:gridCol w:w="109"/>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gain (loss) from commodity derivatives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Electricity revenue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natural gas liquids sales</w:t>
      </w:r>
      <w:r>
        <w:rPr>
          <w:color w:val="000000"/>
        </w:rPr>
        <w:t xml:space="preserve"> — </w:t>
      </w:r>
      <w:r>
        <w:rPr>
          <w:rFonts w:ascii="Arial;sans-serif" w:hAnsi="Arial;sans-serif"/>
          <w:b w:val="false"/>
          <w:color w:val="000000"/>
          <w:sz w:val="20"/>
        </w:rPr>
        <w:t xml:space="preserve">Oil, natural gas and natural gas liquids sales, excluding the effects of cash settlements on our commodity derivative contracts, were $1,516 million for the six months ended June 30, 2025, which is an increase of $675 million compared to $841 million for the six months ended June 30,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shows changes in oil, natural gas and natural gas liquids sales for the six months ended June 30, 2025 compared to the six months ended June 30, 2024.</w:t>
      </w:r>
    </w:p>
    <w:tbl>
      <w:tblPr>
        <w:tblW w:w="8673" w:type="dxa"/>
        <w:jc w:val="left"/>
        <w:tblInd w:w="0" w:type="dxa"/>
        <w:tblLayout w:type="fixed"/>
        <w:tblCellMar>
          <w:top w:w="28" w:type="dxa"/>
          <w:left w:w="28" w:type="dxa"/>
          <w:bottom w:w="28" w:type="dxa"/>
          <w:right w:w="28" w:type="dxa"/>
        </w:tblCellMar>
      </w:tblPr>
      <w:tblGrid>
        <w:gridCol w:w="1139"/>
        <w:gridCol w:w="1003"/>
        <w:gridCol w:w="1008"/>
        <w:gridCol w:w="211"/>
        <w:gridCol w:w="646"/>
        <w:gridCol w:w="109"/>
        <w:gridCol w:w="109"/>
        <w:gridCol w:w="109"/>
        <w:gridCol w:w="109"/>
        <w:gridCol w:w="211"/>
        <w:gridCol w:w="376"/>
        <w:gridCol w:w="109"/>
        <w:gridCol w:w="109"/>
        <w:gridCol w:w="109"/>
        <w:gridCol w:w="109"/>
        <w:gridCol w:w="359"/>
        <w:gridCol w:w="639"/>
        <w:gridCol w:w="187"/>
        <w:gridCol w:w="109"/>
        <w:gridCol w:w="109"/>
        <w:gridCol w:w="109"/>
        <w:gridCol w:w="353"/>
        <w:gridCol w:w="1083"/>
        <w:gridCol w:w="259"/>
      </w:tblGrid>
      <w:tr>
        <w:trPr/>
        <w:tc>
          <w:tcPr>
            <w:tcW w:w="11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Operations</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Changes in production and other </w:t>
            </w:r>
            <w:r>
              <w:rPr>
                <w:rFonts w:ascii="Arial;sans-serif" w:hAnsi="Arial;sans-serif"/>
                <w:b w:val="false"/>
                <w:color w:val="000000"/>
                <w:sz w:val="13"/>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intersegment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lineRule="auto" w:line="288" w:before="0" w:after="0"/>
        <w:ind w:left="0" w:right="0" w:hanging="360"/>
        <w:jc w:val="left"/>
        <w:rPr/>
      </w:pPr>
      <w:r>
        <w:rPr>
          <w:rFonts w:ascii="Arial;sans-serif" w:hAnsi="Arial;sans-serif"/>
          <w:b w:val="false"/>
          <w:color w:val="000000"/>
          <w:sz w:val="16"/>
        </w:rPr>
        <w:t xml:space="preserve">(a)The increase in production primarily relates to the addition of the Aera fields on July 1, 2024. See </w:t>
      </w:r>
      <w:r>
        <w:rPr>
          <w:rFonts w:ascii="Arial;sans-serif" w:hAnsi="Arial;sans-serif"/>
          <w:b w:val="false"/>
          <w:i/>
          <w:color w:val="000000"/>
          <w:sz w:val="16"/>
        </w:rPr>
        <w:t xml:space="preserve">Part I, Item 1 – Financial Statements, Note 2 Aera Merger </w:t>
      </w:r>
      <w:r>
        <w:rPr>
          <w:rFonts w:ascii="Arial;sans-serif" w:hAnsi="Arial;sans-serif"/>
          <w:b w:val="false"/>
          <w:color w:val="000000"/>
          <w:sz w:val="16"/>
        </w:rPr>
        <w:t xml:space="preserve">for additional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gain (loss) from commodity derivatives</w:t>
      </w:r>
      <w:r>
        <w:rPr>
          <w:color w:val="000000"/>
        </w:rPr>
        <w:t xml:space="preserve"> – </w:t>
      </w:r>
      <w:r>
        <w:rPr>
          <w:rFonts w:ascii="Arial;sans-serif" w:hAnsi="Arial;sans-serif"/>
          <w:b w:val="false"/>
          <w:color w:val="000000"/>
          <w:sz w:val="20"/>
        </w:rPr>
        <w:t xml:space="preserve">We report gains and losses on our derivative contracts related to sales of our produced oil and marketing activities in operating revenue. Net gain from commodity derivatives was $163 million for the six months ended June 30, 2025 compared to a net loss of $66 million for the six months ended June 30, 2024. The change primarily resulted from payments to settle commodity derivative contracts and the non-cash changes in the fair value of our outstanding commodity derivatives from the positions held at the end of each measurement period. Gains and losses from our commodity derivative contracts are shown in the table below: </w:t>
      </w:r>
    </w:p>
    <w:p>
      <w:pPr>
        <w:pStyle w:val="TextBody"/>
        <w:bidi w:val="0"/>
        <w:spacing w:before="0" w:after="0"/>
        <w:ind w:left="0" w:right="0" w:firstLine="360"/>
        <w:jc w:val="left"/>
        <w:rPr/>
      </w:pPr>
      <w:r>
        <w:rPr/>
      </w:r>
    </w:p>
    <w:tbl>
      <w:tblPr>
        <w:tblW w:w="6956" w:type="dxa"/>
        <w:jc w:val="left"/>
        <w:tblInd w:w="0" w:type="dxa"/>
        <w:tblLayout w:type="fixed"/>
        <w:tblCellMar>
          <w:top w:w="28" w:type="dxa"/>
          <w:left w:w="28" w:type="dxa"/>
          <w:bottom w:w="28" w:type="dxa"/>
          <w:right w:w="28" w:type="dxa"/>
        </w:tblCellMar>
      </w:tblPr>
      <w:tblGrid>
        <w:gridCol w:w="1394"/>
        <w:gridCol w:w="1227"/>
        <w:gridCol w:w="1234"/>
        <w:gridCol w:w="359"/>
        <w:gridCol w:w="820"/>
        <w:gridCol w:w="185"/>
        <w:gridCol w:w="109"/>
        <w:gridCol w:w="109"/>
        <w:gridCol w:w="109"/>
        <w:gridCol w:w="371"/>
        <w:gridCol w:w="768"/>
        <w:gridCol w:w="271"/>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commodity derivative gain (loss)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settlements and amortized premiums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commodity derivatives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revenue</w:t>
      </w:r>
      <w:r>
        <w:rPr>
          <w:color w:val="000000"/>
        </w:rPr>
        <w:t xml:space="preserve"> — </w:t>
      </w:r>
      <w:r>
        <w:rPr>
          <w:rFonts w:ascii="Arial;sans-serif" w:hAnsi="Arial;sans-serif"/>
          <w:b w:val="false"/>
          <w:color w:val="000000"/>
          <w:sz w:val="20"/>
        </w:rPr>
        <w:t>Electricity revenue increased by $29 million to $80 million for the six months ended June 30, 2025 compared to $51 million for the six months ended June 30, 2024. This increase was primarily a result of higher pricing from resource adequacy contracts.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and non-operating expenses and income for the six months ended June 30, 2025 and June 30, 2024. </w:t>
      </w:r>
    </w:p>
    <w:p>
      <w:pPr>
        <w:pStyle w:val="TextBody"/>
        <w:bidi w:val="0"/>
        <w:spacing w:before="0" w:after="0"/>
        <w:ind w:left="0" w:right="0" w:firstLine="360"/>
        <w:jc w:val="left"/>
        <w:rPr/>
      </w:pPr>
      <w:r>
        <w:rPr/>
      </w:r>
    </w:p>
    <w:tbl>
      <w:tblPr>
        <w:tblW w:w="8415" w:type="dxa"/>
        <w:jc w:val="left"/>
        <w:tblInd w:w="0" w:type="dxa"/>
        <w:tblLayout w:type="fixed"/>
        <w:tblCellMar>
          <w:top w:w="28" w:type="dxa"/>
          <w:left w:w="28" w:type="dxa"/>
          <w:bottom w:w="28" w:type="dxa"/>
          <w:right w:w="28" w:type="dxa"/>
        </w:tblCellMar>
      </w:tblPr>
      <w:tblGrid>
        <w:gridCol w:w="1728"/>
        <w:gridCol w:w="1517"/>
        <w:gridCol w:w="1525"/>
        <w:gridCol w:w="359"/>
        <w:gridCol w:w="820"/>
        <w:gridCol w:w="185"/>
        <w:gridCol w:w="109"/>
        <w:gridCol w:w="109"/>
        <w:gridCol w:w="109"/>
        <w:gridCol w:w="414"/>
        <w:gridCol w:w="737"/>
        <w:gridCol w:w="213"/>
        <w:gridCol w:w="109"/>
        <w:gridCol w:w="109"/>
        <w:gridCol w:w="109"/>
        <w:gridCol w:w="109"/>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Transportation costs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(gain) loss on natural gas purchase derivatives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w:t>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subsidiaries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shd w:fill="FFFFFF" w:val="clear"/>
        </w:rPr>
        <w:t>Energy operating costs</w:t>
      </w:r>
      <w:r>
        <w:rPr>
          <w:color w:val="000000"/>
          <w:shd w:fill="FFFFFF" w:val="clear"/>
        </w:rPr>
        <w:t xml:space="preserve"> — </w:t>
      </w:r>
      <w:r>
        <w:rPr>
          <w:rFonts w:ascii="Arial;sans-serif" w:hAnsi="Arial;sans-serif"/>
          <w:b w:val="false"/>
          <w:color w:val="000000"/>
          <w:sz w:val="20"/>
          <w:shd w:fill="FFFFFF" w:val="clear"/>
        </w:rPr>
        <w:t xml:space="preserve">Energy operating costs for the six months ended June 30, 2025 were </w:t>
      </w:r>
      <w:r>
        <w:rPr>
          <w:rFonts w:ascii="Arial;sans-serif" w:hAnsi="Arial;sans-serif"/>
          <w:b w:val="false"/>
          <w:color w:val="000000"/>
          <w:sz w:val="20"/>
        </w:rPr>
        <w:t>$181 million</w:t>
      </w:r>
      <w:r>
        <w:rPr>
          <w:rFonts w:ascii="Arial;sans-serif" w:hAnsi="Arial;sans-serif"/>
          <w:b w:val="false"/>
          <w:color w:val="000000"/>
          <w:sz w:val="20"/>
          <w:shd w:fill="FFFFFF" w:val="clear"/>
        </w:rPr>
        <w:t xml:space="preserve">, which was an increase of $87 million from </w:t>
      </w:r>
      <w:r>
        <w:rPr>
          <w:rFonts w:ascii="Arial;sans-serif" w:hAnsi="Arial;sans-serif"/>
          <w:b w:val="false"/>
          <w:color w:val="000000"/>
          <w:sz w:val="20"/>
        </w:rPr>
        <w:t>$94 million</w:t>
      </w:r>
      <w:r>
        <w:rPr>
          <w:color w:val="000000"/>
          <w:shd w:fill="FFFFFF" w:val="clear"/>
        </w:rPr>
        <w:t xml:space="preserve"> </w:t>
      </w:r>
      <w:r>
        <w:rPr>
          <w:rFonts w:ascii="Arial;sans-serif" w:hAnsi="Arial;sans-serif"/>
          <w:b w:val="false"/>
          <w:color w:val="000000"/>
          <w:sz w:val="20"/>
          <w:shd w:fill="FFFFFF" w:val="clear"/>
        </w:rPr>
        <w:t xml:space="preserve">for the six months ended June 30, 2024. This increase was predominantly due to additional energy costs and natural gas used in our steamflood operations related to the addition of the Aera fields on July 1, 2024. Excluding $94 million related to the operation of the Aera fields, our energy operating costs would have been $87 million for the six months ended June 30, 2025. The decrease was primarily a result of lower energy and natural gas costs in the six months ended June 30, 2025 compared to the same prior 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shd w:fill="FFFFFF" w:val="clear"/>
        </w:rPr>
        <w:t xml:space="preserve">Non-energy operating costs </w:t>
      </w:r>
      <w:r>
        <w:rPr>
          <w:color w:val="000000"/>
          <w:shd w:fill="FFFFFF" w:val="clear"/>
        </w:rPr>
        <w:t xml:space="preserve">— </w:t>
      </w:r>
      <w:r>
        <w:rPr>
          <w:rFonts w:ascii="Arial;sans-serif" w:hAnsi="Arial;sans-serif"/>
          <w:b w:val="false"/>
          <w:color w:val="000000"/>
          <w:sz w:val="20"/>
          <w:shd w:fill="FFFFFF" w:val="clear"/>
        </w:rPr>
        <w:t xml:space="preserve">Non-energy operating costs for the six months ended June 30, 2025 were </w:t>
      </w:r>
      <w:r>
        <w:rPr>
          <w:rFonts w:ascii="Arial;sans-serif" w:hAnsi="Arial;sans-serif"/>
          <w:b w:val="false"/>
          <w:color w:val="000000"/>
          <w:sz w:val="20"/>
        </w:rPr>
        <w:t>$421 million</w:t>
      </w:r>
      <w:r>
        <w:rPr>
          <w:rFonts w:ascii="Arial;sans-serif" w:hAnsi="Arial;sans-serif"/>
          <w:b w:val="false"/>
          <w:color w:val="000000"/>
          <w:sz w:val="20"/>
          <w:shd w:fill="FFFFFF" w:val="clear"/>
        </w:rPr>
        <w:t xml:space="preserve">, which was an increase of </w:t>
      </w:r>
      <w:r>
        <w:rPr>
          <w:rFonts w:ascii="Arial;sans-serif" w:hAnsi="Arial;sans-serif"/>
          <w:b w:val="false"/>
          <w:color w:val="000000"/>
          <w:sz w:val="20"/>
        </w:rPr>
        <w:t>$190 million</w:t>
      </w:r>
      <w:r>
        <w:rPr>
          <w:color w:val="000000"/>
          <w:shd w:fill="FFFFFF" w:val="clear"/>
        </w:rPr>
        <w:t xml:space="preserve"> </w:t>
      </w:r>
      <w:r>
        <w:rPr>
          <w:rFonts w:ascii="Arial;sans-serif" w:hAnsi="Arial;sans-serif"/>
          <w:b w:val="false"/>
          <w:color w:val="000000"/>
          <w:sz w:val="20"/>
          <w:shd w:fill="FFFFFF" w:val="clear"/>
        </w:rPr>
        <w:t xml:space="preserve">from </w:t>
      </w:r>
      <w:r>
        <w:rPr>
          <w:rFonts w:ascii="Arial;sans-serif" w:hAnsi="Arial;sans-serif"/>
          <w:b w:val="false"/>
          <w:color w:val="000000"/>
          <w:sz w:val="20"/>
        </w:rPr>
        <w:t>$231 million</w:t>
      </w:r>
      <w:r>
        <w:rPr>
          <w:color w:val="000000"/>
          <w:shd w:fill="FFFFFF" w:val="clear"/>
        </w:rPr>
        <w:t xml:space="preserve"> </w:t>
      </w:r>
      <w:r>
        <w:rPr>
          <w:rFonts w:ascii="Arial;sans-serif" w:hAnsi="Arial;sans-serif"/>
          <w:b w:val="false"/>
          <w:color w:val="000000"/>
          <w:sz w:val="20"/>
          <w:shd w:fill="FFFFFF" w:val="clear"/>
        </w:rPr>
        <w:t xml:space="preserve">for the six months ended June 30, 2024. The increase includes $191 million predominantly related to the addition of the Aera fields on July 1, 2024. Excluding the costs related to the Aera fields, our non-energy operating costs would have been $230 million for the six months ended June 30, 2025, which would be in line with the same prior 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General and administrative (G&amp;A) expenses were $151 million for the six months ended June 30, 2025 compared to $120 million for the six months ended June 30, 2024, which was an increas</w:t>
      </w:r>
      <w:r>
        <w:rPr>
          <w:rFonts w:ascii="Arial;sans-serif" w:hAnsi="Arial;sans-serif"/>
          <w:b w:val="false"/>
          <w:color w:val="000000"/>
          <w:sz w:val="20"/>
          <w:shd w:fill="FFFFFF" w:val="clear"/>
        </w:rPr>
        <w:t>e of $31 million</w:t>
      </w:r>
      <w:r>
        <w:rPr>
          <w:rFonts w:ascii="Arial;sans-serif" w:hAnsi="Arial;sans-serif"/>
          <w:b w:val="false"/>
          <w:color w:val="000000"/>
          <w:sz w:val="20"/>
        </w:rPr>
        <w:t>. The increase was primarily due to additional compensation-related expense and other corporate expense resulting from the Aera Merger.</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color w:val="000000"/>
          <w:sz w:val="20"/>
        </w:rPr>
        <w:t>Depreciation, depletion and amortization</w:t>
      </w:r>
      <w:r>
        <w:rPr>
          <w:color w:val="000000"/>
        </w:rPr>
        <w:t xml:space="preserve"> — </w:t>
      </w:r>
      <w:r>
        <w:rPr>
          <w:rFonts w:ascii="Arial;sans-serif" w:hAnsi="Arial;sans-serif"/>
          <w:b w:val="false"/>
          <w:color w:val="000000"/>
          <w:sz w:val="20"/>
        </w:rPr>
        <w:t xml:space="preserve">Depreciation, depletion and amortization (DD&amp;A) for the six months ended June 30, 2025 was $259 million compared to </w:t>
      </w:r>
      <w:r>
        <w:rPr>
          <w:rFonts w:ascii="Arial;sans-serif" w:hAnsi="Arial;sans-serif"/>
          <w:b w:val="false"/>
          <w:color w:val="000000"/>
          <w:sz w:val="20"/>
          <w:shd w:fill="FFFFFF" w:val="clear"/>
        </w:rPr>
        <w:t>$106 million durin</w:t>
      </w:r>
      <w:r>
        <w:rPr>
          <w:rFonts w:ascii="Arial;sans-serif" w:hAnsi="Arial;sans-serif"/>
          <w:b w:val="false"/>
          <w:color w:val="000000"/>
          <w:sz w:val="20"/>
        </w:rPr>
        <w:t xml:space="preserve">g the six months ended June 30, 2024. The increase of $153 million was primarily the result of the addition of the Aera assets included in the six months ended June 30, 2025. See </w:t>
      </w:r>
      <w:r>
        <w:rPr>
          <w:rFonts w:ascii="Arial;sans-serif" w:hAnsi="Arial;sans-serif"/>
          <w:b w:val="false"/>
          <w:i/>
          <w:color w:val="000000"/>
          <w:sz w:val="20"/>
        </w:rPr>
        <w:t xml:space="preserve">Part I, Item 1 – Financial Statements, Note 2 Aera Merger </w:t>
      </w:r>
      <w:r>
        <w:rPr>
          <w:rFonts w:ascii="Arial;sans-serif" w:hAnsi="Arial;sans-serif"/>
          <w:b w:val="false"/>
          <w:color w:val="000000"/>
          <w:sz w:val="20"/>
        </w:rPr>
        <w:t xml:space="preserve">for information on the Aera assets.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Asset impairments </w:t>
      </w:r>
      <w:r>
        <w:rPr>
          <w:color w:val="000000"/>
        </w:rPr>
        <w:t xml:space="preserve">— </w:t>
      </w:r>
      <w:r>
        <w:rPr>
          <w:rFonts w:ascii="Arial;sans-serif" w:hAnsi="Arial;sans-serif"/>
          <w:b w:val="false"/>
          <w:color w:val="000000"/>
          <w:sz w:val="20"/>
        </w:rPr>
        <w:t xml:space="preserve">During the six months ended June 30, 2024, we recognized a $13 million impairment for excess and obsolete materials and supplies related to our oilfield operations. We did not recognize an asset impairment during the six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Taxes other than on income</w:t>
      </w:r>
      <w:r>
        <w:rPr>
          <w:color w:val="000000"/>
        </w:rPr>
        <w:t xml:space="preserve"> — </w:t>
      </w:r>
      <w:r>
        <w:rPr>
          <w:rFonts w:ascii="Arial;sans-serif" w:hAnsi="Arial;sans-serif"/>
          <w:b w:val="false"/>
          <w:color w:val="000000"/>
          <w:sz w:val="20"/>
        </w:rPr>
        <w:t xml:space="preserve">Taxes other than on income for the six months ended June 30, 2025 were $117 million, which is an increase of $40 million from $77 million for the six months ended June 30, 2024. This </w:t>
      </w:r>
      <w:r>
        <w:rPr>
          <w:rFonts w:ascii="Arial;sans-serif" w:hAnsi="Arial;sans-serif"/>
          <w:b w:val="false"/>
          <w:color w:val="000000"/>
          <w:sz w:val="20"/>
          <w:shd w:fill="FFFFFF" w:val="clear"/>
        </w:rPr>
        <w:t>increase</w:t>
      </w:r>
      <w:r>
        <w:rPr>
          <w:color w:val="000000"/>
        </w:rPr>
        <w:t xml:space="preserve"> </w:t>
      </w:r>
      <w:r>
        <w:rPr>
          <w:rFonts w:ascii="Arial;sans-serif" w:hAnsi="Arial;sans-serif"/>
          <w:b w:val="false"/>
          <w:color w:val="000000"/>
          <w:sz w:val="20"/>
        </w:rPr>
        <w:t xml:space="preserve">was a result of higher greenhouse gas expense, production taxes and ad valorem taxes related to the Aera assets following the completion of the Aera Merger.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Accretion expense </w:t>
      </w:r>
      <w:r>
        <w:rPr>
          <w:color w:val="000000"/>
        </w:rPr>
        <w:t xml:space="preserve">— </w:t>
      </w:r>
      <w:r>
        <w:rPr>
          <w:rFonts w:ascii="Arial;sans-serif" w:hAnsi="Arial;sans-serif"/>
          <w:b w:val="false"/>
          <w:color w:val="000000"/>
          <w:sz w:val="20"/>
        </w:rPr>
        <w:t>Accretion expense for the six months ended June 30, 2025 was $57 million compared to $25 million for the six months ended June 30, 2024. The increase was primarily due to the addition of the Aera asset retirement liability assumed as of July 1, 2024 in connection with the Aera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Other operating expenses, net decreased $12 million to $98 million for the six months ended June 30, 2025 compared to $110 million for the six months ended June 30, 2024. For the six months ended June 30, 2025 and June 30, 2024, other operating expenses, net includes the following: </w:t>
      </w:r>
    </w:p>
    <w:p>
      <w:pPr>
        <w:pStyle w:val="TextBody"/>
        <w:bidi w:val="0"/>
        <w:spacing w:before="0" w:after="0"/>
        <w:ind w:left="0" w:right="0" w:firstLine="360"/>
        <w:jc w:val="left"/>
        <w:rPr/>
      </w:pPr>
      <w:r>
        <w:rPr/>
      </w:r>
    </w:p>
    <w:tbl>
      <w:tblPr>
        <w:tblW w:w="7914" w:type="dxa"/>
        <w:jc w:val="left"/>
        <w:tblInd w:w="0" w:type="dxa"/>
        <w:tblLayout w:type="fixed"/>
        <w:tblCellMar>
          <w:top w:w="28" w:type="dxa"/>
          <w:left w:w="28" w:type="dxa"/>
          <w:bottom w:w="28" w:type="dxa"/>
          <w:right w:w="28" w:type="dxa"/>
        </w:tblCellMar>
      </w:tblPr>
      <w:tblGrid>
        <w:gridCol w:w="1743"/>
        <w:gridCol w:w="1534"/>
        <w:gridCol w:w="1537"/>
        <w:gridCol w:w="414"/>
        <w:gridCol w:w="737"/>
        <w:gridCol w:w="213"/>
        <w:gridCol w:w="109"/>
        <w:gridCol w:w="109"/>
        <w:gridCol w:w="109"/>
        <w:gridCol w:w="351"/>
        <w:gridCol w:w="802"/>
        <w:gridCol w:w="256"/>
      </w:tblGrid>
      <w:tr>
        <w:trPr/>
        <w:tc>
          <w:tcPr>
            <w:tcW w:w="174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 expense</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Aera transaction and integration costs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Energy costs due to downtime at Elk Hills power plant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Severance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 related expenses</w:t>
            </w:r>
            <w:r>
              <w:rPr>
                <w:rFonts w:ascii="Arial;sans-serif" w:hAnsi="Arial;sans-serif"/>
                <w:b w:val="false"/>
                <w:color w:val="000000"/>
                <w:sz w:val="13"/>
              </w:rPr>
              <w:t>(a)</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 other</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 xml:space="preserve">(a)See </w:t>
      </w:r>
      <w:r>
        <w:rPr>
          <w:rFonts w:ascii="Arial;sans-serif" w:hAnsi="Arial;sans-serif"/>
          <w:b w:val="false"/>
          <w:i/>
          <w:color w:val="000000"/>
          <w:sz w:val="16"/>
        </w:rPr>
        <w:t xml:space="preserve">Part I, Item 1 – Financial Statements, Note 5 Lawsuits, Claims, Commitments and Contingencies </w:t>
      </w:r>
      <w:r>
        <w:rPr>
          <w:rFonts w:ascii="Arial;sans-serif" w:hAnsi="Arial;sans-serif"/>
          <w:b w:val="false"/>
          <w:color w:val="000000"/>
          <w:sz w:val="16"/>
        </w:rPr>
        <w:t xml:space="preserve">for more information on a $25 million payment we made to CalGEM during the six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Interest and debt expense, net </w:t>
      </w:r>
      <w:r>
        <w:rPr>
          <w:color w:val="000000"/>
        </w:rPr>
        <w:t xml:space="preserve">— </w:t>
      </w:r>
      <w:r>
        <w:rPr>
          <w:rFonts w:ascii="Arial;sans-serif" w:hAnsi="Arial;sans-serif"/>
          <w:b w:val="false"/>
          <w:color w:val="000000"/>
          <w:sz w:val="20"/>
        </w:rPr>
        <w:t xml:space="preserve">Interest and debt expense, net was $52 million for the six months ended June 30, 2025 compared to $30 million for the six months ended June 30, 2024. The increase was predominantly due to higher interest expense resulting from the issuance of our 2029 Senior Notes. In June 2024, we issued $600 million in aggregate principal amount of 2029 Senior Notes and in August 2024, we completed a follow-on offering of $300 million in aggregate principal amount of 2029 Senior Notes.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The income tax provision for the six months ended June 30, 2025 was $117 million (representing an effective tax rate of 29%), compared to a benefit of $6 million (representing an effective tax rate of 75%) for the six months ended June 30, 2024. See </w:t>
      </w:r>
      <w:r>
        <w:rPr>
          <w:rFonts w:ascii="Arial;sans-serif" w:hAnsi="Arial;sans-serif"/>
          <w:b w:val="false"/>
          <w:i/>
          <w:color w:val="000000"/>
          <w:sz w:val="20"/>
        </w:rPr>
        <w:t>Part I, Item 1 – Financial Statements, Note 7 Income Taxes</w:t>
      </w:r>
      <w:r>
        <w:rPr>
          <w:color w:val="000000"/>
        </w:rPr>
        <w:t xml:space="preserve"> </w:t>
      </w:r>
      <w:r>
        <w:rPr>
          <w:rFonts w:ascii="Arial;sans-serif" w:hAnsi="Arial;sans-serif"/>
          <w:b w:val="false"/>
          <w:color w:val="000000"/>
          <w:sz w:val="20"/>
        </w:rPr>
        <w:t>for additional information on our income taxes.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financial information related to our subsidiaries designated as Unrestricted Subsidiaries under the 2026 Senior Notes Indenture and 2029 Senior Notes Indenture, see </w:t>
      </w:r>
      <w:r>
        <w:rPr>
          <w:rFonts w:ascii="Arial;sans-serif" w:hAnsi="Arial;sans-serif"/>
          <w:b w:val="false"/>
          <w:i/>
          <w:color w:val="000000"/>
          <w:sz w:val="20"/>
        </w:rPr>
        <w:t xml:space="preserve">Part I, Item 1 – Financial Statements, Note 15 Condensed Consolidated Financial Information.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Results of Our Oil and Natural Gas Operations</w:t>
      </w:r>
    </w:p>
    <w:p>
      <w:pPr>
        <w:pStyle w:val="TextBody"/>
        <w:bidi w:val="0"/>
        <w:spacing w:before="0" w:after="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includes financial results and key operating data for our oil and natural gas segment for the three months ended June 30, 2025 and March 31, 2025 and the six months ended June 30, 2025 and 2024.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491"/>
        <w:gridCol w:w="1270"/>
        <w:gridCol w:w="1273"/>
        <w:gridCol w:w="275"/>
        <w:gridCol w:w="845"/>
        <w:gridCol w:w="142"/>
        <w:gridCol w:w="109"/>
        <w:gridCol w:w="109"/>
        <w:gridCol w:w="109"/>
        <w:gridCol w:w="295"/>
        <w:gridCol w:w="905"/>
        <w:gridCol w:w="152"/>
        <w:gridCol w:w="109"/>
        <w:gridCol w:w="109"/>
        <w:gridCol w:w="109"/>
        <w:gridCol w:w="275"/>
        <w:gridCol w:w="845"/>
        <w:gridCol w:w="142"/>
        <w:gridCol w:w="109"/>
        <w:gridCol w:w="109"/>
        <w:gridCol w:w="109"/>
        <w:gridCol w:w="272"/>
        <w:gridCol w:w="836"/>
        <w:gridCol w:w="206"/>
      </w:tblGrid>
      <w:tr>
        <w:trPr/>
        <w:tc>
          <w:tcPr>
            <w:tcW w:w="149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(in millions, except as otherwise stated) </w:t>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30" w:type="dxa"/>
            <w:gridSpan w:val="12"/>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Production and segment financial data</w:t>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production sold (MBoe/d)</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total operating revenues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profit</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Items affecting comparability:</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Gain on asset divestitures</w:t>
            </w:r>
            <w:r>
              <w:rPr>
                <w:rFonts w:ascii="Arial;sans-serif" w:hAnsi="Arial;sans-serif"/>
                <w:b w:val="false"/>
                <w:color w:val="000000"/>
                <w:sz w:val="13"/>
              </w:rPr>
              <w:t>(a)</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Key operating expenses per Boe</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Operating costs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 after hedges on purchased natural gas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Segment general and administrative expenses</w:t>
            </w:r>
            <w:r>
              <w:rPr>
                <w:rFonts w:ascii="Arial;sans-serif" w:hAnsi="Arial;sans-serif"/>
                <w:b w:val="false"/>
                <w:color w:val="000000"/>
                <w:sz w:val="13"/>
              </w:rPr>
              <w:t xml:space="preserve">(b)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Segment depreciation, depletion and amortization</w:t>
            </w:r>
            <w:r>
              <w:rPr>
                <w:rFonts w:ascii="Arial;sans-serif" w:hAnsi="Arial;sans-serif"/>
                <w:b w:val="false"/>
                <w:color w:val="000000"/>
                <w:sz w:val="13"/>
              </w:rPr>
              <w:t xml:space="preserve">(c)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taxes other than on income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(a)Gain on asset divestitures for the six months ended June 30, 2024 related to the sale of oil and gas assets located in Ventura.</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(b)Excludes unallocated general and administrative expenses.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(c)Excludes depreciation, depletion and amortization related to our corporate assets and our Elk Hills power plant.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Arial;sans-serif" w:hAnsi="Arial;sans-serif"/>
          <w:b/>
          <w:i/>
          <w:color w:val="000000"/>
          <w:sz w:val="20"/>
        </w:rPr>
      </w:pPr>
      <w:r>
        <w:rPr>
          <w:rFonts w:ascii="Arial;sans-serif" w:hAnsi="Arial;sans-serif"/>
          <w:b/>
          <w:i/>
          <w:color w:val="000000"/>
          <w:sz w:val="20"/>
        </w:rPr>
        <w:t>Production, Prices, and Realizations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i/>
          <w:color w:val="000000"/>
          <w:sz w:val="20"/>
          <w:u w:val="single"/>
        </w:rPr>
      </w:pPr>
      <w:r>
        <w:rPr>
          <w:rFonts w:ascii="Arial;sans-serif" w:hAnsi="Arial;sans-serif"/>
          <w:b w:val="false"/>
          <w:i/>
          <w:color w:val="000000"/>
          <w:sz w:val="20"/>
          <w:u w:val="single"/>
        </w:rPr>
        <w:t>Net Production Sold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sets forth our average net production of oil, NGLs and natural gas sold per day in each of the California oil and natural gas basins in which we operate for the periods presented. The amounts in the production table below include volumes produced from operated and non-operated fields for each of the periods presented. </w:t>
      </w:r>
    </w:p>
    <w:tbl>
      <w:tblPr>
        <w:tblW w:w="10205" w:type="dxa"/>
        <w:jc w:val="left"/>
        <w:tblInd w:w="0" w:type="dxa"/>
        <w:tblLayout w:type="fixed"/>
        <w:tblCellMar>
          <w:top w:w="28" w:type="dxa"/>
          <w:left w:w="28" w:type="dxa"/>
          <w:bottom w:w="28" w:type="dxa"/>
          <w:right w:w="28" w:type="dxa"/>
        </w:tblCellMar>
      </w:tblPr>
      <w:tblGrid>
        <w:gridCol w:w="1163"/>
        <w:gridCol w:w="997"/>
        <w:gridCol w:w="958"/>
        <w:gridCol w:w="423"/>
        <w:gridCol w:w="417"/>
        <w:gridCol w:w="400"/>
        <w:gridCol w:w="206"/>
        <w:gridCol w:w="206"/>
        <w:gridCol w:w="206"/>
        <w:gridCol w:w="456"/>
        <w:gridCol w:w="451"/>
        <w:gridCol w:w="453"/>
        <w:gridCol w:w="109"/>
        <w:gridCol w:w="109"/>
        <w:gridCol w:w="109"/>
        <w:gridCol w:w="427"/>
        <w:gridCol w:w="414"/>
        <w:gridCol w:w="407"/>
        <w:gridCol w:w="185"/>
        <w:gridCol w:w="185"/>
        <w:gridCol w:w="185"/>
        <w:gridCol w:w="427"/>
        <w:gridCol w:w="414"/>
        <w:gridCol w:w="407"/>
        <w:gridCol w:w="109"/>
        <w:gridCol w:w="109"/>
        <w:gridCol w:w="109"/>
        <w:gridCol w:w="164"/>
      </w:tblGrid>
      <w:tr>
        <w:trPr/>
        <w:tc>
          <w:tcPr>
            <w:tcW w:w="116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(MBbl/d)</w:t>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Basins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(MBbl/d)</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Natural gas (MMcf/d)</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Sacramento Basin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Basins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Net Production Sold (MBoe/d)</w:t>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Total average net production sold decreased to </w:t>
      </w:r>
      <w:r>
        <w:rPr>
          <w:rFonts w:ascii="Arial;sans-serif" w:hAnsi="Arial;sans-serif"/>
          <w:b w:val="false"/>
          <w:color w:val="000000"/>
          <w:sz w:val="20"/>
        </w:rPr>
        <w:t>137</w:t>
      </w:r>
      <w:r>
        <w:rPr>
          <w:color w:val="000000"/>
          <w:shd w:fill="FFFFFF" w:val="clear"/>
        </w:rPr>
        <w:t xml:space="preserve"> </w:t>
      </w:r>
      <w:r>
        <w:rPr>
          <w:rFonts w:ascii="Arial;sans-serif" w:hAnsi="Arial;sans-serif"/>
          <w:b w:val="false"/>
          <w:color w:val="000000"/>
          <w:sz w:val="20"/>
          <w:shd w:fill="FFFFFF" w:val="clear"/>
        </w:rPr>
        <w:t>MBoe/d for the three months ended June 30, 2025 compared to 141 MBoe/d for the three months ended March 31, 2025. The decrease was primarily a result of natural production decline partially offset by development results. In addition, our production-sharing contracts (PSCs), which are described below, negatively impacted our net oil production by 1 MBoe/d in the three months ended June 30, 2025 compared to the three months ended March 31, 2025.</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Total average net production sold increased to 139 MBoe/d for the six months ended June 30, 2025 compared to 76 MBoe/d for the six months ended June 30, 2024. The increase was primarily a result of the Aera Merger. Our PSCs, which are described below, positively impacted our net oil production by 1 MBoe/d in the six months ended June 30, 2025 compared to the six months ended June 30, 2024.</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Production-Sharing Contracts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of production and reserves from operations in the Wilmington field in the Los Angeles basin is subject to contractual arrangements similar to production-sharing contracts that are in effect through the economic life of the assets. The reporting of our PSCs creates a difference between reported operating costs, which are for the full field, and reported volumes, which are only our net share, inflating the per barrel operating costs.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further information on our production-sharing contracts, see </w:t>
      </w:r>
      <w:r>
        <w:rPr>
          <w:rFonts w:ascii="Arial;sans-serif" w:hAnsi="Arial;sans-serif"/>
          <w:b w:val="false"/>
          <w:i/>
          <w:color w:val="000000"/>
          <w:sz w:val="20"/>
        </w:rPr>
        <w:t>Part I, Item 1 &amp; 2 Business and Properties, Oil and Natural Gas Operations, Production, Price and Cost History</w:t>
      </w:r>
      <w:r>
        <w:rPr>
          <w:color w:val="000000"/>
        </w:rPr>
        <w:t xml:space="preserve"> </w:t>
      </w:r>
      <w:r>
        <w:rPr>
          <w:rFonts w:ascii="Arial;sans-serif" w:hAnsi="Arial;sans-serif"/>
          <w:b w:val="false"/>
          <w:color w:val="000000"/>
          <w:sz w:val="20"/>
        </w:rPr>
        <w:t xml:space="preserve">in our 2024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Prices and Realizations </w:t>
      </w:r>
    </w:p>
    <w:p>
      <w:pPr>
        <w:pStyle w:val="TextBody"/>
        <w:bidi w:val="0"/>
        <w:spacing w:before="0" w:after="0"/>
        <w:jc w:val="left"/>
        <w:rPr/>
      </w:pPr>
      <w:r>
        <w:rPr/>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set forth the average realized prices and price realizations on the commodities we sell as a percentage of average Brent, WTI and NYMEX Henry Hub indexes for our oil and natural gas operations for the periods presented:</w:t>
      </w:r>
    </w:p>
    <w:tbl>
      <w:tblPr>
        <w:tblW w:w="9680" w:type="dxa"/>
        <w:jc w:val="center"/>
        <w:tblInd w:w="0" w:type="dxa"/>
        <w:tblLayout w:type="fixed"/>
        <w:tblCellMar>
          <w:top w:w="28" w:type="dxa"/>
          <w:left w:w="28" w:type="dxa"/>
          <w:bottom w:w="28" w:type="dxa"/>
          <w:right w:w="28" w:type="dxa"/>
        </w:tblCellMar>
      </w:tblPr>
      <w:tblGrid>
        <w:gridCol w:w="1451"/>
        <w:gridCol w:w="1269"/>
        <w:gridCol w:w="1284"/>
        <w:gridCol w:w="211"/>
        <w:gridCol w:w="646"/>
        <w:gridCol w:w="109"/>
        <w:gridCol w:w="109"/>
        <w:gridCol w:w="109"/>
        <w:gridCol w:w="109"/>
        <w:gridCol w:w="380"/>
        <w:gridCol w:w="380"/>
        <w:gridCol w:w="381"/>
        <w:gridCol w:w="109"/>
        <w:gridCol w:w="109"/>
        <w:gridCol w:w="109"/>
        <w:gridCol w:w="211"/>
        <w:gridCol w:w="646"/>
        <w:gridCol w:w="109"/>
        <w:gridCol w:w="109"/>
        <w:gridCol w:w="109"/>
        <w:gridCol w:w="109"/>
        <w:gridCol w:w="380"/>
        <w:gridCol w:w="380"/>
        <w:gridCol w:w="381"/>
        <w:gridCol w:w="109"/>
        <w:gridCol w:w="109"/>
        <w:gridCol w:w="109"/>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 per Bbl)</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settlements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Natural Gas Liquids ($ per Bbl)</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Brent)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WTI)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Natural gas </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NYMEX Henry Hub ($/MMBtu)</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($/Mcf)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tbl>
      <w:tblPr>
        <w:tblW w:w="9244" w:type="dxa"/>
        <w:jc w:val="left"/>
        <w:tblInd w:w="0" w:type="dxa"/>
        <w:tblLayout w:type="fixed"/>
        <w:tblCellMar>
          <w:top w:w="28" w:type="dxa"/>
          <w:left w:w="28" w:type="dxa"/>
          <w:bottom w:w="28" w:type="dxa"/>
          <w:right w:w="28" w:type="dxa"/>
        </w:tblCellMar>
      </w:tblPr>
      <w:tblGrid>
        <w:gridCol w:w="1451"/>
        <w:gridCol w:w="1269"/>
        <w:gridCol w:w="1284"/>
        <w:gridCol w:w="211"/>
        <w:gridCol w:w="646"/>
        <w:gridCol w:w="109"/>
        <w:gridCol w:w="109"/>
        <w:gridCol w:w="109"/>
        <w:gridCol w:w="109"/>
        <w:gridCol w:w="380"/>
        <w:gridCol w:w="380"/>
        <w:gridCol w:w="381"/>
        <w:gridCol w:w="109"/>
        <w:gridCol w:w="109"/>
        <w:gridCol w:w="109"/>
        <w:gridCol w:w="211"/>
        <w:gridCol w:w="646"/>
        <w:gridCol w:w="109"/>
        <w:gridCol w:w="109"/>
        <w:gridCol w:w="109"/>
        <w:gridCol w:w="109"/>
        <w:gridCol w:w="347"/>
        <w:gridCol w:w="347"/>
        <w:gridCol w:w="492"/>
      </w:tblGrid>
      <w:tr>
        <w:trPr/>
        <w:tc>
          <w:tcPr>
            <w:tcW w:w="14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 per Bbl)</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settlements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Natural Gas Liquids ($ per Bbl)</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Brent)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WTI)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Natural gas </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NYMEX Henry Hub ($/MMBtu)</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($/Mcf)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136%</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Oil</w:t>
      </w:r>
      <w:r>
        <w:rPr>
          <w:color w:val="000000"/>
        </w:rPr>
        <w:t xml:space="preserve"> — </w:t>
      </w:r>
      <w:r>
        <w:rPr>
          <w:rFonts w:ascii="Arial;sans-serif" w:hAnsi="Arial;sans-serif"/>
          <w:b w:val="false"/>
          <w:color w:val="000000"/>
          <w:sz w:val="20"/>
        </w:rPr>
        <w:t xml:space="preserve">Brent prices were lower for the three months ended June 30, 2025 compared to the three months ended March 31, 2025 as well as for the six months ended June 30, 2025 compared to the six months ended June 30, 2024. See </w:t>
      </w:r>
      <w:r>
        <w:rPr>
          <w:rFonts w:ascii="Arial;sans-serif" w:hAnsi="Arial;sans-serif"/>
          <w:b w:val="false"/>
          <w:i/>
          <w:color w:val="000000"/>
          <w:sz w:val="20"/>
        </w:rPr>
        <w:t>Business Environment and Industry Outlook</w:t>
      </w:r>
      <w:r>
        <w:rPr>
          <w:color w:val="000000"/>
        </w:rPr>
        <w:t xml:space="preserve"> </w:t>
      </w:r>
      <w:r>
        <w:rPr>
          <w:rFonts w:ascii="Arial;sans-serif" w:hAnsi="Arial;sans-serif"/>
          <w:b w:val="false"/>
          <w:color w:val="000000"/>
          <w:sz w:val="20"/>
        </w:rPr>
        <w:t xml:space="preserve">above for more information on factors influencing Brent commodity prices for the periods presented.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NGLs</w:t>
      </w:r>
      <w:r>
        <w:rPr>
          <w:color w:val="000000"/>
        </w:rPr>
        <w:t xml:space="preserve"> — </w:t>
      </w:r>
      <w:r>
        <w:rPr>
          <w:rFonts w:ascii="Arial;sans-serif" w:hAnsi="Arial;sans-serif"/>
          <w:b w:val="false"/>
          <w:color w:val="000000"/>
          <w:sz w:val="20"/>
        </w:rPr>
        <w:t xml:space="preserve">Prices for natural gas liquids during the three months ended June 30, 2025 decreased compared to the three months ended March 31, 2025, reflecting traditional seasonality. Prices for natural gas liquids during the six months ended June 30, 2025 were consistent with the same prior 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Natural Gas</w:t>
      </w:r>
      <w:r>
        <w:rPr>
          <w:color w:val="000000"/>
        </w:rPr>
        <w:t xml:space="preserve"> — </w:t>
      </w:r>
      <w:r>
        <w:rPr>
          <w:rFonts w:ascii="Arial;sans-serif" w:hAnsi="Arial;sans-serif"/>
          <w:b w:val="false"/>
          <w:color w:val="000000"/>
          <w:sz w:val="20"/>
        </w:rPr>
        <w:t xml:space="preserve">Natural gas prices decreased for the three months ended June 30, 2025 compared to the three months ended March 31, 2025 driven by seasonal demand changes and the effects of significant storage volumes. Natural gas prices increased for the six months ended June 30, 2025 compared to the six months ended June 30, 2024 driven by colder, late winter temperatures in early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Results of Our Carbon Management Segment </w:t>
      </w:r>
    </w:p>
    <w:p>
      <w:pPr>
        <w:pStyle w:val="TextBody"/>
        <w:bidi w:val="0"/>
        <w:spacing w:before="0" w:after="0"/>
        <w:jc w:val="both"/>
        <w:rPr/>
      </w:pPr>
      <w:r>
        <w:rPr/>
      </w:r>
    </w:p>
    <w:p>
      <w:pPr>
        <w:pStyle w:val="TextBody"/>
        <w:bidi w:val="0"/>
        <w:spacing w:lineRule="auto" w:line="268" w:before="0" w:after="0"/>
        <w:ind w:left="0" w:right="0" w:firstLine="360"/>
        <w:jc w:val="left"/>
        <w:rPr/>
      </w:pPr>
      <w:r>
        <w:rPr>
          <w:rFonts w:ascii="Arial;sans-serif" w:hAnsi="Arial;sans-serif"/>
          <w:b w:val="false"/>
          <w:color w:val="000000"/>
          <w:sz w:val="20"/>
        </w:rPr>
        <w:t>Our carbon management segment, which we refer to as Carbon TerraVault, primarily pursues the development of CCS projects. We expect that our Carbon TerraVault CCS projects will inject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captured from industrial, power, agriculture and other emissions sources into subsurface reservoirs and permanently store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deep underground. We also expect to invest in projects that rely on CCS technology in connection with reducing our own emissions. In addition, we may participate in the development of projects that are the source of these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emissions. Our carbon management segment is in its early stages of development. We expect construction of our first carbon capture project at our cryogenic gas processing facility to be completed at or around year end at which time we will be ready to inject subject to receipt of final regulatory approvals early in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include results for our carbon management segment for the three months ended June 30, 2025 and March 31, 2025 and the six months ended June 30, 2025 and June 30 2024.</w:t>
      </w:r>
    </w:p>
    <w:p>
      <w:pPr>
        <w:pStyle w:val="TextBody"/>
        <w:bidi w:val="0"/>
        <w:spacing w:before="0" w:after="0"/>
        <w:ind w:left="0" w:right="0" w:firstLine="360"/>
        <w:jc w:val="left"/>
        <w:rPr/>
      </w:pPr>
      <w:r>
        <w:rPr/>
      </w:r>
    </w:p>
    <w:tbl>
      <w:tblPr>
        <w:tblW w:w="8719" w:type="dxa"/>
        <w:jc w:val="left"/>
        <w:tblInd w:w="0" w:type="dxa"/>
        <w:tblLayout w:type="fixed"/>
        <w:tblCellMar>
          <w:top w:w="28" w:type="dxa"/>
          <w:left w:w="28" w:type="dxa"/>
          <w:bottom w:w="28" w:type="dxa"/>
          <w:right w:w="28" w:type="dxa"/>
        </w:tblCellMar>
      </w:tblPr>
      <w:tblGrid>
        <w:gridCol w:w="477"/>
        <w:gridCol w:w="420"/>
        <w:gridCol w:w="422"/>
        <w:gridCol w:w="380"/>
        <w:gridCol w:w="788"/>
        <w:gridCol w:w="197"/>
        <w:gridCol w:w="120"/>
        <w:gridCol w:w="120"/>
        <w:gridCol w:w="120"/>
        <w:gridCol w:w="414"/>
        <w:gridCol w:w="857"/>
        <w:gridCol w:w="214"/>
        <w:gridCol w:w="109"/>
        <w:gridCol w:w="109"/>
        <w:gridCol w:w="109"/>
        <w:gridCol w:w="381"/>
        <w:gridCol w:w="787"/>
        <w:gridCol w:w="196"/>
        <w:gridCol w:w="109"/>
        <w:gridCol w:w="109"/>
        <w:gridCol w:w="109"/>
        <w:gridCol w:w="381"/>
        <w:gridCol w:w="787"/>
        <w:gridCol w:w="196"/>
        <w:gridCol w:w="109"/>
        <w:gridCol w:w="109"/>
        <w:gridCol w:w="109"/>
        <w:gridCol w:w="109"/>
        <w:gridCol w:w="109"/>
        <w:gridCol w:w="109"/>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loss</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12"/>
        <w:gridCol w:w="1227"/>
        <w:gridCol w:w="1231"/>
        <w:gridCol w:w="373"/>
        <w:gridCol w:w="667"/>
        <w:gridCol w:w="192"/>
        <w:gridCol w:w="124"/>
        <w:gridCol w:w="124"/>
        <w:gridCol w:w="124"/>
        <w:gridCol w:w="402"/>
        <w:gridCol w:w="719"/>
        <w:gridCol w:w="208"/>
        <w:gridCol w:w="109"/>
        <w:gridCol w:w="109"/>
        <w:gridCol w:w="109"/>
        <w:gridCol w:w="374"/>
        <w:gridCol w:w="666"/>
        <w:gridCol w:w="192"/>
        <w:gridCol w:w="113"/>
        <w:gridCol w:w="113"/>
        <w:gridCol w:w="113"/>
        <w:gridCol w:w="374"/>
        <w:gridCol w:w="666"/>
        <w:gridCol w:w="192"/>
        <w:gridCol w:w="109"/>
        <w:gridCol w:w="163"/>
      </w:tblGrid>
      <w:tr>
        <w:trPr/>
        <w:tc>
          <w:tcPr>
            <w:tcW w:w="141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expenses</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general and administrative expenses</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the Carbon TerraVault JV</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Carbon management expenses decreased for the </w:t>
      </w:r>
      <w:r>
        <w:rPr>
          <w:rFonts w:ascii="Arial;sans-serif" w:hAnsi="Arial;sans-serif"/>
          <w:b w:val="false"/>
          <w:color w:val="000000"/>
          <w:sz w:val="20"/>
        </w:rPr>
        <w:t>three months ended June 30, 2025</w:t>
      </w:r>
      <w:r>
        <w:rPr>
          <w:color w:val="000000"/>
          <w:shd w:fill="FFFFFF" w:val="clear"/>
        </w:rPr>
        <w:t xml:space="preserve"> </w:t>
      </w:r>
      <w:r>
        <w:rPr>
          <w:rFonts w:ascii="Arial;sans-serif" w:hAnsi="Arial;sans-serif"/>
          <w:b w:val="false"/>
          <w:color w:val="000000"/>
          <w:sz w:val="20"/>
          <w:shd w:fill="FFFFFF" w:val="clear"/>
        </w:rPr>
        <w:t>compared to the t</w:t>
      </w:r>
      <w:r>
        <w:rPr>
          <w:rFonts w:ascii="Arial;sans-serif" w:hAnsi="Arial;sans-serif"/>
          <w:b w:val="false"/>
          <w:color w:val="000000"/>
          <w:sz w:val="20"/>
        </w:rPr>
        <w:t xml:space="preserve">hree months ended March 31, 2025 </w:t>
      </w:r>
      <w:r>
        <w:rPr>
          <w:rFonts w:ascii="Arial;sans-serif" w:hAnsi="Arial;sans-serif"/>
          <w:b w:val="false"/>
          <w:color w:val="000000"/>
          <w:sz w:val="20"/>
          <w:shd w:fill="FFFFFF" w:val="clear"/>
        </w:rPr>
        <w:t>as a result of lower lease costs related to easements.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Carbon management expenses increased for the </w:t>
      </w:r>
      <w:r>
        <w:rPr>
          <w:rFonts w:ascii="Arial;sans-serif" w:hAnsi="Arial;sans-serif"/>
          <w:b w:val="false"/>
          <w:color w:val="000000"/>
          <w:sz w:val="20"/>
        </w:rPr>
        <w:t>six months ended June 30, 2025</w:t>
      </w:r>
      <w:r>
        <w:rPr>
          <w:color w:val="000000"/>
          <w:shd w:fill="FFFFFF" w:val="clear"/>
        </w:rPr>
        <w:t xml:space="preserve"> </w:t>
      </w:r>
      <w:r>
        <w:rPr>
          <w:rFonts w:ascii="Arial;sans-serif" w:hAnsi="Arial;sans-serif"/>
          <w:b w:val="false"/>
          <w:color w:val="000000"/>
          <w:sz w:val="20"/>
          <w:shd w:fill="FFFFFF" w:val="clear"/>
        </w:rPr>
        <w:t>compared to the six</w:t>
      </w:r>
      <w:r>
        <w:rPr>
          <w:color w:val="000000"/>
        </w:rPr>
        <w:t xml:space="preserve"> </w:t>
      </w:r>
      <w:r>
        <w:rPr>
          <w:rFonts w:ascii="Arial;sans-serif" w:hAnsi="Arial;sans-serif"/>
          <w:b w:val="false"/>
          <w:color w:val="000000"/>
          <w:sz w:val="20"/>
        </w:rPr>
        <w:t xml:space="preserve">months ended June 30, 2024 </w:t>
      </w:r>
      <w:r>
        <w:rPr>
          <w:rFonts w:ascii="Arial;sans-serif" w:hAnsi="Arial;sans-serif"/>
          <w:b w:val="false"/>
          <w:color w:val="000000"/>
          <w:sz w:val="20"/>
          <w:shd w:fill="FFFFFF" w:val="clear"/>
        </w:rPr>
        <w:t>as a result of increased expenditure related to the evaluation of CCS projects and increased lease cost for the six months ended June 30,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primary sources of liquidity and capital resources are cash flows from operations, available cash and cash equivalents and available borrowing capacity under our Revolving Credit Facility. We consider our low leverage and ability to control costs to be a core strength and strategic advantage, which we are focused on maintaining. Our primary uses of operating cash flow for the three and six months ended June 30, 2025 were for repurchases of our common stock, payment of dividends, and capital investments.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liquidity: </w:t>
      </w:r>
    </w:p>
    <w:tbl>
      <w:tblPr>
        <w:tblW w:w="4874" w:type="dxa"/>
        <w:jc w:val="left"/>
        <w:tblInd w:w="0" w:type="dxa"/>
        <w:tblLayout w:type="fixed"/>
        <w:tblCellMar>
          <w:top w:w="28" w:type="dxa"/>
          <w:left w:w="28" w:type="dxa"/>
          <w:bottom w:w="28" w:type="dxa"/>
          <w:right w:w="28" w:type="dxa"/>
        </w:tblCellMar>
      </w:tblPr>
      <w:tblGrid>
        <w:gridCol w:w="1256"/>
        <w:gridCol w:w="1103"/>
        <w:gridCol w:w="1106"/>
        <w:gridCol w:w="294"/>
        <w:gridCol w:w="901"/>
        <w:gridCol w:w="21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Available cash and cash equivalents</w:t>
            </w:r>
            <w:r>
              <w:rPr>
                <w:rFonts w:ascii="Arial;sans-serif" w:hAnsi="Arial;sans-serif"/>
                <w:b w:val="false"/>
                <w:color w:val="000000"/>
                <w:sz w:val="13"/>
              </w:rPr>
              <w:t>(a)</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Borrowing capacity</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letters of credit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Availability</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Liquidity</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(a)Excludes restricted cash of $16 million.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current commodity prices and based upon our planned 2025 capital program described below, we expect to generate operating cash flow to return cash to shareholders through dividends and repurchases of our common stock. In line with this strategy, our Board of Directors has extended the term of our Share Repurchase Program from December 31, 2025 to June 30, 2026. We regularly review our financial position and evaluate whether to (i) adjust our drilling program, (ii) return available cash to shareholders through dividends or share repurchases to the extent permitted under our Revolving Credit Facility and the indentures for our 7.125% senior notes due 2026 (2026 Senior Notes) and our 8.25% senior notes due 2029 (2029 Senior Notes), (iii) reduce outstanding indebtedness, (iv) advance carbon management activities, or (v) maintain cash and cash equivalents on our balance sheet. We continue to monitor the current macroeconomic environment and will adjust our planned uses of cash as necessary. We believe we have sufficient sources of liquidity to meet our obligations for the next twelve months.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taken steps to reduce headcount as part of the integration process following the Aera Merger. We initiated these workforce reductions to align the size and composition of our workforce with expected future operating and capital plans. Employee severance and related costs are included in other operating expenses, net on our condensed consolidated statement of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4, 2025, An Act to Provide for Reconciliation Pursuant to Title II of H. Con. Res. 14th and commonly referred to as the One Big Beautiful Bill Act was signed into law. This law contains several legislative changes including the reinstatement of full expensing for qualified assets placed in service after January 19, 2025. This law also reinstated the expensing all domestic research and development costs, including favorable transition rules, and increases the limitation on the amount of annual business interest expense which can be deducted each year. We expect these legislative changes will reduce our U.S. federal cash tax obligation by approximately $35 million in 2025 and the amount of U.S. federal taxes we would have otherwise owed in future years.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II, Item 8 – Financial Statements and Supplementary Data, Note 5 Debt </w:t>
      </w:r>
      <w:r>
        <w:rPr>
          <w:rFonts w:ascii="Arial;sans-serif" w:hAnsi="Arial;sans-serif"/>
          <w:b w:val="false"/>
          <w:color w:val="000000"/>
          <w:sz w:val="20"/>
        </w:rPr>
        <w:t>in our 2024 Annual Report for information on the Revolving Credit Facility and related amendments.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2026 Senior Notes Redemption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4 Debt </w:t>
      </w:r>
      <w:r>
        <w:rPr>
          <w:rFonts w:ascii="Arial;sans-serif" w:hAnsi="Arial;sans-serif"/>
          <w:b w:val="false"/>
          <w:color w:val="000000"/>
          <w:sz w:val="20"/>
        </w:rPr>
        <w:t xml:space="preserve">for information on a partial redemption of our 2026 Senior Notes.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10 Stockholders' Equity and Part II, Item 2 – Other Information, Unregistered Sales of Equity Securities and Use of Proceeds </w:t>
      </w:r>
      <w:r>
        <w:rPr>
          <w:rFonts w:ascii="Arial;sans-serif" w:hAnsi="Arial;sans-serif"/>
          <w:b w:val="false"/>
          <w:color w:val="000000"/>
          <w:sz w:val="20"/>
        </w:rPr>
        <w:t xml:space="preserve">for more information on our Share Repurchase Program including a repurchase of shares during the second quarter of 2025 from IKAV.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10 Stockholders' Equity </w:t>
      </w:r>
      <w:r>
        <w:rPr>
          <w:rFonts w:ascii="Arial;sans-serif" w:hAnsi="Arial;sans-serif"/>
          <w:b w:val="false"/>
          <w:color w:val="000000"/>
          <w:sz w:val="20"/>
        </w:rPr>
        <w:t xml:space="preserve">for more information on our dividends. See </w:t>
      </w:r>
      <w:r>
        <w:rPr>
          <w:rFonts w:ascii="Arial;sans-serif" w:hAnsi="Arial;sans-serif"/>
          <w:b w:val="false"/>
          <w:i/>
          <w:color w:val="000000"/>
          <w:sz w:val="20"/>
        </w:rPr>
        <w:t xml:space="preserve">Part I, Item 1 – Financial Statements, Note 16 Subsequent Events </w:t>
      </w:r>
      <w:r>
        <w:rPr>
          <w:rFonts w:ascii="Arial;sans-serif" w:hAnsi="Arial;sans-serif"/>
          <w:b w:val="false"/>
          <w:color w:val="000000"/>
          <w:sz w:val="20"/>
        </w:rPr>
        <w:t>for information on a dividend declared in August 2025.</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2025 Capital Program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Our capital program is dynamic in response to commodity price volatility and permit availability while focusing on oil production and maximizing our free cash flow. Our capital investment for the six months ended June 30, 2025</w:t>
      </w:r>
      <w:r>
        <w:rPr>
          <w:color w:val="000000"/>
          <w:shd w:fill="FFFFFF" w:val="clear"/>
        </w:rPr>
        <w:t xml:space="preserve"> </w:t>
      </w:r>
      <w:r>
        <w:rPr>
          <w:rFonts w:ascii="Arial;sans-serif" w:hAnsi="Arial;sans-serif"/>
          <w:b w:val="false"/>
          <w:color w:val="000000"/>
          <w:sz w:val="20"/>
          <w:shd w:fill="FFFFFF" w:val="clear"/>
        </w:rPr>
        <w:t>was $111 million. We expect our full year 2025 capital program to range between $280 million</w:t>
      </w:r>
      <w:r>
        <w:rPr>
          <w:color w:val="000000"/>
        </w:rPr>
        <w:t xml:space="preserve"> </w:t>
      </w:r>
      <w:r>
        <w:rPr>
          <w:rFonts w:ascii="Arial;sans-serif" w:hAnsi="Arial;sans-serif"/>
          <w:b w:val="false"/>
          <w:color w:val="000000"/>
          <w:sz w:val="20"/>
        </w:rPr>
        <w:t xml:space="preserve">and $330 million. Of this amount, $245 million to $275 million is related to our oil and natural gas segment, $20 million to $30 million is for our carbon management segment and $15 million to $25 million is for corporate and other activities. The above amounts related to carbon management projects do not include amounts funded by Brookfield through the Carbon TerraVault JV, such as drilling injection and monitoring wells at our 26R reservoir.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With respect to oil and natural gas development, we added a second drilling rig in June 2025 and currently expect to run our two rig program through the remainder of the year using existing permits in hand. Refer to </w:t>
      </w:r>
      <w:r>
        <w:rPr>
          <w:rFonts w:ascii="Arial;sans-serif" w:hAnsi="Arial;sans-serif"/>
          <w:b w:val="false"/>
          <w:i/>
          <w:color w:val="000000"/>
          <w:sz w:val="20"/>
        </w:rPr>
        <w:t>Regulatory Updates</w:t>
      </w:r>
      <w:r>
        <w:rPr>
          <w:color w:val="000000"/>
        </w:rPr>
        <w:t xml:space="preserve"> </w:t>
      </w:r>
      <w:r>
        <w:rPr>
          <w:rFonts w:ascii="Arial;sans-serif" w:hAnsi="Arial;sans-serif"/>
          <w:b w:val="false"/>
          <w:color w:val="000000"/>
          <w:sz w:val="20"/>
        </w:rPr>
        <w:t xml:space="preserve">above for more information on permitting. Refer to </w:t>
      </w:r>
      <w:r>
        <w:rPr>
          <w:rFonts w:ascii="Arial;sans-serif" w:hAnsi="Arial;sans-serif"/>
          <w:b w:val="false"/>
          <w:i/>
          <w:color w:val="000000"/>
          <w:sz w:val="20"/>
        </w:rPr>
        <w:t xml:space="preserve">Part I, Item 1 – Financial Statements, Note 9 Segment Information </w:t>
      </w:r>
      <w:r>
        <w:rPr>
          <w:rFonts w:ascii="Arial;sans-serif" w:hAnsi="Arial;sans-serif"/>
          <w:b w:val="false"/>
          <w:color w:val="000000"/>
          <w:sz w:val="20"/>
        </w:rPr>
        <w:t xml:space="preserve">for information on capital investment by segment.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Significant changes in oil and natural gas prices may have a material impact on our liquidity. Declining oil prices negatively affect our operating cash flow, and the inverse applies during periods of rising oil prices. Our hedging strategy seeks to mitigate our exposure to commodity price volatility and ensure our financial strength and liquidity by protecting our cash flows. We will continue to evaluate our hedging strategy based on prevailing market prices and conditions.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six months ended June 30, 2025. See </w:t>
      </w:r>
      <w:r>
        <w:rPr>
          <w:rFonts w:ascii="Arial;sans-serif" w:hAnsi="Arial;sans-serif"/>
          <w:b w:val="false"/>
          <w:i/>
          <w:color w:val="000000"/>
          <w:sz w:val="20"/>
        </w:rPr>
        <w:t>Part I, Item 1 – Financial Statements, Note 6 Derivatives</w:t>
      </w:r>
      <w:r>
        <w:rPr>
          <w:color w:val="000000"/>
        </w:rPr>
        <w:t xml:space="preserve"> </w:t>
      </w:r>
      <w:r>
        <w:rPr>
          <w:rFonts w:ascii="Arial;sans-serif" w:hAnsi="Arial;sans-serif"/>
          <w:b w:val="false"/>
          <w:color w:val="000000"/>
          <w:sz w:val="20"/>
        </w:rPr>
        <w:t xml:space="preserve">for further information on our derivatives and a summary of our open derivative contracts as of June 30, 2025 and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5 Debt </w:t>
      </w:r>
      <w:r>
        <w:rPr>
          <w:rFonts w:ascii="Arial;sans-serif" w:hAnsi="Arial;sans-serif"/>
          <w:b w:val="false"/>
          <w:color w:val="000000"/>
          <w:sz w:val="20"/>
        </w:rPr>
        <w:t>in our 2024 Annual Report</w:t>
      </w:r>
      <w:r>
        <w:rPr>
          <w:color w:val="000000"/>
        </w:rPr>
        <w:t xml:space="preserve"> </w:t>
      </w:r>
      <w:r>
        <w:rPr>
          <w:rFonts w:ascii="Arial;sans-serif" w:hAnsi="Arial;sans-serif"/>
          <w:b w:val="false"/>
          <w:color w:val="000000"/>
          <w:sz w:val="20"/>
        </w:rPr>
        <w:t xml:space="preserve">for information on the hedging requirements included in our Revolving Credit Facility.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 Analysis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from operating activities</w:t>
      </w:r>
      <w:r>
        <w:rPr>
          <w:color w:val="000000"/>
        </w:rPr>
        <w:t xml:space="preserve"> — </w:t>
      </w:r>
      <w:r>
        <w:rPr>
          <w:rFonts w:ascii="Arial;sans-serif" w:hAnsi="Arial;sans-serif"/>
          <w:b w:val="false"/>
          <w:color w:val="000000"/>
          <w:sz w:val="20"/>
        </w:rPr>
        <w:t xml:space="preserve">For the six months ended June 30, 2025, our operating cash flow increased by $167 million to $351 million from $184 million in the same period in 2024. This increase in operating cash flow was primarily driven by the Aera Merger on July 1,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With the addition of Aera's assets, oil production during the six months ended June 30, 2025 as compared to the same period in 2024 increased 63 </w:t>
      </w:r>
      <w:r>
        <w:rPr>
          <w:rFonts w:ascii="Arial;sans-serif" w:hAnsi="Arial;sans-serif"/>
          <w:b w:val="false"/>
          <w:color w:val="000000"/>
          <w:sz w:val="20"/>
          <w:shd w:fill="FFFFFF" w:val="clear"/>
        </w:rPr>
        <w:t xml:space="preserve">MBbl/d from </w:t>
      </w:r>
      <w:r>
        <w:rPr>
          <w:rFonts w:ascii="Arial;sans-serif" w:hAnsi="Arial;sans-serif"/>
          <w:b w:val="false"/>
          <w:color w:val="000000"/>
          <w:sz w:val="20"/>
        </w:rPr>
        <w:t>47</w:t>
      </w:r>
      <w:r>
        <w:rPr>
          <w:color w:val="000000"/>
          <w:shd w:fill="FFFFFF" w:val="clear"/>
        </w:rPr>
        <w:t xml:space="preserve"> </w:t>
      </w:r>
      <w:r>
        <w:rPr>
          <w:rFonts w:ascii="Arial;sans-serif" w:hAnsi="Arial;sans-serif"/>
          <w:b w:val="false"/>
          <w:color w:val="000000"/>
          <w:sz w:val="20"/>
          <w:shd w:fill="FFFFFF" w:val="clear"/>
        </w:rPr>
        <w:t xml:space="preserve">MBbl/d to </w:t>
      </w:r>
      <w:r>
        <w:rPr>
          <w:rFonts w:ascii="Arial;sans-serif" w:hAnsi="Arial;sans-serif"/>
          <w:b w:val="false"/>
          <w:color w:val="000000"/>
          <w:sz w:val="20"/>
        </w:rPr>
        <w:t xml:space="preserve">110 </w:t>
      </w:r>
      <w:r>
        <w:rPr>
          <w:rFonts w:ascii="Arial;sans-serif" w:hAnsi="Arial;sans-serif"/>
          <w:b w:val="false"/>
          <w:color w:val="000000"/>
          <w:sz w:val="20"/>
          <w:shd w:fill="FFFFFF" w:val="clear"/>
        </w:rPr>
        <w:t xml:space="preserve">MBbl/d. Higher revenue from this increase in production was partially offset by lower average realized oil prices (after derivative settlements). Average realized prices for oil decreased by $9.81 per barrel to </w:t>
      </w:r>
      <w:r>
        <w:rPr>
          <w:rFonts w:ascii="Arial;sans-serif" w:hAnsi="Arial;sans-serif"/>
          <w:b w:val="false"/>
          <w:color w:val="000000"/>
          <w:sz w:val="20"/>
        </w:rPr>
        <w:t>$69.39</w:t>
      </w:r>
      <w:r>
        <w:rPr>
          <w:color w:val="000000"/>
          <w:shd w:fill="FFFFFF" w:val="clear"/>
        </w:rPr>
        <w:t xml:space="preserve"> </w:t>
      </w:r>
      <w:r>
        <w:rPr>
          <w:rFonts w:ascii="Arial;sans-serif" w:hAnsi="Arial;sans-serif"/>
          <w:b w:val="false"/>
          <w:color w:val="000000"/>
          <w:sz w:val="20"/>
          <w:shd w:fill="FFFFFF" w:val="clear"/>
        </w:rPr>
        <w:t xml:space="preserve">in the six months ended June 30, 2025 from </w:t>
      </w:r>
      <w:r>
        <w:rPr>
          <w:rFonts w:ascii="Arial;sans-serif" w:hAnsi="Arial;sans-serif"/>
          <w:b w:val="false"/>
          <w:color w:val="000000"/>
          <w:sz w:val="20"/>
        </w:rPr>
        <w:t>$79.20</w:t>
      </w:r>
      <w:r>
        <w:rPr>
          <w:color w:val="000000"/>
          <w:shd w:fill="FFFFFF" w:val="clear"/>
        </w:rPr>
        <w:t xml:space="preserve"> </w:t>
      </w:r>
      <w:r>
        <w:rPr>
          <w:rFonts w:ascii="Arial;sans-serif" w:hAnsi="Arial;sans-serif"/>
          <w:b w:val="false"/>
          <w:color w:val="000000"/>
          <w:sz w:val="20"/>
          <w:shd w:fill="FFFFFF" w:val="clear"/>
        </w:rPr>
        <w:t xml:space="preserve">in the same prior year period. Further, as a result of the Aera Merger, we experienced higher operating costs, production taxes and greenhouse gas taxes during the six months ended June 30, 2025 as compared to the same prior year period in addition to one-time transaction and integration costs were incurred in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During the six months ended June 30, 2024, scheduled plant downtime at the Elk Hills power plant negatively impacted our production and we purchased electricity at higher prices.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used in investing activities</w:t>
      </w:r>
      <w:r>
        <w:rPr>
          <w:color w:val="000000"/>
        </w:rPr>
        <w:t xml:space="preserve"> — </w:t>
      </w:r>
      <w:r>
        <w:rPr>
          <w:rFonts w:ascii="Arial;sans-serif" w:hAnsi="Arial;sans-serif"/>
          <w:b w:val="false"/>
          <w:color w:val="000000"/>
          <w:sz w:val="20"/>
        </w:rPr>
        <w:t>The following table provides a comparative summary of net cash used in investing activities:</w:t>
      </w:r>
    </w:p>
    <w:p>
      <w:pPr>
        <w:pStyle w:val="TextBody"/>
        <w:bidi w:val="0"/>
        <w:spacing w:before="0" w:after="0"/>
        <w:ind w:left="0" w:right="0" w:firstLine="360"/>
        <w:jc w:val="left"/>
        <w:rPr/>
      </w:pPr>
      <w:r>
        <w:rPr/>
      </w:r>
    </w:p>
    <w:tbl>
      <w:tblPr>
        <w:tblW w:w="6744" w:type="dxa"/>
        <w:jc w:val="left"/>
        <w:tblInd w:w="0" w:type="dxa"/>
        <w:tblLayout w:type="fixed"/>
        <w:tblCellMar>
          <w:top w:w="28" w:type="dxa"/>
          <w:left w:w="28" w:type="dxa"/>
          <w:bottom w:w="28" w:type="dxa"/>
          <w:right w:w="28" w:type="dxa"/>
        </w:tblCellMar>
      </w:tblPr>
      <w:tblGrid>
        <w:gridCol w:w="1306"/>
        <w:gridCol w:w="1144"/>
        <w:gridCol w:w="1150"/>
        <w:gridCol w:w="109"/>
        <w:gridCol w:w="109"/>
        <w:gridCol w:w="181"/>
        <w:gridCol w:w="181"/>
        <w:gridCol w:w="352"/>
        <w:gridCol w:w="903"/>
        <w:gridCol w:w="181"/>
        <w:gridCol w:w="109"/>
        <w:gridCol w:w="109"/>
        <w:gridCol w:w="109"/>
        <w:gridCol w:w="211"/>
        <w:gridCol w:w="43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128" w:type="dxa"/>
            <w:gridSpan w:val="6"/>
            <w:tcBorders/>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asset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used in financing activities</w:t>
      </w:r>
      <w:r>
        <w:rPr>
          <w:color w:val="000000"/>
        </w:rPr>
        <w:t xml:space="preserve"> — </w:t>
      </w:r>
      <w:r>
        <w:rPr>
          <w:rFonts w:ascii="Arial;sans-serif" w:hAnsi="Arial;sans-serif"/>
          <w:b w:val="false"/>
          <w:color w:val="000000"/>
          <w:sz w:val="20"/>
        </w:rPr>
        <w:t>The following table provides a comparative summary of net cash used in financing activities:</w:t>
      </w:r>
    </w:p>
    <w:p>
      <w:pPr>
        <w:pStyle w:val="TextBody"/>
        <w:bidi w:val="0"/>
        <w:spacing w:before="0" w:after="0"/>
        <w:ind w:left="0" w:right="0" w:firstLine="360"/>
        <w:jc w:val="left"/>
        <w:rPr/>
      </w:pPr>
      <w:r>
        <w:rPr/>
      </w:r>
    </w:p>
    <w:tbl>
      <w:tblPr>
        <w:tblW w:w="7643" w:type="dxa"/>
        <w:jc w:val="left"/>
        <w:tblInd w:w="0" w:type="dxa"/>
        <w:tblLayout w:type="fixed"/>
        <w:tblCellMar>
          <w:top w:w="28" w:type="dxa"/>
          <w:left w:w="28" w:type="dxa"/>
          <w:bottom w:w="28" w:type="dxa"/>
          <w:right w:w="28" w:type="dxa"/>
        </w:tblCellMar>
      </w:tblPr>
      <w:tblGrid>
        <w:gridCol w:w="1611"/>
        <w:gridCol w:w="1419"/>
        <w:gridCol w:w="1424"/>
        <w:gridCol w:w="109"/>
        <w:gridCol w:w="109"/>
        <w:gridCol w:w="181"/>
        <w:gridCol w:w="181"/>
        <w:gridCol w:w="352"/>
        <w:gridCol w:w="903"/>
        <w:gridCol w:w="181"/>
        <w:gridCol w:w="109"/>
        <w:gridCol w:w="109"/>
        <w:gridCol w:w="109"/>
        <w:gridCol w:w="211"/>
        <w:gridCol w:w="481"/>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173" w:type="dxa"/>
            <w:gridSpan w:val="6"/>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2029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Repurchases of common stock</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 equivalents on equity-settled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Bridge loan commitment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redemption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amendment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 xml:space="preserve">Note: The total value of shares purchased includes excise taxes, which are generally paid in the year following the share repurchase. Commissions paid on share repurchases were not significant in all periods presented.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the six months ended June 30, 2025, our cash flow used in financing activities was $521 million compared to cash flow provided by financing activities of $433 million in the same period in 2024. This decrease in cash flow from financing activities was primarily driven by the $590 million of proceeds from 2029 Senior Notes issued in the six months ended June 30, 2024. Additionally, the decrease is caused by the $123 million cash outflow used to redeem a portion of the 2026 Senior Notes in February 2025 and the $318 million cash outflow used to repurchase stock in the six months ended June 30, 2025.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Divestitures and Assets Held for Sale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See</w:t>
      </w:r>
      <w:r>
        <w:rPr>
          <w:color w:val="000000"/>
        </w:rPr>
        <w:t xml:space="preserve"> </w:t>
      </w:r>
      <w:r>
        <w:rPr>
          <w:rFonts w:ascii="Arial;sans-serif" w:hAnsi="Arial;sans-serif"/>
          <w:b w:val="false"/>
          <w:i/>
          <w:color w:val="000000"/>
          <w:sz w:val="20"/>
        </w:rPr>
        <w:t>Part I, Item 1 – Financial Statements, Note 8 Divestitures and Assets Held for Sale</w:t>
      </w:r>
      <w:r>
        <w:rPr>
          <w:color w:val="000000"/>
        </w:rPr>
        <w:t xml:space="preserve"> </w:t>
      </w:r>
      <w:r>
        <w:rPr>
          <w:rFonts w:ascii="Arial;sans-serif" w:hAnsi="Arial;sans-serif"/>
          <w:b w:val="false"/>
          <w:color w:val="000000"/>
          <w:sz w:val="20"/>
        </w:rPr>
        <w:t xml:space="preserve">for information on our divestitures and acquisitions during the three months ended June 30, 2025 and 2024.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Lawsuits, Claims, Commitments and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 Item 1 – Financial Statements, Note 5 Lawsuits, Claims, Commitments and Contingencies</w:t>
      </w:r>
      <w:r>
        <w:rPr>
          <w:color w:val="000000"/>
        </w:rPr>
        <w:t xml:space="preserve"> </w:t>
      </w:r>
      <w:r>
        <w:rPr>
          <w:rFonts w:ascii="Arial;sans-serif" w:hAnsi="Arial;sans-serif"/>
          <w:b w:val="false"/>
          <w:color w:val="000000"/>
          <w:sz w:val="20"/>
        </w:rPr>
        <w:t>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and Significant Accounting and Disclosure Changes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There have been no changes to our critical accounting estimates, which are summarized in </w:t>
      </w:r>
      <w:r>
        <w:rPr>
          <w:rFonts w:ascii="Arial;sans-serif" w:hAnsi="Arial;sans-serif"/>
          <w:b w:val="false"/>
          <w:i/>
          <w:color w:val="000000"/>
          <w:sz w:val="20"/>
        </w:rPr>
        <w:t>Part II, Item 7 –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 xml:space="preserve">of our 2024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fluctuations in commodity prices, including supply and demand considerations for our products and services, and the impact of such fluctuations on revenues and operating expenses;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decisions as to production levels and/or pricing by OPEC+ or U.S. producers in future periods;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government policy, war and political conditions and events, including the military conflicts in Israel, Lebanon, Ukraine and the Middle East;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successfully execute integration efforts in connection with the Aera Merger, and achieve projected synergies and ensure that such synergies are sustainable;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actions and changes that affect the oil and gas industry generally and us in particular, including (1) the availability or timing of, or conditions imposed on, EPA and other governmental permits and approvals necessary for drilling or development activities or our carbon management segment; (2) the management of energy, water, land, greenhouse gases (GHGs) or other emissions, (3) the protection of health, safety and the environment, or (4) the transportation, marketing and sale of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efforts of activists to delay prevent oil and gas activities or the development of our carbon management segment through a variety of tactics, including litigation;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inflation, tariffs and changes in domestic or global trade policies on future expenses and changes generally in the prices of goods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business strategy and our capital plan;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lower-than-expected production or higher-than-expected production decline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to our estimates of reserves and related future cash flows, including changes arising from our inability to develop such reserves in a timely manner, and any inability to replace such reserves;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recoverability of resources and unexpected geologic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conditions and trends, including conditions in the worldwide financial, trade and credit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production-sharing contracts' effects on production and operating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lack of available equipment, service or labor price inflation;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transportation or storage capacity and the need to shut-in wells;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failure of risk management;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results from operations and competition in the industries in which we operate;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realize the anticipated benefits from prior or future efforts to reduce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environmental risks and liability under federal, regional, state, provincial, tribal, local and international environmental laws and regulations (including remedial 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creditworthiness and performance of our counterparties, including financial institutions, operating partners, CCS project participants and other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reorganization or restructuring of our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claim and utilize tax credits or other incentives in connection with our CCS projects;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realize the benefits contemplated by our energy transition strategies and initiatives, including CCS projects and other renewable energy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identify, develop and finance carbon capture and storage projects, power projects and other renewable energy efforts, including those in connection with the Carbon TerraVault JV, and our ability to convert our CDMAs to definitive agreements and enter into other offtake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maximize the value of our carbon management segment and operate it on a stand alone basis;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develop infrastructure projects and enter into third party contracts on contemplated terms;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uncertainty around the accounting of emissions and our ability to successfully gather and verify emissions data and other environmental impacts;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to our dividend policy and share repurchase program, and our ability to declare future dividends or repurchase shares under our debt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our financial flexibility due to existing and future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insufficient cash flow to fund our capital plan and other planned investments and return capital to shareholders;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interest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access to and the terms of credit in commercial banking and capital markets, including our ability to refinance our debt or obtain separate financing for our carbon management segment;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state, federal or international tax rates, including our ability to utilize our net operating loss carryforwards to reduce our income tax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hedging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our stock price on costs associated with incentive compensation;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enter into desirable transactions, including joint ventures, divestitures of oil and natural gas properties and real estate, and acquisitions, and our ability to achieve any expected synergies;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pandemics, epidemics, outbreaks, or other public health events, such as the COVID-19 pandemic;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factors discussed in Part I, Item 1A – Risk Factors of our 2024 Annual Report.</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3Quantitative and Qualitative Disclosures About Market Risk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the three and six months ended June 30, 2025, there were no material changes to market risks from the information provided under Item 305 of Regulation S-K included under the caption </w:t>
      </w:r>
      <w:r>
        <w:rPr>
          <w:rFonts w:ascii="Arial;sans-serif" w:hAnsi="Arial;sans-serif"/>
          <w:b w:val="false"/>
          <w:i/>
          <w:color w:val="000000"/>
          <w:sz w:val="20"/>
        </w:rPr>
        <w:t>Part II, Item 7A – Quantitative and Qualitative Disclosures About Market Risk</w:t>
      </w:r>
      <w:r>
        <w:rPr>
          <w:color w:val="000000"/>
        </w:rPr>
        <w:t xml:space="preserve"> </w:t>
      </w:r>
      <w:r>
        <w:rPr>
          <w:rFonts w:ascii="Arial;sans-serif" w:hAnsi="Arial;sans-serif"/>
          <w:b w:val="false"/>
          <w:color w:val="000000"/>
          <w:sz w:val="20"/>
        </w:rPr>
        <w:t xml:space="preserve">in the 2024 Annual Report.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Commodity Price Risk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Our financial results are sensitive to fluctuations in oil, NGL and natural gas prices. These commodity price changes also impact the volume changes under our PSCs. We maintain a commodity hedging program focused on hedging crude oil sales and natural gas purchases to help protect our cash flows, margins and capital program from the volatility of commodity prices. As of June 30, 2025, we had a net asset of $131 million for our commodity derivative positions which are carried at fair value. For more information on our derivative positions as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June 30, 2025</w:t>
      </w:r>
      <w:r>
        <w:rPr>
          <w:rFonts w:ascii="Arial;sans-serif" w:hAnsi="Arial;sans-serif"/>
          <w:b w:val="false"/>
          <w:color w:val="000000"/>
          <w:sz w:val="20"/>
          <w:shd w:fill="FFFFFF" w:val="clear"/>
        </w:rPr>
        <w:t xml:space="preserve">, refer to </w:t>
      </w:r>
      <w:r>
        <w:rPr>
          <w:rFonts w:ascii="Arial;sans-serif" w:hAnsi="Arial;sans-serif"/>
          <w:b w:val="false"/>
          <w:i/>
          <w:color w:val="000000"/>
          <w:sz w:val="20"/>
        </w:rPr>
        <w:t xml:space="preserve">Part I, Item 1 – Financial Statements, Note 6 Derivatives. </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2025, we have hedges on approximately 70% of our expected oil production for the remainder of 2025 at a weighted average floor price of $66.83. As of June 30, 2025, our hedges for purchased natural gas approximate 67% of our expected fuel use in oil and natural gas operations for the remainder of 2025 at a fixed price of $3.56.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2025, the majority of our credit exposure was with investment-grade counterparties. We believe exposure to counterparty credit-related losses related to our business at June 30, 2025 was not material and losses associated with counterparty credit risk have been insignificant for all periods presented.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Interest-Rate Risk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Changes in interest rates may affect the amount of interest we pay on our long-term debt. We had no variable-rate debt outstanding as of June 30, 2025</w:t>
      </w:r>
      <w:r>
        <w:rPr>
          <w:rFonts w:ascii="Arial;sans-serif" w:hAnsi="Arial;sans-serif"/>
          <w:b w:val="false"/>
          <w:color w:val="000000"/>
          <w:sz w:val="20"/>
          <w:shd w:fill="FFFFFF" w:val="clear"/>
        </w:rPr>
        <w:t xml:space="preserve">. </w:t>
      </w:r>
      <w:r>
        <w:rPr>
          <w:rFonts w:ascii="Arial;sans-serif" w:hAnsi="Arial;sans-serif"/>
          <w:b w:val="false"/>
          <w:color w:val="000000"/>
          <w:sz w:val="20"/>
        </w:rPr>
        <w:t>Our 2026 Senior Notes bear interest at a fixed rate of 7.125% per annum. Our 2029 Senior Notes bear interest at a fixed rate of 8.250% per annum.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4Controls and Procedures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were no other changes in our internal controls over financial reporting (as defined in Rules 13a-15(f) and 15d-15(f) under the Securities Exchange Act of 1934) during the three months ended June 30, 2025 that materially affected, or are reasonably likely to materially affect, our internal controls over financial reporting.</w:t>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1Legal Proceedings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additional information regarding legal proceedings, see </w:t>
      </w:r>
      <w:r>
        <w:rPr>
          <w:rFonts w:ascii="Arial;sans-serif" w:hAnsi="Arial;sans-serif"/>
          <w:b w:val="false"/>
          <w:i/>
          <w:color w:val="000000"/>
          <w:sz w:val="20"/>
        </w:rPr>
        <w:t xml:space="preserve">Item 1 </w:t>
      </w:r>
      <w:r>
        <w:rPr>
          <w:color w:val="000000"/>
        </w:rPr>
        <w:t xml:space="preserve">– </w:t>
      </w:r>
      <w:r>
        <w:rPr>
          <w:rFonts w:ascii="Arial;sans-serif" w:hAnsi="Arial;sans-serif"/>
          <w:b w:val="false"/>
          <w:i/>
          <w:color w:val="000000"/>
          <w:sz w:val="20"/>
        </w:rPr>
        <w:t>Financial Statements, Note 5 Lawsuits, Claims, Commitments and Contingencies</w:t>
      </w:r>
      <w:r>
        <w:rPr>
          <w:color w:val="000000"/>
        </w:rPr>
        <w:t xml:space="preserve"> </w:t>
      </w:r>
      <w:r>
        <w:rPr>
          <w:rFonts w:ascii="Arial;sans-serif" w:hAnsi="Arial;sans-serif"/>
          <w:b w:val="false"/>
          <w:color w:val="000000"/>
          <w:sz w:val="20"/>
        </w:rPr>
        <w:t xml:space="preserve">in the Notes to the Condensed Consolidated Financial Statements included in Part I of this Form 10-Q, </w:t>
      </w:r>
      <w:r>
        <w:rPr>
          <w:rFonts w:ascii="Arial;sans-serif" w:hAnsi="Arial;sans-serif"/>
          <w:b w:val="false"/>
          <w:i/>
          <w:color w:val="000000"/>
          <w:sz w:val="20"/>
        </w:rPr>
        <w:t>Part I, Item 2 – Management's Discussion and Analysis of Financial Condition and Results of Operations, Lawsuits, Claims, Commitments and Contingencies</w:t>
      </w:r>
      <w:r>
        <w:rPr>
          <w:color w:val="000000"/>
        </w:rPr>
        <w:t xml:space="preserve"> </w:t>
      </w:r>
      <w:r>
        <w:rPr>
          <w:rFonts w:ascii="Arial;sans-serif" w:hAnsi="Arial;sans-serif"/>
          <w:b w:val="false"/>
          <w:color w:val="000000"/>
          <w:sz w:val="20"/>
        </w:rPr>
        <w:t xml:space="preserve">in this Form 10-Q, and </w:t>
      </w:r>
      <w:r>
        <w:rPr>
          <w:rFonts w:ascii="Arial;sans-serif" w:hAnsi="Arial;sans-serif"/>
          <w:b w:val="false"/>
          <w:i/>
          <w:color w:val="000000"/>
          <w:sz w:val="20"/>
        </w:rPr>
        <w:t>Part I, Item 3, Legal Proceedings</w:t>
      </w:r>
      <w:r>
        <w:rPr>
          <w:color w:val="000000"/>
        </w:rPr>
        <w:t xml:space="preserve"> </w:t>
      </w:r>
      <w:r>
        <w:rPr>
          <w:rFonts w:ascii="Arial;sans-serif" w:hAnsi="Arial;sans-serif"/>
          <w:b w:val="false"/>
          <w:color w:val="000000"/>
          <w:sz w:val="20"/>
        </w:rPr>
        <w:t xml:space="preserve">in our 2024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are subject to various risks and uncertainties in the course of our business. A discussion of such risks and uncertainties may be found under the heading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2024 Annual Report. There were no material changes to those risk factors during the three months ended June 30,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ind w:left="0" w:right="0" w:hanging="108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Board of Directors has authorized a Share Repurchase Program to acquire up to $1.35 billion of our common stock through December 31, 2025. In July 2025, our Board of Directors authorized an </w:t>
      </w:r>
      <w:r>
        <w:rPr>
          <w:rFonts w:ascii="Arial;sans-serif" w:hAnsi="Arial;sans-serif"/>
          <w:b w:val="false"/>
          <w:color w:val="000000"/>
          <w:sz w:val="20"/>
          <w:shd w:fill="FFFFFF" w:val="clear"/>
        </w:rPr>
        <w:t>extension of our Share Repurchase Program through June 30, 2026.</w:t>
      </w:r>
      <w:r>
        <w:rPr>
          <w:color w:val="000000"/>
        </w:rPr>
        <w:t xml:space="preserve"> </w:t>
      </w:r>
      <w:r>
        <w:rPr>
          <w:rFonts w:ascii="Arial;sans-serif" w:hAnsi="Arial;sans-serif"/>
          <w:b w:val="false"/>
          <w:color w:val="000000"/>
          <w:sz w:val="20"/>
        </w:rPr>
        <w:t>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either retired or held as treasury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repurchase activity for the three months ended June 30, 2025 was as follows: </w:t>
      </w:r>
    </w:p>
    <w:p>
      <w:pPr>
        <w:pStyle w:val="TextBody"/>
        <w:bidi w:val="0"/>
        <w:spacing w:before="0" w:after="0"/>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390"/>
        <w:gridCol w:w="343"/>
        <w:gridCol w:w="346"/>
        <w:gridCol w:w="739"/>
        <w:gridCol w:w="500"/>
        <w:gridCol w:w="501"/>
        <w:gridCol w:w="109"/>
        <w:gridCol w:w="109"/>
        <w:gridCol w:w="109"/>
        <w:gridCol w:w="284"/>
        <w:gridCol w:w="870"/>
        <w:gridCol w:w="146"/>
        <w:gridCol w:w="109"/>
        <w:gridCol w:w="109"/>
        <w:gridCol w:w="109"/>
        <w:gridCol w:w="1000"/>
        <w:gridCol w:w="802"/>
        <w:gridCol w:w="804"/>
        <w:gridCol w:w="109"/>
        <w:gridCol w:w="109"/>
        <w:gridCol w:w="109"/>
        <w:gridCol w:w="682"/>
        <w:gridCol w:w="1311"/>
        <w:gridCol w:w="506"/>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Maximum Dollar Value of Shares that May Yet be Purchased Under the Plans or Programs</w:t>
            </w:r>
            <w:r>
              <w:rPr>
                <w:rFonts w:ascii="Arial;sans-serif" w:hAnsi="Arial;sans-serif"/>
                <w:b/>
                <w:color w:val="000000"/>
                <w:sz w:val="13"/>
              </w:rPr>
              <w:t>(a)</w:t>
            </w:r>
          </w:p>
        </w:tc>
      </w:tr>
      <w:tr>
        <w:trPr/>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April 1, 2025 - April 30, 2025</w:t>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May 1, 2025 - May 31, 2025</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328,588 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328,588 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June 1, 2025 - June 30, 2025</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5,187,462 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5,187,462 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12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5,516,050 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5,516,050 </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The total value of shares that may yet be purchased under the Share Repurchase Program totaled $205 million as of June 30, 2025.</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Refer to </w:t>
      </w:r>
      <w:r>
        <w:rPr>
          <w:rFonts w:ascii="Arial;sans-serif" w:hAnsi="Arial;sans-serif"/>
          <w:b w:val="false"/>
          <w:i/>
          <w:color w:val="000000"/>
          <w:sz w:val="20"/>
        </w:rPr>
        <w:t xml:space="preserve">Part I, Item 1 – Financial Statements, Note 10 Stockholders' Equity </w:t>
      </w:r>
      <w:r>
        <w:rPr>
          <w:rFonts w:ascii="Arial;sans-serif" w:hAnsi="Arial;sans-serif"/>
          <w:b w:val="false"/>
          <w:color w:val="000000"/>
          <w:sz w:val="20"/>
        </w:rPr>
        <w:t xml:space="preserve">for more information on a repurchase of shares during the second quarter of 2025 from one of the former Aera owners.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5     Other Disclosures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June 30, 2025, no directors or officers adopted or terminated a “Rule 10b5-1 trading arrangement” or “non-Rule 10b5-1 trading arrangement,” as each term is defined in Item 408 of Regulation S-K.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Employment Agreements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has entered into an Amended and Restated Employment Agreement (the “Employment Agreements”) with each of Messrs. Bys and Preston, effective as of August 4, 2025. The revised employment agreements will replace and supersede the prior employment agreements entered into by Messrs. Bys and Preston in 2021 (the “2021 Employment Agreements”). In addition to memorializing the applicable 2025 compensation arrangements previously approved by the Board for Messrs. Bys and Preston (described below), the revisions to the Employment Agreements reflect the alignment of the employment agreements and terms of the Company’s severance obligations with respect to Messrs. Bys and Preston with the Company’s other named executive officers.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his Employment Agreement, Mr. Bys will receive an annual base salary of not less than $562,000. He will also be eligible to receive: (i) an annual cash bonus with a target value equal to 100% of his annual base salary; (ii) participation in those benefit plans and programs of the Company available to similarly situated executives; and (iii) annual long-term incentive awards (expected to be comprised 60% of performance stock units and 40% of restricted stock units) under the Company’s 2021 Long Term Incentive Plan (as amended, the “LTIP”) with a target grant value of 400% of base salary as in effect on the applicable grant date.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his Employment Agreement, Mr. Preston will receive an annual base salary of not less than $675,000. He will also be eligible to receive: (i) an annual cash bonus with a target value equal to 100% of his annual base salary; (ii) participation in those benefit plans and programs of the Company available to similarly situated executives; and (iii) annual long-term incentive awards (expected to be comprised 60% of performance stock units and 40% of restricted stock units) under the LTIP with a target grant value of 400% of base salary as in effect on the applicable grant date.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revised Employment Agreements provide that upon either Messrs. Bys or Preston’s termination of employment by the Company without “Cause,” or by either individual for “Good Reason” (each quoted term as defined in the Employment Agreement), they will receive payment of any earned but unpaid annual bonus for the calendar year preceding the calendar year in which the applicable termination date occurs and, so long as they execute a release of claims in favor of the Company and its affiliates and abides by the restrictive covenants within the Employment Agreement, they shall receive severance payments, generally payable in monthly installments following the applicable termination date consisting of: (i) cash payments equal to a multiple of one and one-half (1.5) times, increased to two (2) times if such termination of employment occurs within the one (1)-year period following a qualifying Change in Control (such term as defined in our Long Term Incentive Plan) of annual base salary plus target annual bonus awards for the year in which the termination occurs; (ii) a pro-rata annual bonus for the calendar year in which the termination date occurs, based on actual performance levels earned for the applicable calendar year and payable at the time such bonuses are paid to similarly situated executives of the Company; and (iii) reimbursement for the difference between the amount they pay to effect continued coverage (including coverage for her spouse and eligible dependents) under the Company’s group health plans pursuant to the Consolidated Omnibus Budget Reconciliation Act of 1985, as amended, and the contribution amount that similarly situated executives of the Company pay for the same or similar coverage under such group health plans, during the portion, if any, of the 18-month period following the Termination Date (or 24-month period in the event of a termination during the one (1)-year period following a qualifying Change in Control) that they elect to continue coverage.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all other material respects, the revised Employment Agreements are otherwise substantially similar to the 2021 Employment Agreements.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foregoing description of the Employment Agreements is qualified in its entirety by reference to the full and complete text of the Employment Agreements, each of which is filed herewith as Exhibit 10.1 and 10.2, respectively and incorporated herein by reference.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Item 6 </w:t>
      </w:r>
      <w:r>
        <w:rPr>
          <w:rFonts w:ascii="Arial;sans-serif" w:hAnsi="Arial;sans-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66"/>
        <w:gridCol w:w="219"/>
        <w:gridCol w:w="224"/>
        <w:gridCol w:w="2888"/>
        <w:gridCol w:w="2728"/>
        <w:gridCol w:w="3880"/>
      </w:tblGrid>
      <w:tr>
        <w:trPr/>
        <w:tc>
          <w:tcPr>
            <w:tcW w:w="2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w:t>
            </w:r>
          </w:p>
        </w:tc>
        <w:tc>
          <w:tcPr>
            <w:tcW w:w="949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Arial;sans-serif" w:hAnsi="Arial;sans-serif"/>
                  <w:b w:val="false"/>
                  <w:color w:val="0000FF"/>
                  <w:sz w:val="20"/>
                  <w:u w:val="single"/>
                </w:rPr>
                <w:t>Amended and Restated Certificate of Incorporation of California Resources Corporation (filed as Exhibit 3.1 to Registrant’s Registration Statement on Form 8-A filed October 27, 2020 and incorporated herein by reference).</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w:t>
            </w:r>
          </w:p>
        </w:tc>
        <w:tc>
          <w:tcPr>
            <w:tcW w:w="949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6, 2022 and incorporated herein by reference).</w:t>
              </w:r>
            </w:hyperlink>
            <w:r>
              <w:rPr>
                <w:color w:val="000000"/>
              </w:rPr>
              <w:t xml:space="preserve"> </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3.3</w:t>
            </w:r>
          </w:p>
        </w:tc>
        <w:tc>
          <w:tcPr>
            <w:tcW w:w="949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1, 2023 and incorporated herein by reference).</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w:t>
            </w:r>
          </w:p>
        </w:tc>
        <w:tc>
          <w:tcPr>
            <w:tcW w:w="949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000FF"/>
                  <w:sz w:val="20"/>
                  <w:u w:val="single"/>
                </w:rPr>
                <w:t>Amended and Restated Bylaws of California Resources Corporation (filed as Exhibit 3.2 to the Registrant’s Registration Statement on Form 8-A filed October 27, 2020 and incorporated herein by reference).</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10.1*,**</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formamendedandrestated.htm">
              <w:r>
                <w:rPr>
                  <w:rStyle w:val="InternetLink"/>
                  <w:rFonts w:ascii="Arial;sans-serif" w:hAnsi="Arial;sans-serif"/>
                  <w:b w:val="false"/>
                  <w:color w:val="000080"/>
                  <w:sz w:val="20"/>
                  <w:u w:val="single"/>
                </w:rPr>
                <w:t>A</w:t>
              </w:r>
            </w:hyperlink>
            <w:hyperlink w:anchor="a101formamendedandrestated.htm">
              <w:r>
                <w:rPr>
                  <w:rStyle w:val="InternetLink"/>
                  <w:rFonts w:ascii="Arial;sans-serif" w:hAnsi="Arial;sans-serif"/>
                  <w:b w:val="false"/>
                  <w:color w:val="000080"/>
                  <w:sz w:val="20"/>
                  <w:u w:val="single"/>
                </w:rPr>
                <w:t>mended and</w:t>
              </w:r>
            </w:hyperlink>
            <w:hyperlink w:anchor="a101formamendedandrestated.htm">
              <w:r>
                <w:rPr>
                  <w:rStyle w:val="InternetLink"/>
                  <w:rFonts w:ascii="Arial;sans-serif" w:hAnsi="Arial;sans-serif"/>
                  <w:b w:val="false"/>
                  <w:color w:val="000080"/>
                  <w:sz w:val="20"/>
                  <w:u w:val="single"/>
                </w:rPr>
                <w:t xml:space="preserve"> Restated Employment Agreement by and betwee</w:t>
              </w:r>
            </w:hyperlink>
            <w:hyperlink w:anchor="a101formamendedandrestated.htm">
              <w:r>
                <w:rPr>
                  <w:rStyle w:val="InternetLink"/>
                  <w:rFonts w:ascii="Arial;sans-serif" w:hAnsi="Arial;sans-serif"/>
                  <w:b w:val="false"/>
                  <w:color w:val="000080"/>
                  <w:sz w:val="20"/>
                  <w:u w:val="single"/>
                </w:rPr>
                <w:t xml:space="preserve">n Jay </w:t>
              </w:r>
            </w:hyperlink>
            <w:hyperlink w:anchor="a101formamendedandrestated.htm">
              <w:r>
                <w:rPr>
                  <w:rStyle w:val="InternetLink"/>
                  <w:rFonts w:ascii="Arial;sans-serif" w:hAnsi="Arial;sans-serif"/>
                  <w:b w:val="false"/>
                  <w:color w:val="000080"/>
                  <w:sz w:val="20"/>
                  <w:u w:val="single"/>
                </w:rPr>
                <w:t>A</w:t>
              </w:r>
            </w:hyperlink>
            <w:hyperlink w:anchor="a101formamendedandrestated.htm">
              <w:r>
                <w:rPr>
                  <w:rStyle w:val="InternetLink"/>
                  <w:rFonts w:ascii="Arial;sans-serif" w:hAnsi="Arial;sans-serif"/>
                  <w:b w:val="false"/>
                  <w:color w:val="000080"/>
                  <w:sz w:val="20"/>
                  <w:u w:val="single"/>
                </w:rPr>
                <w:t xml:space="preserve">. </w:t>
              </w:r>
            </w:hyperlink>
            <w:hyperlink w:anchor="a101formamendedandrestated.htm">
              <w:r>
                <w:rPr>
                  <w:rStyle w:val="InternetLink"/>
                  <w:rFonts w:ascii="Arial;sans-serif" w:hAnsi="Arial;sans-serif"/>
                  <w:b w:val="false"/>
                  <w:color w:val="000080"/>
                  <w:sz w:val="20"/>
                  <w:u w:val="single"/>
                </w:rPr>
                <w:t>B</w:t>
              </w:r>
            </w:hyperlink>
            <w:hyperlink w:anchor="a101formamendedandrestated.htm">
              <w:r>
                <w:rPr>
                  <w:rStyle w:val="InternetLink"/>
                  <w:rFonts w:ascii="Arial;sans-serif" w:hAnsi="Arial;sans-serif"/>
                  <w:b w:val="false"/>
                  <w:color w:val="000080"/>
                  <w:sz w:val="20"/>
                  <w:u w:val="single"/>
                </w:rPr>
                <w:t>ys and C</w:t>
              </w:r>
            </w:hyperlink>
            <w:hyperlink w:anchor="a101formamendedandrestated.htm">
              <w:r>
                <w:rPr>
                  <w:rStyle w:val="InternetLink"/>
                  <w:rFonts w:ascii="Arial;sans-serif" w:hAnsi="Arial;sans-serif"/>
                  <w:b w:val="false"/>
                  <w:color w:val="000080"/>
                  <w:sz w:val="20"/>
                  <w:u w:val="single"/>
                </w:rPr>
                <w:t>alifornia Resources Co</w:t>
              </w:r>
            </w:hyperlink>
            <w:hyperlink w:anchor="a101formamendedandrestated.htm">
              <w:r>
                <w:rPr>
                  <w:rStyle w:val="InternetLink"/>
                  <w:rFonts w:ascii="Arial;sans-serif" w:hAnsi="Arial;sans-serif"/>
                  <w:b w:val="false"/>
                  <w:color w:val="000080"/>
                  <w:sz w:val="20"/>
                  <w:u w:val="single"/>
                </w:rPr>
                <w:t xml:space="preserve">rporation, dated </w:t>
              </w:r>
            </w:hyperlink>
            <w:hyperlink w:anchor="a101formamendedandrestated.htm">
              <w:r>
                <w:rPr>
                  <w:rStyle w:val="InternetLink"/>
                  <w:rFonts w:ascii="Arial;sans-serif" w:hAnsi="Arial;sans-serif"/>
                  <w:b w:val="false"/>
                  <w:color w:val="000080"/>
                  <w:sz w:val="20"/>
                  <w:u w:val="single"/>
                </w:rPr>
                <w:t>August 4, 2025</w:t>
              </w:r>
            </w:hyperlink>
            <w:hyperlink w:anchor="a101formamendedandrestated.htm">
              <w:r>
                <w:rPr>
                  <w:rStyle w:val="InternetLink"/>
                  <w:rFonts w:ascii="Arial;sans-serif" w:hAnsi="Arial;sans-serif"/>
                  <w:b w:val="false"/>
                  <w:color w:val="000080"/>
                  <w:sz w:val="20"/>
                  <w:u w:val="single"/>
                </w:rPr>
                <w:t>.</w:t>
              </w:r>
            </w:hyperlink>
            <w:r>
              <w:rPr>
                <w:color w:val="000000"/>
              </w:rPr>
              <w:t xml:space="preserve"> </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10.2*,**</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2formamendedandrestated.htm">
              <w:r>
                <w:rPr>
                  <w:rStyle w:val="InternetLink"/>
                  <w:rFonts w:ascii="Arial;sans-serif" w:hAnsi="Arial;sans-serif"/>
                  <w:b w:val="false"/>
                  <w:color w:val="000080"/>
                  <w:sz w:val="20"/>
                  <w:u w:val="single"/>
                </w:rPr>
                <w:t xml:space="preserve">Amended and Restated Employment Agreement by and between </w:t>
              </w:r>
            </w:hyperlink>
            <w:hyperlink w:anchor="a102formamendedandrestated.htm">
              <w:r>
                <w:rPr>
                  <w:rStyle w:val="InternetLink"/>
                  <w:rFonts w:ascii="Arial;sans-serif" w:hAnsi="Arial;sans-serif"/>
                  <w:b w:val="false"/>
                  <w:color w:val="000080"/>
                  <w:sz w:val="20"/>
                  <w:u w:val="single"/>
                </w:rPr>
                <w:t>Michael L. Preston</w:t>
              </w:r>
            </w:hyperlink>
            <w:hyperlink w:anchor="a102formamendedandrestated.htm">
              <w:r>
                <w:rPr>
                  <w:rStyle w:val="InternetLink"/>
                  <w:rFonts w:ascii="Arial;sans-serif" w:hAnsi="Arial;sans-serif"/>
                  <w:b w:val="false"/>
                  <w:color w:val="000080"/>
                  <w:sz w:val="20"/>
                  <w:u w:val="single"/>
                </w:rPr>
                <w:t xml:space="preserve"> and California Resources Corporation, dated August 4, 2025. </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31.1*</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2exhibit311.htm">
              <w:r>
                <w:rPr>
                  <w:rStyle w:val="InternetLink"/>
                  <w:rFonts w:ascii="Arial;sans-serif" w:hAnsi="Arial;sans-serif"/>
                  <w:b w:val="false"/>
                  <w:color w:val="0000FF"/>
                  <w:sz w:val="20"/>
                  <w:u w:val="single"/>
                </w:rPr>
                <w:t>Certification of Principal Executive Officer Pursuant to Section 302 of the Sarbanes-Oxley Act of 2002.</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2exhibit312.htm">
              <w:r>
                <w:rPr>
                  <w:rStyle w:val="InternetLink"/>
                  <w:rFonts w:ascii="Arial;sans-serif" w:hAnsi="Arial;sans-serif"/>
                  <w:b w:val="false"/>
                  <w:color w:val="0000FF"/>
                  <w:sz w:val="20"/>
                  <w:u w:val="single"/>
                </w:rPr>
                <w:t>Certification of Principal Financial Officer Pursuant to Section 302 of the Sarbanes-Oxley Act of 2002.</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32.1*</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2exhibit321.htm">
              <w:r>
                <w:rPr>
                  <w:rStyle w:val="InternetLink"/>
                  <w:rFonts w:ascii="Arial;sans-serif" w:hAnsi="Arial;sans-serif"/>
                  <w:b w:val="false"/>
                  <w:color w:val="0000FF"/>
                  <w:sz w:val="20"/>
                  <w:u w:val="single"/>
                </w:rPr>
                <w:t>Certifications of Principal Executive Officer and Principal Financial Officer Pursuant to Section 906 of the Sarbanes-Oxley Act of 2002.</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101.INS*</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101.SCH*</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101.CAL*</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101.LAB*</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101.PRE*</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101.DEF*</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4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Exhibits 101).</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Filed or furnished herewith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Certain portions of this exhibit (indicated by "[*****]") have been omitted pursuant to Item 601(b)(10)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4779" w:type="dxa"/>
        <w:jc w:val="left"/>
        <w:tblInd w:w="0" w:type="dxa"/>
        <w:tblLayout w:type="fixed"/>
        <w:tblCellMar>
          <w:top w:w="28" w:type="dxa"/>
          <w:left w:w="28" w:type="dxa"/>
          <w:bottom w:w="28" w:type="dxa"/>
          <w:right w:w="28" w:type="dxa"/>
        </w:tblCellMar>
      </w:tblPr>
      <w:tblGrid>
        <w:gridCol w:w="124"/>
        <w:gridCol w:w="109"/>
        <w:gridCol w:w="109"/>
        <w:gridCol w:w="1354"/>
        <w:gridCol w:w="1354"/>
        <w:gridCol w:w="13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5755" w:type="dxa"/>
        <w:jc w:val="left"/>
        <w:tblInd w:w="0" w:type="dxa"/>
        <w:tblLayout w:type="fixed"/>
        <w:tblCellMar>
          <w:top w:w="28" w:type="dxa"/>
          <w:left w:w="28" w:type="dxa"/>
          <w:bottom w:w="28" w:type="dxa"/>
          <w:right w:w="28" w:type="dxa"/>
        </w:tblCellMar>
      </w:tblPr>
      <w:tblGrid>
        <w:gridCol w:w="255"/>
        <w:gridCol w:w="224"/>
        <w:gridCol w:w="226"/>
        <w:gridCol w:w="474"/>
        <w:gridCol w:w="474"/>
        <w:gridCol w:w="476"/>
        <w:gridCol w:w="1083"/>
        <w:gridCol w:w="1083"/>
        <w:gridCol w:w="1088"/>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2025</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Controller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Certain portions of this exhibit (indicated by "[*****]") have been omitted pursuant to Item 601(b)(10) of Regulation S-K.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Amended and Restated Employment Agreement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is made and entered into by and between California Resources Corporation,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and Jay A. Bys (“</w:t>
      </w:r>
      <w:r>
        <w:rPr>
          <w:rFonts w:ascii="Times New Roman;serif" w:hAnsi="Times New Roman;serif"/>
          <w:b/>
          <w:color w:val="000000"/>
          <w:sz w:val="24"/>
          <w:u w:val="single"/>
        </w:rPr>
        <w:t>Employee</w:t>
      </w:r>
      <w:r>
        <w:rPr>
          <w:color w:val="000000"/>
        </w:rPr>
        <w:t>”</w:t>
      </w:r>
      <w:r>
        <w:rPr>
          <w:rFonts w:ascii="Times New Roman;serif" w:hAnsi="Times New Roman;serif"/>
          <w:b w:val="false"/>
          <w:color w:val="000000"/>
          <w:sz w:val="24"/>
        </w:rPr>
        <w:t>) effective as of August 4, 2025 (the “</w:t>
      </w:r>
      <w:r>
        <w:rPr>
          <w:rFonts w:ascii="Times New Roman;serif" w:hAnsi="Times New Roman;serif"/>
          <w:b/>
          <w:color w:val="000000"/>
          <w:sz w:val="24"/>
          <w:u w:val="single"/>
        </w:rPr>
        <w:t>Effective Date</w:t>
      </w:r>
      <w:r>
        <w:rPr>
          <w:color w:val="000000"/>
        </w:rPr>
        <w:t>”</w:t>
      </w:r>
      <w:r>
        <w:rPr>
          <w:rFonts w:ascii="Times New Roman;serif" w:hAnsi="Times New Roman;serif"/>
          <w:b w:val="false"/>
          <w:color w:val="000000"/>
          <w:sz w:val="24"/>
        </w:rPr>
        <w:t>). This Agreement shall in all respects supersede and replace that certain Employment Agreement entered into between the parties as of June 8, 2021.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Employee and Company are parties to that certain Employment Agreement dated June 8, 2021 (the “</w:t>
      </w:r>
      <w:r>
        <w:rPr>
          <w:rFonts w:ascii="Times New Roman;serif" w:hAnsi="Times New Roman;serif"/>
          <w:b/>
          <w:color w:val="000000"/>
          <w:sz w:val="24"/>
          <w:u w:val="single"/>
        </w:rPr>
        <w:t>Prior</w:t>
      </w:r>
      <w:r>
        <w:rPr>
          <w:color w:val="000000"/>
          <w:u w:val="single"/>
        </w:rPr>
        <w:t xml:space="preserve"> </w:t>
      </w:r>
      <w:r>
        <w:rPr>
          <w:rFonts w:ascii="Times New Roman;serif" w:hAnsi="Times New Roman;serif"/>
          <w:b/>
          <w:color w:val="000000"/>
          <w:sz w:val="24"/>
          <w:u w:val="single"/>
        </w:rPr>
        <w:t>Employment Agreement</w:t>
      </w:r>
      <w:r>
        <w:rPr>
          <w:color w:val="000000"/>
        </w:rPr>
        <w:t>”</w:t>
      </w:r>
      <w:r>
        <w:rPr>
          <w:rFonts w:ascii="Times New Roman;serif" w:hAnsi="Times New Roman;serif"/>
          <w:b w:val="false"/>
          <w:color w:val="000000"/>
          <w:sz w:val="24"/>
        </w:rPr>
        <w:t xml:space="preserve">); and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parties now desire to amend and restate in its entirety the Prior Employment Agreement to, among other things, modify the compensation and benefits Employee is entitled to following a termination of employment with the Company;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Company desires to continue to employ Employee and Employee desires to continue to be employed by the Company, on the terms and subject to the conditions set forth herein.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agreements set forth herein and for other good and valuable consideration, receipt of which is acknowledged, the parties hereby agree as follows:</w:t>
      </w:r>
    </w:p>
    <w:p>
      <w:pPr>
        <w:pStyle w:val="TextBody"/>
        <w:bidi w:val="0"/>
        <w:spacing w:before="0" w:after="0"/>
        <w:ind w:left="0" w:right="0" w:firstLine="720"/>
        <w:jc w:val="left"/>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w:t>
      </w:r>
      <w:r>
        <w:rPr>
          <w:rFonts w:ascii="Times New Roman;serif" w:hAnsi="Times New Roman;serif"/>
          <w:b/>
          <w:color w:val="000000"/>
          <w:sz w:val="24"/>
          <w:u w:val="single"/>
        </w:rPr>
        <w:t>Employment</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During the Employment Period (as defined below), the Company shall employ Employee, and Employee shall serve, as Executive Vice President and Chief Commercial Officer of the Company and in such other position or positions as may be assigned from time to time by the board of directors of the Company (the “</w:t>
      </w:r>
      <w:r>
        <w:rPr>
          <w:rFonts w:ascii="Times New Roman;serif" w:hAnsi="Times New Roman;serif"/>
          <w:b/>
          <w:color w:val="000000"/>
          <w:sz w:val="24"/>
          <w:u w:val="single"/>
        </w:rPr>
        <w:t>Board</w:t>
      </w:r>
      <w:r>
        <w:rPr>
          <w:color w:val="000000"/>
        </w:rPr>
        <w:t>”</w:t>
      </w:r>
      <w:r>
        <w:rPr>
          <w:rFonts w:ascii="Times New Roman;serif" w:hAnsi="Times New Roman;serif"/>
          <w:b w:val="false"/>
          <w:color w:val="000000"/>
          <w:sz w:val="24"/>
        </w:rPr>
        <w:t>) or the Chief Executive Officer of the Company (the “</w:t>
      </w:r>
      <w:r>
        <w:rPr>
          <w:rFonts w:ascii="Times New Roman;serif" w:hAnsi="Times New Roman;serif"/>
          <w:b/>
          <w:color w:val="000000"/>
          <w:sz w:val="24"/>
          <w:u w:val="single"/>
        </w:rPr>
        <w:t>CEO</w:t>
      </w:r>
      <w:r>
        <w:rPr>
          <w:color w:val="000000"/>
        </w:rPr>
        <w:t>”</w:t>
      </w:r>
      <w:r>
        <w:rPr>
          <w:rFonts w:ascii="Times New Roman;serif" w:hAnsi="Times New Roman;serif"/>
          <w:b w:val="false"/>
          <w:color w:val="000000"/>
          <w:sz w:val="24"/>
        </w:rPr>
        <w:t>).</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2.</w:t>
      </w:r>
      <w:r>
        <w:rPr>
          <w:rFonts w:ascii="Times New Roman;serif" w:hAnsi="Times New Roman;serif"/>
          <w:b/>
          <w:color w:val="000000"/>
          <w:sz w:val="24"/>
          <w:u w:val="single"/>
        </w:rPr>
        <w:t>Duties and Responsibilities of Employee</w:t>
      </w:r>
      <w:r>
        <w:rPr>
          <w:rFonts w:ascii="Times New Roman;serif" w:hAnsi="Times New Roman;serif"/>
          <w:b/>
          <w:i/>
          <w:color w:val="000000"/>
          <w:sz w:val="24"/>
          <w:u w:val="single"/>
        </w:rPr>
        <w:t>.</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(a) During the Employment Period, Employee shall actively engage in the business and affairs of the Company (together with its direct and indirect subsidiaries, the “</w:t>
      </w:r>
      <w:r>
        <w:rPr>
          <w:rFonts w:ascii="Times New Roman;serif" w:hAnsi="Times New Roman;serif"/>
          <w:b/>
          <w:color w:val="000000"/>
          <w:sz w:val="24"/>
          <w:u w:val="single"/>
        </w:rPr>
        <w:t>Company Group</w:t>
      </w:r>
      <w:r>
        <w:rPr>
          <w:color w:val="000000"/>
        </w:rPr>
        <w:t>”</w:t>
      </w:r>
      <w:r>
        <w:rPr>
          <w:rFonts w:ascii="Times New Roman;serif" w:hAnsi="Times New Roman;serif"/>
          <w:b w:val="false"/>
          <w:color w:val="000000"/>
          <w:sz w:val="24"/>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Times New Roman;serif" w:hAnsi="Times New Roman;serif"/>
          <w:b w:val="false"/>
          <w:color w:val="000000"/>
          <w:sz w:val="24"/>
          <w:u w:val="single"/>
        </w:rPr>
        <w:t>Section 1</w:t>
      </w:r>
      <w:r>
        <w:rPr>
          <w:rFonts w:ascii="Times New Roman;serif" w:hAnsi="Times New Roman;serif"/>
          <w:b w:val="false"/>
          <w:color w:val="000000"/>
          <w:sz w:val="24"/>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Times New Roman;serif" w:hAnsi="Times New Roman;serif"/>
          <w:b w:val="false"/>
          <w:color w:val="000000"/>
          <w:sz w:val="24"/>
          <w:u w:val="single"/>
        </w:rPr>
        <w:t>Section 2(a)</w:t>
      </w:r>
      <w:r>
        <w:rPr>
          <w:rFonts w:ascii="Times New Roman;serif" w:hAnsi="Times New Roman;serif"/>
          <w:b w:val="false"/>
          <w:color w:val="000000"/>
          <w:sz w:val="24"/>
        </w:rPr>
        <w:t>, (i) as a passive investment, own publicly traded securities in such form or manner as will not require any services by Employee in the operation of the entities in which such securities are owned; (ii) engage in charitable and civic activities; (iii) with the prior written consent of the Board, engage in other personal and passive investment activities; and (iv) with the prior written consent of the Board, serve on the board of directors for up to two for profit corporations (collectively, the “</w:t>
      </w:r>
      <w:r>
        <w:rPr>
          <w:rFonts w:ascii="Times New Roman;serif" w:hAnsi="Times New Roman;serif"/>
          <w:b/>
          <w:color w:val="000000"/>
          <w:sz w:val="24"/>
          <w:u w:val="single"/>
        </w:rPr>
        <w:t>Permitted Activities</w:t>
      </w:r>
      <w:r>
        <w:rPr>
          <w:color w:val="000000"/>
        </w:rPr>
        <w:t>”</w:t>
      </w:r>
      <w:r>
        <w:rPr>
          <w:rFonts w:ascii="Times New Roman;serif" w:hAnsi="Times New Roman;serif"/>
          <w:b w:val="false"/>
          <w:color w:val="000000"/>
          <w:sz w:val="24"/>
        </w:rPr>
        <w:t xml:space="preserve">),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w:t>
      </w:r>
    </w:p>
    <w:p>
      <w:pPr>
        <w:pStyle w:val="TextBody"/>
        <w:bidi w:val="0"/>
        <w:spacing w:lineRule="auto" w:line="288" w:before="0" w:after="0"/>
        <w:ind w:left="0" w:right="0" w:firstLine="1080"/>
        <w:jc w:val="both"/>
        <w:rPr/>
      </w:pPr>
      <w:r>
        <w:rPr>
          <w:rFonts w:ascii="Times New Roman;serif" w:hAnsi="Times New Roman;serif"/>
          <w:b w:val="false"/>
          <w:color w:val="000000"/>
          <w:sz w:val="24"/>
        </w:rPr>
        <w:t>3.</w:t>
      </w:r>
      <w:r>
        <w:rPr>
          <w:rFonts w:ascii="Times New Roman;serif" w:hAnsi="Times New Roman;serif"/>
          <w:b/>
          <w:color w:val="000000"/>
          <w:sz w:val="24"/>
          <w:u w:val="single"/>
        </w:rPr>
        <w:t>Compensation</w:t>
      </w:r>
      <w:r>
        <w:rPr>
          <w:rFonts w:ascii="Times New Roman;serif" w:hAnsi="Times New Roman;serif"/>
          <w:b w:val="false"/>
          <w:color w:val="000000"/>
          <w:sz w:val="24"/>
        </w:rPr>
        <w:t xml:space="preserve">. </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Employment Period, the Company shall pay to Employee an annualized base salary of $562,000 (the “</w:t>
      </w:r>
      <w:r>
        <w:rPr>
          <w:rFonts w:ascii="Times New Roman;serif" w:hAnsi="Times New Roman;serif"/>
          <w:b/>
          <w:color w:val="000000"/>
          <w:sz w:val="24"/>
          <w:u w:val="single"/>
        </w:rPr>
        <w:t>Base Salary</w:t>
      </w:r>
      <w:r>
        <w:rPr>
          <w:color w:val="000000"/>
        </w:rPr>
        <w:t>”</w:t>
      </w:r>
      <w:r>
        <w:rPr>
          <w:rFonts w:ascii="Times New Roman;serif" w:hAnsi="Times New Roman;serif"/>
          <w:b w:val="false"/>
          <w:color w:val="000000"/>
          <w:sz w:val="24"/>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serif" w:hAnsi="Times New Roman;serif"/>
          <w:b/>
          <w:color w:val="000000"/>
          <w:sz w:val="24"/>
          <w:u w:val="single"/>
        </w:rPr>
        <w:t>Compensation Committee</w:t>
      </w:r>
      <w:r>
        <w:rPr>
          <w:color w:val="000000"/>
        </w:rPr>
        <w:t>”</w:t>
      </w:r>
      <w:r>
        <w:rPr>
          <w:rFonts w:ascii="Times New Roman;serif" w:hAnsi="Times New Roman;serif"/>
          <w:b w:val="false"/>
          <w:color w:val="000000"/>
          <w:sz w:val="24"/>
        </w:rPr>
        <w:t>) and may be increased, but not decreased, at the discretion of the Compensation Committee following consultation with the other independent members of the Board.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Annual Bonus</w:t>
      </w:r>
      <w:r>
        <w:rPr>
          <w:rFonts w:ascii="Times New Roman;serif" w:hAnsi="Times New Roman;serif"/>
          <w:b w:val="false"/>
          <w:color w:val="000000"/>
          <w:sz w:val="24"/>
        </w:rPr>
        <w:t>. Employee shall be eligible for bonus compensation for calendar year 2025 and each subsequent complete calendar year that Employee is employed by the Company hereunder (the “</w:t>
      </w:r>
      <w:r>
        <w:rPr>
          <w:rFonts w:ascii="Times New Roman;serif" w:hAnsi="Times New Roman;serif"/>
          <w:b/>
          <w:color w:val="000000"/>
          <w:sz w:val="24"/>
          <w:u w:val="single"/>
        </w:rPr>
        <w:t>Annual Bonus</w:t>
      </w:r>
      <w:r>
        <w:rPr>
          <w:color w:val="000000"/>
        </w:rPr>
        <w:t>”</w:t>
      </w:r>
      <w:r>
        <w:rPr>
          <w:rFonts w:ascii="Times New Roman;serif" w:hAnsi="Times New Roman;serif"/>
          <w:b w:val="false"/>
          <w:color w:val="000000"/>
          <w:sz w:val="24"/>
        </w:rPr>
        <w:t>). The target Annual Bonus for each such calendar year (the “</w:t>
      </w:r>
      <w:r>
        <w:rPr>
          <w:rFonts w:ascii="Times New Roman;serif" w:hAnsi="Times New Roman;serif"/>
          <w:b/>
          <w:color w:val="000000"/>
          <w:sz w:val="24"/>
          <w:u w:val="single"/>
        </w:rPr>
        <w:t>Bonus Year</w:t>
      </w:r>
      <w:r>
        <w:rPr>
          <w:color w:val="000000"/>
        </w:rPr>
        <w:t>”</w:t>
      </w:r>
      <w:r>
        <w:rPr>
          <w:rFonts w:ascii="Times New Roman;serif" w:hAnsi="Times New Roman;serif"/>
          <w:b w:val="false"/>
          <w:color w:val="000000"/>
          <w:sz w:val="24"/>
        </w:rPr>
        <w:t xml:space="preserve">) shall be 100% of Employee’s Base Salary in effect as of the first day of the Bonus Year,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 (120) days of the applicable Bonus Year.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to the contrary, but subject to </w:t>
      </w:r>
      <w:r>
        <w:rPr>
          <w:rFonts w:ascii="Times New Roman;serif" w:hAnsi="Times New Roman;serif"/>
          <w:b w:val="false"/>
          <w:color w:val="000000"/>
          <w:sz w:val="24"/>
          <w:u w:val="single"/>
        </w:rPr>
        <w:t>Section 7</w:t>
      </w:r>
      <w:r>
        <w:rPr>
          <w:rFonts w:ascii="Times New Roman;serif" w:hAnsi="Times New Roman;serif"/>
          <w:b w:val="false"/>
          <w:color w:val="000000"/>
          <w:sz w:val="24"/>
        </w:rPr>
        <w:t>, no Annual Bonus, if any, nor any portion thereof, shall be payable for any Bonus Year unless Employee remains continuously employed by the Company from the Effective Date through the date on which such Annual Bonus is paid.</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Long-Term Incentive Awards</w:t>
      </w:r>
      <w:r>
        <w:rPr>
          <w:rFonts w:ascii="Times New Roman;serif" w:hAnsi="Times New Roman;serif"/>
          <w:b w:val="false"/>
          <w:color w:val="000000"/>
          <w:sz w:val="24"/>
        </w:rPr>
        <w:t>. Provided that Employee is employed by the Company on the applicable date of grant, Employee shall be eligible to receive annual long-term incentive awards under the Company’s Long-Term Incentive Plan (the “</w:t>
      </w:r>
      <w:r>
        <w:rPr>
          <w:rFonts w:ascii="Times New Roman;serif" w:hAnsi="Times New Roman;serif"/>
          <w:b/>
          <w:color w:val="000000"/>
          <w:sz w:val="24"/>
          <w:u w:val="single"/>
        </w:rPr>
        <w:t>LTIP</w:t>
      </w:r>
      <w:r>
        <w:rPr>
          <w:color w:val="000000"/>
        </w:rPr>
        <w:t>”</w:t>
      </w:r>
      <w:r>
        <w:rPr>
          <w:rFonts w:ascii="Times New Roman;serif" w:hAnsi="Times New Roman;serif"/>
          <w:b w:val="false"/>
          <w:color w:val="000000"/>
          <w:sz w:val="24"/>
        </w:rPr>
        <w:t>), as amended from time to time, commencing in calendar year 2025 with a grant date target value not less than 400% of Employee’s Base Salary as in effect on the applicable date of grant of such award on such terms and conditions as the Board and the Compensation Committee shall determine from time to time. While it is currently anticipated that such annual long-term incentive awards will be in the form of a combination of restricted stock units (40% of the annual award, and vesting in one-third increments on each of the first three anniversaries of the date of grant) and performance stock units (60%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All awards granted to Employee under the LTIP shall be subject to and governed by the terms and provisions of the LTIP as in effect from time to time and the award agreements evidencing such awards.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080"/>
        <w:jc w:val="both"/>
        <w:rPr/>
      </w:pPr>
      <w:r>
        <w:rPr>
          <w:rFonts w:ascii="Times New Roman;serif" w:hAnsi="Times New Roman;serif"/>
          <w:b w:val="false"/>
          <w:color w:val="000000"/>
          <w:sz w:val="24"/>
        </w:rPr>
        <w:t>4.</w:t>
      </w:r>
      <w:r>
        <w:rPr>
          <w:rFonts w:ascii="Times New Roman;serif" w:hAnsi="Times New Roman;serif"/>
          <w:b/>
          <w:color w:val="000000"/>
          <w:sz w:val="24"/>
          <w:u w:val="single"/>
        </w:rPr>
        <w:t>Term of Employment</w:t>
      </w:r>
      <w:r>
        <w:rPr>
          <w:rFonts w:ascii="Times New Roman;serif" w:hAnsi="Times New Roman;serif"/>
          <w:b w:val="false"/>
          <w:color w:val="000000"/>
          <w:sz w:val="24"/>
        </w:rPr>
        <w:t>. The term of Employee’s employment under this Agreement shall be for the period beginning on the Effective Date and ending on the first (1st) anniversary of the Effective Date (the “</w:t>
      </w:r>
      <w:r>
        <w:rPr>
          <w:rFonts w:ascii="Times New Roman;serif" w:hAnsi="Times New Roman;serif"/>
          <w:b/>
          <w:color w:val="000000"/>
          <w:sz w:val="24"/>
          <w:u w:val="single"/>
        </w:rPr>
        <w:t>Initial Expiration Date</w:t>
      </w:r>
      <w:r>
        <w:rPr>
          <w:color w:val="000000"/>
        </w:rPr>
        <w:t>”</w:t>
      </w:r>
      <w:r>
        <w:rPr>
          <w:rFonts w:ascii="Times New Roman;serif" w:hAnsi="Times New Roman;serif"/>
          <w:b w:val="false"/>
          <w:color w:val="000000"/>
          <w:sz w:val="24"/>
        </w:rPr>
        <w:t xml:space="preserve">); provided, however, that beginning on the Initial Expiration Date, and on each anniversary of the Initial Expiration Date thereafter, if Employee’s employment under this Agreement has not been terminated pursuant to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then said term of employment shall automatically be extended for an additional one (1)-year period unless on or before the date that is ninety (90) days prior to the first day of any 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Times New Roman;serif" w:hAnsi="Times New Roman;serif"/>
          <w:b w:val="false"/>
          <w:color w:val="000000"/>
          <w:sz w:val="24"/>
          <w:u w:val="single"/>
        </w:rPr>
        <w:t>Section 7</w:t>
      </w:r>
      <w:r>
        <w:rPr>
          <w:rFonts w:ascii="Times New Roman;serif" w:hAnsi="Times New Roman;serif"/>
          <w:b w:val="false"/>
          <w:color w:val="000000"/>
          <w:sz w:val="24"/>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serif" w:hAnsi="Times New Roman;serif"/>
          <w:b/>
          <w:color w:val="000000"/>
          <w:sz w:val="24"/>
          <w:u w:val="single"/>
        </w:rPr>
        <w:t>Employment Period</w:t>
      </w:r>
      <w:r>
        <w:rPr>
          <w:rFonts w:ascii="Times New Roman;serif" w:hAnsi="Times New Roman;serif"/>
          <w:b w:val="false"/>
          <w:color w:val="000000"/>
          <w:sz w:val="24"/>
        </w:rPr>
        <w:t>.”</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5.</w:t>
      </w:r>
      <w:r>
        <w:rPr>
          <w:rFonts w:ascii="Times New Roman;serif" w:hAnsi="Times New Roman;serif"/>
          <w:b/>
          <w:color w:val="000000"/>
          <w:sz w:val="24"/>
          <w:u w:val="single"/>
        </w:rPr>
        <w:t>Business Expenses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21</w:t>
      </w:r>
      <w:r>
        <w:rPr>
          <w:rFonts w:ascii="Times New Roman;serif" w:hAnsi="Times New Roman;serif"/>
          <w:b w:val="false"/>
          <w:color w:val="000000"/>
          <w:sz w:val="24"/>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6.</w:t>
      </w:r>
      <w:r>
        <w:rPr>
          <w:rFonts w:ascii="Times New Roman;serif" w:hAnsi="Times New Roman;serif"/>
          <w:b/>
          <w:color w:val="000000"/>
          <w:sz w:val="24"/>
          <w:u w:val="single"/>
        </w:rPr>
        <w:t>Benefits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 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The Company shall not, however, by reason of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be obligated to institute, maintain, or refrain from changing, amending, or discontinuing, any such plan or policy, so long as such changes are similarly applicable to similarly situated Company employees generally.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7.</w:t>
      </w:r>
      <w:r>
        <w:rPr>
          <w:rFonts w:ascii="Times New Roman;serif" w:hAnsi="Times New Roman;serif"/>
          <w:b/>
          <w:color w:val="000000"/>
          <w:sz w:val="24"/>
          <w:u w:val="single"/>
        </w:rPr>
        <w:t>Termination of Employment</w:t>
      </w:r>
      <w:r>
        <w:rPr>
          <w:rFonts w:ascii="Times New Roman;serif" w:hAnsi="Times New Roman;serif"/>
          <w:b w:val="false"/>
          <w:color w:val="000000"/>
          <w:sz w:val="24"/>
        </w:rPr>
        <w:t>.</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Company’s Right to Terminate Employee’s Employment for Cause</w:t>
      </w:r>
      <w:r>
        <w:rPr>
          <w:rFonts w:ascii="Times New Roman;serif" w:hAnsi="Times New Roman;serif"/>
          <w:b w:val="false"/>
          <w:color w:val="000000"/>
          <w:sz w:val="24"/>
        </w:rPr>
        <w:t>. The Company shall have the right to terminate Employee’s employment hereunder at any time for Cause. For purposes of this Agreement, “</w:t>
      </w:r>
      <w:r>
        <w:rPr>
          <w:rFonts w:ascii="Times New Roman;serif" w:hAnsi="Times New Roman;serif"/>
          <w:b/>
          <w:color w:val="000000"/>
          <w:sz w:val="24"/>
          <w:u w:val="single"/>
        </w:rPr>
        <w:t>Cause</w:t>
      </w:r>
      <w:r>
        <w:rPr>
          <w:color w:val="000000"/>
        </w:rPr>
        <w:t xml:space="preserve">” </w:t>
      </w:r>
      <w:r>
        <w:rPr>
          <w:rFonts w:ascii="Times New Roman;serif" w:hAnsi="Times New Roman;serif"/>
          <w:b w:val="false"/>
          <w:color w:val="000000"/>
          <w:sz w:val="24"/>
        </w:rPr>
        <w:t xml:space="preserve">shall mean Employee’s commission of an act or omission, or Employee causing the Company or any other member of the Company Group to commit an act or omission, that constitutes: </w:t>
      </w:r>
    </w:p>
    <w:p>
      <w:pPr>
        <w:pStyle w:val="TextBody"/>
        <w:bidi w:val="0"/>
        <w:spacing w:before="0" w:after="0"/>
        <w:ind w:left="0" w:right="0" w:firstLine="144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(i) Employee’s fraud or misconduct;</w:t>
      </w:r>
    </w:p>
    <w:p>
      <w:pPr>
        <w:pStyle w:val="TextBody"/>
        <w:bidi w:val="0"/>
        <w:spacing w:before="0" w:after="0"/>
        <w:ind w:left="0" w:right="0" w:firstLine="180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(ii) 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pStyle w:val="TextBody"/>
        <w:bidi w:val="0"/>
        <w:spacing w:lineRule="auto" w:line="288" w:before="240" w:after="283"/>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 xml:space="preserve">(iii) Employee’s material breach of this Agreement or any other written agreement between Employee and one or more members of the Company Group, including Employee’s material breach of any representation, warranty or covenant made under any such agreement; </w:t>
      </w:r>
    </w:p>
    <w:p>
      <w:pPr>
        <w:pStyle w:val="TextBody"/>
        <w:bidi w:val="0"/>
        <w:spacing w:before="0" w:after="0"/>
        <w:jc w:val="left"/>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(iv) 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pStyle w:val="TextBody"/>
        <w:bidi w:val="0"/>
        <w:spacing w:before="0" w:after="0"/>
        <w:ind w:left="0" w:right="0" w:firstLine="180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(v) Employee’s violation of the Company’s policies (to the extent such policies have been clearly communicated in writing to Employee) prohibiting unlawful sexual harassment, non-retaliation, or age, sex or other prohibited discrimination in the workplace.</w:t>
      </w:r>
    </w:p>
    <w:p>
      <w:pPr>
        <w:pStyle w:val="TextBody"/>
        <w:bidi w:val="0"/>
        <w:spacing w:lineRule="auto" w:line="288" w:before="0" w:after="0"/>
        <w:jc w:val="both"/>
        <w:rPr/>
      </w:pPr>
      <w:r>
        <w:rPr>
          <w:rFonts w:ascii="Times New Roman;serif" w:hAnsi="Times New Roman;serif"/>
          <w:b w:val="false"/>
          <w:color w:val="000000"/>
          <w:sz w:val="24"/>
        </w:rPr>
        <w:t xml:space="preserve">Notwithstanding the foregoing, no determination of “Cause” may be made pursuant to </w:t>
      </w:r>
      <w:r>
        <w:rPr>
          <w:rFonts w:ascii="Times New Roman;serif" w:hAnsi="Times New Roman;serif"/>
          <w:b w:val="false"/>
          <w:color w:val="000000"/>
          <w:sz w:val="24"/>
          <w:u w:val="single"/>
        </w:rPr>
        <w:t>Sections 7(a)(ii)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unless (1) within thirty (30) days of the Board obtaining actual knowledge of such action(s) or omissions Employee has been given written notice by the Board describing the specific alleged action(s) or omission(s) that may be subject to the possibility of cure that constitute “Cause,” and (2) Employee has failed to cure any such acts or omissions within thirty (30) days of such notice from the Board. Upon the termination of Employee’s employment pursuant to this </w:t>
      </w:r>
      <w:r>
        <w:rPr>
          <w:rFonts w:ascii="Times New Roman;serif" w:hAnsi="Times New Roman;serif"/>
          <w:b w:val="false"/>
          <w:color w:val="000000"/>
          <w:sz w:val="24"/>
          <w:u w:val="single"/>
        </w:rPr>
        <w:t>Section 7(a)</w:t>
      </w:r>
      <w:r>
        <w:rPr>
          <w:rFonts w:ascii="Times New Roman;serif" w:hAnsi="Times New Roman;serif"/>
          <w:b w:val="false"/>
          <w:color w:val="000000"/>
          <w:sz w:val="24"/>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and (C) benefits to which Employee is entitled under the terms of any applicable benefit plan or program described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(collectively, the “</w:t>
      </w:r>
      <w:r>
        <w:rPr>
          <w:rFonts w:ascii="Times New Roman;serif" w:hAnsi="Times New Roman;serif"/>
          <w:b/>
          <w:color w:val="000000"/>
          <w:sz w:val="24"/>
          <w:u w:val="single"/>
        </w:rPr>
        <w:t>Accrued Benefits</w:t>
      </w:r>
      <w:r>
        <w:rPr>
          <w:color w:val="000000"/>
        </w:rPr>
        <w:t>”</w:t>
      </w:r>
      <w:r>
        <w:rPr>
          <w:rFonts w:ascii="Times New Roman;serif" w:hAnsi="Times New Roman;serif"/>
          <w:b w:val="false"/>
          <w:color w:val="000000"/>
          <w:sz w:val="24"/>
        </w:rPr>
        <w:t xml:space="preserve">). In addition, subject to any limitation under applicable law, previously paid compensation pursuant to </w:t>
      </w:r>
      <w:r>
        <w:rPr>
          <w:rFonts w:ascii="Times New Roman;serif" w:hAnsi="Times New Roman;serif"/>
          <w:b w:val="false"/>
          <w:color w:val="000000"/>
          <w:sz w:val="24"/>
          <w:u w:val="single"/>
        </w:rPr>
        <w:t>Sections 3(b)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3(c)</w:t>
      </w:r>
      <w:r>
        <w:rPr>
          <w:color w:val="000000"/>
        </w:rPr>
        <w:t xml:space="preserve"> </w:t>
      </w:r>
      <w:r>
        <w:rPr>
          <w:rFonts w:ascii="Times New Roman;serif" w:hAnsi="Times New Roman;serif"/>
          <w:b w:val="false"/>
          <w:color w:val="000000"/>
          <w:sz w:val="24"/>
        </w:rPr>
        <w:t xml:space="preserve">shall be subject to clawback or forfeiture and cancellation at the discretion of the Compensation Committee in the event of a termination of Employee’s employment for Cause.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Company’s Right to Terminate for Convenience</w:t>
      </w:r>
      <w:r>
        <w:rPr>
          <w:rFonts w:ascii="Times New Roman;serif" w:hAnsi="Times New Roman;serif"/>
          <w:b w:val="false"/>
          <w:color w:val="000000"/>
          <w:sz w:val="24"/>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serif" w:hAnsi="Times New Roman;serif"/>
          <w:b w:val="false"/>
          <w:color w:val="000000"/>
          <w:sz w:val="24"/>
          <w:u w:val="single"/>
        </w:rPr>
        <w:t>Section 7(f)</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Employee’s Right to Terminate for Good Reason</w:t>
      </w:r>
      <w:r>
        <w:rPr>
          <w:rFonts w:ascii="Times New Roman;serif" w:hAnsi="Times New Roman;serif"/>
          <w:b w:val="false"/>
          <w:color w:val="000000"/>
          <w:sz w:val="24"/>
        </w:rPr>
        <w:t xml:space="preserve">. Employee shall have the right to terminate Employee’s employment with the Company at any time for Good Reason, in which event Employee shall receive the compensation and benefits described in </w:t>
      </w:r>
      <w:r>
        <w:rPr>
          <w:rFonts w:ascii="Times New Roman;serif" w:hAnsi="Times New Roman;serif"/>
          <w:b w:val="false"/>
          <w:color w:val="000000"/>
          <w:sz w:val="24"/>
          <w:u w:val="single"/>
        </w:rPr>
        <w:t>Section 7(f)</w:t>
      </w:r>
      <w:r>
        <w:rPr>
          <w:rFonts w:ascii="Times New Roman;serif" w:hAnsi="Times New Roman;serif"/>
          <w:b w:val="false"/>
          <w:color w:val="000000"/>
          <w:sz w:val="24"/>
        </w:rPr>
        <w:t>. For purposes of this Agreement, “</w:t>
      </w:r>
      <w:r>
        <w:rPr>
          <w:rFonts w:ascii="Times New Roman;serif" w:hAnsi="Times New Roman;serif"/>
          <w:b/>
          <w:color w:val="000000"/>
          <w:sz w:val="24"/>
          <w:u w:val="single"/>
        </w:rPr>
        <w:t>Good Reason</w:t>
      </w:r>
      <w:r>
        <w:rPr>
          <w:color w:val="000000"/>
        </w:rPr>
        <w:t xml:space="preserve">” </w:t>
      </w:r>
      <w:r>
        <w:rPr>
          <w:rFonts w:ascii="Times New Roman;serif" w:hAnsi="Times New Roman;serif"/>
          <w:b w:val="false"/>
          <w:color w:val="000000"/>
          <w:sz w:val="24"/>
        </w:rPr>
        <w:t>shall mean any of the following occurring without Employee’s consent:</w:t>
      </w:r>
    </w:p>
    <w:p>
      <w:pPr>
        <w:pStyle w:val="TextBody"/>
        <w:bidi w:val="0"/>
        <w:spacing w:before="0" w:after="0"/>
        <w:ind w:left="0" w:right="0" w:firstLine="144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 xml:space="preserve">(i) a material adverse change in Employee’s title, duties or responsibilities (including reporting responsibilities); </w:t>
      </w:r>
    </w:p>
    <w:p>
      <w:pPr>
        <w:pStyle w:val="TextBody"/>
        <w:bidi w:val="0"/>
        <w:spacing w:before="0" w:after="0"/>
        <w:ind w:left="0" w:right="0" w:firstLine="180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 xml:space="preserve">(ii) a material reduction in Employee’s Base Salary; </w:t>
      </w:r>
    </w:p>
    <w:p>
      <w:pPr>
        <w:pStyle w:val="TextBody"/>
        <w:bidi w:val="0"/>
        <w:spacing w:before="0" w:after="0"/>
        <w:ind w:left="0" w:right="0" w:firstLine="180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(iii) a relocation of Employee’s primary work location to a distance of more than 50 miles from its location as of immediately prior to such change; or</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a material breach by the Company of any of its obligations under this Agreement.</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 days following the expiration of such cure period for the termination to be on account of Good Reason.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Times New Roman;serif" w:hAnsi="Times New Roman;serif"/>
          <w:b/>
          <w:color w:val="000000"/>
          <w:sz w:val="24"/>
          <w:u w:val="single"/>
        </w:rPr>
        <w:t>Disability</w:t>
      </w:r>
      <w:r>
        <w:rPr>
          <w:color w:val="000000"/>
        </w:rPr>
        <w:t>” </w:t>
      </w:r>
      <w:r>
        <w:rPr>
          <w:rFonts w:ascii="Times New Roman;serif" w:hAnsi="Times New Roman;serif"/>
          <w:b w:val="false"/>
          <w:color w:val="000000"/>
          <w:sz w:val="24"/>
        </w:rPr>
        <w:t xml:space="preserve">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Employee’s Right to Terminate for Convenience</w:t>
      </w:r>
      <w:r>
        <w:rPr>
          <w:rFonts w:ascii="Times New Roman;serif" w:hAnsi="Times New Roman;serif"/>
          <w:b w:val="false"/>
          <w:color w:val="000000"/>
          <w:sz w:val="24"/>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serif" w:hAnsi="Times New Roman;serif"/>
          <w:b w:val="false"/>
          <w:color w:val="000000"/>
          <w:sz w:val="24"/>
          <w:u w:val="single"/>
        </w:rPr>
        <w:t>Section 7(b)</w:t>
      </w:r>
      <w:r>
        <w:rPr>
          <w:rFonts w:ascii="Times New Roman;serif" w:hAnsi="Times New Roman;serif"/>
          <w:b w:val="false"/>
          <w:color w:val="000000"/>
          <w:sz w:val="24"/>
        </w:rPr>
        <w:t xml:space="preserve">). Upon the termination of Employee’s employment pursuant to this </w:t>
      </w:r>
      <w:r>
        <w:rPr>
          <w:rFonts w:ascii="Times New Roman;serif" w:hAnsi="Times New Roman;serif"/>
          <w:b w:val="false"/>
          <w:color w:val="000000"/>
          <w:sz w:val="24"/>
          <w:u w:val="single"/>
        </w:rPr>
        <w:t>Section 7(e)</w:t>
      </w:r>
      <w:r>
        <w:rPr>
          <w:color w:val="000000"/>
        </w:rPr>
        <w:t xml:space="preserve"> </w:t>
      </w:r>
      <w:r>
        <w:rPr>
          <w:rFonts w:ascii="Times New Roman;serif" w:hAnsi="Times New Roman;serif"/>
          <w:b w:val="false"/>
          <w:color w:val="000000"/>
          <w:sz w:val="24"/>
        </w:rPr>
        <w:t xml:space="preserve">or at the expiration of the term provided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because Employee provided written notice of non-renewal to the Company, then the Company shall pay to Employee the Accrued Benefits.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Effect of Termination of Employment without Cause, for Good Reason or for Non-Renewal by the Company</w:t>
      </w:r>
      <w:r>
        <w:rPr>
          <w:rFonts w:ascii="Times New Roman;serif" w:hAnsi="Times New Roman;serif"/>
          <w:b w:val="false"/>
          <w:color w:val="000000"/>
          <w:sz w:val="24"/>
        </w:rPr>
        <w:t xml:space="preserve">. </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800"/>
        <w:jc w:val="both"/>
        <w:rPr/>
      </w:pPr>
      <w:r>
        <w:rPr>
          <w:rFonts w:ascii="Times New Roman;serif" w:hAnsi="Times New Roman;serif"/>
          <w:b w:val="false"/>
          <w:color w:val="000000"/>
          <w:sz w:val="24"/>
        </w:rPr>
        <w:t xml:space="preserve">(i) If Employee’s employment is terminated at the expiration of the term provided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because the Company provided written notice of non-renewal to Employee, or prior to the expiration of such term by the Company without Cause pursuant to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 xml:space="preserve">or by Employee for Good Reason pursuant to </w:t>
      </w:r>
      <w:r>
        <w:rPr>
          <w:rFonts w:ascii="Times New Roman;serif" w:hAnsi="Times New Roman;serif"/>
          <w:b w:val="false"/>
          <w:color w:val="000000"/>
          <w:sz w:val="24"/>
          <w:u w:val="single"/>
        </w:rPr>
        <w:t>Section 7(c)</w:t>
      </w:r>
      <w:r>
        <w:rPr>
          <w:rFonts w:ascii="Times New Roman;serif" w:hAnsi="Times New Roman;serif"/>
          <w:b w:val="false"/>
          <w:color w:val="000000"/>
          <w:sz w:val="24"/>
        </w:rPr>
        <w:t>, then 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serif" w:hAnsi="Times New Roman;serif"/>
          <w:b/>
          <w:color w:val="000000"/>
          <w:sz w:val="24"/>
          <w:u w:val="single"/>
        </w:rPr>
        <w:t>Release</w:t>
      </w:r>
      <w:r>
        <w:rPr>
          <w:color w:val="000000"/>
        </w:rPr>
        <w:t>”</w:t>
      </w:r>
      <w:r>
        <w:rPr>
          <w:rFonts w:ascii="Times New Roman;serif" w:hAnsi="Times New Roman;serif"/>
          <w:b w:val="false"/>
          <w:color w:val="000000"/>
          <w:sz w:val="24"/>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serif" w:hAnsi="Times New Roman;serif"/>
          <w:b w:val="false"/>
          <w:color w:val="000000"/>
          <w:sz w:val="24"/>
          <w:u w:val="single"/>
        </w:rPr>
        <w:t>Section 7(f)</w:t>
      </w:r>
      <w:r>
        <w:rPr>
          <w:rFonts w:ascii="Times New Roman;serif" w:hAnsi="Times New Roman;serif"/>
          <w:b w:val="false"/>
          <w:color w:val="000000"/>
          <w:sz w:val="24"/>
        </w:rPr>
        <w:t xml:space="preserve">; and (y) abides by the terms of each of </w:t>
      </w:r>
      <w:r>
        <w:rPr>
          <w:rFonts w:ascii="Times New Roman;serif" w:hAnsi="Times New Roman;serif"/>
          <w:b w:val="false"/>
          <w:color w:val="000000"/>
          <w:sz w:val="24"/>
          <w:u w:val="single"/>
        </w:rPr>
        <w:t>Sections 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w:t>
      </w:r>
      <w:r>
        <w:rPr>
          <w:rFonts w:ascii="Times New Roman;serif" w:hAnsi="Times New Roman;serif"/>
          <w:b w:val="false"/>
          <w:color w:val="000000"/>
          <w:sz w:val="24"/>
        </w:rPr>
        <w:t>, then:</w:t>
      </w:r>
    </w:p>
    <w:p>
      <w:pPr>
        <w:pStyle w:val="TextBody"/>
        <w:bidi w:val="0"/>
        <w:ind w:left="0" w:right="0" w:firstLine="18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800"/>
        <w:jc w:val="both"/>
        <w:rPr/>
      </w:pPr>
      <w:r>
        <w:rPr>
          <w:rFonts w:ascii="Times New Roman;serif" w:hAnsi="Times New Roman;serif"/>
          <w:b w:val="false"/>
          <w:color w:val="000000"/>
          <w:sz w:val="24"/>
        </w:rPr>
        <w:t>(A) The Company shall make severance payments to Employee in a total amount equal to a multiplier of one and one-half (1.5) (or if such termination occurs upon or within the one (1)-year period following a Change in Control (as defined below) (“</w:t>
      </w:r>
      <w:r>
        <w:rPr>
          <w:rFonts w:ascii="Times New Roman;serif" w:hAnsi="Times New Roman;serif"/>
          <w:b/>
          <w:color w:val="000000"/>
          <w:sz w:val="24"/>
          <w:u w:val="single"/>
        </w:rPr>
        <w:t>a CIC Termination</w:t>
      </w:r>
      <w:r>
        <w:rPr>
          <w:color w:val="000000"/>
        </w:rPr>
        <w:t>”</w:t>
      </w:r>
      <w:r>
        <w:rPr>
          <w:rFonts w:ascii="Times New Roman;serif" w:hAnsi="Times New Roman;serif"/>
          <w:b w:val="false"/>
          <w:color w:val="000000"/>
          <w:sz w:val="24"/>
        </w:rPr>
        <w:t>), a multiple of two (2)) times the sum of the Employee’s Base Salary as of the date on which the Employee’s employment terminates (the “</w:t>
      </w:r>
      <w:r>
        <w:rPr>
          <w:rFonts w:ascii="Times New Roman;serif" w:hAnsi="Times New Roman;serif"/>
          <w:b/>
          <w:color w:val="000000"/>
          <w:sz w:val="24"/>
          <w:u w:val="single"/>
        </w:rPr>
        <w:t>Termination Date</w:t>
      </w:r>
      <w:r>
        <w:rPr>
          <w:color w:val="000000"/>
        </w:rPr>
        <w:t>”</w:t>
      </w:r>
      <w:r>
        <w:rPr>
          <w:rFonts w:ascii="Times New Roman;serif" w:hAnsi="Times New Roman;serif"/>
          <w:b w:val="false"/>
          <w:color w:val="000000"/>
          <w:sz w:val="24"/>
        </w:rPr>
        <w:t>) plus the Employee’s target Annual Bonus for the year in which the Termination Date occurs (such total severance payments being referred to as the “</w:t>
      </w:r>
      <w:r>
        <w:rPr>
          <w:rFonts w:ascii="Times New Roman;serif" w:hAnsi="Times New Roman;serif"/>
          <w:b/>
          <w:color w:val="000000"/>
          <w:sz w:val="24"/>
          <w:u w:val="single"/>
        </w:rPr>
        <w:t>Severance Payment</w:t>
      </w:r>
      <w:r>
        <w:rPr>
          <w:color w:val="000000"/>
        </w:rPr>
        <w:t>”</w:t>
      </w:r>
      <w:r>
        <w:rPr>
          <w:rFonts w:ascii="Times New Roman;serif" w:hAnsi="Times New Roman;serif"/>
          <w:b w:val="false"/>
          <w:color w:val="000000"/>
          <w:sz w:val="24"/>
        </w:rPr>
        <w:t>). The Severance Payment will be divided into substantially equal installments paid over the eighteen (18)-month period following the Termination Date (or, in the event of a CIC Termination, over the twenty-four (24) month period following the Termination Date). On the Company’s first regularly scheduled pay date that is on or after the date that is sixty (60) days after the Termination Date (the “</w:t>
      </w:r>
      <w:r>
        <w:rPr>
          <w:rFonts w:ascii="Times New Roman;serif" w:hAnsi="Times New Roman;serif"/>
          <w:b/>
          <w:color w:val="000000"/>
          <w:sz w:val="24"/>
          <w:u w:val="single"/>
        </w:rPr>
        <w:t>First Payment Date</w:t>
      </w:r>
      <w:r>
        <w:rPr>
          <w:color w:val="000000"/>
        </w:rPr>
        <w:t>”</w:t>
      </w:r>
      <w:r>
        <w:rPr>
          <w:rFonts w:ascii="Times New Roman;serif" w:hAnsi="Times New Roman;serif"/>
          <w:b w:val="false"/>
          <w:color w:val="000000"/>
          <w:sz w:val="24"/>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the eighteen (18)-month or twenty-four (24)-month period, as applicable;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to the extent, if any, that the aggregate amount of the installments of the Severance Payment that would otherwise be paid pursuant to the preceding provisions of this </w:t>
      </w:r>
      <w:r>
        <w:rPr>
          <w:rFonts w:ascii="Times New Roman;serif" w:hAnsi="Times New Roman;serif"/>
          <w:b w:val="false"/>
          <w:color w:val="000000"/>
          <w:sz w:val="24"/>
          <w:u w:val="single"/>
        </w:rPr>
        <w:t>Section 7(f)(i)</w:t>
      </w:r>
      <w:r>
        <w:rPr>
          <w:color w:val="000000"/>
        </w:rPr>
        <w:t xml:space="preserve"> </w:t>
      </w:r>
      <w:r>
        <w:rPr>
          <w:rFonts w:ascii="Times New Roman;serif" w:hAnsi="Times New Roman;serif"/>
          <w:b w:val="false"/>
          <w:color w:val="000000"/>
          <w:sz w:val="24"/>
        </w:rPr>
        <w:t>after March 15 of the calendar year following the calendar year in which the Termination Date occurs (the “</w:t>
      </w:r>
      <w:r>
        <w:rPr>
          <w:rFonts w:ascii="Times New Roman;serif" w:hAnsi="Times New Roman;serif"/>
          <w:b/>
          <w:color w:val="000000"/>
          <w:sz w:val="24"/>
          <w:u w:val="single"/>
        </w:rPr>
        <w:t>Applicable March 15</w:t>
      </w:r>
      <w:r>
        <w:rPr>
          <w:color w:val="000000"/>
        </w:rPr>
        <w:t>”</w:t>
      </w:r>
      <w:r>
        <w:rPr>
          <w:rFonts w:ascii="Times New Roman;serif" w:hAnsi="Times New Roman;serif"/>
          <w:b w:val="false"/>
          <w:color w:val="000000"/>
          <w:sz w:val="24"/>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serif" w:hAnsi="Times New Roman;serif"/>
          <w:b/>
          <w:color w:val="000000"/>
          <w:sz w:val="24"/>
          <w:u w:val="single"/>
        </w:rPr>
        <w:t>Business Day</w:t>
      </w:r>
      <w:r>
        <w:rPr>
          <w:color w:val="000000"/>
        </w:rPr>
        <w:t xml:space="preserve">” </w:t>
      </w:r>
      <w:r>
        <w:rPr>
          <w:rFonts w:ascii="Times New Roman;serif" w:hAnsi="Times New Roman;serif"/>
          <w:b w:val="false"/>
          <w:color w:val="000000"/>
          <w:sz w:val="24"/>
        </w:rPr>
        <w:t xml:space="preserve">shall mean any day except a Saturday, Sunday or other day on which commercial banks in San Francisco, California, are authorized or required by law to be closed. Solely for purposes of this </w:t>
      </w:r>
      <w:r>
        <w:rPr>
          <w:rFonts w:ascii="Times New Roman;serif" w:hAnsi="Times New Roman;serif"/>
          <w:b w:val="false"/>
          <w:color w:val="000000"/>
          <w:sz w:val="24"/>
          <w:u w:val="single"/>
        </w:rPr>
        <w:t>Section 7(f)</w:t>
      </w:r>
      <w:r>
        <w:rPr>
          <w:rFonts w:ascii="Times New Roman;serif" w:hAnsi="Times New Roman;serif"/>
          <w:b w:val="false"/>
          <w:color w:val="000000"/>
          <w:sz w:val="24"/>
        </w:rPr>
        <w:t>, a “</w:t>
      </w:r>
      <w:r>
        <w:rPr>
          <w:rFonts w:ascii="Times New Roman;serif" w:hAnsi="Times New Roman;serif"/>
          <w:b/>
          <w:color w:val="000000"/>
          <w:sz w:val="24"/>
          <w:u w:val="single"/>
        </w:rPr>
        <w:t>Change in Control</w:t>
      </w:r>
      <w:r>
        <w:rPr>
          <w:color w:val="000000"/>
        </w:rPr>
        <w:t xml:space="preserve">” </w:t>
      </w:r>
      <w:r>
        <w:rPr>
          <w:rFonts w:ascii="Times New Roman;serif" w:hAnsi="Times New Roman;serif"/>
          <w:b w:val="false"/>
          <w:color w:val="000000"/>
          <w:sz w:val="24"/>
        </w:rPr>
        <w:t xml:space="preserve">shall be defined as such term is defined in the Company’s LTIP. </w:t>
      </w:r>
    </w:p>
    <w:p>
      <w:pPr>
        <w:pStyle w:val="TextBody"/>
        <w:bidi w:val="0"/>
        <w:spacing w:before="0" w:after="0"/>
        <w:ind w:left="0" w:right="0" w:firstLine="180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 xml:space="preserve">(B) The Company shall pay Employee a pro-rata Annual Bonus for the year in which the Termination Date occurs based on the actual performance results achieved for the applicable year, and pro-rated for the period of days beginning on the first day of the applicable Bonus Year and ending on the Termination Date, relative to the number of days in the applicable Bonus Year. The prorated Annual Bonus described in the preceding sentence, if any, shall be paid in cash at the same time corresponding bonuses are paid to similarly situated employees of the Company, but in no event later than March 15 following the year in which such termination of employment occurs. </w:t>
      </w:r>
    </w:p>
    <w:p>
      <w:pPr>
        <w:pStyle w:val="TextBody"/>
        <w:bidi w:val="0"/>
        <w:ind w:left="0" w:right="0" w:firstLine="18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800"/>
        <w:jc w:val="both"/>
        <w:rPr/>
      </w:pPr>
      <w:r>
        <w:rPr>
          <w:rFonts w:ascii="Times New Roman;serif" w:hAnsi="Times New Roman;serif"/>
          <w:b w:val="false"/>
          <w:color w:val="000000"/>
          <w:sz w:val="24"/>
        </w:rPr>
        <w:t>(C) During the portion, if any, of the initial eighteen (18)-month period following the Termination Date (or in the event of a CIC Termination, a twenty-four (24)-month period) (the “</w:t>
      </w:r>
      <w:r>
        <w:rPr>
          <w:rFonts w:ascii="Times New Roman;serif" w:hAnsi="Times New Roman;serif"/>
          <w:b/>
          <w:color w:val="000000"/>
          <w:sz w:val="24"/>
          <w:u w:val="single"/>
        </w:rPr>
        <w:t>Reimbursement Period</w:t>
      </w:r>
      <w:r>
        <w:rPr>
          <w:color w:val="000000"/>
        </w:rPr>
        <w:t>”</w:t>
      </w:r>
      <w:r>
        <w:rPr>
          <w:rFonts w:ascii="Times New Roman;serif" w:hAnsi="Times New Roman;serif"/>
          <w:b w:val="false"/>
          <w:color w:val="000000"/>
          <w:sz w:val="24"/>
        </w:rPr>
        <w:t>) that Employee elects to continue coverage for Employee and Employee’s spouse and eligible dependents, if any, under the Company’s group health plans pursuant to the Consolidated Omnibus Budget Reconciliation Act of 1985, as amended (“</w:t>
      </w:r>
      <w:r>
        <w:rPr>
          <w:rFonts w:ascii="Times New Roman;serif" w:hAnsi="Times New Roman;serif"/>
          <w:b/>
          <w:color w:val="000000"/>
          <w:sz w:val="24"/>
          <w:u w:val="single"/>
        </w:rPr>
        <w:t>COBRA</w:t>
      </w:r>
      <w:r>
        <w:rPr>
          <w:color w:val="000000"/>
        </w:rPr>
        <w:t>”</w:t>
      </w:r>
      <w:r>
        <w:rPr>
          <w:rFonts w:ascii="Times New Roman;serif" w:hAnsi="Times New Roman;serif"/>
          <w:b w:val="false"/>
          <w:color w:val="000000"/>
          <w:sz w:val="24"/>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Times New Roman;serif" w:hAnsi="Times New Roman;serif"/>
          <w:b/>
          <w:color w:val="000000"/>
          <w:sz w:val="24"/>
          <w:u w:val="single"/>
        </w:rPr>
        <w:t>COBRA Benefit</w:t>
      </w:r>
      <w:r>
        <w:rPr>
          <w:color w:val="000000"/>
        </w:rPr>
        <w:t>”</w:t>
      </w:r>
      <w:r>
        <w:rPr>
          <w:rFonts w:ascii="Times New Roman;serif" w:hAnsi="Times New Roman;serif"/>
          <w:b w:val="false"/>
          <w:color w:val="000000"/>
          <w:sz w:val="24"/>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 (z) 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pStyle w:val="TextBody"/>
        <w:bidi w:val="0"/>
        <w:spacing w:before="0" w:after="0"/>
        <w:ind w:left="0" w:right="0" w:firstLine="1800"/>
        <w:jc w:val="both"/>
        <w:rPr/>
      </w:pPr>
      <w:r>
        <w:rPr/>
      </w:r>
    </w:p>
    <w:p>
      <w:pPr>
        <w:pStyle w:val="TextBody"/>
        <w:bidi w:val="0"/>
        <w:spacing w:lineRule="auto" w:line="288" w:before="0" w:after="0"/>
        <w:jc w:val="both"/>
        <w:rPr/>
      </w:pPr>
      <w:r>
        <w:rPr>
          <w:rFonts w:ascii="Times New Roman;serif" w:hAnsi="Times New Roman;serif"/>
          <w:b w:val="false"/>
          <w:color w:val="000000"/>
          <w:sz w:val="24"/>
        </w:rPr>
        <w:t>The payments and benefits described in clauses (A), (B), (C) and (D) above are collectively referred to herein as the “</w:t>
      </w:r>
      <w:r>
        <w:rPr>
          <w:rFonts w:ascii="Times New Roman;serif" w:hAnsi="Times New Roman;serif"/>
          <w:b/>
          <w:color w:val="000000"/>
          <w:sz w:val="24"/>
          <w:u w:val="single"/>
        </w:rPr>
        <w:t>Termination Benefits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ind w:left="0" w:right="0" w:firstLine="1800"/>
        <w:jc w:val="both"/>
        <w:rPr/>
      </w:pPr>
      <w:r>
        <w:rPr>
          <w:rFonts w:ascii="Times New Roman;serif" w:hAnsi="Times New Roman;serif"/>
          <w:b w:val="false"/>
          <w:color w:val="000000"/>
          <w:sz w:val="24"/>
        </w:rPr>
        <w:t>(ii) 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Times New Roman;serif" w:hAnsi="Times New Roman;serif"/>
          <w:b/>
          <w:color w:val="000000"/>
          <w:sz w:val="24"/>
          <w:u w:val="single"/>
        </w:rPr>
        <w:t>Release Expiration Date</w:t>
      </w:r>
      <w:r>
        <w:rPr>
          <w:color w:val="000000"/>
        </w:rPr>
        <w:t xml:space="preserve">” </w:t>
      </w:r>
      <w:r>
        <w:rPr>
          <w:rFonts w:ascii="Times New Roman;serif" w:hAnsi="Times New Roman;serif"/>
          <w:b w:val="false"/>
          <w:color w:val="000000"/>
          <w:sz w:val="24"/>
        </w:rPr>
        <w:t>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(g) </w:t>
      </w:r>
      <w:r>
        <w:rPr>
          <w:rFonts w:ascii="Times New Roman;serif" w:hAnsi="Times New Roman;serif"/>
          <w:b w:val="false"/>
          <w:color w:val="000000"/>
          <w:sz w:val="24"/>
          <w:u w:val="single"/>
        </w:rPr>
        <w:t>After-Acquired Evidence</w:t>
      </w:r>
      <w:r>
        <w:rPr>
          <w:rFonts w:ascii="Times New Roman;serif" w:hAnsi="Times New Roman;serif"/>
          <w:b w:val="false"/>
          <w:color w:val="000000"/>
          <w:sz w:val="24"/>
        </w:rPr>
        <w:t xml:space="preserve">. Notwithstanding any provision of this Agreement to the contrary, in the event that the Company determines, in good faith, that Employee is eligible to receive the Termination Benefits pursuant to </w:t>
      </w:r>
      <w:r>
        <w:rPr>
          <w:rFonts w:ascii="Times New Roman;serif" w:hAnsi="Times New Roman;serif"/>
          <w:b w:val="false"/>
          <w:color w:val="000000"/>
          <w:sz w:val="24"/>
          <w:u w:val="single"/>
        </w:rPr>
        <w:t>Section 7(f)</w:t>
      </w:r>
      <w:r>
        <w:rPr>
          <w:color w:val="000000"/>
        </w:rPr>
        <w:t xml:space="preserve"> </w:t>
      </w:r>
      <w:r>
        <w:rPr>
          <w:rFonts w:ascii="Times New Roman;serif" w:hAnsi="Times New Roman;serif"/>
          <w:b w:val="false"/>
          <w:color w:val="000000"/>
          <w:sz w:val="24"/>
        </w:rPr>
        <w:t xml:space="preserve">but, after such determination, the Company subsequently acquires evidence or determines that: (i) Employee has failed to abide by the terms of </w:t>
      </w:r>
      <w:r>
        <w:rPr>
          <w:rFonts w:ascii="Times New Roman;serif" w:hAnsi="Times New Roman;serif"/>
          <w:b w:val="false"/>
          <w:color w:val="000000"/>
          <w:sz w:val="24"/>
          <w:u w:val="single"/>
        </w:rPr>
        <w:t>Sections 9</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w:t>
      </w:r>
      <w:r>
        <w:rPr>
          <w:rFonts w:ascii="Times New Roman;serif" w:hAnsi="Times New Roman;serif"/>
          <w:b w:val="false"/>
          <w:color w:val="000000"/>
          <w:sz w:val="24"/>
        </w:rPr>
        <w:t xml:space="preserve">; or (ii) a Cause condition existed prior to the Termination Date that, had the Company been fully aware of such condition, would have given the Company the right to terminate Employee’s employment pursuant to </w:t>
      </w:r>
      <w:r>
        <w:rPr>
          <w:rFonts w:ascii="Times New Roman;serif" w:hAnsi="Times New Roman;serif"/>
          <w:b w:val="false"/>
          <w:color w:val="000000"/>
          <w:sz w:val="24"/>
          <w:u w:val="single"/>
        </w:rPr>
        <w:t>Section 7(a)</w:t>
      </w:r>
      <w:r>
        <w:rPr>
          <w:rFonts w:ascii="Times New Roman;serif" w:hAnsi="Times New Roman;serif"/>
          <w:b w:val="false"/>
          <w:color w:val="000000"/>
          <w:sz w:val="24"/>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serif" w:hAnsi="Times New Roman;serif"/>
          <w:b w:val="false"/>
          <w:color w:val="000000"/>
          <w:sz w:val="24"/>
          <w:u w:val="single"/>
        </w:rPr>
        <w:t>Section 7(g)</w:t>
      </w:r>
      <w:r>
        <w:rPr>
          <w:color w:val="000000"/>
        </w:rPr>
        <w:t xml:space="preserve"> </w:t>
      </w:r>
      <w:r>
        <w:rPr>
          <w:rFonts w:ascii="Times New Roman;serif" w:hAnsi="Times New Roman;serif"/>
          <w:b w:val="false"/>
          <w:color w:val="000000"/>
          <w:sz w:val="24"/>
        </w:rPr>
        <w:t xml:space="preserve">have been satisfied. In addition, the provisions of the last sentence of </w:t>
      </w:r>
      <w:r>
        <w:rPr>
          <w:rFonts w:ascii="Times New Roman;serif" w:hAnsi="Times New Roman;serif"/>
          <w:b w:val="false"/>
          <w:color w:val="000000"/>
          <w:sz w:val="24"/>
          <w:u w:val="single"/>
        </w:rPr>
        <w:t>Section 7(a)</w:t>
      </w:r>
      <w:r>
        <w:rPr>
          <w:color w:val="000000"/>
        </w:rPr>
        <w:t xml:space="preserve"> </w:t>
      </w:r>
      <w:r>
        <w:rPr>
          <w:rFonts w:ascii="Times New Roman;serif" w:hAnsi="Times New Roman;serif"/>
          <w:b w:val="false"/>
          <w:color w:val="000000"/>
          <w:sz w:val="24"/>
        </w:rPr>
        <w:t xml:space="preserve">shall apply, and, subject to any limitation under applicable law, previously paid compensation pursuant to </w:t>
      </w:r>
      <w:r>
        <w:rPr>
          <w:rFonts w:ascii="Times New Roman;serif" w:hAnsi="Times New Roman;serif"/>
          <w:b w:val="false"/>
          <w:color w:val="000000"/>
          <w:sz w:val="24"/>
          <w:u w:val="single"/>
        </w:rPr>
        <w:t>Sections 3(b)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3(c)</w:t>
      </w:r>
      <w:r>
        <w:rPr>
          <w:color w:val="000000"/>
        </w:rPr>
        <w:t xml:space="preserve"> </w:t>
      </w:r>
      <w:r>
        <w:rPr>
          <w:rFonts w:ascii="Times New Roman;serif" w:hAnsi="Times New Roman;serif"/>
          <w:b w:val="false"/>
          <w:color w:val="000000"/>
          <w:sz w:val="24"/>
        </w:rPr>
        <w:t xml:space="preserve">shall be subject to clawback or forfeiture and cancellation at the discretion of the Compensation Committee in the event Employee fails to abide by the terms of </w:t>
      </w:r>
      <w:r>
        <w:rPr>
          <w:rFonts w:ascii="Times New Roman;serif" w:hAnsi="Times New Roman;serif"/>
          <w:b w:val="false"/>
          <w:color w:val="000000"/>
          <w:sz w:val="24"/>
          <w:u w:val="single"/>
        </w:rPr>
        <w:t>Sections 9</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8.</w:t>
      </w:r>
      <w:r>
        <w:rPr>
          <w:rFonts w:ascii="Times New Roman;serif" w:hAnsi="Times New Roman;serif"/>
          <w:b/>
          <w:color w:val="000000"/>
          <w:sz w:val="24"/>
          <w:u w:val="single"/>
        </w:rPr>
        <w:t>Disclosures</w:t>
      </w:r>
      <w:r>
        <w:rPr>
          <w:rFonts w:ascii="Times New Roman;serif" w:hAnsi="Times New Roman;serif"/>
          <w:b w:val="false"/>
          <w:color w:val="000000"/>
          <w:sz w:val="24"/>
        </w:rPr>
        <w:t>. Promptly (and in any event, within three (3) Business Days) upon becoming aware of (a) any actual 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serif" w:hAnsi="Times New Roman;serif"/>
          <w:b/>
          <w:color w:val="000000"/>
          <w:sz w:val="24"/>
          <w:u w:val="single"/>
        </w:rPr>
        <w:t>Conflict of Interest</w:t>
      </w:r>
      <w:r>
        <w:rPr>
          <w:color w:val="000000"/>
        </w:rPr>
        <w:t xml:space="preserve">” </w:t>
      </w:r>
      <w:r>
        <w:rPr>
          <w:rFonts w:ascii="Times New Roman;serif" w:hAnsi="Times New Roman;serif"/>
          <w:b w:val="false"/>
          <w:color w:val="000000"/>
          <w:sz w:val="24"/>
        </w:rPr>
        <w:t xml:space="preserve">shall exist when Employee engages in, or plans to engage in, any activities, associations, or interests that conflict with, or create an appearance of a conflict with, Employee’s duties, responsibilities, authorities, or obligations for or to any member of the Company Group. </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9.</w:t>
      </w:r>
      <w:r>
        <w:rPr>
          <w:rFonts w:ascii="Times New Roman;serif" w:hAnsi="Times New Roman;serif"/>
          <w:b/>
          <w:color w:val="000000"/>
          <w:sz w:val="24"/>
          <w:u w:val="single"/>
        </w:rPr>
        <w:t>Confidentiality</w:t>
      </w:r>
      <w:r>
        <w:rPr>
          <w:rFonts w:ascii="Times New Roman;serif" w:hAnsi="Times New Roman;serif"/>
          <w:b w:val="false"/>
          <w:color w:val="000000"/>
          <w:sz w:val="24"/>
        </w:rPr>
        <w:t xml:space="preserve">. In the course of Employee’s employment with the Company and the performance of Employee’s 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w:t>
      </w:r>
    </w:p>
    <w:p>
      <w:pPr>
        <w:pStyle w:val="TextBody"/>
        <w:bidi w:val="0"/>
        <w:spacing w:before="0" w:after="0"/>
        <w:ind w:left="0" w:right="0" w:firstLine="108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(a) 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Times New Roman;serif" w:hAnsi="Times New Roman;serif"/>
          <w:b w:val="false"/>
          <w:color w:val="000000"/>
          <w:sz w:val="24"/>
          <w:u w:val="single"/>
        </w:rPr>
        <w:t>Section 9(a)</w:t>
      </w:r>
      <w:r>
        <w:rPr>
          <w:color w:val="000000"/>
        </w:rPr>
        <w:t xml:space="preserve"> </w:t>
      </w:r>
      <w:r>
        <w:rPr>
          <w:rFonts w:ascii="Times New Roman;serif" w:hAnsi="Times New Roman;serif"/>
          <w:b w:val="false"/>
          <w:color w:val="000000"/>
          <w:sz w:val="24"/>
        </w:rPr>
        <w:t>shall apply to all Confidential Information, whether now known or later to become known to Employee during the period that Employee is employed by or affiliated with or providing services to the Company or any other member of the Company Group.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Notwithstanding any provision of </w:t>
      </w:r>
      <w:r>
        <w:rPr>
          <w:rFonts w:ascii="Times New Roman;serif" w:hAnsi="Times New Roman;serif"/>
          <w:b w:val="false"/>
          <w:color w:val="000000"/>
          <w:sz w:val="24"/>
          <w:u w:val="single"/>
        </w:rPr>
        <w:t>Section 9(a)</w:t>
      </w:r>
      <w:r>
        <w:rPr>
          <w:color w:val="000000"/>
        </w:rPr>
        <w:t xml:space="preserve"> </w:t>
      </w:r>
      <w:r>
        <w:rPr>
          <w:rFonts w:ascii="Times New Roman;serif" w:hAnsi="Times New Roman;serif"/>
          <w:b w:val="false"/>
          <w:color w:val="000000"/>
          <w:sz w:val="24"/>
        </w:rPr>
        <w:t>to the contrary, Employee may make the following disclosures and uses of Confidential Information:</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disclosures to other employees of a member of the Company Group who have a need to know the information in connection with the businesses of the Company Group;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disclosures to third parties when, in the reasonable and good faith belief of Employee, such disclosure is in connection with Employee’s performance of Employee’s duties under this Agreement and in the best interest of the Company Group;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disclosures and uses that are approved in writing by the Board;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disclosures to a person or entity that has (x) been retained by a member of the Company Group to provide services to one or more members of the Company Group and (y) agreed in writing to abide by the terms of a confidentiality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ind w:left="0" w:right="0" w:firstLine="1440"/>
        <w:jc w:val="both"/>
        <w:rPr/>
      </w:pPr>
      <w:r>
        <w:rPr>
          <w:rFonts w:ascii="Times New Roman;serif" w:hAnsi="Times New Roman;serif"/>
          <w:b w:val="false"/>
          <w:color w:val="000000"/>
          <w:sz w:val="24"/>
        </w:rPr>
        <w:t>(d) 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serif" w:hAnsi="Times New Roman;serif"/>
          <w:b/>
          <w:color w:val="000000"/>
          <w:sz w:val="24"/>
          <w:u w:val="single"/>
        </w:rPr>
        <w:t>Confidential Information</w:t>
      </w:r>
      <w:r>
        <w:rPr>
          <w:rFonts w:ascii="Times New Roman;serif" w:hAnsi="Times New Roman;serif"/>
          <w:b w:val="false"/>
          <w:color w:val="000000"/>
          <w:sz w:val="24"/>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of the Company Group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(iii) that a worker otherwise has the right to disclose as legally protected conduct; or (iv) becomes available to Employee on a non-confidential basis from a source other than a member of the Company Group; </w:t>
      </w:r>
      <w:r>
        <w:rPr>
          <w:rFonts w:ascii="Times New Roman;serif" w:hAnsi="Times New Roman;serif"/>
          <w:b w:val="false"/>
          <w:i/>
          <w:color w:val="000000"/>
          <w:sz w:val="24"/>
        </w:rPr>
        <w:t>provided, however</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 xml:space="preserve">that such source is not bound by a confidentiality agreement with, or other obligation with respect to confidentiality to, a member of the Company Group.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(including, for the avoidance of doubt, the Securities and Exchange Commission)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pStyle w:val="TextBody"/>
        <w:bidi w:val="0"/>
        <w:spacing w:before="0" w:after="0"/>
        <w:ind w:left="0" w:right="0" w:firstLine="144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10.</w:t>
      </w:r>
      <w:r>
        <w:rPr>
          <w:rFonts w:ascii="Times New Roman;serif" w:hAnsi="Times New Roman;serif"/>
          <w:b/>
          <w:color w:val="000000"/>
          <w:sz w:val="24"/>
          <w:u w:val="single"/>
        </w:rPr>
        <w:t>Ownership of Intellectual Property</w:t>
      </w:r>
      <w:r>
        <w:rPr>
          <w:rFonts w:ascii="Times New Roman;serif" w:hAnsi="Times New Roman;serif"/>
          <w:b/>
          <w:i/>
          <w:color w:val="000000"/>
          <w:sz w:val="24"/>
        </w:rPr>
        <w:t>.</w:t>
      </w:r>
      <w:r>
        <w:rPr>
          <w:color w:val="000000"/>
        </w:rPr>
        <w: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(a) 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serif" w:hAnsi="Times New Roman;serif"/>
          <w:b/>
          <w:color w:val="000000"/>
          <w:sz w:val="24"/>
          <w:u w:val="single"/>
        </w:rPr>
        <w:t>Company Intellectual Property</w:t>
      </w:r>
      <w:r>
        <w:rPr>
          <w:color w:val="000000"/>
        </w:rPr>
        <w:t>”</w:t>
      </w:r>
      <w:r>
        <w:rPr>
          <w:rFonts w:ascii="Times New Roman;serif" w:hAnsi="Times New Roman;serif"/>
          <w:b w:val="false"/>
          <w:color w:val="000000"/>
          <w:sz w:val="24"/>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(d) To the extent allowed by law, this Section applies to all rights that may be known as or referred to as “moral rights,” “artist’s rights,” “droit moral,” or the like, including without limitation those rights set forth in 17 U.S.C. §106A (collectively, “</w:t>
      </w:r>
      <w:r>
        <w:rPr>
          <w:rFonts w:ascii="Times New Roman;serif" w:hAnsi="Times New Roman;serif"/>
          <w:b/>
          <w:color w:val="000000"/>
          <w:sz w:val="24"/>
          <w:u w:val="single"/>
        </w:rPr>
        <w:t>Moral Rights</w:t>
      </w:r>
      <w:r>
        <w:rPr>
          <w:color w:val="000000"/>
        </w:rPr>
        <w:t>”</w:t>
      </w:r>
      <w:r>
        <w:rPr>
          <w:rFonts w:ascii="Times New Roman;serif" w:hAnsi="Times New Roman;serif"/>
          <w:b w:val="false"/>
          <w:color w:val="000000"/>
          <w:sz w:val="24"/>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(e) 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serif" w:hAnsi="Times New Roman;serif"/>
          <w:b/>
          <w:color w:val="000000"/>
          <w:sz w:val="24"/>
          <w:u w:val="single"/>
        </w:rPr>
        <w:t>Prior Inventions</w:t>
      </w:r>
      <w:r>
        <w:rPr>
          <w:color w:val="000000"/>
        </w:rPr>
        <w:t>”</w:t>
      </w:r>
      <w:r>
        <w:rPr>
          <w:rFonts w:ascii="Times New Roman;serif" w:hAnsi="Times New Roman;serif"/>
          <w:b w:val="false"/>
          <w:color w:val="000000"/>
          <w:sz w:val="24"/>
        </w:rPr>
        <w:t xml:space="preserve">) are listed on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and Employee represents that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In the event that the Company (or, as applicable, a member of the Company Group) is unable for any reason to secure Employee’s signature to any document required to file, prosecute, register, or memorialize the assignment of any patent, copyright, mask work or other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 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Times New Roman;serif" w:hAnsi="Times New Roman;serif"/>
          <w:b/>
          <w:color w:val="000000"/>
          <w:sz w:val="24"/>
          <w:u w:val="single"/>
        </w:rPr>
        <w:t>Other Invention</w:t>
      </w:r>
      <w:r>
        <w:rPr>
          <w:color w:val="000000"/>
        </w:rPr>
        <w:t>”</w:t>
      </w:r>
      <w:r>
        <w:rPr>
          <w:rFonts w:ascii="Times New Roman;serif" w:hAnsi="Times New Roman;serif"/>
          <w:b w:val="false"/>
          <w:color w:val="000000"/>
          <w:sz w:val="24"/>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pStyle w:val="TextBody"/>
        <w:bidi w:val="0"/>
        <w:spacing w:before="0" w:after="0"/>
        <w:jc w:val="left"/>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11.</w:t>
      </w:r>
      <w:r>
        <w:rPr>
          <w:rFonts w:ascii="Times New Roman;serif" w:hAnsi="Times New Roman;serif"/>
          <w:b/>
          <w:color w:val="000000"/>
          <w:sz w:val="24"/>
          <w:u w:val="single"/>
        </w:rPr>
        <w:t>Defense of Claims</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 xml:space="preserve">During the Employment Period and thereafter, upon request from the Company, Employee shall cooperate with the Company Group in the defense of any claims or actions that may be made by or against any member of the Company Group that relate to Employee’s actual or prior areas of responsibility. </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12.</w:t>
      </w:r>
      <w:r>
        <w:rPr>
          <w:rFonts w:ascii="Times New Roman;serif" w:hAnsi="Times New Roman;serif"/>
          <w:b/>
          <w:color w:val="000000"/>
          <w:sz w:val="24"/>
          <w:u w:val="single"/>
        </w:rPr>
        <w:t>Withholdings; Deductions</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The Company may withhold and deduct from any benefits and payments made or to be made pursuant to this Agreement (a) all federal, state, local and other taxes as may be required pursuant to any law or governmental regulation or ruling and (b) any deductions consented to in writing by Employee.</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080"/>
        <w:jc w:val="both"/>
        <w:rPr/>
      </w:pPr>
      <w:r>
        <w:rPr>
          <w:rFonts w:ascii="Times New Roman;serif" w:hAnsi="Times New Roman;serif"/>
          <w:b w:val="false"/>
          <w:color w:val="000000"/>
          <w:sz w:val="24"/>
        </w:rPr>
        <w:t>13.</w:t>
      </w:r>
      <w:r>
        <w:rPr>
          <w:rFonts w:ascii="Times New Roman;serif" w:hAnsi="Times New Roman;serif"/>
          <w:b/>
          <w:color w:val="000000"/>
          <w:sz w:val="24"/>
          <w:u w:val="single"/>
        </w:rPr>
        <w:t>Title and Headings; Construction</w:t>
      </w:r>
      <w:r>
        <w:rPr>
          <w:rFonts w:ascii="Times New Roman;serif" w:hAnsi="Times New Roman;serif"/>
          <w:b w:val="false"/>
          <w:color w:val="000000"/>
          <w:sz w:val="24"/>
        </w:rPr>
        <w:t>. Titles and headings to Sections hereof are for the purpose of reference only and 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14.</w:t>
      </w:r>
      <w:r>
        <w:rPr>
          <w:rFonts w:ascii="Times New Roman;serif" w:hAnsi="Times New Roman;serif"/>
          <w:b/>
          <w:color w:val="000000"/>
          <w:sz w:val="24"/>
          <w:u w:val="single"/>
        </w:rPr>
        <w:t>Applicable Law</w:t>
      </w:r>
      <w:r>
        <w:rPr>
          <w:rFonts w:ascii="Times New Roman;serif" w:hAnsi="Times New Roman;serif"/>
          <w:b w:val="false"/>
          <w:color w:val="000000"/>
          <w:sz w:val="24"/>
        </w:rPr>
        <w:t>. This Agreement shall in all respects be construed according to the laws of the State of California 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15.</w:t>
      </w:r>
      <w:r>
        <w:rPr>
          <w:rFonts w:ascii="Times New Roman;serif" w:hAnsi="Times New Roman;serif"/>
          <w:b/>
          <w:color w:val="000000"/>
          <w:sz w:val="24"/>
          <w:u w:val="single"/>
        </w:rPr>
        <w:t>Entire Agreement and Amendment</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This Agreement contains the entire agreement of the parties with respect to the matters covered herein and supersedes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pStyle w:val="TextBody"/>
        <w:bidi w:val="0"/>
        <w:spacing w:lineRule="auto" w:line="288" w:before="240" w:after="283"/>
        <w:ind w:left="0" w:right="0" w:firstLine="1080"/>
        <w:jc w:val="both"/>
        <w:rPr/>
      </w:pPr>
      <w:r>
        <w:rPr>
          <w:rFonts w:ascii="Times New Roman;serif" w:hAnsi="Times New Roman;serif"/>
          <w:b w:val="false"/>
          <w:color w:val="000000"/>
          <w:sz w:val="24"/>
        </w:rPr>
        <w:t>16.</w:t>
      </w:r>
      <w:r>
        <w:rPr>
          <w:rFonts w:ascii="Times New Roman;serif" w:hAnsi="Times New Roman;serif"/>
          <w:b/>
          <w:color w:val="000000"/>
          <w:sz w:val="24"/>
          <w:u w:val="single"/>
        </w:rPr>
        <w:t>Waiver of Breach</w:t>
      </w:r>
      <w:r>
        <w:rPr>
          <w:rFonts w:ascii="Times New Roman;serif" w:hAnsi="Times New Roman;serif"/>
          <w:b w:val="false"/>
          <w:color w:val="000000"/>
          <w:sz w:val="24"/>
        </w:rPr>
        <w:t xml:space="preserve">. Any waiver of this Agreement must be executed by the party to be bound by such waiver. </w:t>
      </w:r>
      <w:r>
        <w:rPr>
          <w:color w:val="000000"/>
        </w:rPr>
        <w:t> </w:t>
      </w:r>
      <w:r>
        <w:rPr>
          <w:rFonts w:ascii="Times New Roman;serif" w:hAnsi="Times New Roman;serif"/>
          <w:b w:val="false"/>
          <w:color w:val="000000"/>
          <w:sz w:val="24"/>
        </w:rPr>
        <w:t>No 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080"/>
        <w:jc w:val="both"/>
        <w:rPr/>
      </w:pPr>
      <w:r>
        <w:rPr>
          <w:rFonts w:ascii="Times New Roman;serif" w:hAnsi="Times New Roman;serif"/>
          <w:b w:val="false"/>
          <w:color w:val="000000"/>
          <w:sz w:val="24"/>
        </w:rPr>
        <w:t>17.</w:t>
      </w:r>
      <w:r>
        <w:rPr>
          <w:rFonts w:ascii="Times New Roman;serif" w:hAnsi="Times New Roman;serif"/>
          <w:b/>
          <w:color w:val="000000"/>
          <w:sz w:val="24"/>
          <w:u w:val="single"/>
        </w:rPr>
        <w:t>Assignment</w:t>
      </w:r>
      <w:r>
        <w:rPr>
          <w:rFonts w:ascii="Times New Roman;serif" w:hAnsi="Times New Roman;serif"/>
          <w:b w:val="false"/>
          <w:color w:val="000000"/>
          <w:sz w:val="24"/>
        </w:rPr>
        <w:t>. This Agreement is personal to Employee, and neither this Agreement nor any rights or obligations 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18.</w:t>
      </w:r>
      <w:r>
        <w:rPr>
          <w:rFonts w:ascii="Times New Roman;serif" w:hAnsi="Times New Roman;serif"/>
          <w:b/>
          <w:color w:val="000000"/>
          <w:sz w:val="24"/>
          <w:u w:val="single"/>
        </w:rPr>
        <w:t>Notices</w:t>
      </w:r>
      <w:r>
        <w:rPr>
          <w:rFonts w:ascii="Times New Roman;serif" w:hAnsi="Times New Roman;serif"/>
          <w:b w:val="false"/>
          <w:color w:val="000000"/>
          <w:sz w:val="24"/>
        </w:rPr>
        <w:t xml:space="preserve">. </w:t>
      </w:r>
      <w:r>
        <w:rPr>
          <w:color w:val="000000"/>
        </w:rPr>
        <w:t> </w:t>
      </w:r>
      <w:r>
        <w:rPr>
          <w:rFonts w:ascii="Times New Roman;serif" w:hAnsi="Times New Roman;serif"/>
          <w:b w:val="false"/>
          <w:color w:val="000000"/>
          <w:sz w:val="24"/>
        </w:rPr>
        <w:t>Notices provided for in this Agreement shall be in writing and shall be deemed to have been duly received (a) 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If to the Company, addressed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California Resources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World Trade Center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Suite 1500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Long Beach, California 90831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If to Employee, addressed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val="false"/>
          <w:i/>
          <w:color w:val="000000"/>
          <w:sz w:val="24"/>
        </w:rPr>
        <w:t>Or, if different, the latest address on file with the Company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19.</w:t>
      </w:r>
      <w:r>
        <w:rPr>
          <w:rFonts w:ascii="Times New Roman;serif" w:hAnsi="Times New Roman;serif"/>
          <w:b/>
          <w:color w:val="000000"/>
          <w:sz w:val="24"/>
          <w:u w:val="single"/>
        </w:rPr>
        <w:t>Counterparts</w:t>
      </w:r>
      <w:r>
        <w:rPr>
          <w:rFonts w:ascii="Times New Roman;serif" w:hAnsi="Times New Roman;serif"/>
          <w:b w:val="false"/>
          <w:color w:val="000000"/>
          <w:sz w:val="24"/>
        </w:rPr>
        <w:t xml:space="preserve">. </w:t>
      </w:r>
      <w:r>
        <w:rPr>
          <w:color w:val="000000"/>
        </w:rPr>
        <w:t> </w:t>
      </w:r>
      <w:r>
        <w:rPr>
          <w:rFonts w:ascii="Times New Roman;serif" w:hAnsi="Times New Roman;serif"/>
          <w:b w:val="false"/>
          <w:color w:val="000000"/>
          <w:sz w:val="24"/>
        </w:rPr>
        <w:t>This Agreement may be executed in any number of counterparts, including by electronic mail or 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pStyle w:val="TextBody"/>
        <w:bidi w:val="0"/>
        <w:spacing w:lineRule="auto" w:line="288" w:before="240" w:after="283"/>
        <w:ind w:left="0" w:right="0" w:firstLine="1080"/>
        <w:jc w:val="both"/>
        <w:rPr/>
      </w:pPr>
      <w:r>
        <w:rPr>
          <w:rFonts w:ascii="Times New Roman;serif" w:hAnsi="Times New Roman;serif"/>
          <w:b w:val="false"/>
          <w:color w:val="000000"/>
          <w:sz w:val="24"/>
        </w:rPr>
        <w:t>20.</w:t>
      </w:r>
      <w:r>
        <w:rPr>
          <w:rFonts w:ascii="Times New Roman;serif" w:hAnsi="Times New Roman;serif"/>
          <w:b/>
          <w:color w:val="000000"/>
          <w:sz w:val="24"/>
          <w:u w:val="single"/>
        </w:rPr>
        <w:t>Deemed Resignations</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 xml:space="preserve">Except as otherwise determined by the Board or as otherwise agreed to in writing by 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 </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21.</w:t>
      </w:r>
      <w:r>
        <w:rPr>
          <w:rFonts w:ascii="Times New Roman;serif" w:hAnsi="Times New Roman;serif"/>
          <w:b/>
          <w:color w:val="000000"/>
          <w:sz w:val="24"/>
          <w:u w:val="single"/>
        </w:rPr>
        <w:t>Section 409A</w:t>
      </w:r>
      <w:r>
        <w:rPr>
          <w:rFonts w:ascii="Times New Roman;serif" w:hAnsi="Times New Roman;serif"/>
          <w:b/>
          <w:color w:val="000000"/>
          <w:sz w:val="24"/>
        </w:rPr>
        <w:t>.</w:t>
      </w:r>
      <w:r>
        <w:rPr>
          <w:color w:val="000000"/>
        </w:rPr>
        <w:t> </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(a) Notwithstanding any provision of this Agreement to the contrary, all provisions of this Agreement are intended to comply with Section 409A of the Internal Revenue Code of 1986, as amended (the “</w:t>
      </w:r>
      <w:r>
        <w:rPr>
          <w:rFonts w:ascii="Times New Roman;serif" w:hAnsi="Times New Roman;serif"/>
          <w:b/>
          <w:color w:val="000000"/>
          <w:sz w:val="24"/>
          <w:u w:val="single"/>
        </w:rPr>
        <w:t>Code</w:t>
      </w:r>
      <w:r>
        <w:rPr>
          <w:color w:val="000000"/>
        </w:rPr>
        <w:t>”</w:t>
      </w:r>
      <w:r>
        <w:rPr>
          <w:rFonts w:ascii="Times New Roman;serif" w:hAnsi="Times New Roman;serif"/>
          <w:b w:val="false"/>
          <w:color w:val="000000"/>
          <w:sz w:val="24"/>
        </w:rPr>
        <w:t>) and the applicable Treasury regulations and administrative guidance issued thereunder (collectively, “</w:t>
      </w:r>
      <w:r>
        <w:rPr>
          <w:rFonts w:ascii="Times New Roman;serif" w:hAnsi="Times New Roman;serif"/>
          <w:b/>
          <w:color w:val="000000"/>
          <w:sz w:val="24"/>
          <w:u w:val="single"/>
        </w:rPr>
        <w:t>Section 409A</w:t>
      </w:r>
      <w:r>
        <w:rPr>
          <w:color w:val="000000"/>
        </w:rPr>
        <w:t>”</w:t>
      </w:r>
      <w:r>
        <w:rPr>
          <w:rFonts w:ascii="Times New Roman;serif" w:hAnsi="Times New Roman;serif"/>
          <w:b w:val="false"/>
          <w:color w:val="000000"/>
          <w:sz w:val="24"/>
        </w:rPr>
        <w:t xml:space="preserve">)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 xml:space="preserve">that the foregoing clause shall not be violated with regard to expenses reimbursed under any arrangement covered by Section 105(b) of the Code solely because such expenses are subject to a limit related to the period in which the arrangement is in effect.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(c) Notwithstanding any provision in this Agreement to the contrary, if any payment or benefit provided for herein would be subject to additional taxes and interest under Section 409A if Employee’s receipt of such payment or benefit is not delayed until the earlier of (i) the date of Employee’s death or (ii) the date that is six (6) months after the Termination Date (such date, the “</w:t>
      </w:r>
      <w:r>
        <w:rPr>
          <w:rFonts w:ascii="Times New Roman;serif" w:hAnsi="Times New Roman;serif"/>
          <w:b/>
          <w:color w:val="000000"/>
          <w:sz w:val="24"/>
          <w:u w:val="single"/>
        </w:rPr>
        <w:t>Section 409A Payment Date</w:t>
      </w:r>
      <w:r>
        <w:rPr>
          <w:color w:val="000000"/>
        </w:rPr>
        <w:t>”</w:t>
      </w:r>
      <w:r>
        <w:rPr>
          <w:rFonts w:ascii="Times New Roman;serif" w:hAnsi="Times New Roman;serif"/>
          <w:b w:val="false"/>
          <w:color w:val="000000"/>
          <w:sz w:val="24"/>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pStyle w:val="TextBody"/>
        <w:bidi w:val="0"/>
        <w:spacing w:before="0" w:after="0"/>
        <w:ind w:left="0" w:right="0" w:firstLine="144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22.</w:t>
      </w:r>
      <w:r>
        <w:rPr>
          <w:rFonts w:ascii="Times New Roman;serif" w:hAnsi="Times New Roman;serif"/>
          <w:b/>
          <w:color w:val="000000"/>
          <w:sz w:val="24"/>
          <w:u w:val="single"/>
        </w:rPr>
        <w:t>Effect of Termination</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Sections 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9</w:t>
      </w:r>
      <w:r>
        <w:rPr>
          <w:rFonts w:ascii="Times New Roman;serif" w:hAnsi="Times New Roman;serif"/>
          <w:b w:val="false"/>
          <w:color w:val="000000"/>
          <w:sz w:val="24"/>
        </w:rPr>
        <w:t>-</w:t>
      </w:r>
      <w:r>
        <w:rPr>
          <w:rFonts w:ascii="Times New Roman;serif" w:hAnsi="Times New Roman;serif"/>
          <w:b w:val="false"/>
          <w:color w:val="000000"/>
          <w:sz w:val="24"/>
          <w:u w:val="single"/>
        </w:rPr>
        <w:t>13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w:t>
      </w:r>
      <w:r>
        <w:rPr>
          <w:color w:val="000000"/>
        </w:rPr>
        <w:t xml:space="preserve"> </w:t>
      </w:r>
      <w:r>
        <w:rPr>
          <w:rFonts w:ascii="Times New Roman;serif" w:hAnsi="Times New Roman;serif"/>
          <w:b w:val="false"/>
          <w:color w:val="000000"/>
          <w:sz w:val="24"/>
        </w:rPr>
        <w:t>and those provisions necessary to interpret and enforce them, shall survive any termination of this Agreement and any termination of the employment relationship between Employee and the Company.</w:t>
      </w:r>
    </w:p>
    <w:p>
      <w:pPr>
        <w:pStyle w:val="TextBody"/>
        <w:bidi w:val="0"/>
        <w:spacing w:lineRule="auto" w:line="288" w:before="240" w:after="283"/>
        <w:ind w:left="0" w:right="0" w:firstLine="1080"/>
        <w:jc w:val="both"/>
        <w:rPr/>
      </w:pPr>
      <w:r>
        <w:rPr>
          <w:rFonts w:ascii="Times New Roman;serif" w:hAnsi="Times New Roman;serif"/>
          <w:b w:val="false"/>
          <w:color w:val="000000"/>
          <w:sz w:val="24"/>
        </w:rPr>
        <w:t>23.</w:t>
      </w:r>
      <w:r>
        <w:rPr>
          <w:rFonts w:ascii="Times New Roman;serif" w:hAnsi="Times New Roman;serif"/>
          <w:b/>
          <w:color w:val="000000"/>
          <w:sz w:val="24"/>
          <w:u w:val="single"/>
        </w:rPr>
        <w:t>Third-Party Beneficiaries</w:t>
      </w:r>
      <w:r>
        <w:rPr>
          <w:rFonts w:ascii="Times New Roman;serif" w:hAnsi="Times New Roman;serif"/>
          <w:b w:val="false"/>
          <w:color w:val="000000"/>
          <w:sz w:val="24"/>
        </w:rPr>
        <w:t xml:space="preserve">. Each member of the Company Group that is not a signatory to this Agreement shall be a third-party beneficiary of Employee’s obligations under </w:t>
      </w:r>
      <w:r>
        <w:rPr>
          <w:rFonts w:ascii="Times New Roman;serif" w:hAnsi="Times New Roman;serif"/>
          <w:b w:val="false"/>
          <w:color w:val="000000"/>
          <w:sz w:val="24"/>
          <w:u w:val="single"/>
        </w:rPr>
        <w:t>Sections 8</w:t>
      </w:r>
      <w:r>
        <w:rPr>
          <w:rFonts w:ascii="Times New Roman;serif" w:hAnsi="Times New Roman;serif"/>
          <w:b w:val="false"/>
          <w:color w:val="000000"/>
          <w:sz w:val="24"/>
        </w:rPr>
        <w:t>-</w:t>
      </w:r>
      <w:r>
        <w:rPr>
          <w:rFonts w:ascii="Times New Roman;serif" w:hAnsi="Times New Roman;serif"/>
          <w:b w:val="false"/>
          <w:color w:val="000000"/>
          <w:sz w:val="24"/>
          <w:u w:val="single"/>
        </w:rPr>
        <w:t>12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w:t>
      </w:r>
      <w:r>
        <w:rPr>
          <w:color w:val="000000"/>
        </w:rPr>
        <w:t xml:space="preserve"> </w:t>
      </w:r>
      <w:r>
        <w:rPr>
          <w:rFonts w:ascii="Times New Roman;serif" w:hAnsi="Times New Roman;serif"/>
          <w:b w:val="false"/>
          <w:color w:val="000000"/>
          <w:sz w:val="24"/>
        </w:rPr>
        <w:t>and shall be entitled to enforce such obligations as if a party hereto.</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080"/>
        <w:jc w:val="both"/>
        <w:rPr/>
      </w:pPr>
      <w:r>
        <w:rPr>
          <w:rFonts w:ascii="Times New Roman;serif" w:hAnsi="Times New Roman;serif"/>
          <w:b w:val="false"/>
          <w:color w:val="000000"/>
          <w:sz w:val="24"/>
        </w:rPr>
        <w:t>24.</w:t>
      </w:r>
      <w:r>
        <w:rPr>
          <w:rFonts w:ascii="Times New Roman;serif" w:hAnsi="Times New Roman;serif"/>
          <w:b/>
          <w:color w:val="000000"/>
          <w:sz w:val="24"/>
          <w:u w:val="single"/>
        </w:rPr>
        <w:t>Certain Excise Taxes</w:t>
      </w:r>
      <w:r>
        <w:rPr>
          <w:rFonts w:ascii="Times New Roman;serif" w:hAnsi="Times New Roman;serif"/>
          <w:b w:val="false"/>
          <w:color w:val="000000"/>
          <w:sz w:val="24"/>
        </w:rPr>
        <w:t xml:space="preserve">. Notwithstanding anything to the contrary in this Agreement, if Employee is a “disqualified 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shall require the Company to be responsible for, or have any liability or obligation with respect to, Employee’s excise tax liabilities under Section 4999 of the Code.</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25.</w:t>
      </w:r>
      <w:r>
        <w:rPr>
          <w:rFonts w:ascii="Times New Roman;serif" w:hAnsi="Times New Roman;serif"/>
          <w:b/>
          <w:color w:val="000000"/>
          <w:sz w:val="24"/>
          <w:u w:val="single"/>
        </w:rPr>
        <w:t>Clawback</w:t>
      </w:r>
      <w:r>
        <w:rPr>
          <w:rFonts w:ascii="Times New Roman;serif" w:hAnsi="Times New Roman;serif"/>
          <w:b w:val="false"/>
          <w:color w:val="000000"/>
          <w:sz w:val="24"/>
        </w:rPr>
        <w:t>. Notwithstanding any other provisions in this Agreement to the contrary, any incentive-based or other compensation paid to the Employee under this Agreement or any other agreement or arrangement with the Company which is subject to recovery under any Company policy, law, government regulation, or stock exchange listing requirement will be subject to such deductions and clawback as may be required to be made pursuant to such Company policy (whether in existence as of the Effective Date or later adopted), law, government regulation, or stock exchange listing requirement.</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26.</w:t>
      </w:r>
      <w:r>
        <w:rPr>
          <w:rFonts w:ascii="Times New Roman;serif" w:hAnsi="Times New Roman;serif"/>
          <w:b/>
          <w:color w:val="000000"/>
          <w:sz w:val="24"/>
          <w:u w:val="single"/>
        </w:rPr>
        <w:t>Severability</w:t>
      </w:r>
      <w:r>
        <w:rPr>
          <w:rFonts w:ascii="Times New Roman;serif" w:hAnsi="Times New Roman;serif"/>
          <w:b w:val="false"/>
          <w:color w:val="000000"/>
          <w:sz w:val="24"/>
        </w:rPr>
        <w:t>. If an arbitrator or court of competent jurisdiction determines that any provision of this Agreement (or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Blank;</w:t>
      </w:r>
    </w:p>
    <w:p>
      <w:pPr>
        <w:pStyle w:val="TextBody"/>
        <w:bidi w:val="0"/>
        <w:spacing w:lineRule="auto" w:line="288" w:before="0" w:after="0"/>
        <w:jc w:val="center"/>
        <w:rPr/>
      </w:pP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Employee and the Company each have caused this Agreement to be executed and effective as of the Effective Date.</w:t>
      </w:r>
    </w:p>
    <w:p>
      <w:pPr>
        <w:pStyle w:val="TextBody"/>
        <w:bidi w:val="0"/>
        <w:spacing w:before="0" w:after="0"/>
        <w:ind w:left="0" w:right="0" w:firstLine="720"/>
        <w:jc w:val="both"/>
        <w:rPr/>
      </w:pPr>
      <w:r>
        <w:rPr/>
      </w:r>
    </w:p>
    <w:p>
      <w:pPr>
        <w:pStyle w:val="TextBody"/>
        <w:bidi w:val="0"/>
        <w:spacing w:lineRule="auto" w:line="288" w:before="0" w:after="0"/>
        <w:ind w:left="0" w:right="0" w:hanging="540"/>
        <w:jc w:val="left"/>
        <w:rPr>
          <w:rFonts w:ascii="Times New Roman;serif" w:hAnsi="Times New Roman;serif"/>
          <w:b/>
          <w:color w:val="000000"/>
          <w:sz w:val="24"/>
        </w:rPr>
      </w:pPr>
      <w:r>
        <w:rPr>
          <w:rFonts w:ascii="Times New Roman;serif" w:hAnsi="Times New Roman;serif"/>
          <w:b/>
          <w:color w:val="000000"/>
          <w:sz w:val="24"/>
        </w:rPr>
        <w:t>EMPLOYEE</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Jay A. Bys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Name: Jay A. Bys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color w:val="000000"/>
          <w:sz w:val="24"/>
        </w:rPr>
      </w:pPr>
      <w:r>
        <w:rPr>
          <w:rFonts w:ascii="Times New Roman;serif" w:hAnsi="Times New Roman;serif"/>
          <w:b/>
          <w:color w:val="000000"/>
          <w:sz w:val="24"/>
        </w:rPr>
        <w:t>COMPANY</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CALIFORNIA RESOURCES CORPORATION</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/s/ Daniel S. Watts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Name: Daniel S. Watts</w:t>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Title: Vice President - Compensation and Benefits</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S</w:t>
      </w:r>
      <w:r>
        <w:rPr>
          <w:rFonts w:ascii="Times New Roman;serif" w:hAnsi="Times New Roman;serif"/>
          <w:b w:val="false"/>
          <w:color w:val="000000"/>
          <w:sz w:val="20"/>
        </w:rPr>
        <w:t>IGNATURE</w:t>
      </w:r>
      <w:r>
        <w:rPr>
          <w:color w:val="000000"/>
        </w:rPr>
        <w:t xml:space="preserve"> </w:t>
      </w:r>
      <w:r>
        <w:rPr>
          <w:rFonts w:ascii="Times New Roman;serif" w:hAnsi="Times New Roman;serif"/>
          <w:b w:val="false"/>
          <w:color w:val="000000"/>
          <w:sz w:val="24"/>
        </w:rPr>
        <w:t>P</w:t>
      </w:r>
      <w:r>
        <w:rPr>
          <w:rFonts w:ascii="Times New Roman;serif" w:hAnsi="Times New Roman;serif"/>
          <w:b w:val="false"/>
          <w:color w:val="000000"/>
          <w:sz w:val="20"/>
        </w:rPr>
        <w:t>AGE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w:t>
      </w:r>
    </w:p>
    <w:p>
      <w:pPr>
        <w:pStyle w:val="TextBody"/>
        <w:bidi w:val="0"/>
        <w:spacing w:lineRule="auto" w:line="288" w:before="0" w:after="0"/>
        <w:jc w:val="center"/>
        <w:rPr/>
      </w:pPr>
      <w:r>
        <w:rPr>
          <w:rFonts w:ascii="Times New Roman;serif" w:hAnsi="Times New Roman;serif"/>
          <w:b w:val="false"/>
          <w:color w:val="000000"/>
          <w:sz w:val="24"/>
        </w:rPr>
        <w:t>E</w:t>
      </w:r>
      <w:r>
        <w:rPr>
          <w:rFonts w:ascii="Times New Roman;serif" w:hAnsi="Times New Roman;serif"/>
          <w:b w:val="false"/>
          <w:color w:val="000000"/>
          <w:sz w:val="20"/>
        </w:rPr>
        <w:t>MPLOYMENT</w:t>
      </w:r>
      <w:r>
        <w:rPr>
          <w:color w:val="000000"/>
        </w:rPr>
        <w:t xml:space="preserve"> </w:t>
      </w:r>
      <w:r>
        <w:rPr>
          <w:rFonts w:ascii="Times New Roman;serif" w:hAnsi="Times New Roman;serif"/>
          <w:b w:val="false"/>
          <w:color w:val="000000"/>
          <w:sz w:val="24"/>
        </w:rPr>
        <w:t>A</w:t>
      </w:r>
      <w:r>
        <w:rPr>
          <w:rFonts w:ascii="Times New Roman;serif" w:hAnsi="Times New Roman;serif"/>
          <w:b w:val="false"/>
          <w:color w:val="000000"/>
          <w:sz w:val="20"/>
        </w:rPr>
        <w:t>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PRIOR INVENTIONS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Check appropriate space(s):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See below:</w:t>
      </w:r>
    </w:p>
    <w:p>
      <w:pPr>
        <w:pStyle w:val="TextBody"/>
        <w:bidi w:val="0"/>
        <w:spacing w:lineRule="auto" w:line="288" w:before="0" w:after="0"/>
        <w:ind w:left="0" w:right="0" w:firstLine="360"/>
        <w:jc w:val="left"/>
        <w:rPr>
          <w:color w:val="000000"/>
          <w:u w:val="single"/>
        </w:rPr>
      </w:pPr>
      <w:r>
        <w:rPr>
          <w:color w:val="000000"/>
          <w:u w:val="single"/>
        </w:rPr>
        <w:t> </w:t>
      </w:r>
    </w:p>
    <w:p>
      <w:pPr>
        <w:pStyle w:val="TextBody"/>
        <w:bidi w:val="0"/>
        <w:spacing w:lineRule="auto" w:line="288" w:before="0" w:after="0"/>
        <w:ind w:left="0" w:right="0" w:firstLine="360"/>
        <w:jc w:val="left"/>
        <w:rPr>
          <w:color w:val="000000"/>
          <w:u w:val="single"/>
        </w:rPr>
      </w:pPr>
      <w:r>
        <w:rPr>
          <w:color w:val="000000"/>
          <w:u w:val="single"/>
        </w:rPr>
        <w:t> </w:t>
      </w:r>
    </w:p>
    <w:p>
      <w:pPr>
        <w:pStyle w:val="TextBody"/>
        <w:bidi w:val="0"/>
        <w:spacing w:lineRule="auto" w:line="288" w:before="0" w:after="0"/>
        <w:ind w:left="0" w:right="0" w:firstLine="360"/>
        <w:jc w:val="left"/>
        <w:rPr>
          <w:color w:val="000000"/>
          <w:u w:val="single"/>
        </w:rPr>
      </w:pPr>
      <w:r>
        <w:rPr>
          <w:color w:val="000000"/>
          <w:u w:val="single"/>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Due to confidentiality agreements with a prior employer, Employee cannot disclose certain Prior Inventions that would otherwise be included on the above-described list.</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Additional sheets attached.</w:t>
      </w:r>
    </w:p>
    <w:p>
      <w:pPr>
        <w:pStyle w:val="TextBody"/>
        <w:bidi w:val="0"/>
        <w:spacing w:before="0" w:after="0"/>
        <w:ind w:left="0" w:right="0" w:hanging="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Check appropriate space(s):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See below.</w:t>
      </w:r>
    </w:p>
    <w:p>
      <w:pPr>
        <w:pStyle w:val="TextBody"/>
        <w:bidi w:val="0"/>
        <w:spacing w:lineRule="auto" w:line="288" w:before="0" w:after="0"/>
        <w:ind w:left="0" w:right="0" w:firstLine="360"/>
        <w:jc w:val="left"/>
        <w:rPr>
          <w:color w:val="000000"/>
          <w:u w:val="single"/>
        </w:rPr>
      </w:pPr>
      <w:r>
        <w:rPr>
          <w:color w:val="000000"/>
          <w:u w:val="single"/>
        </w:rPr>
        <w:t> </w:t>
      </w:r>
    </w:p>
    <w:p>
      <w:pPr>
        <w:pStyle w:val="TextBody"/>
        <w:bidi w:val="0"/>
        <w:spacing w:lineRule="auto" w:line="288" w:before="0" w:after="0"/>
        <w:ind w:left="0" w:right="0" w:firstLine="360"/>
        <w:jc w:val="left"/>
        <w:rPr>
          <w:color w:val="000000"/>
          <w:u w:val="single"/>
        </w:rPr>
      </w:pPr>
      <w:r>
        <w:rPr>
          <w:color w:val="000000"/>
          <w:u w:val="single"/>
        </w:rPr>
        <w:t>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Additional sheets attached.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ind w:left="0" w:right="0" w:hanging="72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CALIFORNIA LABOR CODE SECTION 2870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Relate at the time of conception or reduction to practice of the invention to the employer’s business, or actual or demonstrably anticipated research or development of the employer; or</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Result from any work performed by the employee for the employer.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Certain portions of this exhibit (indicated by "[*****]") have been omitted pursuant to Item 601(b)(10) of Regulation S-K.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Amended and Restated Employment Agreement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is made and entered into by and between California Resources Corporation,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and Michael L. Preston (“</w:t>
      </w:r>
      <w:r>
        <w:rPr>
          <w:rFonts w:ascii="Times New Roman;serif" w:hAnsi="Times New Roman;serif"/>
          <w:b/>
          <w:color w:val="000000"/>
          <w:sz w:val="24"/>
          <w:u w:val="single"/>
        </w:rPr>
        <w:t>Employee</w:t>
      </w:r>
      <w:r>
        <w:rPr>
          <w:color w:val="000000"/>
        </w:rPr>
        <w:t>”</w:t>
      </w:r>
      <w:r>
        <w:rPr>
          <w:rFonts w:ascii="Times New Roman;serif" w:hAnsi="Times New Roman;serif"/>
          <w:b w:val="false"/>
          <w:color w:val="000000"/>
          <w:sz w:val="24"/>
        </w:rPr>
        <w:t>) effective as of August 4, 2025 (the “</w:t>
      </w:r>
      <w:r>
        <w:rPr>
          <w:rFonts w:ascii="Times New Roman;serif" w:hAnsi="Times New Roman;serif"/>
          <w:b/>
          <w:color w:val="000000"/>
          <w:sz w:val="24"/>
          <w:u w:val="single"/>
        </w:rPr>
        <w:t>Effective Date</w:t>
      </w:r>
      <w:r>
        <w:rPr>
          <w:color w:val="000000"/>
        </w:rPr>
        <w:t>”</w:t>
      </w:r>
      <w:r>
        <w:rPr>
          <w:rFonts w:ascii="Times New Roman;serif" w:hAnsi="Times New Roman;serif"/>
          <w:b w:val="false"/>
          <w:color w:val="000000"/>
          <w:sz w:val="24"/>
        </w:rPr>
        <w:t>). This Agreement shall in all respects supersede and replace that certain Employment Agreement entered into between the parties as of June 8, 2021.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Employee and Company are parties to that certain Employment Agreement dated June 8, 2021 (the “</w:t>
      </w:r>
      <w:r>
        <w:rPr>
          <w:rFonts w:ascii="Times New Roman;serif" w:hAnsi="Times New Roman;serif"/>
          <w:b/>
          <w:color w:val="000000"/>
          <w:sz w:val="24"/>
          <w:u w:val="single"/>
        </w:rPr>
        <w:t>Prior</w:t>
      </w:r>
      <w:r>
        <w:rPr>
          <w:color w:val="000000"/>
          <w:u w:val="single"/>
        </w:rPr>
        <w:t xml:space="preserve"> </w:t>
      </w:r>
      <w:r>
        <w:rPr>
          <w:rFonts w:ascii="Times New Roman;serif" w:hAnsi="Times New Roman;serif"/>
          <w:b/>
          <w:color w:val="000000"/>
          <w:sz w:val="24"/>
          <w:u w:val="single"/>
        </w:rPr>
        <w:t>Employment Agreement</w:t>
      </w:r>
      <w:r>
        <w:rPr>
          <w:color w:val="000000"/>
        </w:rPr>
        <w:t>”</w:t>
      </w:r>
      <w:r>
        <w:rPr>
          <w:rFonts w:ascii="Times New Roman;serif" w:hAnsi="Times New Roman;serif"/>
          <w:b w:val="false"/>
          <w:color w:val="000000"/>
          <w:sz w:val="24"/>
        </w:rPr>
        <w:t xml:space="preserve">); and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parties now desire to amend and restate in its entirety the Prior Employment Agreement to, among other things, modify the compensation and benefits Employee is entitled to following a termination of employment with the Company;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Company desires to continue to employ Employee and Employee desires to continue to be employed by the Company, on the terms and subject to the conditions set forth herein.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agreements set forth herein and for other good and valuable consideration, receipt of which is acknowledged, the parties hereby agree as follows:</w:t>
      </w:r>
    </w:p>
    <w:p>
      <w:pPr>
        <w:pStyle w:val="TextBody"/>
        <w:bidi w:val="0"/>
        <w:spacing w:before="0" w:after="0"/>
        <w:ind w:left="0" w:right="0" w:firstLine="720"/>
        <w:jc w:val="left"/>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w:t>
      </w:r>
      <w:r>
        <w:rPr>
          <w:rFonts w:ascii="Times New Roman;serif" w:hAnsi="Times New Roman;serif"/>
          <w:b/>
          <w:color w:val="000000"/>
          <w:sz w:val="24"/>
          <w:u w:val="single"/>
        </w:rPr>
        <w:t>Employment</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During the Employment Period (as defined below), the Company shall employ Employee, and Employee shall serve, as Executive Vice President, Chief Strategy Officer, and General Counsel of the Company and in such other position or positions as may be assigned from time to time by the board of directors of the Company (the “</w:t>
      </w:r>
      <w:r>
        <w:rPr>
          <w:rFonts w:ascii="Times New Roman;serif" w:hAnsi="Times New Roman;serif"/>
          <w:b/>
          <w:color w:val="000000"/>
          <w:sz w:val="24"/>
          <w:u w:val="single"/>
        </w:rPr>
        <w:t>Board</w:t>
      </w:r>
      <w:r>
        <w:rPr>
          <w:color w:val="000000"/>
        </w:rPr>
        <w:t>”</w:t>
      </w:r>
      <w:r>
        <w:rPr>
          <w:rFonts w:ascii="Times New Roman;serif" w:hAnsi="Times New Roman;serif"/>
          <w:b w:val="false"/>
          <w:color w:val="000000"/>
          <w:sz w:val="24"/>
        </w:rPr>
        <w:t>) or the Chief Executive Officer of the Company (the “</w:t>
      </w:r>
      <w:r>
        <w:rPr>
          <w:rFonts w:ascii="Times New Roman;serif" w:hAnsi="Times New Roman;serif"/>
          <w:b/>
          <w:color w:val="000000"/>
          <w:sz w:val="24"/>
          <w:u w:val="single"/>
        </w:rPr>
        <w:t>CEO</w:t>
      </w:r>
      <w:r>
        <w:rPr>
          <w:color w:val="000000"/>
        </w:rPr>
        <w:t>”</w:t>
      </w:r>
      <w:r>
        <w:rPr>
          <w:rFonts w:ascii="Times New Roman;serif" w:hAnsi="Times New Roman;serif"/>
          <w:b w:val="false"/>
          <w:color w:val="000000"/>
          <w:sz w:val="24"/>
        </w:rPr>
        <w:t>).</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2.</w:t>
      </w:r>
      <w:r>
        <w:rPr>
          <w:rFonts w:ascii="Times New Roman;serif" w:hAnsi="Times New Roman;serif"/>
          <w:b/>
          <w:color w:val="000000"/>
          <w:sz w:val="24"/>
          <w:u w:val="single"/>
        </w:rPr>
        <w:t>Duties and Responsibilities of Employee</w:t>
      </w:r>
      <w:r>
        <w:rPr>
          <w:rFonts w:ascii="Times New Roman;serif" w:hAnsi="Times New Roman;serif"/>
          <w:b/>
          <w:i/>
          <w:color w:val="000000"/>
          <w:sz w:val="24"/>
          <w:u w:val="single"/>
        </w:rPr>
        <w:t>.</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(a) During the Employment Period, Employee shall actively engage in the business and affairs of the Company (together with its direct and indirect subsidiaries, the “</w:t>
      </w:r>
      <w:r>
        <w:rPr>
          <w:rFonts w:ascii="Times New Roman;serif" w:hAnsi="Times New Roman;serif"/>
          <w:b/>
          <w:color w:val="000000"/>
          <w:sz w:val="24"/>
          <w:u w:val="single"/>
        </w:rPr>
        <w:t>Company Group</w:t>
      </w:r>
      <w:r>
        <w:rPr>
          <w:color w:val="000000"/>
        </w:rPr>
        <w:t>”</w:t>
      </w:r>
      <w:r>
        <w:rPr>
          <w:rFonts w:ascii="Times New Roman;serif" w:hAnsi="Times New Roman;serif"/>
          <w:b w:val="false"/>
          <w:color w:val="000000"/>
          <w:sz w:val="24"/>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Times New Roman;serif" w:hAnsi="Times New Roman;serif"/>
          <w:b w:val="false"/>
          <w:color w:val="000000"/>
          <w:sz w:val="24"/>
          <w:u w:val="single"/>
        </w:rPr>
        <w:t>Section 1</w:t>
      </w:r>
      <w:r>
        <w:rPr>
          <w:rFonts w:ascii="Times New Roman;serif" w:hAnsi="Times New Roman;serif"/>
          <w:b w:val="false"/>
          <w:color w:val="000000"/>
          <w:sz w:val="24"/>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Times New Roman;serif" w:hAnsi="Times New Roman;serif"/>
          <w:b w:val="false"/>
          <w:color w:val="000000"/>
          <w:sz w:val="24"/>
          <w:u w:val="single"/>
        </w:rPr>
        <w:t>Section 2(a)</w:t>
      </w:r>
      <w:r>
        <w:rPr>
          <w:rFonts w:ascii="Times New Roman;serif" w:hAnsi="Times New Roman;serif"/>
          <w:b w:val="false"/>
          <w:color w:val="000000"/>
          <w:sz w:val="24"/>
        </w:rPr>
        <w:t>, (i) as a passive investment, own publicly traded securities in such form or manner as will not require any services by Employee in the operation of the entities in which such securities are owned; (ii) engage in charitable and civic activities; (iii) with the prior written consent of the Board, engage in other personal and passive investment activities; and (iv) with the prior written consent of the Board, serve on the board of directors for up to two for profit corporations (collectively, the “</w:t>
      </w:r>
      <w:r>
        <w:rPr>
          <w:rFonts w:ascii="Times New Roman;serif" w:hAnsi="Times New Roman;serif"/>
          <w:b/>
          <w:color w:val="000000"/>
          <w:sz w:val="24"/>
          <w:u w:val="single"/>
        </w:rPr>
        <w:t>Permitted Activities</w:t>
      </w:r>
      <w:r>
        <w:rPr>
          <w:color w:val="000000"/>
        </w:rPr>
        <w:t>”</w:t>
      </w:r>
      <w:r>
        <w:rPr>
          <w:rFonts w:ascii="Times New Roman;serif" w:hAnsi="Times New Roman;serif"/>
          <w:b w:val="false"/>
          <w:color w:val="000000"/>
          <w:sz w:val="24"/>
        </w:rPr>
        <w:t xml:space="preserve">),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 </w:t>
      </w:r>
    </w:p>
    <w:p>
      <w:pPr>
        <w:pStyle w:val="TextBody"/>
        <w:bidi w:val="0"/>
        <w:spacing w:before="0" w:after="0"/>
        <w:ind w:left="0" w:right="0" w:firstLine="144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3.</w:t>
      </w:r>
      <w:r>
        <w:rPr>
          <w:rFonts w:ascii="Times New Roman;serif" w:hAnsi="Times New Roman;serif"/>
          <w:b/>
          <w:color w:val="000000"/>
          <w:sz w:val="24"/>
          <w:u w:val="single"/>
        </w:rPr>
        <w:t>Compensation</w:t>
      </w:r>
      <w:r>
        <w:rPr>
          <w:rFonts w:ascii="Times New Roman;serif" w:hAnsi="Times New Roman;serif"/>
          <w:b w:val="false"/>
          <w:color w:val="000000"/>
          <w:sz w:val="24"/>
        </w:rPr>
        <w:t xml:space="preserve">. </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Employment Period, the Company shall pay to Employee an annualized base salary of $675,000 (the “</w:t>
      </w:r>
      <w:r>
        <w:rPr>
          <w:rFonts w:ascii="Times New Roman;serif" w:hAnsi="Times New Roman;serif"/>
          <w:b/>
          <w:color w:val="000000"/>
          <w:sz w:val="24"/>
          <w:u w:val="single"/>
        </w:rPr>
        <w:t>Base Salary</w:t>
      </w:r>
      <w:r>
        <w:rPr>
          <w:color w:val="000000"/>
        </w:rPr>
        <w:t>”</w:t>
      </w:r>
      <w:r>
        <w:rPr>
          <w:rFonts w:ascii="Times New Roman;serif" w:hAnsi="Times New Roman;serif"/>
          <w:b w:val="false"/>
          <w:color w:val="000000"/>
          <w:sz w:val="24"/>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serif" w:hAnsi="Times New Roman;serif"/>
          <w:b/>
          <w:color w:val="000000"/>
          <w:sz w:val="24"/>
          <w:u w:val="single"/>
        </w:rPr>
        <w:t>Compensation Committee</w:t>
      </w:r>
      <w:r>
        <w:rPr>
          <w:color w:val="000000"/>
        </w:rPr>
        <w:t>”</w:t>
      </w:r>
      <w:r>
        <w:rPr>
          <w:rFonts w:ascii="Times New Roman;serif" w:hAnsi="Times New Roman;serif"/>
          <w:b w:val="false"/>
          <w:color w:val="000000"/>
          <w:sz w:val="24"/>
        </w:rPr>
        <w:t>) and may be increased, but not decreased, at the discretion of the Compensation Committee following consultation with the other independent members of the Board.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Annual Bonus</w:t>
      </w:r>
      <w:r>
        <w:rPr>
          <w:rFonts w:ascii="Times New Roman;serif" w:hAnsi="Times New Roman;serif"/>
          <w:b w:val="false"/>
          <w:color w:val="000000"/>
          <w:sz w:val="24"/>
        </w:rPr>
        <w:t>. Employee shall be eligible for bonus compensation for calendar year 2025 and each subsequent complete calendar year that Employee is employed by the Company hereunder (the “</w:t>
      </w:r>
      <w:r>
        <w:rPr>
          <w:rFonts w:ascii="Times New Roman;serif" w:hAnsi="Times New Roman;serif"/>
          <w:b/>
          <w:color w:val="000000"/>
          <w:sz w:val="24"/>
          <w:u w:val="single"/>
        </w:rPr>
        <w:t>Annual Bonus</w:t>
      </w:r>
      <w:r>
        <w:rPr>
          <w:color w:val="000000"/>
        </w:rPr>
        <w:t>”</w:t>
      </w:r>
      <w:r>
        <w:rPr>
          <w:rFonts w:ascii="Times New Roman;serif" w:hAnsi="Times New Roman;serif"/>
          <w:b w:val="false"/>
          <w:color w:val="000000"/>
          <w:sz w:val="24"/>
        </w:rPr>
        <w:t>). The target Annual Bonus for each such calendar year (the “</w:t>
      </w:r>
      <w:r>
        <w:rPr>
          <w:rFonts w:ascii="Times New Roman;serif" w:hAnsi="Times New Roman;serif"/>
          <w:b/>
          <w:color w:val="000000"/>
          <w:sz w:val="24"/>
          <w:u w:val="single"/>
        </w:rPr>
        <w:t>Bonus Year</w:t>
      </w:r>
      <w:r>
        <w:rPr>
          <w:color w:val="000000"/>
        </w:rPr>
        <w:t>”</w:t>
      </w:r>
      <w:r>
        <w:rPr>
          <w:rFonts w:ascii="Times New Roman;serif" w:hAnsi="Times New Roman;serif"/>
          <w:b w:val="false"/>
          <w:color w:val="000000"/>
          <w:sz w:val="24"/>
        </w:rPr>
        <w:t xml:space="preserve">) shall be 100% of Employee’s Base Salary in effect as of the first day of the Bonus Year,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 (120) days of the applicable Bonus Year.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to the contrary, but subject to </w:t>
      </w:r>
      <w:r>
        <w:rPr>
          <w:rFonts w:ascii="Times New Roman;serif" w:hAnsi="Times New Roman;serif"/>
          <w:b w:val="false"/>
          <w:color w:val="000000"/>
          <w:sz w:val="24"/>
          <w:u w:val="single"/>
        </w:rPr>
        <w:t>Section 7</w:t>
      </w:r>
      <w:r>
        <w:rPr>
          <w:rFonts w:ascii="Times New Roman;serif" w:hAnsi="Times New Roman;serif"/>
          <w:b w:val="false"/>
          <w:color w:val="000000"/>
          <w:sz w:val="24"/>
        </w:rPr>
        <w:t>, no Annual Bonus, if any, nor any portion thereof, shall be payable for any Bonus Year unless Employee remains continuously employed by the Company from the Effective Date through the date on which such Annual Bonus is paid.</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Long-Term Incentive Awards</w:t>
      </w:r>
      <w:r>
        <w:rPr>
          <w:rFonts w:ascii="Times New Roman;serif" w:hAnsi="Times New Roman;serif"/>
          <w:b w:val="false"/>
          <w:color w:val="000000"/>
          <w:sz w:val="24"/>
        </w:rPr>
        <w:t>. Provided that Employee is employed by the Company on the applicable date of grant, Employee shall be eligible to receive annual long-term incentive awards under the Company’s Long-Term Incentive Plan (the “</w:t>
      </w:r>
      <w:r>
        <w:rPr>
          <w:rFonts w:ascii="Times New Roman;serif" w:hAnsi="Times New Roman;serif"/>
          <w:b/>
          <w:color w:val="000000"/>
          <w:sz w:val="24"/>
          <w:u w:val="single"/>
        </w:rPr>
        <w:t>LTIP</w:t>
      </w:r>
      <w:r>
        <w:rPr>
          <w:color w:val="000000"/>
        </w:rPr>
        <w:t>”</w:t>
      </w:r>
      <w:r>
        <w:rPr>
          <w:rFonts w:ascii="Times New Roman;serif" w:hAnsi="Times New Roman;serif"/>
          <w:b w:val="false"/>
          <w:color w:val="000000"/>
          <w:sz w:val="24"/>
        </w:rPr>
        <w:t>), as amended from time to time, commencing in calendar year 2025 with a grant date target value not less than 400% of Employee’s Base Salary as in effect on the applicable date of grant of such award on such terms and conditions as the Board and the Compensation Committee shall determine from time to time. While it is currently anticipated that such annual long-term incentive awards will be in the form of a combination of restricted stock units (40% of the annual award, and vesting in one-third increments on each of the first three anniversaries of the date of grant) and performance stock units (60%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All awards granted to Employee under the LTIP shall be subject to and governed by the terms and provisions of the LTIP as in effect from time to time and the award agreements evidencing such awards.</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080"/>
        <w:jc w:val="both"/>
        <w:rPr/>
      </w:pPr>
      <w:r>
        <w:rPr>
          <w:rFonts w:ascii="Times New Roman;serif" w:hAnsi="Times New Roman;serif"/>
          <w:b w:val="false"/>
          <w:color w:val="000000"/>
          <w:sz w:val="24"/>
        </w:rPr>
        <w:t>4.</w:t>
      </w:r>
      <w:r>
        <w:rPr>
          <w:rFonts w:ascii="Times New Roman;serif" w:hAnsi="Times New Roman;serif"/>
          <w:b/>
          <w:color w:val="000000"/>
          <w:sz w:val="24"/>
          <w:u w:val="single"/>
        </w:rPr>
        <w:t>Term of Employment</w:t>
      </w:r>
      <w:r>
        <w:rPr>
          <w:rFonts w:ascii="Times New Roman;serif" w:hAnsi="Times New Roman;serif"/>
          <w:b w:val="false"/>
          <w:color w:val="000000"/>
          <w:sz w:val="24"/>
        </w:rPr>
        <w:t xml:space="preserve">. </w:t>
      </w:r>
      <w:r>
        <w:rPr>
          <w:color w:val="000000"/>
        </w:rPr>
        <w:t> </w:t>
      </w:r>
      <w:r>
        <w:rPr>
          <w:rFonts w:ascii="Times New Roman;serif" w:hAnsi="Times New Roman;serif"/>
          <w:b w:val="false"/>
          <w:color w:val="000000"/>
          <w:sz w:val="24"/>
        </w:rPr>
        <w:t>The term of Employee’s employment under this Agreement shall be for the period beginning on the Effective Date and ending on the first (1st) anniversary of the Effective Date (the “</w:t>
      </w:r>
      <w:r>
        <w:rPr>
          <w:rFonts w:ascii="Times New Roman;serif" w:hAnsi="Times New Roman;serif"/>
          <w:b/>
          <w:color w:val="000000"/>
          <w:sz w:val="24"/>
          <w:u w:val="single"/>
        </w:rPr>
        <w:t>Initial Expiration Date</w:t>
      </w:r>
      <w:r>
        <w:rPr>
          <w:color w:val="000000"/>
        </w:rPr>
        <w:t>”</w:t>
      </w:r>
      <w:r>
        <w:rPr>
          <w:rFonts w:ascii="Times New Roman;serif" w:hAnsi="Times New Roman;serif"/>
          <w:b w:val="false"/>
          <w:color w:val="000000"/>
          <w:sz w:val="24"/>
        </w:rPr>
        <w:t xml:space="preserve">); provided, however, that beginning on the Initial Expiration Date, and on each anniversary of the Initial Expiration Date thereafter, if Employee’s employment under this Agreement has not been terminated pursuant to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then said term of employment shall automatically be extended for an additional one (1)-year period unless on or before the date that is ninety (90) days prior to the first day of any 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Times New Roman;serif" w:hAnsi="Times New Roman;serif"/>
          <w:b w:val="false"/>
          <w:color w:val="000000"/>
          <w:sz w:val="24"/>
          <w:u w:val="single"/>
        </w:rPr>
        <w:t>Section 7</w:t>
      </w:r>
      <w:r>
        <w:rPr>
          <w:rFonts w:ascii="Times New Roman;serif" w:hAnsi="Times New Roman;serif"/>
          <w:b w:val="false"/>
          <w:color w:val="000000"/>
          <w:sz w:val="24"/>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serif" w:hAnsi="Times New Roman;serif"/>
          <w:b/>
          <w:color w:val="000000"/>
          <w:sz w:val="24"/>
          <w:u w:val="single"/>
        </w:rPr>
        <w:t>Employment Period</w:t>
      </w:r>
      <w:r>
        <w:rPr>
          <w:rFonts w:ascii="Times New Roman;serif" w:hAnsi="Times New Roman;serif"/>
          <w:b w:val="false"/>
          <w:color w:val="000000"/>
          <w:sz w:val="24"/>
        </w:rPr>
        <w:t>.”</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5.</w:t>
      </w:r>
      <w:r>
        <w:rPr>
          <w:rFonts w:ascii="Times New Roman;serif" w:hAnsi="Times New Roman;serif"/>
          <w:b/>
          <w:color w:val="000000"/>
          <w:sz w:val="24"/>
          <w:u w:val="single"/>
        </w:rPr>
        <w:t>Business Expenses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21</w:t>
      </w:r>
      <w:r>
        <w:rPr>
          <w:rFonts w:ascii="Times New Roman;serif" w:hAnsi="Times New Roman;serif"/>
          <w:b w:val="false"/>
          <w:color w:val="000000"/>
          <w:sz w:val="24"/>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6.</w:t>
      </w:r>
      <w:r>
        <w:rPr>
          <w:rFonts w:ascii="Times New Roman;serif" w:hAnsi="Times New Roman;serif"/>
          <w:b/>
          <w:color w:val="000000"/>
          <w:sz w:val="24"/>
          <w:u w:val="single"/>
        </w:rPr>
        <w:t>Benefits</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(a) 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The Company shall not, however, by reason of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be obligated to institute, maintain, or refrain from changing, amending, or discontinuing, any such plan or policy, so long as such changes are similarly applicable to similarly situated Company employees generally.</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7.</w:t>
      </w:r>
      <w:r>
        <w:rPr>
          <w:rFonts w:ascii="Times New Roman;serif" w:hAnsi="Times New Roman;serif"/>
          <w:b/>
          <w:color w:val="000000"/>
          <w:sz w:val="24"/>
          <w:u w:val="single"/>
        </w:rPr>
        <w:t>Termination of Employment</w:t>
      </w:r>
      <w:r>
        <w:rPr>
          <w:rFonts w:ascii="Times New Roman;serif" w:hAnsi="Times New Roman;serif"/>
          <w:b w:val="false"/>
          <w:color w:val="000000"/>
          <w:sz w:val="24"/>
        </w:rPr>
        <w:t>.</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Company’s Right to Terminate Employee’s Employment for Cause</w:t>
      </w:r>
      <w:r>
        <w:rPr>
          <w:rFonts w:ascii="Times New Roman;serif" w:hAnsi="Times New Roman;serif"/>
          <w:b w:val="false"/>
          <w:color w:val="000000"/>
          <w:sz w:val="24"/>
        </w:rPr>
        <w:t>. The Company shall have the right to terminate Employee’s employment hereunder at any time for Cause. For purposes of this Agreement, “</w:t>
      </w:r>
      <w:r>
        <w:rPr>
          <w:rFonts w:ascii="Times New Roman;serif" w:hAnsi="Times New Roman;serif"/>
          <w:b/>
          <w:color w:val="000000"/>
          <w:sz w:val="24"/>
          <w:u w:val="single"/>
        </w:rPr>
        <w:t>Cause</w:t>
      </w:r>
      <w:r>
        <w:rPr>
          <w:color w:val="000000"/>
        </w:rPr>
        <w:t xml:space="preserve">” </w:t>
      </w:r>
      <w:r>
        <w:rPr>
          <w:rFonts w:ascii="Times New Roman;serif" w:hAnsi="Times New Roman;serif"/>
          <w:b w:val="false"/>
          <w:color w:val="000000"/>
          <w:sz w:val="24"/>
        </w:rPr>
        <w:t xml:space="preserve">shall mean Employee’s commission of an act or omission, or Employee causing the Company or any other member of the Company Group to commit an act or omission, that constitutes: </w:t>
      </w:r>
    </w:p>
    <w:p>
      <w:pPr>
        <w:pStyle w:val="TextBody"/>
        <w:bidi w:val="0"/>
        <w:spacing w:before="0" w:after="0"/>
        <w:ind w:left="0" w:right="0" w:firstLine="144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(i) Employee’s fraud or misconduct;</w:t>
      </w:r>
    </w:p>
    <w:p>
      <w:pPr>
        <w:pStyle w:val="TextBody"/>
        <w:bidi w:val="0"/>
        <w:spacing w:before="0" w:after="0"/>
        <w:ind w:left="0" w:right="0" w:firstLine="180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(ii) 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pStyle w:val="TextBody"/>
        <w:bidi w:val="0"/>
        <w:spacing w:lineRule="auto" w:line="288" w:before="240" w:after="283"/>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 xml:space="preserve">(iii) Employee’s material breach of this Agreement or any other written agreement between Employee and one or more members of the Company Group, including Employee’s material breach of any representation, warranty or covenant made under any such agreement; </w:t>
      </w:r>
    </w:p>
    <w:p>
      <w:pPr>
        <w:pStyle w:val="TextBody"/>
        <w:bidi w:val="0"/>
        <w:spacing w:before="0" w:after="0"/>
        <w:jc w:val="left"/>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(iv) 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pStyle w:val="TextBody"/>
        <w:bidi w:val="0"/>
        <w:spacing w:before="0" w:after="0"/>
        <w:ind w:left="0" w:right="0" w:firstLine="180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(v) Employee’s violation of the Company’s policies (to the extent such policies have been clearly communicated in writing to Employee) prohibiting unlawful sexual harassment, non-retaliation, or age, sex or other prohibited discrimination in the workplace.</w:t>
      </w:r>
    </w:p>
    <w:p>
      <w:pPr>
        <w:pStyle w:val="TextBody"/>
        <w:bidi w:val="0"/>
        <w:spacing w:lineRule="auto" w:line="288" w:before="0" w:after="0"/>
        <w:jc w:val="both"/>
        <w:rPr/>
      </w:pPr>
      <w:r>
        <w:rPr>
          <w:rFonts w:ascii="Times New Roman;serif" w:hAnsi="Times New Roman;serif"/>
          <w:b w:val="false"/>
          <w:color w:val="000000"/>
          <w:sz w:val="24"/>
        </w:rPr>
        <w:t xml:space="preserve">Notwithstanding the foregoing, no determination of “Cause” may be made pursuant to </w:t>
      </w:r>
      <w:r>
        <w:rPr>
          <w:rFonts w:ascii="Times New Roman;serif" w:hAnsi="Times New Roman;serif"/>
          <w:b w:val="false"/>
          <w:color w:val="000000"/>
          <w:sz w:val="24"/>
          <w:u w:val="single"/>
        </w:rPr>
        <w:t>Sections 7(a)(ii)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unless (1) within thirty (30) days of the Board obtaining actual knowledge of such action(s) or omissions Employee has been given written notice by the Board describing the specific alleged action(s) or omission(s) that may be subject to the possibility of cure that constitute “Cause,” and (2) Employee has failed to cure any such acts or omissions within thirty (30) days of such notice from the Board. Upon the termination of Employee’s employment pursuant to this </w:t>
      </w:r>
      <w:r>
        <w:rPr>
          <w:rFonts w:ascii="Times New Roman;serif" w:hAnsi="Times New Roman;serif"/>
          <w:b w:val="false"/>
          <w:color w:val="000000"/>
          <w:sz w:val="24"/>
          <w:u w:val="single"/>
        </w:rPr>
        <w:t>Section 7(a)</w:t>
      </w:r>
      <w:r>
        <w:rPr>
          <w:rFonts w:ascii="Times New Roman;serif" w:hAnsi="Times New Roman;serif"/>
          <w:b w:val="false"/>
          <w:color w:val="000000"/>
          <w:sz w:val="24"/>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and (C) benefits to which Employee is entitled under the terms of any applicable benefit plan or program described in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(collectively, the “</w:t>
      </w:r>
      <w:r>
        <w:rPr>
          <w:rFonts w:ascii="Times New Roman;serif" w:hAnsi="Times New Roman;serif"/>
          <w:b/>
          <w:color w:val="000000"/>
          <w:sz w:val="24"/>
          <w:u w:val="single"/>
        </w:rPr>
        <w:t>Accrued Benefits</w:t>
      </w:r>
      <w:r>
        <w:rPr>
          <w:color w:val="000000"/>
        </w:rPr>
        <w:t>”</w:t>
      </w:r>
      <w:r>
        <w:rPr>
          <w:rFonts w:ascii="Times New Roman;serif" w:hAnsi="Times New Roman;serif"/>
          <w:b w:val="false"/>
          <w:color w:val="000000"/>
          <w:sz w:val="24"/>
        </w:rPr>
        <w:t xml:space="preserve">). In addition, subject to any limitation under applicable law, previously paid compensation pursuant to </w:t>
      </w:r>
      <w:r>
        <w:rPr>
          <w:rFonts w:ascii="Times New Roman;serif" w:hAnsi="Times New Roman;serif"/>
          <w:b w:val="false"/>
          <w:color w:val="000000"/>
          <w:sz w:val="24"/>
          <w:u w:val="single"/>
        </w:rPr>
        <w:t>Sections 3(b)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3(c)</w:t>
      </w:r>
      <w:r>
        <w:rPr>
          <w:color w:val="000000"/>
        </w:rPr>
        <w:t xml:space="preserve"> </w:t>
      </w:r>
      <w:r>
        <w:rPr>
          <w:rFonts w:ascii="Times New Roman;serif" w:hAnsi="Times New Roman;serif"/>
          <w:b w:val="false"/>
          <w:color w:val="000000"/>
          <w:sz w:val="24"/>
        </w:rPr>
        <w:t xml:space="preserve">shall be subject to clawback or forfeiture and cancellation at the discretion of the Compensation Committee in the event of a termination of Employee’s employment for Cause.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Company’s Right to Terminate for Convenience</w:t>
      </w:r>
      <w:r>
        <w:rPr>
          <w:rFonts w:ascii="Times New Roman;serif" w:hAnsi="Times New Roman;serif"/>
          <w:b w:val="false"/>
          <w:color w:val="000000"/>
          <w:sz w:val="24"/>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serif" w:hAnsi="Times New Roman;serif"/>
          <w:b w:val="false"/>
          <w:color w:val="000000"/>
          <w:sz w:val="24"/>
          <w:u w:val="single"/>
        </w:rPr>
        <w:t>Section 7(f)</w:t>
      </w:r>
      <w:r>
        <w:rPr>
          <w:rFonts w:ascii="Times New Roman;serif" w:hAnsi="Times New Roman;serif"/>
          <w:b w:val="false"/>
          <w:color w:val="000000"/>
          <w:sz w:val="24"/>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Employee’s Right to Terminate for Good Reason</w:t>
      </w:r>
      <w:r>
        <w:rPr>
          <w:rFonts w:ascii="Times New Roman;serif" w:hAnsi="Times New Roman;serif"/>
          <w:b w:val="false"/>
          <w:color w:val="000000"/>
          <w:sz w:val="24"/>
        </w:rPr>
        <w:t xml:space="preserve">. Employee shall have the right to terminate Employee’s employment with the Company at any time for Good Reason, in which event Employee shall receive the compensation and benefits described in </w:t>
      </w:r>
      <w:r>
        <w:rPr>
          <w:rFonts w:ascii="Times New Roman;serif" w:hAnsi="Times New Roman;serif"/>
          <w:b w:val="false"/>
          <w:color w:val="000000"/>
          <w:sz w:val="24"/>
          <w:u w:val="single"/>
        </w:rPr>
        <w:t>Section 7(f)</w:t>
      </w:r>
      <w:r>
        <w:rPr>
          <w:rFonts w:ascii="Times New Roman;serif" w:hAnsi="Times New Roman;serif"/>
          <w:b w:val="false"/>
          <w:color w:val="000000"/>
          <w:sz w:val="24"/>
        </w:rPr>
        <w:t>. For purposes of this Agreement, “</w:t>
      </w:r>
      <w:r>
        <w:rPr>
          <w:rFonts w:ascii="Times New Roman;serif" w:hAnsi="Times New Roman;serif"/>
          <w:b/>
          <w:color w:val="000000"/>
          <w:sz w:val="24"/>
          <w:u w:val="single"/>
        </w:rPr>
        <w:t>Good Reason</w:t>
      </w:r>
      <w:r>
        <w:rPr>
          <w:color w:val="000000"/>
        </w:rPr>
        <w:t xml:space="preserve">” </w:t>
      </w:r>
      <w:r>
        <w:rPr>
          <w:rFonts w:ascii="Times New Roman;serif" w:hAnsi="Times New Roman;serif"/>
          <w:b w:val="false"/>
          <w:color w:val="000000"/>
          <w:sz w:val="24"/>
        </w:rPr>
        <w:t>shall mean any of the following occurring without Employee’s consent:</w:t>
      </w:r>
    </w:p>
    <w:p>
      <w:pPr>
        <w:pStyle w:val="TextBody"/>
        <w:bidi w:val="0"/>
        <w:spacing w:before="0" w:after="0"/>
        <w:ind w:left="0" w:right="0" w:firstLine="144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 xml:space="preserve">(i) a material adverse change in Employee’s title, duties or responsibilities (including reporting responsibilities); </w:t>
      </w:r>
    </w:p>
    <w:p>
      <w:pPr>
        <w:pStyle w:val="TextBody"/>
        <w:bidi w:val="0"/>
        <w:spacing w:before="0" w:after="0"/>
        <w:ind w:left="0" w:right="0" w:firstLine="1800"/>
        <w:jc w:val="both"/>
        <w:rPr/>
      </w:pPr>
      <w:r>
        <w:rPr/>
      </w:r>
    </w:p>
    <w:p>
      <w:pPr>
        <w:pStyle w:val="TextBody"/>
        <w:bidi w:val="0"/>
        <w:spacing w:lineRule="auto" w:line="288" w:before="0" w:after="0"/>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 xml:space="preserve">(ii) a material reduction in Employee’s Base Salary; </w:t>
      </w:r>
    </w:p>
    <w:p>
      <w:pPr>
        <w:pStyle w:val="TextBody"/>
        <w:bidi w:val="0"/>
        <w:spacing w:lineRule="auto" w:line="288" w:before="240" w:after="283"/>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(iii) a relocation of Employee’s primary work location to a distance of more than 50 miles from its location as of immediately prior to such change; or</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a material breach by the Company of any of its obligations under this Agreement.</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 days following the expiration of such cure period for the termination to be on account of Good Reason.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Times New Roman;serif" w:hAnsi="Times New Roman;serif"/>
          <w:b/>
          <w:color w:val="000000"/>
          <w:sz w:val="24"/>
          <w:u w:val="single"/>
        </w:rPr>
        <w:t>Disability</w:t>
      </w:r>
      <w:r>
        <w:rPr>
          <w:color w:val="000000"/>
        </w:rPr>
        <w:t>” </w:t>
      </w:r>
      <w:r>
        <w:rPr>
          <w:rFonts w:ascii="Times New Roman;serif" w:hAnsi="Times New Roman;serif"/>
          <w:b w:val="false"/>
          <w:color w:val="000000"/>
          <w:sz w:val="24"/>
        </w:rPr>
        <w:t xml:space="preserve">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Employee’s Right to Terminate for Convenience</w:t>
      </w:r>
      <w:r>
        <w:rPr>
          <w:rFonts w:ascii="Times New Roman;serif" w:hAnsi="Times New Roman;serif"/>
          <w:b w:val="false"/>
          <w:color w:val="000000"/>
          <w:sz w:val="24"/>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serif" w:hAnsi="Times New Roman;serif"/>
          <w:b w:val="false"/>
          <w:color w:val="000000"/>
          <w:sz w:val="24"/>
          <w:u w:val="single"/>
        </w:rPr>
        <w:t>Section 7(b)</w:t>
      </w:r>
      <w:r>
        <w:rPr>
          <w:rFonts w:ascii="Times New Roman;serif" w:hAnsi="Times New Roman;serif"/>
          <w:b w:val="false"/>
          <w:color w:val="000000"/>
          <w:sz w:val="24"/>
        </w:rPr>
        <w:t xml:space="preserve">). Upon the termination of Employee’s employment pursuant to this </w:t>
      </w:r>
      <w:r>
        <w:rPr>
          <w:rFonts w:ascii="Times New Roman;serif" w:hAnsi="Times New Roman;serif"/>
          <w:b w:val="false"/>
          <w:color w:val="000000"/>
          <w:sz w:val="24"/>
          <w:u w:val="single"/>
        </w:rPr>
        <w:t>Section 7(e)</w:t>
      </w:r>
      <w:r>
        <w:rPr>
          <w:color w:val="000000"/>
        </w:rPr>
        <w:t xml:space="preserve"> </w:t>
      </w:r>
      <w:r>
        <w:rPr>
          <w:rFonts w:ascii="Times New Roman;serif" w:hAnsi="Times New Roman;serif"/>
          <w:b w:val="false"/>
          <w:color w:val="000000"/>
          <w:sz w:val="24"/>
        </w:rPr>
        <w:t xml:space="preserve">or at the expiration of the term provided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because Employee provided written notice of non-renewal to the Company, then the Company shall pay to Employee the Accrued Benefits.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Effect of Termination of Employment without Cause, for Good Reason or for Non-Renewal by the Company</w:t>
      </w:r>
      <w:r>
        <w:rPr>
          <w:rFonts w:ascii="Times New Roman;serif" w:hAnsi="Times New Roman;serif"/>
          <w:b w:val="false"/>
          <w:color w:val="000000"/>
          <w:sz w:val="24"/>
        </w:rPr>
        <w:t xml:space="preserve">. </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800"/>
        <w:jc w:val="both"/>
        <w:rPr/>
      </w:pPr>
      <w:r>
        <w:rPr>
          <w:rFonts w:ascii="Times New Roman;serif" w:hAnsi="Times New Roman;serif"/>
          <w:b w:val="false"/>
          <w:color w:val="000000"/>
          <w:sz w:val="24"/>
        </w:rPr>
        <w:t xml:space="preserve">(i) If Employee’s employment is terminated at the expiration of the term provided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because the Company provided written notice of non-renewal to Employee, or prior to the expiration of such term by the Company without Cause pursuant to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 xml:space="preserve">or by Employee for Good Reason pursuant to </w:t>
      </w:r>
      <w:r>
        <w:rPr>
          <w:rFonts w:ascii="Times New Roman;serif" w:hAnsi="Times New Roman;serif"/>
          <w:b w:val="false"/>
          <w:color w:val="000000"/>
          <w:sz w:val="24"/>
          <w:u w:val="single"/>
        </w:rPr>
        <w:t>Section 7(c)</w:t>
      </w:r>
      <w:r>
        <w:rPr>
          <w:rFonts w:ascii="Times New Roman;serif" w:hAnsi="Times New Roman;serif"/>
          <w:b w:val="false"/>
          <w:color w:val="000000"/>
          <w:sz w:val="24"/>
        </w:rPr>
        <w:t>, then 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serif" w:hAnsi="Times New Roman;serif"/>
          <w:b/>
          <w:color w:val="000000"/>
          <w:sz w:val="24"/>
          <w:u w:val="single"/>
        </w:rPr>
        <w:t>Release</w:t>
      </w:r>
      <w:r>
        <w:rPr>
          <w:color w:val="000000"/>
        </w:rPr>
        <w:t>”</w:t>
      </w:r>
      <w:r>
        <w:rPr>
          <w:rFonts w:ascii="Times New Roman;serif" w:hAnsi="Times New Roman;serif"/>
          <w:b w:val="false"/>
          <w:color w:val="000000"/>
          <w:sz w:val="24"/>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serif" w:hAnsi="Times New Roman;serif"/>
          <w:b w:val="false"/>
          <w:color w:val="000000"/>
          <w:sz w:val="24"/>
          <w:u w:val="single"/>
        </w:rPr>
        <w:t>Section 7(f)</w:t>
      </w:r>
      <w:r>
        <w:rPr>
          <w:rFonts w:ascii="Times New Roman;serif" w:hAnsi="Times New Roman;serif"/>
          <w:b w:val="false"/>
          <w:color w:val="000000"/>
          <w:sz w:val="24"/>
        </w:rPr>
        <w:t xml:space="preserve">; and (y) abides by the terms of each of </w:t>
      </w:r>
      <w:r>
        <w:rPr>
          <w:rFonts w:ascii="Times New Roman;serif" w:hAnsi="Times New Roman;serif"/>
          <w:b w:val="false"/>
          <w:color w:val="000000"/>
          <w:sz w:val="24"/>
          <w:u w:val="single"/>
        </w:rPr>
        <w:t>Sections 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w:t>
      </w:r>
      <w:r>
        <w:rPr>
          <w:rFonts w:ascii="Times New Roman;serif" w:hAnsi="Times New Roman;serif"/>
          <w:b w:val="false"/>
          <w:color w:val="000000"/>
          <w:sz w:val="24"/>
        </w:rPr>
        <w:t>, then:</w:t>
      </w:r>
    </w:p>
    <w:p>
      <w:pPr>
        <w:pStyle w:val="TextBody"/>
        <w:bidi w:val="0"/>
        <w:ind w:left="0" w:right="0" w:firstLine="18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800"/>
        <w:jc w:val="both"/>
        <w:rPr/>
      </w:pPr>
      <w:r>
        <w:rPr>
          <w:rFonts w:ascii="Times New Roman;serif" w:hAnsi="Times New Roman;serif"/>
          <w:b w:val="false"/>
          <w:color w:val="000000"/>
          <w:sz w:val="24"/>
        </w:rPr>
        <w:t>(A) The Company shall make severance payments to Employee in a total amount equal to a multiplier of one and one-half (1.5) (or if such termination occurs upon or within the one (1)-year period following a Change in Control (as defined below) (“</w:t>
      </w:r>
      <w:r>
        <w:rPr>
          <w:rFonts w:ascii="Times New Roman;serif" w:hAnsi="Times New Roman;serif"/>
          <w:b/>
          <w:color w:val="000000"/>
          <w:sz w:val="24"/>
          <w:u w:val="single"/>
        </w:rPr>
        <w:t>a CIC Termination</w:t>
      </w:r>
      <w:r>
        <w:rPr>
          <w:color w:val="000000"/>
        </w:rPr>
        <w:t>”</w:t>
      </w:r>
      <w:r>
        <w:rPr>
          <w:rFonts w:ascii="Times New Roman;serif" w:hAnsi="Times New Roman;serif"/>
          <w:b w:val="false"/>
          <w:color w:val="000000"/>
          <w:sz w:val="24"/>
        </w:rPr>
        <w:t>), a multiple of two (2)) times the sum of the Employee’s Base Salary as of the date on which the Employee’s employment terminates (the “</w:t>
      </w:r>
      <w:r>
        <w:rPr>
          <w:rFonts w:ascii="Times New Roman;serif" w:hAnsi="Times New Roman;serif"/>
          <w:b/>
          <w:color w:val="000000"/>
          <w:sz w:val="24"/>
          <w:u w:val="single"/>
        </w:rPr>
        <w:t>Termination Date</w:t>
      </w:r>
      <w:r>
        <w:rPr>
          <w:color w:val="000000"/>
        </w:rPr>
        <w:t>”</w:t>
      </w:r>
      <w:r>
        <w:rPr>
          <w:rFonts w:ascii="Times New Roman;serif" w:hAnsi="Times New Roman;serif"/>
          <w:b w:val="false"/>
          <w:color w:val="000000"/>
          <w:sz w:val="24"/>
        </w:rPr>
        <w:t>) plus the Employee’s target Annual Bonus for the year in which the Termination Date occurs (such total severance payments being referred to as the “</w:t>
      </w:r>
      <w:r>
        <w:rPr>
          <w:rFonts w:ascii="Times New Roman;serif" w:hAnsi="Times New Roman;serif"/>
          <w:b/>
          <w:color w:val="000000"/>
          <w:sz w:val="24"/>
          <w:u w:val="single"/>
        </w:rPr>
        <w:t>Severance Payment</w:t>
      </w:r>
      <w:r>
        <w:rPr>
          <w:color w:val="000000"/>
        </w:rPr>
        <w:t>”</w:t>
      </w:r>
      <w:r>
        <w:rPr>
          <w:rFonts w:ascii="Times New Roman;serif" w:hAnsi="Times New Roman;serif"/>
          <w:b w:val="false"/>
          <w:color w:val="000000"/>
          <w:sz w:val="24"/>
        </w:rPr>
        <w:t>). The Severance Payment will be divided into substantially equal installments paid over the eighteen (18)-month period following the Termination Date (or, in the event of a CIC Termination, over the twenty-four (24) month period following the Termination Date). On the Company’s first regularly scheduled pay date that is on or after the date that is sixty (60) days after the Termination Date (the “</w:t>
      </w:r>
      <w:r>
        <w:rPr>
          <w:rFonts w:ascii="Times New Roman;serif" w:hAnsi="Times New Roman;serif"/>
          <w:b/>
          <w:color w:val="000000"/>
          <w:sz w:val="24"/>
          <w:u w:val="single"/>
        </w:rPr>
        <w:t>First Payment Date</w:t>
      </w:r>
      <w:r>
        <w:rPr>
          <w:color w:val="000000"/>
        </w:rPr>
        <w:t>”</w:t>
      </w:r>
      <w:r>
        <w:rPr>
          <w:rFonts w:ascii="Times New Roman;serif" w:hAnsi="Times New Roman;serif"/>
          <w:b w:val="false"/>
          <w:color w:val="000000"/>
          <w:sz w:val="24"/>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the eighteen (18)-month or twenty-four (24)-month period, as applicable;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to the extent, if any, that the aggregate amount of the installments of the Severance Payment that would otherwise be paid pursuant to the preceding provisions of this </w:t>
      </w:r>
      <w:r>
        <w:rPr>
          <w:rFonts w:ascii="Times New Roman;serif" w:hAnsi="Times New Roman;serif"/>
          <w:b w:val="false"/>
          <w:color w:val="000000"/>
          <w:sz w:val="24"/>
          <w:u w:val="single"/>
        </w:rPr>
        <w:t>Section 7(f)(i)</w:t>
      </w:r>
      <w:r>
        <w:rPr>
          <w:color w:val="000000"/>
        </w:rPr>
        <w:t xml:space="preserve"> </w:t>
      </w:r>
      <w:r>
        <w:rPr>
          <w:rFonts w:ascii="Times New Roman;serif" w:hAnsi="Times New Roman;serif"/>
          <w:b w:val="false"/>
          <w:color w:val="000000"/>
          <w:sz w:val="24"/>
        </w:rPr>
        <w:t>after March 15 of the calendar year following the calendar year in which the Termination Date occurs (the “</w:t>
      </w:r>
      <w:r>
        <w:rPr>
          <w:rFonts w:ascii="Times New Roman;serif" w:hAnsi="Times New Roman;serif"/>
          <w:b/>
          <w:color w:val="000000"/>
          <w:sz w:val="24"/>
          <w:u w:val="single"/>
        </w:rPr>
        <w:t>Applicable March 15</w:t>
      </w:r>
      <w:r>
        <w:rPr>
          <w:color w:val="000000"/>
        </w:rPr>
        <w:t>”</w:t>
      </w:r>
      <w:r>
        <w:rPr>
          <w:rFonts w:ascii="Times New Roman;serif" w:hAnsi="Times New Roman;serif"/>
          <w:b w:val="false"/>
          <w:color w:val="000000"/>
          <w:sz w:val="24"/>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serif" w:hAnsi="Times New Roman;serif"/>
          <w:b/>
          <w:color w:val="000000"/>
          <w:sz w:val="24"/>
          <w:u w:val="single"/>
        </w:rPr>
        <w:t>Business Day</w:t>
      </w:r>
      <w:r>
        <w:rPr>
          <w:color w:val="000000"/>
        </w:rPr>
        <w:t xml:space="preserve">” </w:t>
      </w:r>
      <w:r>
        <w:rPr>
          <w:rFonts w:ascii="Times New Roman;serif" w:hAnsi="Times New Roman;serif"/>
          <w:b w:val="false"/>
          <w:color w:val="000000"/>
          <w:sz w:val="24"/>
        </w:rPr>
        <w:t xml:space="preserve">shall mean any day except a Saturday, Sunday or other day on which commercial banks in San Francisco, California, are authorized or required by law to be closed. Solely for purposes of this </w:t>
      </w:r>
      <w:r>
        <w:rPr>
          <w:rFonts w:ascii="Times New Roman;serif" w:hAnsi="Times New Roman;serif"/>
          <w:b w:val="false"/>
          <w:color w:val="000000"/>
          <w:sz w:val="24"/>
          <w:u w:val="single"/>
        </w:rPr>
        <w:t>Section 7(f)</w:t>
      </w:r>
      <w:r>
        <w:rPr>
          <w:rFonts w:ascii="Times New Roman;serif" w:hAnsi="Times New Roman;serif"/>
          <w:b w:val="false"/>
          <w:color w:val="000000"/>
          <w:sz w:val="24"/>
        </w:rPr>
        <w:t>, a “</w:t>
      </w:r>
      <w:r>
        <w:rPr>
          <w:rFonts w:ascii="Times New Roman;serif" w:hAnsi="Times New Roman;serif"/>
          <w:b/>
          <w:color w:val="000000"/>
          <w:sz w:val="24"/>
          <w:u w:val="single"/>
        </w:rPr>
        <w:t>Change in Control</w:t>
      </w:r>
      <w:r>
        <w:rPr>
          <w:color w:val="000000"/>
        </w:rPr>
        <w:t xml:space="preserve">” </w:t>
      </w:r>
      <w:r>
        <w:rPr>
          <w:rFonts w:ascii="Times New Roman;serif" w:hAnsi="Times New Roman;serif"/>
          <w:b w:val="false"/>
          <w:color w:val="000000"/>
          <w:sz w:val="24"/>
        </w:rPr>
        <w:t xml:space="preserve">shall be defined as such term is defined in the Company’s LTIP. </w:t>
      </w:r>
    </w:p>
    <w:p>
      <w:pPr>
        <w:pStyle w:val="TextBody"/>
        <w:bidi w:val="0"/>
        <w:spacing w:before="0" w:after="0"/>
        <w:ind w:left="0" w:right="0" w:firstLine="1800"/>
        <w:jc w:val="both"/>
        <w:rPr/>
      </w:pPr>
      <w:r>
        <w:rPr/>
      </w:r>
    </w:p>
    <w:p>
      <w:pPr>
        <w:pStyle w:val="TextBody"/>
        <w:bidi w:val="0"/>
        <w:spacing w:lineRule="auto" w:line="288"/>
        <w:ind w:left="0" w:right="0" w:firstLine="1800"/>
        <w:jc w:val="both"/>
        <w:rPr>
          <w:rFonts w:ascii="Times New Roman;serif" w:hAnsi="Times New Roman;serif"/>
          <w:b w:val="false"/>
          <w:color w:val="000000"/>
          <w:sz w:val="24"/>
        </w:rPr>
      </w:pPr>
      <w:r>
        <w:rPr>
          <w:rFonts w:ascii="Times New Roman;serif" w:hAnsi="Times New Roman;serif"/>
          <w:b w:val="false"/>
          <w:color w:val="000000"/>
          <w:sz w:val="24"/>
        </w:rPr>
        <w:t>(B) The Company shall pay Employee a pro-rata Annual Bonus for the year in which the Termination Date occurs based on the actual performance results achieved for the applicable year, and pro-rated for the period of days beginning on the first day of the applicable Bonus Year and ending on the Termination Date, relative to the number of days in the applicable Bonus Year. The prorated Annual Bonus described in the preceding sentence, if any, shall be paid in cash at the same time corresponding bonuses are paid to similarly situated employees of the Company, but in no event later than March 15 following the year in which such termination of employment occurs.</w:t>
      </w:r>
    </w:p>
    <w:p>
      <w:pPr>
        <w:pStyle w:val="TextBody"/>
        <w:bidi w:val="0"/>
        <w:spacing w:before="0" w:after="0"/>
        <w:ind w:left="0" w:right="0" w:firstLine="180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800"/>
        <w:jc w:val="both"/>
        <w:rPr/>
      </w:pPr>
      <w:r>
        <w:rPr>
          <w:rFonts w:ascii="Times New Roman;serif" w:hAnsi="Times New Roman;serif"/>
          <w:b w:val="false"/>
          <w:color w:val="000000"/>
          <w:sz w:val="24"/>
        </w:rPr>
        <w:t>(C) During the portion, if any, of the initial eighteen (18)-month period following the Termination Date (or in the event of a CIC Termination, a twenty-four (24)-month period) (the “</w:t>
      </w:r>
      <w:r>
        <w:rPr>
          <w:rFonts w:ascii="Times New Roman;serif" w:hAnsi="Times New Roman;serif"/>
          <w:b/>
          <w:color w:val="000000"/>
          <w:sz w:val="24"/>
          <w:u w:val="single"/>
        </w:rPr>
        <w:t>Reimbursement Period</w:t>
      </w:r>
      <w:r>
        <w:rPr>
          <w:color w:val="000000"/>
        </w:rPr>
        <w:t>”</w:t>
      </w:r>
      <w:r>
        <w:rPr>
          <w:rFonts w:ascii="Times New Roman;serif" w:hAnsi="Times New Roman;serif"/>
          <w:b w:val="false"/>
          <w:color w:val="000000"/>
          <w:sz w:val="24"/>
        </w:rPr>
        <w:t>) that Employee elects to continue coverage for Employee and Employee’s spouse and eligible dependents, if any, under the Company’s group health plans pursuant to the Consolidated Omnibus Budget Reconciliation Act of 1985, as amended (“</w:t>
      </w:r>
      <w:r>
        <w:rPr>
          <w:rFonts w:ascii="Times New Roman;serif" w:hAnsi="Times New Roman;serif"/>
          <w:b/>
          <w:color w:val="000000"/>
          <w:sz w:val="24"/>
          <w:u w:val="single"/>
        </w:rPr>
        <w:t>COBRA</w:t>
      </w:r>
      <w:r>
        <w:rPr>
          <w:color w:val="000000"/>
        </w:rPr>
        <w:t>”</w:t>
      </w:r>
      <w:r>
        <w:rPr>
          <w:rFonts w:ascii="Times New Roman;serif" w:hAnsi="Times New Roman;serif"/>
          <w:b w:val="false"/>
          <w:color w:val="000000"/>
          <w:sz w:val="24"/>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Times New Roman;serif" w:hAnsi="Times New Roman;serif"/>
          <w:b/>
          <w:color w:val="000000"/>
          <w:sz w:val="24"/>
          <w:u w:val="single"/>
        </w:rPr>
        <w:t>COBRA Benefit</w:t>
      </w:r>
      <w:r>
        <w:rPr>
          <w:color w:val="000000"/>
        </w:rPr>
        <w:t>”</w:t>
      </w:r>
      <w:r>
        <w:rPr>
          <w:rFonts w:ascii="Times New Roman;serif" w:hAnsi="Times New Roman;serif"/>
          <w:b w:val="false"/>
          <w:color w:val="000000"/>
          <w:sz w:val="24"/>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 (z) 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pStyle w:val="TextBody"/>
        <w:bidi w:val="0"/>
        <w:spacing w:before="0" w:after="0"/>
        <w:ind w:left="0" w:right="0" w:firstLine="1800"/>
        <w:jc w:val="both"/>
        <w:rPr/>
      </w:pPr>
      <w:r>
        <w:rPr/>
      </w:r>
    </w:p>
    <w:p>
      <w:pPr>
        <w:pStyle w:val="TextBody"/>
        <w:bidi w:val="0"/>
        <w:spacing w:lineRule="auto" w:line="288" w:before="0" w:after="0"/>
        <w:jc w:val="both"/>
        <w:rPr/>
      </w:pPr>
      <w:r>
        <w:rPr>
          <w:rFonts w:ascii="Times New Roman;serif" w:hAnsi="Times New Roman;serif"/>
          <w:b w:val="false"/>
          <w:color w:val="000000"/>
          <w:sz w:val="24"/>
        </w:rPr>
        <w:t>The payments and benefits described in clauses (A), (B), (C) and (D) above are collectively referred to herein as the “</w:t>
      </w:r>
      <w:r>
        <w:rPr>
          <w:rFonts w:ascii="Times New Roman;serif" w:hAnsi="Times New Roman;serif"/>
          <w:b/>
          <w:color w:val="000000"/>
          <w:sz w:val="24"/>
          <w:u w:val="single"/>
        </w:rPr>
        <w:t>Termination Benefits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1800"/>
        <w:jc w:val="both"/>
        <w:rPr/>
      </w:pPr>
      <w:r>
        <w:rPr>
          <w:rFonts w:ascii="Times New Roman;serif" w:hAnsi="Times New Roman;serif"/>
          <w:b w:val="false"/>
          <w:color w:val="000000"/>
          <w:sz w:val="24"/>
        </w:rPr>
        <w:t>(ii) 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Times New Roman;serif" w:hAnsi="Times New Roman;serif"/>
          <w:b/>
          <w:color w:val="000000"/>
          <w:sz w:val="24"/>
          <w:u w:val="single"/>
        </w:rPr>
        <w:t>Release Expiration Date</w:t>
      </w:r>
      <w:r>
        <w:rPr>
          <w:color w:val="000000"/>
        </w:rPr>
        <w:t xml:space="preserve">” </w:t>
      </w:r>
      <w:r>
        <w:rPr>
          <w:rFonts w:ascii="Times New Roman;serif" w:hAnsi="Times New Roman;serif"/>
          <w:b w:val="false"/>
          <w:color w:val="000000"/>
          <w:sz w:val="24"/>
        </w:rPr>
        <w:t>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ind w:left="0" w:right="0" w:firstLine="18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(g) </w:t>
      </w:r>
      <w:r>
        <w:rPr>
          <w:rFonts w:ascii="Times New Roman;serif" w:hAnsi="Times New Roman;serif"/>
          <w:b w:val="false"/>
          <w:color w:val="000000"/>
          <w:sz w:val="24"/>
          <w:u w:val="single"/>
        </w:rPr>
        <w:t>After-Acquired Evidence</w:t>
      </w:r>
      <w:r>
        <w:rPr>
          <w:rFonts w:ascii="Times New Roman;serif" w:hAnsi="Times New Roman;serif"/>
          <w:b w:val="false"/>
          <w:color w:val="000000"/>
          <w:sz w:val="24"/>
        </w:rPr>
        <w:t xml:space="preserve">. Notwithstanding any provision of this Agreement to the contrary, in the event that the Company determines, in good faith, that Employee is eligible to receive the Termination Benefits pursuant to </w:t>
      </w:r>
      <w:r>
        <w:rPr>
          <w:rFonts w:ascii="Times New Roman;serif" w:hAnsi="Times New Roman;serif"/>
          <w:b w:val="false"/>
          <w:color w:val="000000"/>
          <w:sz w:val="24"/>
          <w:u w:val="single"/>
        </w:rPr>
        <w:t>Section 7(f)</w:t>
      </w:r>
      <w:r>
        <w:rPr>
          <w:color w:val="000000"/>
        </w:rPr>
        <w:t xml:space="preserve"> </w:t>
      </w:r>
      <w:r>
        <w:rPr>
          <w:rFonts w:ascii="Times New Roman;serif" w:hAnsi="Times New Roman;serif"/>
          <w:b w:val="false"/>
          <w:color w:val="000000"/>
          <w:sz w:val="24"/>
        </w:rPr>
        <w:t xml:space="preserve">but, after such determination, the Company subsequently acquires evidence or determines that: (i) Employee has failed to abide by the terms of </w:t>
      </w:r>
      <w:r>
        <w:rPr>
          <w:rFonts w:ascii="Times New Roman;serif" w:hAnsi="Times New Roman;serif"/>
          <w:b w:val="false"/>
          <w:color w:val="000000"/>
          <w:sz w:val="24"/>
          <w:u w:val="single"/>
        </w:rPr>
        <w:t>Sections 9</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w:t>
      </w:r>
      <w:r>
        <w:rPr>
          <w:rFonts w:ascii="Times New Roman;serif" w:hAnsi="Times New Roman;serif"/>
          <w:b w:val="false"/>
          <w:color w:val="000000"/>
          <w:sz w:val="24"/>
        </w:rPr>
        <w:t xml:space="preserve">; or (ii) a Cause condition existed prior to the Termination Date that, had the Company been fully aware of such condition, would have given the Company the right to terminate Employee’s employment pursuant to </w:t>
      </w:r>
      <w:r>
        <w:rPr>
          <w:rFonts w:ascii="Times New Roman;serif" w:hAnsi="Times New Roman;serif"/>
          <w:b w:val="false"/>
          <w:color w:val="000000"/>
          <w:sz w:val="24"/>
          <w:u w:val="single"/>
        </w:rPr>
        <w:t>Section 7(a)</w:t>
      </w:r>
      <w:r>
        <w:rPr>
          <w:rFonts w:ascii="Times New Roman;serif" w:hAnsi="Times New Roman;serif"/>
          <w:b w:val="false"/>
          <w:color w:val="000000"/>
          <w:sz w:val="24"/>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serif" w:hAnsi="Times New Roman;serif"/>
          <w:b w:val="false"/>
          <w:color w:val="000000"/>
          <w:sz w:val="24"/>
          <w:u w:val="single"/>
        </w:rPr>
        <w:t>Section 7(g)</w:t>
      </w:r>
      <w:r>
        <w:rPr>
          <w:color w:val="000000"/>
        </w:rPr>
        <w:t xml:space="preserve"> </w:t>
      </w:r>
      <w:r>
        <w:rPr>
          <w:rFonts w:ascii="Times New Roman;serif" w:hAnsi="Times New Roman;serif"/>
          <w:b w:val="false"/>
          <w:color w:val="000000"/>
          <w:sz w:val="24"/>
        </w:rPr>
        <w:t xml:space="preserve">have been satisfied. In addition, the provisions of the last sentence of </w:t>
      </w:r>
      <w:r>
        <w:rPr>
          <w:rFonts w:ascii="Times New Roman;serif" w:hAnsi="Times New Roman;serif"/>
          <w:b w:val="false"/>
          <w:color w:val="000000"/>
          <w:sz w:val="24"/>
          <w:u w:val="single"/>
        </w:rPr>
        <w:t>Section 7(a)</w:t>
      </w:r>
      <w:r>
        <w:rPr>
          <w:color w:val="000000"/>
        </w:rPr>
        <w:t xml:space="preserve"> </w:t>
      </w:r>
      <w:r>
        <w:rPr>
          <w:rFonts w:ascii="Times New Roman;serif" w:hAnsi="Times New Roman;serif"/>
          <w:b w:val="false"/>
          <w:color w:val="000000"/>
          <w:sz w:val="24"/>
        </w:rPr>
        <w:t xml:space="preserve">shall apply, and, subject to any limitation under applicable law, previously paid compensation pursuant to </w:t>
      </w:r>
      <w:r>
        <w:rPr>
          <w:rFonts w:ascii="Times New Roman;serif" w:hAnsi="Times New Roman;serif"/>
          <w:b w:val="false"/>
          <w:color w:val="000000"/>
          <w:sz w:val="24"/>
          <w:u w:val="single"/>
        </w:rPr>
        <w:t>Sections 3(b)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3(c)</w:t>
      </w:r>
      <w:r>
        <w:rPr>
          <w:color w:val="000000"/>
        </w:rPr>
        <w:t xml:space="preserve"> </w:t>
      </w:r>
      <w:r>
        <w:rPr>
          <w:rFonts w:ascii="Times New Roman;serif" w:hAnsi="Times New Roman;serif"/>
          <w:b w:val="false"/>
          <w:color w:val="000000"/>
          <w:sz w:val="24"/>
        </w:rPr>
        <w:t xml:space="preserve">shall be subject to clawback or forfeiture and cancellation at the discretion of the Compensation Committee in the event Employee fails to abide by the terms of </w:t>
      </w:r>
      <w:r>
        <w:rPr>
          <w:rFonts w:ascii="Times New Roman;serif" w:hAnsi="Times New Roman;serif"/>
          <w:b w:val="false"/>
          <w:color w:val="000000"/>
          <w:sz w:val="24"/>
          <w:u w:val="single"/>
        </w:rPr>
        <w:t>Sections 9</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8.</w:t>
      </w:r>
      <w:r>
        <w:rPr>
          <w:rFonts w:ascii="Times New Roman;serif" w:hAnsi="Times New Roman;serif"/>
          <w:b/>
          <w:color w:val="000000"/>
          <w:sz w:val="24"/>
          <w:u w:val="single"/>
        </w:rPr>
        <w:t>Disclosures</w:t>
      </w:r>
      <w:r>
        <w:rPr>
          <w:rFonts w:ascii="Times New Roman;serif" w:hAnsi="Times New Roman;serif"/>
          <w:b w:val="false"/>
          <w:color w:val="000000"/>
          <w:sz w:val="24"/>
        </w:rPr>
        <w:t>. Promptly (and in any event, within three (3) Business Days) upon becoming aware of (a) any actual 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serif" w:hAnsi="Times New Roman;serif"/>
          <w:b/>
          <w:color w:val="000000"/>
          <w:sz w:val="24"/>
          <w:u w:val="single"/>
        </w:rPr>
        <w:t>Conflict of Interest</w:t>
      </w:r>
      <w:r>
        <w:rPr>
          <w:color w:val="000000"/>
        </w:rPr>
        <w:t xml:space="preserve">” </w:t>
      </w:r>
      <w:r>
        <w:rPr>
          <w:rFonts w:ascii="Times New Roman;serif" w:hAnsi="Times New Roman;serif"/>
          <w:b w:val="false"/>
          <w:color w:val="000000"/>
          <w:sz w:val="24"/>
        </w:rPr>
        <w:t xml:space="preserve">shall exist when Employee engages in, or plans to engage in, any activities, associations, or interests that conflict with, or create an appearance of a conflict with, Employee’s duties, responsibilities, authorities, or obligations for or to any member of the Company Group. </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9.</w:t>
      </w:r>
      <w:r>
        <w:rPr>
          <w:rFonts w:ascii="Times New Roman;serif" w:hAnsi="Times New Roman;serif"/>
          <w:b/>
          <w:color w:val="000000"/>
          <w:sz w:val="24"/>
          <w:u w:val="single"/>
        </w:rPr>
        <w:t>Confidentiality</w:t>
      </w:r>
      <w:r>
        <w:rPr>
          <w:rFonts w:ascii="Times New Roman;serif" w:hAnsi="Times New Roman;serif"/>
          <w:b w:val="false"/>
          <w:color w:val="000000"/>
          <w:sz w:val="24"/>
        </w:rPr>
        <w:t xml:space="preserve">. In the course of Employee’s employment with the Company and the performance of Employee’s 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w:t>
      </w:r>
    </w:p>
    <w:p>
      <w:pPr>
        <w:pStyle w:val="TextBody"/>
        <w:bidi w:val="0"/>
        <w:spacing w:before="0" w:after="0"/>
        <w:ind w:left="0" w:right="0" w:firstLine="108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(a) 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Times New Roman;serif" w:hAnsi="Times New Roman;serif"/>
          <w:b w:val="false"/>
          <w:color w:val="000000"/>
          <w:sz w:val="24"/>
          <w:u w:val="single"/>
        </w:rPr>
        <w:t>Section 9(a)</w:t>
      </w:r>
      <w:r>
        <w:rPr>
          <w:color w:val="000000"/>
        </w:rPr>
        <w:t xml:space="preserve"> </w:t>
      </w:r>
      <w:r>
        <w:rPr>
          <w:rFonts w:ascii="Times New Roman;serif" w:hAnsi="Times New Roman;serif"/>
          <w:b w:val="false"/>
          <w:color w:val="000000"/>
          <w:sz w:val="24"/>
        </w:rPr>
        <w:t>shall apply to all Confidential Information, whether now known or later to become known to Employee during the period that Employee is employed by or affiliated with or providing services to the Company or any other member of the Company Group.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Notwithstanding any provision of </w:t>
      </w:r>
      <w:r>
        <w:rPr>
          <w:rFonts w:ascii="Times New Roman;serif" w:hAnsi="Times New Roman;serif"/>
          <w:b w:val="false"/>
          <w:color w:val="000000"/>
          <w:sz w:val="24"/>
          <w:u w:val="single"/>
        </w:rPr>
        <w:t>Section 9(a)</w:t>
      </w:r>
      <w:r>
        <w:rPr>
          <w:color w:val="000000"/>
        </w:rPr>
        <w:t xml:space="preserve"> </w:t>
      </w:r>
      <w:r>
        <w:rPr>
          <w:rFonts w:ascii="Times New Roman;serif" w:hAnsi="Times New Roman;serif"/>
          <w:b w:val="false"/>
          <w:color w:val="000000"/>
          <w:sz w:val="24"/>
        </w:rPr>
        <w:t>to the contrary, Employee may make the following disclosures and uses of Confidential Information:</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disclosures to other employees of a member of the Company Group who have a need to know the information in connection with the businesses of the Company Group;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disclosures to third parties when, in the reasonable and good faith belief of Employee, such disclosure is in connection with Employee’s performance of Employee’s duties under this Agreement and in the best interest of the Company Group;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disclosures and uses that are approved in writing by the Board;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disclosures to a person or entity that has (x) been retained by a member of the Company Group to provide services to one or more members of the Company Group and (y) agreed in writing to abide by the terms of a confidentiality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ind w:left="0" w:right="0" w:firstLine="1440"/>
        <w:jc w:val="both"/>
        <w:rPr/>
      </w:pPr>
      <w:r>
        <w:rPr>
          <w:rFonts w:ascii="Times New Roman;serif" w:hAnsi="Times New Roman;serif"/>
          <w:b w:val="false"/>
          <w:color w:val="000000"/>
          <w:sz w:val="24"/>
        </w:rPr>
        <w:t>(d) 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serif" w:hAnsi="Times New Roman;serif"/>
          <w:b/>
          <w:color w:val="000000"/>
          <w:sz w:val="24"/>
          <w:u w:val="single"/>
        </w:rPr>
        <w:t>Confidential Information</w:t>
      </w:r>
      <w:r>
        <w:rPr>
          <w:rFonts w:ascii="Times New Roman;serif" w:hAnsi="Times New Roman;serif"/>
          <w:b w:val="false"/>
          <w:color w:val="000000"/>
          <w:sz w:val="24"/>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of the Company Group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(iii) that a worker otherwise has the right to disclose as legally protected conduct; or (iv) becomes available to Employee on a non-confidential basis from a source other than a member of the Company Group; </w:t>
      </w:r>
      <w:r>
        <w:rPr>
          <w:rFonts w:ascii="Times New Roman;serif" w:hAnsi="Times New Roman;serif"/>
          <w:b w:val="false"/>
          <w:i/>
          <w:color w:val="000000"/>
          <w:sz w:val="24"/>
        </w:rPr>
        <w:t>provided, however</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 xml:space="preserve">that such source is not bound by a confidentiality agreement with, or other obligation with respect to confidentiality to, a member of the Company Group.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(including, for the avoidance of doubt, the Securities and Exchange Commission)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pStyle w:val="TextBody"/>
        <w:bidi w:val="0"/>
        <w:spacing w:before="0" w:after="0"/>
        <w:ind w:left="0" w:right="0" w:firstLine="144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10.</w:t>
      </w:r>
      <w:r>
        <w:rPr>
          <w:rFonts w:ascii="Times New Roman;serif" w:hAnsi="Times New Roman;serif"/>
          <w:b/>
          <w:color w:val="000000"/>
          <w:sz w:val="24"/>
          <w:u w:val="single"/>
        </w:rPr>
        <w:t>Ownership of Intellectual Property</w:t>
      </w:r>
      <w:r>
        <w:rPr>
          <w:rFonts w:ascii="Times New Roman;serif" w:hAnsi="Times New Roman;serif"/>
          <w:b/>
          <w:i/>
          <w:color w:val="000000"/>
          <w:sz w:val="24"/>
        </w:rPr>
        <w:t>.</w:t>
      </w:r>
      <w:r>
        <w:rPr>
          <w:color w:val="000000"/>
        </w:rPr>
        <w:t> </w:t>
      </w:r>
    </w:p>
    <w:p>
      <w:pPr>
        <w:pStyle w:val="TextBody"/>
        <w:bidi w:val="0"/>
        <w:spacing w:before="0" w:after="0"/>
        <w:ind w:left="0" w:right="0" w:firstLine="108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(a) 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serif" w:hAnsi="Times New Roman;serif"/>
          <w:b/>
          <w:color w:val="000000"/>
          <w:sz w:val="24"/>
          <w:u w:val="single"/>
        </w:rPr>
        <w:t>Company Intellectual Property</w:t>
      </w:r>
      <w:r>
        <w:rPr>
          <w:color w:val="000000"/>
        </w:rPr>
        <w:t>”</w:t>
      </w:r>
      <w:r>
        <w:rPr>
          <w:rFonts w:ascii="Times New Roman;serif" w:hAnsi="Times New Roman;serif"/>
          <w:b w:val="false"/>
          <w:color w:val="000000"/>
          <w:sz w:val="24"/>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(d) To the extent allowed by law, this Section applies to all rights that may be known as or referred to as “moral rights,” “artist’s rights,” “droit moral,” or the like, including without limitation those rights set forth in 17 U.S.C. §106A (collectively, “</w:t>
      </w:r>
      <w:r>
        <w:rPr>
          <w:rFonts w:ascii="Times New Roman;serif" w:hAnsi="Times New Roman;serif"/>
          <w:b/>
          <w:color w:val="000000"/>
          <w:sz w:val="24"/>
          <w:u w:val="single"/>
        </w:rPr>
        <w:t>Moral Rights</w:t>
      </w:r>
      <w:r>
        <w:rPr>
          <w:color w:val="000000"/>
        </w:rPr>
        <w:t>”</w:t>
      </w:r>
      <w:r>
        <w:rPr>
          <w:rFonts w:ascii="Times New Roman;serif" w:hAnsi="Times New Roman;serif"/>
          <w:b w:val="false"/>
          <w:color w:val="000000"/>
          <w:sz w:val="24"/>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(e) 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serif" w:hAnsi="Times New Roman;serif"/>
          <w:b/>
          <w:color w:val="000000"/>
          <w:sz w:val="24"/>
          <w:u w:val="single"/>
        </w:rPr>
        <w:t>Prior Inventions</w:t>
      </w:r>
      <w:r>
        <w:rPr>
          <w:color w:val="000000"/>
        </w:rPr>
        <w:t>”</w:t>
      </w:r>
      <w:r>
        <w:rPr>
          <w:rFonts w:ascii="Times New Roman;serif" w:hAnsi="Times New Roman;serif"/>
          <w:b w:val="false"/>
          <w:color w:val="000000"/>
          <w:sz w:val="24"/>
        </w:rPr>
        <w:t xml:space="preserve">) are listed on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and Employee represents that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In the event that the Company (or, as applicable, a member of the Company Group) is unable for any reason to secure Employee’s signature to any document required to file, prosecute, register, or memorialize the assignment of any patent, copyright, mask work or other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(i) 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Times New Roman;serif" w:hAnsi="Times New Roman;serif"/>
          <w:b/>
          <w:color w:val="000000"/>
          <w:sz w:val="24"/>
          <w:u w:val="single"/>
        </w:rPr>
        <w:t>Other Invention</w:t>
      </w:r>
      <w:r>
        <w:rPr>
          <w:color w:val="000000"/>
        </w:rPr>
        <w:t>”</w:t>
      </w:r>
      <w:r>
        <w:rPr>
          <w:rFonts w:ascii="Times New Roman;serif" w:hAnsi="Times New Roman;serif"/>
          <w:b w:val="false"/>
          <w:color w:val="000000"/>
          <w:sz w:val="24"/>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pStyle w:val="TextBody"/>
        <w:bidi w:val="0"/>
        <w:spacing w:before="0" w:after="0"/>
        <w:jc w:val="left"/>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11.</w:t>
      </w:r>
      <w:r>
        <w:rPr>
          <w:rFonts w:ascii="Times New Roman;serif" w:hAnsi="Times New Roman;serif"/>
          <w:b/>
          <w:color w:val="000000"/>
          <w:sz w:val="24"/>
          <w:u w:val="single"/>
        </w:rPr>
        <w:t>Defense of Claims</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 xml:space="preserve">During the Employment Period and thereafter, upon request from the Company, Employee shall cooperate with the Company Group in the defense of any claims or actions that may be made by or against any member of the Company Group that relate to Employee’s actual or prior areas of responsibility. </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12.</w:t>
      </w:r>
      <w:r>
        <w:rPr>
          <w:rFonts w:ascii="Times New Roman;serif" w:hAnsi="Times New Roman;serif"/>
          <w:b/>
          <w:color w:val="000000"/>
          <w:sz w:val="24"/>
          <w:u w:val="single"/>
        </w:rPr>
        <w:t>Withholdings; Deductions</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The Company may withhold and deduct from any benefits and payments made or to be made pursuant to this Agreement (a) all federal, state, local and other taxes as may be required pursuant to any law or governmental regulation or ruling and (b) any deductions consented to in writing by Employee.</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080"/>
        <w:jc w:val="both"/>
        <w:rPr/>
      </w:pPr>
      <w:r>
        <w:rPr>
          <w:rFonts w:ascii="Times New Roman;serif" w:hAnsi="Times New Roman;serif"/>
          <w:b w:val="false"/>
          <w:color w:val="000000"/>
          <w:sz w:val="24"/>
        </w:rPr>
        <w:t>13.</w:t>
      </w:r>
      <w:r>
        <w:rPr>
          <w:rFonts w:ascii="Times New Roman;serif" w:hAnsi="Times New Roman;serif"/>
          <w:b/>
          <w:color w:val="000000"/>
          <w:sz w:val="24"/>
          <w:u w:val="single"/>
        </w:rPr>
        <w:t>Title and Headings; Construction</w:t>
      </w:r>
      <w:r>
        <w:rPr>
          <w:rFonts w:ascii="Times New Roman;serif" w:hAnsi="Times New Roman;serif"/>
          <w:b w:val="false"/>
          <w:color w:val="000000"/>
          <w:sz w:val="24"/>
        </w:rPr>
        <w:t xml:space="preserve">. </w:t>
      </w:r>
      <w:r>
        <w:rPr>
          <w:color w:val="000000"/>
        </w:rPr>
        <w:t> </w:t>
      </w:r>
      <w:r>
        <w:rPr>
          <w:rFonts w:ascii="Times New Roman;serif" w:hAnsi="Times New Roman;serif"/>
          <w:b w:val="false"/>
          <w:color w:val="000000"/>
          <w:sz w:val="24"/>
        </w:rPr>
        <w:t>Titles and headings to Sections hereof are for the purpose of reference only and 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14.</w:t>
      </w:r>
      <w:r>
        <w:rPr>
          <w:rFonts w:ascii="Times New Roman;serif" w:hAnsi="Times New Roman;serif"/>
          <w:b/>
          <w:color w:val="000000"/>
          <w:sz w:val="24"/>
          <w:u w:val="single"/>
        </w:rPr>
        <w:t>Applicable Law</w:t>
      </w:r>
      <w:r>
        <w:rPr>
          <w:rFonts w:ascii="Times New Roman;serif" w:hAnsi="Times New Roman;serif"/>
          <w:b w:val="false"/>
          <w:color w:val="000000"/>
          <w:sz w:val="24"/>
        </w:rPr>
        <w:t>. This Agreement shall in all respects be construed according to the laws of the State of California 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15.</w:t>
      </w:r>
      <w:r>
        <w:rPr>
          <w:rFonts w:ascii="Times New Roman;serif" w:hAnsi="Times New Roman;serif"/>
          <w:b/>
          <w:color w:val="000000"/>
          <w:sz w:val="24"/>
          <w:u w:val="single"/>
        </w:rPr>
        <w:t>Entire Agreement and Amendment</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This Agreement contains the entire agreement of the parties with respect to the matters covered herein and supersedes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pStyle w:val="TextBody"/>
        <w:bidi w:val="0"/>
        <w:spacing w:lineRule="auto" w:line="288" w:before="240" w:after="283"/>
        <w:ind w:left="0" w:right="0" w:firstLine="1080"/>
        <w:jc w:val="both"/>
        <w:rPr/>
      </w:pPr>
      <w:r>
        <w:rPr>
          <w:rFonts w:ascii="Times New Roman;serif" w:hAnsi="Times New Roman;serif"/>
          <w:b w:val="false"/>
          <w:color w:val="000000"/>
          <w:sz w:val="24"/>
        </w:rPr>
        <w:t>16.</w:t>
      </w:r>
      <w:r>
        <w:rPr>
          <w:rFonts w:ascii="Times New Roman;serif" w:hAnsi="Times New Roman;serif"/>
          <w:b/>
          <w:color w:val="000000"/>
          <w:sz w:val="24"/>
          <w:u w:val="single"/>
        </w:rPr>
        <w:t>Waiver of Breach</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Any waiver of this Agreement must be executed by the party to be bound by such waiver. </w:t>
      </w:r>
      <w:r>
        <w:rPr>
          <w:color w:val="000000"/>
        </w:rPr>
        <w:t> </w:t>
      </w:r>
      <w:r>
        <w:rPr>
          <w:rFonts w:ascii="Times New Roman;serif" w:hAnsi="Times New Roman;serif"/>
          <w:b w:val="false"/>
          <w:color w:val="000000"/>
          <w:sz w:val="24"/>
        </w:rPr>
        <w:t>No 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080"/>
        <w:jc w:val="both"/>
        <w:rPr/>
      </w:pPr>
      <w:r>
        <w:rPr>
          <w:rFonts w:ascii="Times New Roman;serif" w:hAnsi="Times New Roman;serif"/>
          <w:b w:val="false"/>
          <w:color w:val="000000"/>
          <w:sz w:val="24"/>
        </w:rPr>
        <w:t>17.</w:t>
      </w:r>
      <w:r>
        <w:rPr>
          <w:rFonts w:ascii="Times New Roman;serif" w:hAnsi="Times New Roman;serif"/>
          <w:b/>
          <w:color w:val="000000"/>
          <w:sz w:val="24"/>
          <w:u w:val="single"/>
        </w:rPr>
        <w:t>Assignment</w:t>
      </w:r>
      <w:r>
        <w:rPr>
          <w:rFonts w:ascii="Times New Roman;serif" w:hAnsi="Times New Roman;serif"/>
          <w:b w:val="false"/>
          <w:color w:val="000000"/>
          <w:sz w:val="24"/>
        </w:rPr>
        <w:t>. This Agreement is personal to Employee, and neither this Agreement nor any rights or obligations 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18.</w:t>
      </w:r>
      <w:r>
        <w:rPr>
          <w:rFonts w:ascii="Times New Roman;serif" w:hAnsi="Times New Roman;serif"/>
          <w:b/>
          <w:color w:val="000000"/>
          <w:sz w:val="24"/>
          <w:u w:val="single"/>
        </w:rPr>
        <w:t>Notices</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Notices provided for in this Agreement shall be in writing and shall be deemed to have been duly received (a) 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If to the Company, addressed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California Resources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World Trade Center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Suite 1500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Long Beach, California 90831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If to Employee, addressed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val="false"/>
          <w:i/>
          <w:color w:val="000000"/>
          <w:sz w:val="24"/>
        </w:rPr>
        <w:t>Or, if different, the latest address on file with the Company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19.</w:t>
      </w:r>
      <w:r>
        <w:rPr>
          <w:rFonts w:ascii="Times New Roman;serif" w:hAnsi="Times New Roman;serif"/>
          <w:b/>
          <w:color w:val="000000"/>
          <w:sz w:val="24"/>
          <w:u w:val="single"/>
        </w:rPr>
        <w:t>Counterparts</w:t>
      </w:r>
      <w:r>
        <w:rPr>
          <w:rFonts w:ascii="Times New Roman;serif" w:hAnsi="Times New Roman;serif"/>
          <w:b w:val="false"/>
          <w:color w:val="000000"/>
          <w:sz w:val="24"/>
        </w:rPr>
        <w:t xml:space="preserve">. </w:t>
      </w:r>
      <w:r>
        <w:rPr>
          <w:color w:val="000000"/>
        </w:rPr>
        <w:t> </w:t>
      </w:r>
      <w:r>
        <w:rPr>
          <w:rFonts w:ascii="Times New Roman;serif" w:hAnsi="Times New Roman;serif"/>
          <w:b w:val="false"/>
          <w:color w:val="000000"/>
          <w:sz w:val="24"/>
        </w:rPr>
        <w:t>This Agreement may be executed in any number of counterparts, including by electronic mail or 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pStyle w:val="TextBody"/>
        <w:bidi w:val="0"/>
        <w:spacing w:lineRule="auto" w:line="288" w:before="240" w:after="283"/>
        <w:ind w:left="0" w:right="0" w:firstLine="1080"/>
        <w:jc w:val="both"/>
        <w:rPr/>
      </w:pPr>
      <w:r>
        <w:rPr>
          <w:rFonts w:ascii="Times New Roman;serif" w:hAnsi="Times New Roman;serif"/>
          <w:b w:val="false"/>
          <w:color w:val="000000"/>
          <w:sz w:val="24"/>
        </w:rPr>
        <w:t>20.</w:t>
      </w:r>
      <w:r>
        <w:rPr>
          <w:rFonts w:ascii="Times New Roman;serif" w:hAnsi="Times New Roman;serif"/>
          <w:b/>
          <w:color w:val="000000"/>
          <w:sz w:val="24"/>
          <w:u w:val="single"/>
        </w:rPr>
        <w:t>Deemed Resignations</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Except as otherwise determined by the Board or as otherwise agreed to in writing by 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 which board of directors or board of managers (or similar governing body) Employee serves as such Company Group member’s designee or other representative. </w:t>
      </w:r>
    </w:p>
    <w:p>
      <w:pPr>
        <w:pStyle w:val="TextBody"/>
        <w:bidi w:val="0"/>
        <w:spacing w:before="0" w:after="0"/>
        <w:jc w:val="both"/>
        <w:rPr/>
      </w:pPr>
      <w:r>
        <w:rPr/>
      </w:r>
    </w:p>
    <w:p>
      <w:pPr>
        <w:pStyle w:val="TextBody"/>
        <w:bidi w:val="0"/>
        <w:spacing w:lineRule="auto" w:line="288"/>
        <w:ind w:left="0" w:right="0" w:firstLine="1080"/>
        <w:jc w:val="both"/>
        <w:rPr/>
      </w:pPr>
      <w:r>
        <w:rPr>
          <w:rFonts w:ascii="Times New Roman;serif" w:hAnsi="Times New Roman;serif"/>
          <w:b w:val="false"/>
          <w:color w:val="000000"/>
          <w:sz w:val="24"/>
        </w:rPr>
        <w:t>21.</w:t>
      </w:r>
      <w:r>
        <w:rPr>
          <w:rFonts w:ascii="Times New Roman;serif" w:hAnsi="Times New Roman;serif"/>
          <w:b/>
          <w:color w:val="000000"/>
          <w:sz w:val="24"/>
          <w:u w:val="single"/>
        </w:rPr>
        <w:t>Section 409A</w:t>
      </w:r>
      <w:r>
        <w:rPr>
          <w:rFonts w:ascii="Times New Roman;serif" w:hAnsi="Times New Roman;serif"/>
          <w:b/>
          <w:color w:val="000000"/>
          <w:sz w:val="24"/>
        </w:rPr>
        <w:t>.</w:t>
      </w: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(a) Notwithstanding any provision of this Agreement to the contrary, all provisions of this Agreement are intended to comply with Section 409A of the Internal Revenue Code of 1986, as amended (the “</w:t>
      </w:r>
      <w:r>
        <w:rPr>
          <w:rFonts w:ascii="Times New Roman;serif" w:hAnsi="Times New Roman;serif"/>
          <w:b/>
          <w:color w:val="000000"/>
          <w:sz w:val="24"/>
          <w:u w:val="single"/>
        </w:rPr>
        <w:t>Code</w:t>
      </w:r>
      <w:r>
        <w:rPr>
          <w:color w:val="000000"/>
        </w:rPr>
        <w:t>”</w:t>
      </w:r>
      <w:r>
        <w:rPr>
          <w:rFonts w:ascii="Times New Roman;serif" w:hAnsi="Times New Roman;serif"/>
          <w:b w:val="false"/>
          <w:color w:val="000000"/>
          <w:sz w:val="24"/>
        </w:rPr>
        <w:t>) and the applicable Treasury regulations and administrative guidance issued thereunder (collectively, “</w:t>
      </w:r>
      <w:r>
        <w:rPr>
          <w:rFonts w:ascii="Times New Roman;serif" w:hAnsi="Times New Roman;serif"/>
          <w:b/>
          <w:color w:val="000000"/>
          <w:sz w:val="24"/>
          <w:u w:val="single"/>
        </w:rPr>
        <w:t>Section 409A</w:t>
      </w:r>
      <w:r>
        <w:rPr>
          <w:color w:val="000000"/>
        </w:rPr>
        <w:t>”</w:t>
      </w:r>
      <w:r>
        <w:rPr>
          <w:rFonts w:ascii="Times New Roman;serif" w:hAnsi="Times New Roman;serif"/>
          <w:b w:val="false"/>
          <w:color w:val="000000"/>
          <w:sz w:val="24"/>
        </w:rPr>
        <w:t xml:space="preserve">)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(b) 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 xml:space="preserve">that the foregoing clause shall not be violated with regard to expenses reimbursed under any arrangement covered by Section 105(b) of the Code solely because such expenses are subject to a limit related to the period in which the arrangement is in effect.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(c) Notwithstanding any provision in this Agreement to the contrary, if any payment or benefit provided for herein would be subject to additional taxes and interest under Section 409A if Employee’s receipt of such payment or benefit is not delayed until the earlier of (i) the date of Employee’s death or (ii) the date that is six (6) months after the Termination Date (such date, the “</w:t>
      </w:r>
      <w:r>
        <w:rPr>
          <w:rFonts w:ascii="Times New Roman;serif" w:hAnsi="Times New Roman;serif"/>
          <w:b/>
          <w:color w:val="000000"/>
          <w:sz w:val="24"/>
          <w:u w:val="single"/>
        </w:rPr>
        <w:t>Section 409A Payment Date</w:t>
      </w:r>
      <w:r>
        <w:rPr>
          <w:color w:val="000000"/>
        </w:rPr>
        <w:t>”</w:t>
      </w:r>
      <w:r>
        <w:rPr>
          <w:rFonts w:ascii="Times New Roman;serif" w:hAnsi="Times New Roman;serif"/>
          <w:b w:val="false"/>
          <w:color w:val="000000"/>
          <w:sz w:val="24"/>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pStyle w:val="TextBody"/>
        <w:bidi w:val="0"/>
        <w:spacing w:before="0" w:after="0"/>
        <w:ind w:left="0" w:right="0" w:firstLine="144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22.</w:t>
      </w:r>
      <w:r>
        <w:rPr>
          <w:rFonts w:ascii="Times New Roman;serif" w:hAnsi="Times New Roman;serif"/>
          <w:b/>
          <w:color w:val="000000"/>
          <w:sz w:val="24"/>
          <w:u w:val="single"/>
        </w:rPr>
        <w:t>Effect of Termination</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Sections 7(a)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9</w:t>
      </w:r>
      <w:r>
        <w:rPr>
          <w:rFonts w:ascii="Times New Roman;serif" w:hAnsi="Times New Roman;serif"/>
          <w:b w:val="false"/>
          <w:color w:val="000000"/>
          <w:sz w:val="24"/>
        </w:rPr>
        <w:t>-</w:t>
      </w:r>
      <w:r>
        <w:rPr>
          <w:rFonts w:ascii="Times New Roman;serif" w:hAnsi="Times New Roman;serif"/>
          <w:b w:val="false"/>
          <w:color w:val="000000"/>
          <w:sz w:val="24"/>
          <w:u w:val="single"/>
        </w:rPr>
        <w:t>13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w:t>
      </w:r>
      <w:r>
        <w:rPr>
          <w:color w:val="000000"/>
        </w:rPr>
        <w:t xml:space="preserve"> </w:t>
      </w:r>
      <w:r>
        <w:rPr>
          <w:rFonts w:ascii="Times New Roman;serif" w:hAnsi="Times New Roman;serif"/>
          <w:b w:val="false"/>
          <w:color w:val="000000"/>
          <w:sz w:val="24"/>
        </w:rPr>
        <w:t>and those provisions necessary to interpret and enforce them, shall survive any termination of this Agreement and any termination of the employment relationship between Employee and the Company.</w:t>
      </w:r>
    </w:p>
    <w:p>
      <w:pPr>
        <w:pStyle w:val="TextBody"/>
        <w:bidi w:val="0"/>
        <w:spacing w:before="0" w:after="0"/>
        <w:ind w:left="0" w:right="0" w:firstLine="1080"/>
        <w:jc w:val="both"/>
        <w:rPr/>
      </w:pPr>
      <w:r>
        <w:rPr/>
      </w:r>
    </w:p>
    <w:p>
      <w:pPr>
        <w:pStyle w:val="TextBody"/>
        <w:bidi w:val="0"/>
        <w:spacing w:lineRule="auto" w:line="288"/>
        <w:ind w:left="0" w:right="0" w:firstLine="1080"/>
        <w:jc w:val="both"/>
        <w:rPr/>
      </w:pPr>
      <w:r>
        <w:rPr>
          <w:rFonts w:ascii="Times New Roman;serif" w:hAnsi="Times New Roman;serif"/>
          <w:b w:val="false"/>
          <w:color w:val="000000"/>
          <w:sz w:val="24"/>
        </w:rPr>
        <w:t>23.</w:t>
      </w:r>
      <w:r>
        <w:rPr>
          <w:rFonts w:ascii="Times New Roman;serif" w:hAnsi="Times New Roman;serif"/>
          <w:b/>
          <w:color w:val="000000"/>
          <w:sz w:val="24"/>
          <w:u w:val="single"/>
        </w:rPr>
        <w:t>Third-Party Beneficiaries</w:t>
      </w:r>
      <w:r>
        <w:rPr>
          <w:rFonts w:ascii="Times New Roman;serif" w:hAnsi="Times New Roman;serif"/>
          <w:b w:val="false"/>
          <w:color w:val="000000"/>
          <w:sz w:val="24"/>
        </w:rPr>
        <w:t xml:space="preserve">. Each member of the Company Group that is not a signatory to this Agreement shall be a third-party beneficiary of Employee’s obligations under </w:t>
      </w:r>
      <w:r>
        <w:rPr>
          <w:rFonts w:ascii="Times New Roman;serif" w:hAnsi="Times New Roman;serif"/>
          <w:b w:val="false"/>
          <w:color w:val="000000"/>
          <w:sz w:val="24"/>
          <w:u w:val="single"/>
        </w:rPr>
        <w:t>Sections 8</w:t>
      </w:r>
      <w:r>
        <w:rPr>
          <w:rFonts w:ascii="Times New Roman;serif" w:hAnsi="Times New Roman;serif"/>
          <w:b w:val="false"/>
          <w:color w:val="000000"/>
          <w:sz w:val="24"/>
        </w:rPr>
        <w:t>-</w:t>
      </w:r>
      <w:r>
        <w:rPr>
          <w:rFonts w:ascii="Times New Roman;serif" w:hAnsi="Times New Roman;serif"/>
          <w:b w:val="false"/>
          <w:color w:val="000000"/>
          <w:sz w:val="24"/>
          <w:u w:val="single"/>
        </w:rPr>
        <w:t>12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w:t>
      </w:r>
      <w:r>
        <w:rPr>
          <w:color w:val="000000"/>
        </w:rPr>
        <w:t xml:space="preserve"> </w:t>
      </w:r>
      <w:r>
        <w:rPr>
          <w:rFonts w:ascii="Times New Roman;serif" w:hAnsi="Times New Roman;serif"/>
          <w:b w:val="false"/>
          <w:color w:val="000000"/>
          <w:sz w:val="24"/>
        </w:rPr>
        <w:t>and shall be entitled to enforce such obligations as if a party hereto.</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24.</w:t>
      </w:r>
      <w:r>
        <w:rPr>
          <w:rFonts w:ascii="Times New Roman;serif" w:hAnsi="Times New Roman;serif"/>
          <w:b/>
          <w:color w:val="000000"/>
          <w:sz w:val="24"/>
          <w:u w:val="single"/>
        </w:rPr>
        <w:t>Certain Excise Taxes</w:t>
      </w:r>
      <w:r>
        <w:rPr>
          <w:rFonts w:ascii="Times New Roman;serif" w:hAnsi="Times New Roman;serif"/>
          <w:b w:val="false"/>
          <w:color w:val="000000"/>
          <w:sz w:val="24"/>
        </w:rPr>
        <w:t xml:space="preserve">. Notwithstanding anything to the contrary in this Agreement, if Employee is a “disqualified 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shall require the Company to be responsible for, or have any liability or obligation with respect to, Employee’s excise tax liabilities under Section 4999 of the Code.</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25.</w:t>
      </w:r>
      <w:r>
        <w:rPr>
          <w:rFonts w:ascii="Times New Roman;serif" w:hAnsi="Times New Roman;serif"/>
          <w:b/>
          <w:color w:val="000000"/>
          <w:sz w:val="24"/>
          <w:u w:val="single"/>
        </w:rPr>
        <w:t>Clawback</w:t>
      </w:r>
      <w:r>
        <w:rPr>
          <w:rFonts w:ascii="Times New Roman;serif" w:hAnsi="Times New Roman;serif"/>
          <w:b w:val="false"/>
          <w:color w:val="000000"/>
          <w:sz w:val="24"/>
        </w:rPr>
        <w:t>. Notwithstanding any other provisions in this Agreement to the contrary, any incentive-based or other compensation paid to the Employee under this Agreement or any other agreement or arrangement with the Company which is subject to recovery under any Company policy, law, government regulation, or stock exchange listing requirement will be subject to such deductions and clawback as may be required to be made pursuant to such Company policy (whether in existence as of the Effective Date or later adopted), law, government regulation, or stock exchange listing requirement.</w:t>
      </w: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4"/>
        </w:rPr>
        <w:t>26.</w:t>
      </w:r>
      <w:r>
        <w:rPr>
          <w:rFonts w:ascii="Times New Roman;serif" w:hAnsi="Times New Roman;serif"/>
          <w:b/>
          <w:color w:val="000000"/>
          <w:sz w:val="24"/>
          <w:u w:val="single"/>
        </w:rPr>
        <w:t>Severability</w:t>
      </w:r>
      <w:r>
        <w:rPr>
          <w:rFonts w:ascii="Times New Roman;serif" w:hAnsi="Times New Roman;serif"/>
          <w:b w:val="false"/>
          <w:color w:val="000000"/>
          <w:sz w:val="24"/>
        </w:rPr>
        <w:t>. If an arbitrator or court of competent jurisdiction determines that any provision of this Agreement (or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Blank;</w:t>
      </w:r>
    </w:p>
    <w:p>
      <w:pPr>
        <w:pStyle w:val="TextBody"/>
        <w:bidi w:val="0"/>
        <w:spacing w:lineRule="auto" w:line="288" w:before="0" w:after="0"/>
        <w:jc w:val="center"/>
        <w:rPr/>
      </w:pP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Employee and the Company each have caused this Agreement to be executed and effective as of the Effective Date.</w:t>
      </w:r>
    </w:p>
    <w:p>
      <w:pPr>
        <w:pStyle w:val="TextBody"/>
        <w:bidi w:val="0"/>
        <w:spacing w:before="0" w:after="0"/>
        <w:ind w:left="0" w:right="0" w:firstLine="720"/>
        <w:jc w:val="both"/>
        <w:rPr/>
      </w:pPr>
      <w:r>
        <w:rPr/>
      </w:r>
    </w:p>
    <w:p>
      <w:pPr>
        <w:pStyle w:val="TextBody"/>
        <w:bidi w:val="0"/>
        <w:spacing w:lineRule="auto" w:line="288" w:before="0" w:after="0"/>
        <w:ind w:left="0" w:right="0" w:hanging="540"/>
        <w:jc w:val="left"/>
        <w:rPr>
          <w:rFonts w:ascii="Times New Roman;serif" w:hAnsi="Times New Roman;serif"/>
          <w:b/>
          <w:color w:val="000000"/>
          <w:sz w:val="24"/>
        </w:rPr>
      </w:pPr>
      <w:r>
        <w:rPr>
          <w:rFonts w:ascii="Times New Roman;serif" w:hAnsi="Times New Roman;serif"/>
          <w:b/>
          <w:color w:val="000000"/>
          <w:sz w:val="24"/>
        </w:rPr>
        <w:t>EMPLOYEE</w:t>
      </w:r>
    </w:p>
    <w:p>
      <w:pPr>
        <w:pStyle w:val="TextBody"/>
        <w:bidi w:val="0"/>
        <w:spacing w:before="0" w:after="0"/>
        <w:ind w:left="0" w:right="0" w:hanging="5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Michael L. Preston</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Name: Michael L. Preston</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color w:val="000000"/>
          <w:sz w:val="24"/>
        </w:rPr>
      </w:pPr>
      <w:r>
        <w:rPr>
          <w:rFonts w:ascii="Times New Roman;serif" w:hAnsi="Times New Roman;serif"/>
          <w:b/>
          <w:color w:val="000000"/>
          <w:sz w:val="24"/>
        </w:rPr>
        <w:t>COMPANY</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CALIFORNIA RESOURCES CORPORATION</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/s/ Daniel S. Watts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Name: Daniel S. Watts</w:t>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Title: Vice President - Compensation and Benefits</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S</w:t>
      </w:r>
      <w:r>
        <w:rPr>
          <w:rFonts w:ascii="Times New Roman;serif" w:hAnsi="Times New Roman;serif"/>
          <w:b w:val="false"/>
          <w:color w:val="000000"/>
          <w:sz w:val="20"/>
        </w:rPr>
        <w:t>IGNATURE</w:t>
      </w:r>
      <w:r>
        <w:rPr>
          <w:color w:val="000000"/>
        </w:rPr>
        <w:t xml:space="preserve"> </w:t>
      </w:r>
      <w:r>
        <w:rPr>
          <w:rFonts w:ascii="Times New Roman;serif" w:hAnsi="Times New Roman;serif"/>
          <w:b w:val="false"/>
          <w:color w:val="000000"/>
          <w:sz w:val="24"/>
        </w:rPr>
        <w:t>P</w:t>
      </w:r>
      <w:r>
        <w:rPr>
          <w:rFonts w:ascii="Times New Roman;serif" w:hAnsi="Times New Roman;serif"/>
          <w:b w:val="false"/>
          <w:color w:val="000000"/>
          <w:sz w:val="20"/>
        </w:rPr>
        <w:t>AGE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w:t>
      </w:r>
    </w:p>
    <w:p>
      <w:pPr>
        <w:pStyle w:val="TextBody"/>
        <w:bidi w:val="0"/>
        <w:spacing w:lineRule="auto" w:line="288" w:before="0" w:after="0"/>
        <w:jc w:val="center"/>
        <w:rPr/>
      </w:pPr>
      <w:r>
        <w:rPr>
          <w:rFonts w:ascii="Times New Roman;serif" w:hAnsi="Times New Roman;serif"/>
          <w:b w:val="false"/>
          <w:color w:val="000000"/>
          <w:sz w:val="24"/>
        </w:rPr>
        <w:t>E</w:t>
      </w:r>
      <w:r>
        <w:rPr>
          <w:rFonts w:ascii="Times New Roman;serif" w:hAnsi="Times New Roman;serif"/>
          <w:b w:val="false"/>
          <w:color w:val="000000"/>
          <w:sz w:val="20"/>
        </w:rPr>
        <w:t>MPLOYMENT</w:t>
      </w:r>
      <w:r>
        <w:rPr>
          <w:color w:val="000000"/>
        </w:rPr>
        <w:t xml:space="preserve"> </w:t>
      </w:r>
      <w:r>
        <w:rPr>
          <w:rFonts w:ascii="Times New Roman;serif" w:hAnsi="Times New Roman;serif"/>
          <w:b w:val="false"/>
          <w:color w:val="000000"/>
          <w:sz w:val="24"/>
        </w:rPr>
        <w:t>A</w:t>
      </w:r>
      <w:r>
        <w:rPr>
          <w:rFonts w:ascii="Times New Roman;serif" w:hAnsi="Times New Roman;serif"/>
          <w:b w:val="false"/>
          <w:color w:val="000000"/>
          <w:sz w:val="20"/>
        </w:rPr>
        <w:t>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PRIOR INVENTIONS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Check appropriate space(s):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See below:</w:t>
      </w:r>
    </w:p>
    <w:p>
      <w:pPr>
        <w:pStyle w:val="TextBody"/>
        <w:bidi w:val="0"/>
        <w:spacing w:lineRule="auto" w:line="288" w:before="0" w:after="0"/>
        <w:ind w:left="0" w:right="0" w:firstLine="360"/>
        <w:jc w:val="left"/>
        <w:rPr>
          <w:color w:val="000000"/>
          <w:u w:val="single"/>
        </w:rPr>
      </w:pPr>
      <w:r>
        <w:rPr>
          <w:color w:val="000000"/>
          <w:u w:val="single"/>
        </w:rPr>
        <w:t> </w:t>
      </w:r>
    </w:p>
    <w:p>
      <w:pPr>
        <w:pStyle w:val="TextBody"/>
        <w:bidi w:val="0"/>
        <w:spacing w:lineRule="auto" w:line="288" w:before="0" w:after="0"/>
        <w:ind w:left="0" w:right="0" w:firstLine="360"/>
        <w:jc w:val="left"/>
        <w:rPr>
          <w:color w:val="000000"/>
          <w:u w:val="single"/>
        </w:rPr>
      </w:pPr>
      <w:r>
        <w:rPr>
          <w:color w:val="000000"/>
          <w:u w:val="single"/>
        </w:rPr>
        <w:t> </w:t>
      </w:r>
    </w:p>
    <w:p>
      <w:pPr>
        <w:pStyle w:val="TextBody"/>
        <w:bidi w:val="0"/>
        <w:spacing w:lineRule="auto" w:line="288" w:before="0" w:after="0"/>
        <w:ind w:left="0" w:right="0" w:firstLine="360"/>
        <w:jc w:val="left"/>
        <w:rPr>
          <w:color w:val="000000"/>
          <w:u w:val="single"/>
        </w:rPr>
      </w:pPr>
      <w:r>
        <w:rPr>
          <w:color w:val="000000"/>
          <w:u w:val="single"/>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Due to confidentiality agreements with a prior employer, Employee cannot disclose certain Prior Inventions that would otherwise be included on the above-described list.</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Additional sheets attached.</w:t>
      </w:r>
    </w:p>
    <w:p>
      <w:pPr>
        <w:pStyle w:val="TextBody"/>
        <w:bidi w:val="0"/>
        <w:spacing w:before="0" w:after="0"/>
        <w:ind w:left="0" w:right="0" w:hanging="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Check appropriate space(s):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See below.</w:t>
      </w:r>
    </w:p>
    <w:p>
      <w:pPr>
        <w:pStyle w:val="TextBody"/>
        <w:bidi w:val="0"/>
        <w:spacing w:lineRule="auto" w:line="288" w:before="0" w:after="0"/>
        <w:ind w:left="0" w:right="0" w:firstLine="360"/>
        <w:jc w:val="left"/>
        <w:rPr>
          <w:color w:val="000000"/>
          <w:u w:val="single"/>
        </w:rPr>
      </w:pPr>
      <w:r>
        <w:rPr>
          <w:color w:val="000000"/>
          <w:u w:val="single"/>
        </w:rPr>
        <w:t> </w:t>
      </w:r>
    </w:p>
    <w:p>
      <w:pPr>
        <w:pStyle w:val="TextBody"/>
        <w:bidi w:val="0"/>
        <w:spacing w:lineRule="auto" w:line="288" w:before="0" w:after="0"/>
        <w:ind w:left="0" w:right="0" w:firstLine="360"/>
        <w:jc w:val="left"/>
        <w:rPr>
          <w:color w:val="000000"/>
          <w:u w:val="single"/>
        </w:rPr>
      </w:pPr>
      <w:r>
        <w:rPr>
          <w:color w:val="000000"/>
          <w:u w:val="single"/>
        </w:rPr>
        <w:t>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Additional sheets attached.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ind w:left="0" w:right="0" w:hanging="72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CALIFORNIA LABOR CODE SECTION 2870</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Relate at the time of conception or reduction to practice of the invention to the employer’s business, or actual or demonstrably anticipated research or development of the employer; or</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Result from any work performed by the employee for the employer.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 Francisco J. Leon, certify that:</w:t>
      </w:r>
    </w:p>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Date:  </w:t>
      </w:r>
      <w:r>
        <w:rPr>
          <w:rFonts w:ascii="Arial;sans-serif" w:hAnsi="Arial;sans-serif"/>
          <w:b w:val="false"/>
          <w:color w:val="000000"/>
          <w:sz w:val="20"/>
        </w:rPr>
        <w:t>August 6, 2025</w:t>
      </w:r>
      <w:r>
        <w:rPr>
          <w:color w:val="000000"/>
        </w:rPr>
        <w:t xml:space="preserve"> </w:t>
      </w:r>
    </w:p>
    <w:tbl>
      <w:tblPr>
        <w:tblW w:w="3776" w:type="dxa"/>
        <w:jc w:val="left"/>
        <w:tblInd w:w="0" w:type="dxa"/>
        <w:tblLayout w:type="fixed"/>
        <w:tblCellMar>
          <w:top w:w="28" w:type="dxa"/>
          <w:left w:w="28" w:type="dxa"/>
          <w:bottom w:w="28" w:type="dxa"/>
          <w:right w:w="28" w:type="dxa"/>
        </w:tblCellMar>
      </w:tblPr>
      <w:tblGrid>
        <w:gridCol w:w="124"/>
        <w:gridCol w:w="109"/>
        <w:gridCol w:w="109"/>
        <w:gridCol w:w="1004"/>
        <w:gridCol w:w="1004"/>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9"/>
              </w:rPr>
            </w:pPr>
            <w:r>
              <w:rPr>
                <w:rFonts w:ascii="Arial;sans-serif" w:hAnsi="Arial;sans-serif"/>
                <w:b w:val="false"/>
                <w:color w:val="000000"/>
                <w:sz w:val="19"/>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RULE 13a – 14(a) / 15d – 14(a)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§302 OF THE SARBANES-OXLEY ACT OF 2002 </w:t>
      </w:r>
    </w:p>
    <w:p>
      <w:pPr>
        <w:pStyle w:val="TextBody"/>
        <w:bidi w:val="0"/>
        <w:spacing w:lineRule="auto" w:line="288" w:before="100" w:after="100"/>
        <w:jc w:val="left"/>
        <w:rPr>
          <w:rFonts w:ascii="Arial;sans-serif" w:hAnsi="Arial;sans-serif"/>
          <w:b w:val="false"/>
          <w:color w:val="000000"/>
          <w:sz w:val="19"/>
        </w:rPr>
      </w:pPr>
      <w:r>
        <w:rPr>
          <w:rFonts w:ascii="Arial;sans-serif" w:hAnsi="Arial;sans-serif"/>
          <w:b w:val="false"/>
          <w:color w:val="000000"/>
          <w:sz w:val="19"/>
        </w:rPr>
        <w:t xml:space="preserve">I, Clio Crespy,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Date: </w:t>
      </w:r>
      <w:r>
        <w:rPr>
          <w:rFonts w:ascii="Arial;sans-serif" w:hAnsi="Arial;sans-serif"/>
          <w:b w:val="false"/>
          <w:color w:val="000000"/>
          <w:sz w:val="20"/>
        </w:rPr>
        <w:t>August 6, 2025</w:t>
      </w:r>
      <w:r>
        <w:rPr>
          <w:color w:val="000000"/>
        </w:rPr>
        <w:t xml:space="preserve"> </w:t>
      </w:r>
    </w:p>
    <w:tbl>
      <w:tblPr>
        <w:tblW w:w="3131" w:type="dxa"/>
        <w:jc w:val="left"/>
        <w:tblInd w:w="0" w:type="dxa"/>
        <w:tblLayout w:type="fixed"/>
        <w:tblCellMar>
          <w:top w:w="28" w:type="dxa"/>
          <w:left w:w="28" w:type="dxa"/>
          <w:bottom w:w="28" w:type="dxa"/>
          <w:right w:w="28" w:type="dxa"/>
        </w:tblCellMar>
      </w:tblPr>
      <w:tblGrid>
        <w:gridCol w:w="124"/>
        <w:gridCol w:w="109"/>
        <w:gridCol w:w="109"/>
        <w:gridCol w:w="815"/>
        <w:gridCol w:w="815"/>
        <w:gridCol w:w="1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Clio Crespy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Clio Crespy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Executive Vice President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CEO AND CFO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18 U.S.C. §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 906 OF THE SARBANES-OXLEY ACT OF 2002 </w:t>
      </w:r>
    </w:p>
    <w:p>
      <w:pPr>
        <w:pStyle w:val="TextBody"/>
        <w:bidi w:val="0"/>
        <w:spacing w:before="100" w:after="10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California Resources Corporation (the “Company”) for the fiscal period ended June 30, 2025, as filed with the Securities and Exchange Commission on August 6, 2025 (the “Report”), Francisco J. Leon, as Chief Executive Officer of the Company, and Clio Crespy, as Chief Financial Officer of the Company, each hereby certifies, pursuant to 18 U.S.C. § 1350, as adopted pursuant to § 906 of the Sarbanes-Oxley Act of 2002, that, to the best of his or her knowledge, respectively:</w:t>
      </w:r>
    </w:p>
    <w:p>
      <w:pPr>
        <w:pStyle w:val="TextBody"/>
        <w:bidi w:val="0"/>
        <w:spacing w:before="100" w:after="10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482" w:type="dxa"/>
        <w:jc w:val="center"/>
        <w:tblInd w:w="0" w:type="dxa"/>
        <w:tblLayout w:type="fixed"/>
        <w:tblCellMar>
          <w:top w:w="28" w:type="dxa"/>
          <w:left w:w="28" w:type="dxa"/>
          <w:bottom w:w="28" w:type="dxa"/>
          <w:right w:w="28" w:type="dxa"/>
        </w:tblCellMar>
      </w:tblPr>
      <w:tblGrid>
        <w:gridCol w:w="271"/>
        <w:gridCol w:w="239"/>
        <w:gridCol w:w="239"/>
        <w:gridCol w:w="215"/>
        <w:gridCol w:w="215"/>
        <w:gridCol w:w="215"/>
        <w:gridCol w:w="1128"/>
        <w:gridCol w:w="1128"/>
        <w:gridCol w:w="1133"/>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6590" w:type="dxa"/>
        <w:jc w:val="center"/>
        <w:tblInd w:w="0" w:type="dxa"/>
        <w:tblLayout w:type="fixed"/>
        <w:tblCellMar>
          <w:top w:w="28" w:type="dxa"/>
          <w:left w:w="28" w:type="dxa"/>
          <w:bottom w:w="28" w:type="dxa"/>
          <w:right w:w="28" w:type="dxa"/>
        </w:tblCellMar>
      </w:tblPr>
      <w:tblGrid>
        <w:gridCol w:w="271"/>
        <w:gridCol w:w="239"/>
        <w:gridCol w:w="240"/>
        <w:gridCol w:w="154"/>
        <w:gridCol w:w="154"/>
        <w:gridCol w:w="154"/>
        <w:gridCol w:w="1557"/>
        <w:gridCol w:w="1557"/>
        <w:gridCol w:w="1565"/>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Clio Crespy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Clio Crespy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9253/000160925320000137/a8aex31.htm" TargetMode="External"/><Relationship Id="rId3" Type="http://schemas.openxmlformats.org/officeDocument/2006/relationships/hyperlink" Target="https://www.sec.gov/Archives/edgar/data/1609253/000160925322000036/a20220504ex31.htm" TargetMode="External"/><Relationship Id="rId4" Type="http://schemas.openxmlformats.org/officeDocument/2006/relationships/hyperlink" Target="https://www.sec.gov/Archives/edgar/data/1609253/000160925323000034/a20230428exhibit31.htm" TargetMode="External"/><Relationship Id="rId5" Type="http://schemas.openxmlformats.org/officeDocument/2006/relationships/hyperlink" Target="https://www.sec.gov/Archives/edgar/data/1609253/000160925320000137/a8a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43606</Words>
  <Characters>231853</Characters>
  <CharactersWithSpaces>273333</CharactersWithSpaces>
  <Paragraphs>4816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