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 w:lineRule="exact"/>
        <w:rPr>
          <w:sz w:val="24"/>
          <w:szCs w:val="24"/>
          <w:color w:val="auto"/>
        </w:rPr>
      </w:pPr>
    </w:p>
    <w:p>
      <w:pPr>
        <w:ind w:left="2520" w:hanging="308"/>
        <w:spacing w:after="0"/>
        <w:tabs>
          <w:tab w:leader="none" w:pos="2520" w:val="left"/>
        </w:tabs>
        <w:numPr>
          <w:ilvl w:val="0"/>
          <w:numId w:val="1"/>
        </w:numPr>
        <w:rPr>
          <w:rFonts w:ascii="MS PGothic" w:cs="MS PGothic" w:eastAsia="MS PGothic" w:hAnsi="MS PGothic"/>
          <w:sz w:val="27"/>
          <w:szCs w:val="27"/>
          <w:color w:val="auto"/>
        </w:rPr>
      </w:pPr>
      <w:r>
        <w:rPr>
          <w:rFonts w:ascii="Arial" w:cs="Arial" w:eastAsia="Arial" w:hAnsi="Arial"/>
          <w:sz w:val="23"/>
          <w:szCs w:val="23"/>
          <w:b w:val="1"/>
          <w:bCs w:val="1"/>
          <w:color w:val="auto"/>
        </w:rPr>
        <w:t>QUARTERLY REPORT PURSUANT TO SECTION 13 OR 15(d)</w:t>
      </w:r>
    </w:p>
    <w:p>
      <w:pPr>
        <w:spacing w:after="0" w:line="44" w:lineRule="exact"/>
        <w:rPr>
          <w:rFonts w:ascii="MS PGothic" w:cs="MS PGothic" w:eastAsia="MS PGothic" w:hAnsi="MS PGothic"/>
          <w:sz w:val="27"/>
          <w:szCs w:val="27"/>
          <w:color w:val="auto"/>
        </w:rPr>
      </w:pPr>
    </w:p>
    <w:p>
      <w:pPr>
        <w:ind w:left="31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quarterly period ended June 30, 2019</w:t>
      </w:r>
    </w:p>
    <w:p>
      <w:pPr>
        <w:jc w:val="center"/>
        <w:spacing w:after="0"/>
        <w:rPr>
          <w:sz w:val="20"/>
          <w:szCs w:val="20"/>
          <w:color w:val="auto"/>
        </w:rPr>
      </w:pPr>
      <w:r>
        <w:rPr>
          <w:rFonts w:ascii="Arial" w:cs="Arial" w:eastAsia="Arial" w:hAnsi="Arial"/>
          <w:sz w:val="20"/>
          <w:szCs w:val="20"/>
          <w:b w:val="1"/>
          <w:bCs w:val="1"/>
          <w:color w:val="auto"/>
        </w:rPr>
        <w:t>OR</w:t>
      </w:r>
    </w:p>
    <w:p>
      <w:pPr>
        <w:spacing w:after="0" w:line="20" w:lineRule="exact"/>
        <w:rPr>
          <w:sz w:val="24"/>
          <w:szCs w:val="24"/>
          <w:color w:val="auto"/>
        </w:rPr>
      </w:pPr>
    </w:p>
    <w:p>
      <w:pPr>
        <w:ind w:left="2520" w:hanging="306"/>
        <w:spacing w:after="0"/>
        <w:tabs>
          <w:tab w:leader="none" w:pos="252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44" w:lineRule="exact"/>
        <w:rPr>
          <w:rFonts w:ascii="MS PGothic" w:cs="MS PGothic" w:eastAsia="MS PGothic" w:hAnsi="MS PGothic"/>
          <w:sz w:val="27"/>
          <w:szCs w:val="27"/>
          <w:color w:val="auto"/>
        </w:rPr>
      </w:pPr>
    </w:p>
    <w:p>
      <w:pPr>
        <w:ind w:left="31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90"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001-36478</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4" w:lineRule="exact"/>
        <w:rPr>
          <w:sz w:val="24"/>
          <w:szCs w:val="24"/>
          <w:color w:val="auto"/>
        </w:rPr>
      </w:pPr>
    </w:p>
    <w:tbl>
      <w:tblPr>
        <w:tblLayout w:type="fixed"/>
        <w:tblInd w:w="1120" w:type="dxa"/>
        <w:tblCellMar>
          <w:top w:w="0" w:type="dxa"/>
          <w:left w:w="0" w:type="dxa"/>
          <w:bottom w:w="0" w:type="dxa"/>
          <w:right w:w="0" w:type="dxa"/>
        </w:tblCellMar>
      </w:tblPr>
      <w:tr>
        <w:trPr>
          <w:trHeight w:val="261"/>
        </w:trPr>
        <w:tc>
          <w:tcPr>
            <w:tcW w:w="5040" w:type="dxa"/>
            <w:vAlign w:val="bottom"/>
          </w:tcPr>
          <w:p>
            <w:pPr>
              <w:jc w:val="center"/>
              <w:ind w:right="1561"/>
              <w:spacing w:after="0"/>
              <w:rPr>
                <w:sz w:val="20"/>
                <w:szCs w:val="20"/>
                <w:color w:val="auto"/>
              </w:rPr>
            </w:pPr>
            <w:r>
              <w:rPr>
                <w:rFonts w:ascii="Arial" w:cs="Arial" w:eastAsia="Arial" w:hAnsi="Arial"/>
                <w:sz w:val="20"/>
                <w:szCs w:val="20"/>
                <w:b w:val="1"/>
                <w:bCs w:val="1"/>
                <w:color w:val="auto"/>
                <w:w w:val="97"/>
              </w:rPr>
              <w:t>Delaware</w:t>
            </w:r>
          </w:p>
        </w:tc>
        <w:tc>
          <w:tcPr>
            <w:tcW w:w="3180" w:type="dxa"/>
            <w:vAlign w:val="bottom"/>
          </w:tcPr>
          <w:p>
            <w:pPr>
              <w:jc w:val="right"/>
              <w:ind w:right="141"/>
              <w:spacing w:after="0"/>
              <w:rPr>
                <w:sz w:val="20"/>
                <w:szCs w:val="20"/>
                <w:color w:val="auto"/>
              </w:rPr>
            </w:pPr>
            <w:r>
              <w:rPr>
                <w:rFonts w:ascii="Arial" w:cs="Arial" w:eastAsia="Arial" w:hAnsi="Arial"/>
                <w:sz w:val="20"/>
                <w:szCs w:val="20"/>
                <w:b w:val="1"/>
                <w:bCs w:val="1"/>
                <w:color w:val="auto"/>
              </w:rPr>
              <w:t>46-5670947</w:t>
            </w:r>
          </w:p>
        </w:tc>
      </w:tr>
      <w:tr>
        <w:trPr>
          <w:trHeight w:val="249"/>
        </w:trPr>
        <w:tc>
          <w:tcPr>
            <w:tcW w:w="5040" w:type="dxa"/>
            <w:vAlign w:val="bottom"/>
          </w:tcPr>
          <w:p>
            <w:pPr>
              <w:jc w:val="center"/>
              <w:ind w:right="1561"/>
              <w:spacing w:after="0"/>
              <w:rPr>
                <w:sz w:val="20"/>
                <w:szCs w:val="20"/>
                <w:color w:val="auto"/>
              </w:rPr>
            </w:pPr>
            <w:r>
              <w:rPr>
                <w:rFonts w:ascii="Arial" w:cs="Arial" w:eastAsia="Arial" w:hAnsi="Arial"/>
                <w:sz w:val="20"/>
                <w:szCs w:val="20"/>
                <w:color w:val="auto"/>
                <w:w w:val="98"/>
              </w:rPr>
              <w:t>(State or other jurisdiction of</w:t>
            </w:r>
          </w:p>
        </w:tc>
        <w:tc>
          <w:tcPr>
            <w:tcW w:w="3180" w:type="dxa"/>
            <w:vAlign w:val="bottom"/>
          </w:tcPr>
          <w:p>
            <w:pPr>
              <w:jc w:val="center"/>
              <w:ind w:left="1541"/>
              <w:spacing w:after="0"/>
              <w:rPr>
                <w:sz w:val="20"/>
                <w:szCs w:val="20"/>
                <w:color w:val="auto"/>
              </w:rPr>
            </w:pPr>
            <w:r>
              <w:rPr>
                <w:rFonts w:ascii="Arial" w:cs="Arial" w:eastAsia="Arial" w:hAnsi="Arial"/>
                <w:sz w:val="20"/>
                <w:szCs w:val="20"/>
                <w:color w:val="auto"/>
                <w:w w:val="99"/>
              </w:rPr>
              <w:t>(I.R.S. Employer</w:t>
            </w:r>
          </w:p>
        </w:tc>
      </w:tr>
      <w:tr>
        <w:trPr>
          <w:trHeight w:val="237"/>
        </w:trPr>
        <w:tc>
          <w:tcPr>
            <w:tcW w:w="5040" w:type="dxa"/>
            <w:vAlign w:val="bottom"/>
          </w:tcPr>
          <w:p>
            <w:pPr>
              <w:jc w:val="center"/>
              <w:ind w:right="1561"/>
              <w:spacing w:after="0"/>
              <w:rPr>
                <w:sz w:val="20"/>
                <w:szCs w:val="20"/>
                <w:color w:val="auto"/>
              </w:rPr>
            </w:pPr>
            <w:r>
              <w:rPr>
                <w:rFonts w:ascii="Arial" w:cs="Arial" w:eastAsia="Arial" w:hAnsi="Arial"/>
                <w:sz w:val="20"/>
                <w:szCs w:val="20"/>
                <w:color w:val="auto"/>
                <w:w w:val="99"/>
              </w:rPr>
              <w:t>incorporation or organization)</w:t>
            </w:r>
          </w:p>
        </w:tc>
        <w:tc>
          <w:tcPr>
            <w:tcW w:w="3180" w:type="dxa"/>
            <w:vAlign w:val="bottom"/>
          </w:tcPr>
          <w:p>
            <w:pPr>
              <w:jc w:val="center"/>
              <w:ind w:left="1541"/>
              <w:spacing w:after="0"/>
              <w:rPr>
                <w:sz w:val="20"/>
                <w:szCs w:val="20"/>
                <w:color w:val="auto"/>
              </w:rPr>
            </w:pPr>
            <w:r>
              <w:rPr>
                <w:rFonts w:ascii="Arial" w:cs="Arial" w:eastAsia="Arial" w:hAnsi="Arial"/>
                <w:sz w:val="20"/>
                <w:szCs w:val="20"/>
                <w:color w:val="auto"/>
                <w:w w:val="98"/>
              </w:rPr>
              <w:t>Identification No.)</w:t>
            </w:r>
          </w:p>
        </w:tc>
      </w:tr>
      <w:tr>
        <w:trPr>
          <w:trHeight w:val="540"/>
        </w:trPr>
        <w:tc>
          <w:tcPr>
            <w:tcW w:w="5040" w:type="dxa"/>
            <w:vAlign w:val="bottom"/>
          </w:tcPr>
          <w:p>
            <w:pPr>
              <w:jc w:val="center"/>
              <w:ind w:right="1561"/>
              <w:spacing w:after="0"/>
              <w:rPr>
                <w:sz w:val="20"/>
                <w:szCs w:val="20"/>
                <w:color w:val="auto"/>
              </w:rPr>
            </w:pPr>
            <w:r>
              <w:rPr>
                <w:rFonts w:ascii="Arial" w:cs="Arial" w:eastAsia="Arial" w:hAnsi="Arial"/>
                <w:sz w:val="20"/>
                <w:szCs w:val="20"/>
                <w:b w:val="1"/>
                <w:bCs w:val="1"/>
                <w:color w:val="auto"/>
                <w:w w:val="99"/>
              </w:rPr>
              <w:t>27200 Tourney Road</w:t>
            </w:r>
          </w:p>
        </w:tc>
        <w:tc>
          <w:tcPr>
            <w:tcW w:w="3180" w:type="dxa"/>
            <w:vAlign w:val="bottom"/>
          </w:tcPr>
          <w:p>
            <w:pPr>
              <w:spacing w:after="0"/>
              <w:rPr>
                <w:sz w:val="24"/>
                <w:szCs w:val="24"/>
                <w:color w:val="auto"/>
              </w:rPr>
            </w:pPr>
          </w:p>
        </w:tc>
      </w:tr>
      <w:tr>
        <w:trPr>
          <w:trHeight w:val="270"/>
        </w:trPr>
        <w:tc>
          <w:tcPr>
            <w:tcW w:w="5040" w:type="dxa"/>
            <w:vAlign w:val="bottom"/>
          </w:tcPr>
          <w:p>
            <w:pPr>
              <w:jc w:val="center"/>
              <w:ind w:right="1501"/>
              <w:spacing w:after="0"/>
              <w:rPr>
                <w:sz w:val="20"/>
                <w:szCs w:val="20"/>
                <w:color w:val="auto"/>
              </w:rPr>
            </w:pPr>
            <w:r>
              <w:rPr>
                <w:rFonts w:ascii="Arial" w:cs="Arial" w:eastAsia="Arial" w:hAnsi="Arial"/>
                <w:sz w:val="20"/>
                <w:szCs w:val="20"/>
                <w:b w:val="1"/>
                <w:bCs w:val="1"/>
                <w:color w:val="auto"/>
              </w:rPr>
              <w:t>Suite 315</w:t>
            </w:r>
          </w:p>
        </w:tc>
        <w:tc>
          <w:tcPr>
            <w:tcW w:w="3180" w:type="dxa"/>
            <w:vAlign w:val="bottom"/>
          </w:tcPr>
          <w:p>
            <w:pPr>
              <w:spacing w:after="0"/>
              <w:rPr>
                <w:sz w:val="23"/>
                <w:szCs w:val="23"/>
                <w:color w:val="auto"/>
              </w:rPr>
            </w:pPr>
          </w:p>
        </w:tc>
      </w:tr>
      <w:tr>
        <w:trPr>
          <w:trHeight w:val="270"/>
        </w:trPr>
        <w:tc>
          <w:tcPr>
            <w:tcW w:w="5040" w:type="dxa"/>
            <w:vAlign w:val="bottom"/>
          </w:tcPr>
          <w:p>
            <w:pPr>
              <w:jc w:val="center"/>
              <w:ind w:right="1561"/>
              <w:spacing w:after="0"/>
              <w:rPr>
                <w:sz w:val="20"/>
                <w:szCs w:val="20"/>
                <w:color w:val="auto"/>
              </w:rPr>
            </w:pPr>
            <w:r>
              <w:rPr>
                <w:rFonts w:ascii="Arial" w:cs="Arial" w:eastAsia="Arial" w:hAnsi="Arial"/>
                <w:sz w:val="20"/>
                <w:szCs w:val="20"/>
                <w:b w:val="1"/>
                <w:bCs w:val="1"/>
                <w:color w:val="auto"/>
                <w:w w:val="99"/>
              </w:rPr>
              <w:t>Santa Clarita</w:t>
            </w:r>
          </w:p>
        </w:tc>
        <w:tc>
          <w:tcPr>
            <w:tcW w:w="3180" w:type="dxa"/>
            <w:vAlign w:val="bottom"/>
          </w:tcPr>
          <w:p>
            <w:pPr>
              <w:spacing w:after="0"/>
              <w:rPr>
                <w:sz w:val="23"/>
                <w:szCs w:val="23"/>
                <w:color w:val="auto"/>
              </w:rPr>
            </w:pPr>
          </w:p>
        </w:tc>
      </w:tr>
      <w:tr>
        <w:trPr>
          <w:trHeight w:val="270"/>
        </w:trPr>
        <w:tc>
          <w:tcPr>
            <w:tcW w:w="5040" w:type="dxa"/>
            <w:vAlign w:val="bottom"/>
          </w:tcPr>
          <w:p>
            <w:pPr>
              <w:jc w:val="center"/>
              <w:ind w:right="1561"/>
              <w:spacing w:after="0"/>
              <w:rPr>
                <w:sz w:val="20"/>
                <w:szCs w:val="20"/>
                <w:color w:val="auto"/>
              </w:rPr>
            </w:pPr>
            <w:r>
              <w:rPr>
                <w:rFonts w:ascii="Arial" w:cs="Arial" w:eastAsia="Arial" w:hAnsi="Arial"/>
                <w:sz w:val="20"/>
                <w:szCs w:val="20"/>
                <w:b w:val="1"/>
                <w:bCs w:val="1"/>
                <w:color w:val="auto"/>
                <w:w w:val="97"/>
              </w:rPr>
              <w:t>California</w:t>
            </w:r>
          </w:p>
        </w:tc>
        <w:tc>
          <w:tcPr>
            <w:tcW w:w="3180" w:type="dxa"/>
            <w:vAlign w:val="bottom"/>
          </w:tcPr>
          <w:p>
            <w:pPr>
              <w:jc w:val="right"/>
              <w:ind w:right="401"/>
              <w:spacing w:after="0"/>
              <w:rPr>
                <w:sz w:val="20"/>
                <w:szCs w:val="20"/>
                <w:color w:val="auto"/>
              </w:rPr>
            </w:pPr>
            <w:r>
              <w:rPr>
                <w:rFonts w:ascii="Arial" w:cs="Arial" w:eastAsia="Arial" w:hAnsi="Arial"/>
                <w:sz w:val="20"/>
                <w:szCs w:val="20"/>
                <w:b w:val="1"/>
                <w:bCs w:val="1"/>
                <w:color w:val="auto"/>
              </w:rPr>
              <w:t>91355</w:t>
            </w:r>
          </w:p>
        </w:tc>
      </w:tr>
      <w:tr>
        <w:trPr>
          <w:trHeight w:val="270"/>
        </w:trPr>
        <w:tc>
          <w:tcPr>
            <w:tcW w:w="5040" w:type="dxa"/>
            <w:vAlign w:val="bottom"/>
          </w:tcPr>
          <w:p>
            <w:pPr>
              <w:jc w:val="center"/>
              <w:ind w:right="1561"/>
              <w:spacing w:after="0"/>
              <w:rPr>
                <w:sz w:val="20"/>
                <w:szCs w:val="20"/>
                <w:color w:val="auto"/>
              </w:rPr>
            </w:pPr>
            <w:r>
              <w:rPr>
                <w:rFonts w:ascii="Arial" w:cs="Arial" w:eastAsia="Arial" w:hAnsi="Arial"/>
                <w:sz w:val="20"/>
                <w:szCs w:val="20"/>
                <w:color w:val="auto"/>
                <w:w w:val="98"/>
              </w:rPr>
              <w:t>(Address of principal executive offices)</w:t>
            </w:r>
          </w:p>
        </w:tc>
        <w:tc>
          <w:tcPr>
            <w:tcW w:w="3180" w:type="dxa"/>
            <w:vAlign w:val="bottom"/>
          </w:tcPr>
          <w:p>
            <w:pPr>
              <w:jc w:val="center"/>
              <w:ind w:left="1541"/>
              <w:spacing w:after="0"/>
              <w:rPr>
                <w:sz w:val="20"/>
                <w:szCs w:val="20"/>
                <w:color w:val="auto"/>
              </w:rPr>
            </w:pPr>
            <w:r>
              <w:rPr>
                <w:rFonts w:ascii="Arial" w:cs="Arial" w:eastAsia="Arial" w:hAnsi="Arial"/>
                <w:sz w:val="20"/>
                <w:szCs w:val="20"/>
                <w:color w:val="auto"/>
                <w:w w:val="99"/>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(888) 848-4754</w:t>
      </w:r>
    </w:p>
    <w:p>
      <w:pPr>
        <w:spacing w:after="0" w:line="26"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(Registrant’s telephone number, including area code)</w:t>
      </w:r>
    </w:p>
    <w:p>
      <w:pPr>
        <w:spacing w:after="0" w:line="220"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Exchange Act:</w:t>
      </w:r>
    </w:p>
    <w:p>
      <w:pPr>
        <w:sectPr>
          <w:pgSz w:w="11900" w:h="16838" w:orient="portrait"/>
          <w:cols w:equalWidth="0" w:num="1">
            <w:col w:w="11420"/>
          </w:cols>
          <w:pgMar w:left="240" w:top="719" w:right="239" w:bottom="1440" w:gutter="0" w:footer="0" w:header="0"/>
        </w:sectPr>
      </w:pPr>
    </w:p>
    <w:p>
      <w:pPr>
        <w:spacing w:after="0" w:line="149" w:lineRule="exact"/>
        <w:rPr>
          <w:sz w:val="24"/>
          <w:szCs w:val="24"/>
          <w:color w:val="auto"/>
        </w:rPr>
      </w:pPr>
    </w:p>
    <w:p>
      <w:pPr>
        <w:ind w:left="2080"/>
        <w:spacing w:after="0"/>
        <w:rPr>
          <w:sz w:val="20"/>
          <w:szCs w:val="20"/>
          <w:color w:val="auto"/>
        </w:rPr>
      </w:pPr>
      <w:r>
        <w:rPr>
          <w:rFonts w:ascii="Arial" w:cs="Arial" w:eastAsia="Arial" w:hAnsi="Arial"/>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tabs>
          <w:tab w:leader="none" w:pos="1720" w:val="left"/>
        </w:tabs>
        <w:rPr>
          <w:sz w:val="20"/>
          <w:szCs w:val="20"/>
          <w:color w:val="auto"/>
        </w:rPr>
      </w:pPr>
      <w:r>
        <w:rPr>
          <w:rFonts w:ascii="Arial" w:cs="Arial" w:eastAsia="Arial" w:hAnsi="Arial"/>
          <w:sz w:val="17"/>
          <w:szCs w:val="17"/>
          <w:b w:val="1"/>
          <w:bCs w:val="1"/>
          <w:color w:val="auto"/>
        </w:rPr>
        <w:t>Trading Symbol(s)</w:t>
        <w:tab/>
        <w:t>Name of Each Exchange on Which Registered</w:t>
      </w:r>
    </w:p>
    <w:p>
      <w:pPr>
        <w:spacing w:after="0" w:line="68" w:lineRule="exact"/>
        <w:rPr>
          <w:sz w:val="24"/>
          <w:szCs w:val="24"/>
          <w:color w:val="auto"/>
        </w:rPr>
      </w:pPr>
    </w:p>
    <w:p>
      <w:pPr>
        <w:sectPr>
          <w:pgSz w:w="11900" w:h="16838" w:orient="portrait"/>
          <w:cols w:equalWidth="0" w:num="2">
            <w:col w:w="3900" w:space="720"/>
            <w:col w:w="6800"/>
          </w:cols>
          <w:pgMar w:left="240" w:top="719" w:right="239" w:bottom="1440" w:gutter="0" w:footer="0" w:header="0"/>
          <w:type w:val="continuous"/>
        </w:sectPr>
      </w:pPr>
    </w:p>
    <w:p>
      <w:pPr>
        <w:ind w:left="226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jc w:val="center"/>
        <w:ind w:right="960"/>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167" w:lineRule="exact"/>
        <w:rPr>
          <w:sz w:val="24"/>
          <w:szCs w:val="24"/>
          <w:color w:val="auto"/>
        </w:rPr>
      </w:pPr>
    </w:p>
    <w:p>
      <w:pPr>
        <w:sectPr>
          <w:pgSz w:w="11900" w:h="16838" w:orient="portrait"/>
          <w:cols w:equalWidth="0" w:num="3">
            <w:col w:w="4460" w:space="720"/>
            <w:col w:w="1320" w:space="720"/>
            <w:col w:w="4200"/>
          </w:cols>
          <w:pgMar w:left="240" w:top="719" w:right="239" w:bottom="1440" w:gutter="0" w:footer="0" w:header="0"/>
          <w:type w:val="continuous"/>
        </w:sectPr>
      </w:pPr>
    </w:p>
    <w:p>
      <w:pPr>
        <w:jc w:val="both"/>
        <w:spacing w:after="0" w:line="21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96" w:lineRule="exact"/>
        <w:rPr>
          <w:sz w:val="24"/>
          <w:szCs w:val="24"/>
          <w:color w:val="auto"/>
        </w:rPr>
      </w:pPr>
    </w:p>
    <w:p>
      <w:pPr>
        <w:jc w:val="both"/>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w:t>
      </w:r>
      <w:r>
        <w:rPr>
          <w:rFonts w:ascii="Arial" w:cs="Arial" w:eastAsia="Arial" w:hAnsi="Arial"/>
          <w:sz w:val="18"/>
          <w:szCs w:val="18"/>
          <w:color w:val="auto"/>
        </w:rPr>
        <w:t>(§232.405 of this chapter)</w:t>
      </w:r>
      <w:r>
        <w:rPr>
          <w:rFonts w:ascii="Arial" w:cs="Arial" w:eastAsia="Arial" w:hAnsi="Arial"/>
          <w:sz w:val="17"/>
          <w:szCs w:val="17"/>
          <w:color w:val="auto"/>
        </w:rPr>
        <w:t xml:space="preserve">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2"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19" w:right="239" w:bottom="1440" w:gutter="0" w:footer="0" w:header="0"/>
          <w:type w:val="continuous"/>
        </w:sectPr>
      </w:pPr>
    </w:p>
    <w:p>
      <w:pPr>
        <w:spacing w:after="0" w:line="176"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6">
            <w:col w:w="2900" w:space="520"/>
            <w:col w:w="160" w:space="600"/>
            <w:col w:w="1580" w:space="720"/>
            <w:col w:w="160" w:space="620"/>
            <w:col w:w="1640" w:space="660"/>
            <w:col w:w="1860"/>
          </w:cols>
          <w:pgMar w:left="240" w:top="719" w:right="23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1" w:lineRule="exact"/>
        <w:rPr>
          <w:sz w:val="24"/>
          <w:szCs w:val="24"/>
          <w:color w:val="auto"/>
        </w:rPr>
      </w:pPr>
    </w:p>
    <w:p>
      <w:pPr>
        <w:sectPr>
          <w:pgSz w:w="11900" w:h="16838" w:orient="portrait"/>
          <w:cols w:equalWidth="0" w:num="4">
            <w:col w:w="3280" w:space="140"/>
            <w:col w:w="160" w:space="600"/>
            <w:col w:w="2120" w:space="180"/>
            <w:col w:w="4940"/>
          </w:cols>
          <w:pgMar w:left="240" w:top="719" w:right="239" w:bottom="1440" w:gutter="0" w:footer="0" w:header="0"/>
          <w:type w:val="continuous"/>
        </w:sectPr>
      </w:pPr>
    </w:p>
    <w:p>
      <w:pPr>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420"/>
          </w:cols>
          <w:pgMar w:left="240" w:top="719"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spacing w:after="0" w:line="165"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12" w:lineRule="exact"/>
        <w:rPr>
          <w:sz w:val="24"/>
          <w:szCs w:val="24"/>
          <w:color w:val="auto"/>
        </w:rPr>
      </w:pPr>
    </w:p>
    <w:p>
      <w:pPr>
        <w:sectPr>
          <w:pgSz w:w="11900" w:h="16838" w:orient="portrait"/>
          <w:cols w:equalWidth="0" w:num="3">
            <w:col w:w="8500" w:space="240"/>
            <w:col w:w="480" w:space="200"/>
            <w:col w:w="2000"/>
          </w:cols>
          <w:pgMar w:left="240" w:top="719"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Shares of common stock outstanding as of June 30, 2019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49,004,413</w:t>
      </w:r>
    </w:p>
    <w:p>
      <w:pPr>
        <w:sectPr>
          <w:pgSz w:w="11900" w:h="16838" w:orient="portrait"/>
          <w:cols w:equalWidth="0" w:num="2">
            <w:col w:w="9300" w:space="720"/>
            <w:col w:w="1400"/>
          </w:cols>
          <w:pgMar w:left="240" w:top="71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6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7"/>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40"/>
              <w:spacing w:after="0"/>
              <w:rPr>
                <w:sz w:val="20"/>
                <w:szCs w:val="20"/>
                <w:color w:val="auto"/>
              </w:rPr>
            </w:pPr>
            <w:r>
              <w:rPr>
                <w:rFonts w:ascii="Arial" w:cs="Arial" w:eastAsia="Arial" w:hAnsi="Arial"/>
                <w:sz w:val="18"/>
                <w:szCs w:val="18"/>
                <w:color w:val="auto"/>
              </w:rPr>
              <w:t>Financial Statements (unaudited)</w:t>
            </w:r>
          </w:p>
        </w:tc>
        <w:tc>
          <w:tcPr>
            <w:tcW w:w="740" w:type="dxa"/>
            <w:vAlign w:val="bottom"/>
          </w:tcPr>
          <w:p>
            <w:pPr>
              <w:jc w:val="right"/>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Balance Sheets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2</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Condensed Consolidated Statements of Operations</w:t>
            </w:r>
          </w:p>
        </w:tc>
        <w:tc>
          <w:tcPr>
            <w:tcW w:w="74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3</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Statements of Comprehensive Income</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4</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Condensed Consolidated Statements of Cash Flows</w:t>
            </w:r>
          </w:p>
        </w:tc>
        <w:tc>
          <w:tcPr>
            <w:tcW w:w="740" w:type="dxa"/>
            <w:vAlign w:val="bottom"/>
          </w:tcPr>
          <w:p>
            <w:pPr>
              <w:jc w:val="right"/>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5</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Condensed Consolidated Statements of Equity</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7">
              <w:r>
                <w:rPr>
                  <w:rFonts w:ascii="Arial" w:cs="Arial" w:eastAsia="Arial" w:hAnsi="Arial"/>
                  <w:sz w:val="18"/>
                  <w:szCs w:val="18"/>
                  <w:b w:val="1"/>
                  <w:bCs w:val="1"/>
                  <w:color w:val="auto"/>
                </w:rPr>
                <w:t>6</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Notes to the Condensed Consolidated Financial Statements</w:t>
            </w:r>
          </w:p>
        </w:tc>
        <w:tc>
          <w:tcPr>
            <w:tcW w:w="740" w:type="dxa"/>
            <w:vAlign w:val="bottom"/>
          </w:tcPr>
          <w:p>
            <w:pPr>
              <w:jc w:val="right"/>
              <w:spacing w:after="0"/>
              <w:rPr>
                <w:rFonts w:ascii="Arial" w:cs="Arial" w:eastAsia="Arial" w:hAnsi="Arial"/>
                <w:sz w:val="18"/>
                <w:szCs w:val="18"/>
                <w:b w:val="1"/>
                <w:bCs w:val="1"/>
                <w:color w:val="auto"/>
              </w:rPr>
            </w:pPr>
            <w:hyperlink w:anchor="page9">
              <w:r>
                <w:rPr>
                  <w:rFonts w:ascii="Arial" w:cs="Arial" w:eastAsia="Arial" w:hAnsi="Arial"/>
                  <w:sz w:val="18"/>
                  <w:szCs w:val="18"/>
                  <w:b w:val="1"/>
                  <w:bCs w:val="1"/>
                  <w:color w:val="auto"/>
                </w:rPr>
                <w:t>8</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2</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4">
              <w:r>
                <w:rPr>
                  <w:rFonts w:ascii="Arial" w:cs="Arial" w:eastAsia="Arial" w:hAnsi="Arial"/>
                  <w:sz w:val="18"/>
                  <w:szCs w:val="18"/>
                  <w:b w:val="1"/>
                  <w:bCs w:val="1"/>
                  <w:color w:val="auto"/>
                </w:rPr>
                <w:t>23</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General</w:t>
            </w:r>
          </w:p>
        </w:tc>
        <w:tc>
          <w:tcPr>
            <w:tcW w:w="740" w:type="dxa"/>
            <w:vAlign w:val="bottom"/>
          </w:tcPr>
          <w:p>
            <w:pPr>
              <w:jc w:val="right"/>
              <w:spacing w:after="0"/>
              <w:rPr>
                <w:rFonts w:ascii="Arial" w:cs="Arial" w:eastAsia="Arial" w:hAnsi="Arial"/>
                <w:sz w:val="18"/>
                <w:szCs w:val="18"/>
                <w:b w:val="1"/>
                <w:bCs w:val="1"/>
                <w:color w:val="auto"/>
              </w:rPr>
            </w:pPr>
            <w:hyperlink w:anchor="page24">
              <w:r>
                <w:rPr>
                  <w:rFonts w:ascii="Arial" w:cs="Arial" w:eastAsia="Arial" w:hAnsi="Arial"/>
                  <w:sz w:val="18"/>
                  <w:szCs w:val="18"/>
                  <w:b w:val="1"/>
                  <w:bCs w:val="1"/>
                  <w:color w:val="auto"/>
                </w:rPr>
                <w:t>23</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Business Environment and Industry Outlook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4">
              <w:r>
                <w:rPr>
                  <w:rFonts w:ascii="Arial" w:cs="Arial" w:eastAsia="Arial" w:hAnsi="Arial"/>
                  <w:sz w:val="18"/>
                  <w:szCs w:val="18"/>
                  <w:b w:val="1"/>
                  <w:bCs w:val="1"/>
                  <w:color w:val="auto"/>
                </w:rPr>
                <w:t>23</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Seasonality</w:t>
            </w:r>
          </w:p>
        </w:tc>
        <w:tc>
          <w:tcPr>
            <w:tcW w:w="740" w:type="dxa"/>
            <w:vAlign w:val="bottom"/>
          </w:tcPr>
          <w:p>
            <w:pPr>
              <w:jc w:val="right"/>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25</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Recent Developments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25</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Development Joint Ventures</w:t>
            </w:r>
          </w:p>
        </w:tc>
        <w:tc>
          <w:tcPr>
            <w:tcW w:w="740" w:type="dxa"/>
            <w:vAlign w:val="bottom"/>
          </w:tcPr>
          <w:p>
            <w:pPr>
              <w:jc w:val="right"/>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25</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5">
              <w:r>
                <w:rPr>
                  <w:rFonts w:ascii="Arial" w:cs="Arial" w:eastAsia="Arial" w:hAnsi="Arial"/>
                  <w:sz w:val="18"/>
                  <w:szCs w:val="18"/>
                  <w:b w:val="1"/>
                  <w:bCs w:val="1"/>
                  <w:color w:val="auto"/>
                </w:rPr>
                <w:t>24</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Fixed and Variable Costs</w:t>
            </w:r>
          </w:p>
        </w:tc>
        <w:tc>
          <w:tcPr>
            <w:tcW w:w="740" w:type="dxa"/>
            <w:vAlign w:val="bottom"/>
          </w:tcPr>
          <w:p>
            <w:pPr>
              <w:jc w:val="right"/>
              <w:spacing w:after="0"/>
              <w:rPr>
                <w:rFonts w:ascii="Arial" w:cs="Arial" w:eastAsia="Arial" w:hAnsi="Arial"/>
                <w:sz w:val="18"/>
                <w:szCs w:val="18"/>
                <w:b w:val="1"/>
                <w:bCs w:val="1"/>
                <w:color w:val="auto"/>
              </w:rPr>
            </w:pPr>
            <w:hyperlink w:anchor="page25">
              <w:r>
                <w:rPr>
                  <w:rFonts w:ascii="Arial" w:cs="Arial" w:eastAsia="Arial" w:hAnsi="Arial"/>
                  <w:sz w:val="18"/>
                  <w:szCs w:val="18"/>
                  <w:b w:val="1"/>
                  <w:bCs w:val="1"/>
                  <w:color w:val="auto"/>
                </w:rPr>
                <w:t>24</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Production and Prices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26</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Balance Sheet Analysis</w:t>
            </w:r>
          </w:p>
        </w:tc>
        <w:tc>
          <w:tcPr>
            <w:tcW w:w="740" w:type="dxa"/>
            <w:vAlign w:val="bottom"/>
          </w:tcPr>
          <w:p>
            <w:pPr>
              <w:jc w:val="right"/>
              <w:spacing w:after="0"/>
              <w:rPr>
                <w:rFonts w:ascii="Arial" w:cs="Arial" w:eastAsia="Arial" w:hAnsi="Arial"/>
                <w:sz w:val="18"/>
                <w:szCs w:val="18"/>
                <w:b w:val="1"/>
                <w:bCs w:val="1"/>
                <w:color w:val="auto"/>
              </w:rPr>
            </w:pPr>
            <w:hyperlink w:anchor="page29">
              <w:r>
                <w:rPr>
                  <w:rFonts w:ascii="Arial" w:cs="Arial" w:eastAsia="Arial" w:hAnsi="Arial"/>
                  <w:sz w:val="18"/>
                  <w:szCs w:val="18"/>
                  <w:b w:val="1"/>
                  <w:bCs w:val="1"/>
                  <w:color w:val="auto"/>
                </w:rPr>
                <w:t>28</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Statements of Operations Analysis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29</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Liquidity and Capital Resources</w:t>
            </w:r>
          </w:p>
        </w:tc>
        <w:tc>
          <w:tcPr>
            <w:tcW w:w="740" w:type="dxa"/>
            <w:vAlign w:val="bottom"/>
          </w:tcPr>
          <w:p>
            <w:pPr>
              <w:jc w:val="right"/>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35</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2019 Capital Program</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38</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Lawsuits, Claims, Commitments and Contingencies</w:t>
            </w:r>
          </w:p>
        </w:tc>
        <w:tc>
          <w:tcPr>
            <w:tcW w:w="740" w:type="dxa"/>
            <w:vAlign w:val="bottom"/>
          </w:tcPr>
          <w:p>
            <w:pPr>
              <w:jc w:val="right"/>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38</w:t>
              </w:r>
            </w:hyperlink>
          </w:p>
        </w:tc>
      </w:tr>
      <w:tr>
        <w:trPr>
          <w:trHeight w:val="277"/>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Significant Accounting and Disclosure Changes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9">
              <w:r>
                <w:rPr>
                  <w:rFonts w:ascii="Arial" w:cs="Arial" w:eastAsia="Arial" w:hAnsi="Arial"/>
                  <w:sz w:val="18"/>
                  <w:szCs w:val="18"/>
                  <w:b w:val="1"/>
                  <w:bCs w:val="1"/>
                  <w:color w:val="auto"/>
                </w:rPr>
                <w:t>38</w:t>
              </w:r>
            </w:hyperlink>
          </w:p>
        </w:tc>
      </w:tr>
      <w:tr>
        <w:trPr>
          <w:trHeight w:val="263"/>
        </w:trPr>
        <w:tc>
          <w:tcPr>
            <w:tcW w:w="960" w:type="dxa"/>
            <w:vAlign w:val="bottom"/>
          </w:tcPr>
          <w:p>
            <w:pPr>
              <w:spacing w:after="0"/>
              <w:rPr>
                <w:sz w:val="22"/>
                <w:szCs w:val="22"/>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Forward-Looking Statements</w:t>
            </w:r>
          </w:p>
        </w:tc>
        <w:tc>
          <w:tcPr>
            <w:tcW w:w="740" w:type="dxa"/>
            <w:vAlign w:val="bottom"/>
          </w:tcPr>
          <w:p>
            <w:pPr>
              <w:jc w:val="right"/>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39</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3</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40</w:t>
              </w:r>
            </w:hyperlink>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4</w:t>
            </w:r>
          </w:p>
        </w:tc>
        <w:tc>
          <w:tcPr>
            <w:tcW w:w="75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740" w:type="dxa"/>
            <w:vAlign w:val="bottom"/>
          </w:tcPr>
          <w:p>
            <w:pPr>
              <w:jc w:val="right"/>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40</w:t>
              </w:r>
            </w:hyperlink>
          </w:p>
        </w:tc>
      </w:tr>
      <w:tr>
        <w:trPr>
          <w:trHeight w:val="290"/>
        </w:trPr>
        <w:tc>
          <w:tcPr>
            <w:tcW w:w="960" w:type="dxa"/>
            <w:vAlign w:val="bottom"/>
            <w:shd w:val="clear" w:color="auto" w:fill="CCEEFF"/>
          </w:tcPr>
          <w:p>
            <w:pPr>
              <w:spacing w:after="0"/>
              <w:rPr>
                <w:sz w:val="24"/>
                <w:szCs w:val="24"/>
                <w:color w:val="auto"/>
              </w:rPr>
            </w:pPr>
          </w:p>
        </w:tc>
        <w:tc>
          <w:tcPr>
            <w:tcW w:w="7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3"/>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5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1</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Proceedings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41</w:t>
              </w:r>
            </w:hyperlink>
          </w:p>
        </w:tc>
      </w:tr>
      <w:tr>
        <w:trPr>
          <w:trHeight w:val="250"/>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1A</w:t>
            </w:r>
          </w:p>
        </w:tc>
        <w:tc>
          <w:tcPr>
            <w:tcW w:w="75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740" w:type="dxa"/>
            <w:vAlign w:val="bottom"/>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41</w:t>
              </w:r>
            </w:hyperlink>
          </w:p>
        </w:tc>
      </w:tr>
      <w:tr>
        <w:trPr>
          <w:trHeight w:val="263"/>
        </w:trPr>
        <w:tc>
          <w:tcPr>
            <w:tcW w:w="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Item 5</w:t>
            </w:r>
          </w:p>
        </w:tc>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Disclosures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41</w:t>
              </w:r>
            </w:hyperlink>
          </w:p>
        </w:tc>
      </w:tr>
      <w:tr>
        <w:trPr>
          <w:trHeight w:val="243"/>
        </w:trPr>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Item 6</w:t>
            </w:r>
          </w:p>
        </w:tc>
        <w:tc>
          <w:tcPr>
            <w:tcW w:w="7520" w:type="dxa"/>
            <w:vAlign w:val="bottom"/>
          </w:tcPr>
          <w:p>
            <w:pPr>
              <w:ind w:left="140"/>
              <w:spacing w:after="0"/>
              <w:rPr>
                <w:sz w:val="20"/>
                <w:szCs w:val="20"/>
                <w:color w:val="auto"/>
              </w:rPr>
            </w:pPr>
            <w:r>
              <w:rPr>
                <w:rFonts w:ascii="Arial" w:cs="Arial" w:eastAsia="Arial" w:hAnsi="Arial"/>
                <w:sz w:val="18"/>
                <w:szCs w:val="18"/>
                <w:color w:val="auto"/>
              </w:rPr>
              <w:t>Exhibits</w:t>
            </w:r>
          </w:p>
        </w:tc>
        <w:tc>
          <w:tcPr>
            <w:tcW w:w="740" w:type="dxa"/>
            <w:vAlign w:val="bottom"/>
          </w:tcPr>
          <w:p>
            <w:pPr>
              <w:jc w:val="right"/>
              <w:spacing w:after="0"/>
              <w:rPr>
                <w:rFonts w:ascii="Arial" w:cs="Arial" w:eastAsia="Arial" w:hAnsi="Arial"/>
                <w:sz w:val="18"/>
                <w:szCs w:val="18"/>
                <w:b w:val="1"/>
                <w:bCs w:val="1"/>
                <w:color w:val="auto"/>
              </w:rPr>
            </w:pPr>
            <w:hyperlink w:anchor="page43">
              <w:r>
                <w:rPr>
                  <w:rFonts w:ascii="Arial" w:cs="Arial" w:eastAsia="Arial" w:hAnsi="Arial"/>
                  <w:sz w:val="18"/>
                  <w:szCs w:val="18"/>
                  <w:b w:val="1"/>
                  <w:bCs w:val="1"/>
                  <w:color w:val="auto"/>
                </w:rPr>
                <w:t>42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220"/>
          </w:cols>
          <w:pgMar w:left="1340" w:top="576" w:right="1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700" w:type="dxa"/>
            <w:vAlign w:val="bottom"/>
          </w:tcPr>
          <w:p>
            <w:pPr>
              <w:spacing w:after="0"/>
              <w:rPr>
                <w:sz w:val="20"/>
                <w:szCs w:val="20"/>
                <w:color w:val="auto"/>
              </w:rPr>
            </w:pPr>
          </w:p>
        </w:tc>
        <w:tc>
          <w:tcPr>
            <w:tcW w:w="4160" w:type="dxa"/>
            <w:vAlign w:val="bottom"/>
          </w:tcPr>
          <w:p>
            <w:pPr>
              <w:ind w:left="3480"/>
              <w:spacing w:after="0"/>
              <w:rPr>
                <w:sz w:val="20"/>
                <w:szCs w:val="20"/>
                <w:color w:val="auto"/>
              </w:rPr>
            </w:pPr>
            <w:r>
              <w:rPr>
                <w:rFonts w:ascii="Arial" w:cs="Arial" w:eastAsia="Arial" w:hAnsi="Arial"/>
                <w:sz w:val="18"/>
                <w:szCs w:val="18"/>
                <w:b w:val="1"/>
                <w:bCs w:val="1"/>
                <w:color w:val="auto"/>
              </w:rPr>
              <w:t>PART I</w:t>
            </w:r>
          </w:p>
        </w:tc>
        <w:tc>
          <w:tcPr>
            <w:tcW w:w="334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FINANCIAL INFORMATION</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648"/>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4160" w:type="dxa"/>
            <w:vAlign w:val="bottom"/>
          </w:tcPr>
          <w:p>
            <w:pPr>
              <w:ind w:left="280"/>
              <w:spacing w:after="0"/>
              <w:rPr>
                <w:sz w:val="20"/>
                <w:szCs w:val="20"/>
                <w:color w:val="auto"/>
              </w:rPr>
            </w:pPr>
            <w:r>
              <w:rPr>
                <w:rFonts w:ascii="Arial" w:cs="Arial" w:eastAsia="Arial" w:hAnsi="Arial"/>
                <w:sz w:val="18"/>
                <w:szCs w:val="18"/>
                <w:b w:val="1"/>
                <w:bCs w:val="1"/>
                <w:color w:val="auto"/>
              </w:rPr>
              <w:t>Financial Statements (unaudited)</w:t>
            </w: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9"/>
        </w:trPr>
        <w:tc>
          <w:tcPr>
            <w:tcW w:w="700" w:type="dxa"/>
            <w:vAlign w:val="bottom"/>
          </w:tcPr>
          <w:p>
            <w:pPr>
              <w:spacing w:after="0"/>
              <w:rPr>
                <w:sz w:val="24"/>
                <w:szCs w:val="24"/>
                <w:color w:val="auto"/>
              </w:rPr>
            </w:pPr>
          </w:p>
        </w:tc>
        <w:tc>
          <w:tcPr>
            <w:tcW w:w="9000" w:type="dxa"/>
            <w:vAlign w:val="bottom"/>
            <w:gridSpan w:val="5"/>
          </w:tcPr>
          <w:p>
            <w:pPr>
              <w:jc w:val="center"/>
              <w:ind w:left="930"/>
              <w:spacing w:after="0"/>
              <w:rPr>
                <w:sz w:val="20"/>
                <w:szCs w:val="20"/>
                <w:color w:val="auto"/>
              </w:rPr>
            </w:pPr>
            <w:r>
              <w:rPr>
                <w:rFonts w:ascii="Arial" w:cs="Arial" w:eastAsia="Arial" w:hAnsi="Arial"/>
                <w:sz w:val="18"/>
                <w:szCs w:val="18"/>
                <w:b w:val="1"/>
                <w:bCs w:val="1"/>
                <w:color w:val="auto"/>
                <w:w w:val="99"/>
              </w:rPr>
              <w:t>CALIFORNIA RESOURCES CORPORATION AND SUBSIDIARIES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7500" w:type="dxa"/>
            <w:vAlign w:val="bottom"/>
            <w:gridSpan w:val="3"/>
          </w:tcPr>
          <w:p>
            <w:pPr>
              <w:jc w:val="center"/>
              <w:ind w:left="24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8"/>
        </w:trPr>
        <w:tc>
          <w:tcPr>
            <w:tcW w:w="700" w:type="dxa"/>
            <w:vAlign w:val="bottom"/>
          </w:tcPr>
          <w:p>
            <w:pPr>
              <w:spacing w:after="0"/>
              <w:rPr>
                <w:sz w:val="20"/>
                <w:szCs w:val="20"/>
                <w:color w:val="auto"/>
              </w:rPr>
            </w:pPr>
          </w:p>
        </w:tc>
        <w:tc>
          <w:tcPr>
            <w:tcW w:w="7500" w:type="dxa"/>
            <w:vAlign w:val="bottom"/>
            <w:gridSpan w:val="3"/>
          </w:tcPr>
          <w:p>
            <w:pPr>
              <w:jc w:val="center"/>
              <w:ind w:left="2430"/>
              <w:spacing w:after="0"/>
              <w:rPr>
                <w:sz w:val="20"/>
                <w:szCs w:val="20"/>
                <w:color w:val="auto"/>
              </w:rPr>
            </w:pPr>
            <w:r>
              <w:rPr>
                <w:rFonts w:ascii="Arial" w:cs="Arial" w:eastAsia="Arial" w:hAnsi="Arial"/>
                <w:sz w:val="18"/>
                <w:szCs w:val="18"/>
                <w:b w:val="1"/>
                <w:bCs w:val="1"/>
                <w:color w:val="auto"/>
                <w:w w:val="99"/>
              </w:rPr>
              <w:t>As of June 30, 2019 and December 31, 2018</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7"/>
        </w:trPr>
        <w:tc>
          <w:tcPr>
            <w:tcW w:w="700" w:type="dxa"/>
            <w:vAlign w:val="bottom"/>
          </w:tcPr>
          <w:p>
            <w:pPr>
              <w:spacing w:after="0"/>
              <w:rPr>
                <w:sz w:val="18"/>
                <w:szCs w:val="18"/>
                <w:color w:val="auto"/>
              </w:rPr>
            </w:pPr>
          </w:p>
        </w:tc>
        <w:tc>
          <w:tcPr>
            <w:tcW w:w="7500" w:type="dxa"/>
            <w:vAlign w:val="bottom"/>
            <w:gridSpan w:val="3"/>
          </w:tcPr>
          <w:p>
            <w:pPr>
              <w:jc w:val="center"/>
              <w:ind w:left="2450"/>
              <w:spacing w:after="0"/>
              <w:rPr>
                <w:sz w:val="20"/>
                <w:szCs w:val="20"/>
                <w:color w:val="auto"/>
              </w:rPr>
            </w:pPr>
            <w:r>
              <w:rPr>
                <w:rFonts w:ascii="Arial" w:cs="Arial" w:eastAsia="Arial" w:hAnsi="Arial"/>
                <w:sz w:val="18"/>
                <w:szCs w:val="18"/>
                <w:color w:val="auto"/>
                <w:w w:val="99"/>
              </w:rPr>
              <w:t>(in millions, except share data)</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92"/>
        </w:trPr>
        <w:tc>
          <w:tcPr>
            <w:tcW w:w="7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277"/>
        </w:trPr>
        <w:tc>
          <w:tcPr>
            <w:tcW w:w="7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50"/>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3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7"/>
        </w:trPr>
        <w:tc>
          <w:tcPr>
            <w:tcW w:w="4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3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63"/>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Trade receivables</w:t>
            </w:r>
          </w:p>
        </w:tc>
        <w:tc>
          <w:tcPr>
            <w:tcW w:w="3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7"/>
        </w:trPr>
        <w:tc>
          <w:tcPr>
            <w:tcW w:w="4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64"/>
        </w:trPr>
        <w:tc>
          <w:tcPr>
            <w:tcW w:w="4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current assets, net</w:t>
            </w:r>
          </w:p>
        </w:tc>
        <w:tc>
          <w:tcPr>
            <w:tcW w:w="30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r>
      <w:tr>
        <w:trPr>
          <w:trHeight w:val="257"/>
        </w:trPr>
        <w:tc>
          <w:tcPr>
            <w:tcW w:w="700" w:type="dxa"/>
            <w:vAlign w:val="bottom"/>
            <w:shd w:val="clear" w:color="auto" w:fill="CCEEFF"/>
          </w:tcPr>
          <w:p>
            <w:pPr>
              <w:spacing w:after="0"/>
              <w:rPr>
                <w:sz w:val="22"/>
                <w:szCs w:val="22"/>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r>
      <w:tr>
        <w:trPr>
          <w:trHeight w:val="263"/>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22,717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22,523</w:t>
            </w:r>
          </w:p>
        </w:tc>
      </w:tr>
      <w:tr>
        <w:trPr>
          <w:trHeight w:val="270"/>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depreciation, depletion and amortization</w:t>
            </w:r>
          </w:p>
        </w:tc>
        <w:tc>
          <w:tcPr>
            <w:tcW w:w="30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(16,068)</w:t>
            </w:r>
          </w:p>
        </w:tc>
      </w:tr>
      <w:tr>
        <w:trPr>
          <w:trHeight w:val="250"/>
        </w:trPr>
        <w:tc>
          <w:tcPr>
            <w:tcW w:w="70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3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6,455</w:t>
            </w:r>
          </w:p>
        </w:tc>
      </w:tr>
      <w:tr>
        <w:trPr>
          <w:trHeight w:val="277"/>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0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50"/>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3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7,032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7,158</w:t>
            </w:r>
          </w:p>
        </w:tc>
      </w:tr>
      <w:tr>
        <w:trPr>
          <w:trHeight w:val="20"/>
        </w:trPr>
        <w:tc>
          <w:tcPr>
            <w:tcW w:w="48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4860" w:type="dxa"/>
            <w:vAlign w:val="bottom"/>
            <w:gridSpan w:val="2"/>
          </w:tcPr>
          <w:p>
            <w:pPr>
              <w:spacing w:after="0"/>
              <w:rPr>
                <w:sz w:val="10"/>
                <w:szCs w:val="10"/>
                <w:color w:val="auto"/>
              </w:rPr>
            </w:pPr>
          </w:p>
        </w:tc>
        <w:tc>
          <w:tcPr>
            <w:tcW w:w="3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r>
      <w:tr>
        <w:trPr>
          <w:trHeight w:val="270"/>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3"/>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Current maturities of long-term debt</w:t>
            </w:r>
          </w:p>
        </w:tc>
        <w:tc>
          <w:tcPr>
            <w:tcW w:w="3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64"/>
        </w:trPr>
        <w:tc>
          <w:tcPr>
            <w:tcW w:w="4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Accrued liabilities</w:t>
            </w:r>
          </w:p>
        </w:tc>
        <w:tc>
          <w:tcPr>
            <w:tcW w:w="30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r>
      <w:tr>
        <w:trPr>
          <w:trHeight w:val="257"/>
        </w:trPr>
        <w:tc>
          <w:tcPr>
            <w:tcW w:w="700" w:type="dxa"/>
            <w:vAlign w:val="bottom"/>
            <w:shd w:val="clear" w:color="auto" w:fill="CCEEFF"/>
          </w:tcPr>
          <w:p>
            <w:pPr>
              <w:spacing w:after="0"/>
              <w:rPr>
                <w:sz w:val="22"/>
                <w:szCs w:val="22"/>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63"/>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DEBT</w:t>
            </w:r>
          </w:p>
        </w:tc>
        <w:tc>
          <w:tcPr>
            <w:tcW w:w="3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5,060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5,251</w:t>
            </w:r>
          </w:p>
        </w:tc>
      </w:tr>
      <w:tr>
        <w:trPr>
          <w:trHeight w:val="277"/>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DEFERRED GAIN AND ISSUANCE COSTS, NET</w:t>
            </w:r>
          </w:p>
        </w:tc>
        <w:tc>
          <w:tcPr>
            <w:tcW w:w="3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63"/>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LONG-TERM LIABILITIES</w:t>
            </w:r>
          </w:p>
        </w:tc>
        <w:tc>
          <w:tcPr>
            <w:tcW w:w="3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575</w:t>
            </w:r>
          </w:p>
        </w:tc>
      </w:tr>
      <w:tr>
        <w:trPr>
          <w:trHeight w:val="277"/>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MEZZANINE EQUITY</w:t>
            </w:r>
          </w:p>
        </w:tc>
        <w:tc>
          <w:tcPr>
            <w:tcW w:w="3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3"/>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Redeemable noncontrolling interests</w:t>
            </w:r>
          </w:p>
        </w:tc>
        <w:tc>
          <w:tcPr>
            <w:tcW w:w="3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756</w:t>
            </w:r>
          </w:p>
        </w:tc>
      </w:tr>
      <w:tr>
        <w:trPr>
          <w:trHeight w:val="277"/>
        </w:trPr>
        <w:tc>
          <w:tcPr>
            <w:tcW w:w="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5"/>
              </w:rPr>
              <w:t>EQUITY</w:t>
            </w:r>
          </w:p>
        </w:tc>
        <w:tc>
          <w:tcPr>
            <w:tcW w:w="416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29"/>
        </w:trPr>
        <w:tc>
          <w:tcPr>
            <w:tcW w:w="8200" w:type="dxa"/>
            <w:vAlign w:val="bottom"/>
            <w:gridSpan w:val="4"/>
          </w:tcPr>
          <w:p>
            <w:pPr>
              <w:ind w:left="380"/>
              <w:spacing w:after="0"/>
              <w:rPr>
                <w:sz w:val="20"/>
                <w:szCs w:val="20"/>
                <w:color w:val="auto"/>
              </w:rPr>
            </w:pPr>
            <w:r>
              <w:rPr>
                <w:rFonts w:ascii="Arial" w:cs="Arial" w:eastAsia="Arial" w:hAnsi="Arial"/>
                <w:sz w:val="18"/>
                <w:szCs w:val="18"/>
                <w:color w:val="auto"/>
              </w:rPr>
              <w:t>Preferred stock (20 million shares authorized at $0.01 par value) no shares outstanding at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4"/>
        </w:trPr>
        <w:tc>
          <w:tcPr>
            <w:tcW w:w="4860" w:type="dxa"/>
            <w:vAlign w:val="bottom"/>
            <w:gridSpan w:val="2"/>
          </w:tcPr>
          <w:p>
            <w:pPr>
              <w:ind w:left="540"/>
              <w:spacing w:after="0"/>
              <w:rPr>
                <w:sz w:val="20"/>
                <w:szCs w:val="20"/>
                <w:color w:val="auto"/>
              </w:rPr>
            </w:pPr>
            <w:r>
              <w:rPr>
                <w:rFonts w:ascii="Arial" w:cs="Arial" w:eastAsia="Arial" w:hAnsi="Arial"/>
                <w:sz w:val="18"/>
                <w:szCs w:val="18"/>
                <w:color w:val="auto"/>
              </w:rPr>
              <w:t>June 30, 2019 and December 31, 2018</w:t>
            </w:r>
          </w:p>
        </w:tc>
        <w:tc>
          <w:tcPr>
            <w:tcW w:w="3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5"/>
        </w:trPr>
        <w:tc>
          <w:tcPr>
            <w:tcW w:w="820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Common stock (200 million shares authorized at $0.01 par value) outstanding shares (June</w:t>
            </w: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03"/>
        </w:trPr>
        <w:tc>
          <w:tcPr>
            <w:tcW w:w="486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30, 2019 - 49,004,413 and</w:t>
            </w:r>
          </w:p>
        </w:tc>
        <w:tc>
          <w:tcPr>
            <w:tcW w:w="3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4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December 31, 2018 - 48,650,420)</w:t>
            </w:r>
          </w:p>
        </w:tc>
        <w:tc>
          <w:tcPr>
            <w:tcW w:w="3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3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4,987</w:t>
            </w:r>
          </w:p>
        </w:tc>
      </w:tr>
      <w:tr>
        <w:trPr>
          <w:trHeight w:val="277"/>
        </w:trPr>
        <w:tc>
          <w:tcPr>
            <w:tcW w:w="4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w:t>
            </w:r>
          </w:p>
        </w:tc>
      </w:tr>
      <w:tr>
        <w:trPr>
          <w:trHeight w:val="264"/>
        </w:trPr>
        <w:tc>
          <w:tcPr>
            <w:tcW w:w="4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700" w:type="dxa"/>
            <w:vAlign w:val="bottom"/>
            <w:shd w:val="clear" w:color="auto" w:fill="CCEEFF"/>
          </w:tcPr>
          <w:p>
            <w:pPr>
              <w:spacing w:after="0"/>
              <w:rPr>
                <w:sz w:val="22"/>
                <w:szCs w:val="22"/>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attributable to common stock</w:t>
            </w:r>
          </w:p>
        </w:tc>
        <w:tc>
          <w:tcPr>
            <w:tcW w:w="3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64"/>
        </w:trPr>
        <w:tc>
          <w:tcPr>
            <w:tcW w:w="4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Equity attributable to noncontrolling interests</w:t>
            </w:r>
          </w:p>
        </w:tc>
        <w:tc>
          <w:tcPr>
            <w:tcW w:w="30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r>
      <w:tr>
        <w:trPr>
          <w:trHeight w:val="257"/>
        </w:trPr>
        <w:tc>
          <w:tcPr>
            <w:tcW w:w="700" w:type="dxa"/>
            <w:vAlign w:val="bottom"/>
            <w:shd w:val="clear" w:color="auto" w:fill="CCEEFF"/>
          </w:tcPr>
          <w:p>
            <w:pPr>
              <w:spacing w:after="0"/>
              <w:rPr>
                <w:sz w:val="22"/>
                <w:szCs w:val="22"/>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0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50"/>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7,032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7,158</w:t>
            </w:r>
          </w:p>
        </w:tc>
      </w:tr>
      <w:tr>
        <w:trPr>
          <w:trHeight w:val="20"/>
        </w:trPr>
        <w:tc>
          <w:tcPr>
            <w:tcW w:w="7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6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65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 AND OTHER</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Oil and gas sales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Net derivative gain (loss) from commodity contracts</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revenues and other</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84"/>
        </w:trPr>
        <w:tc>
          <w:tcPr>
            <w:tcW w:w="6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COSTS AND OTHER</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Production costs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Exploration expense</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expenses, net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costs and other</w:t>
            </w: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90"/>
        </w:trPr>
        <w:tc>
          <w:tcPr>
            <w:tcW w:w="6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NON-OPERATING (LOSS) INCOME</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and debt expense,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Net gain on early extinguishment of debt</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 on asset divestitures</w:t>
            </w: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 non-operating expenses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64"/>
        </w:trPr>
        <w:tc>
          <w:tcPr>
            <w:tcW w:w="6500" w:type="dxa"/>
            <w:vAlign w:val="bottom"/>
          </w:tcPr>
          <w:p>
            <w:pPr>
              <w:ind w:left="40"/>
              <w:spacing w:after="0"/>
              <w:rPr>
                <w:sz w:val="20"/>
                <w:szCs w:val="20"/>
                <w:color w:val="auto"/>
              </w:rPr>
            </w:pPr>
            <w:r>
              <w:rPr>
                <w:rFonts w:ascii="Arial" w:cs="Arial" w:eastAsia="Arial" w:hAnsi="Arial"/>
                <w:sz w:val="18"/>
                <w:szCs w:val="18"/>
                <w:color w:val="auto"/>
              </w:rPr>
              <w:t>Income tax</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84"/>
        </w:trPr>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NONCONTROLLING INTERESTS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Mezzanine equity</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COMMON STOCK</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common stock per share</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520" w:type="dxa"/>
            <w:vAlign w:val="bottom"/>
            <w:gridSpan w:val="6"/>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50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r>
      <w:tr>
        <w:trPr>
          <w:trHeight w:val="243"/>
        </w:trPr>
        <w:tc>
          <w:tcPr>
            <w:tcW w:w="6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65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7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7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26"/>
        </w:trPr>
        <w:tc>
          <w:tcPr>
            <w:tcW w:w="6500" w:type="dxa"/>
            <w:vAlign w:val="bottom"/>
          </w:tcPr>
          <w:p>
            <w:pPr>
              <w:ind w:left="380"/>
              <w:spacing w:after="0"/>
              <w:rPr>
                <w:sz w:val="20"/>
                <w:szCs w:val="20"/>
                <w:color w:val="auto"/>
              </w:rPr>
            </w:pPr>
            <w:r>
              <w:rPr>
                <w:rFonts w:ascii="Arial" w:cs="Arial" w:eastAsia="Arial" w:hAnsi="Arial"/>
                <w:sz w:val="18"/>
                <w:szCs w:val="18"/>
                <w:color w:val="auto"/>
              </w:rPr>
              <w:t>Reclassification of realized losses on pension and postretirement benefits to</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3"/>
        </w:trPr>
        <w:tc>
          <w:tcPr>
            <w:tcW w:w="6500" w:type="dxa"/>
            <w:vAlign w:val="bottom"/>
            <w:tcBorders>
              <w:bottom w:val="single" w:sz="8" w:color="CCEEFF"/>
            </w:tcBorders>
          </w:tcPr>
          <w:p>
            <w:pPr>
              <w:ind w:left="380"/>
              <w:spacing w:after="0" w:line="233" w:lineRule="exact"/>
              <w:rPr>
                <w:sz w:val="20"/>
                <w:szCs w:val="20"/>
                <w:color w:val="auto"/>
              </w:rPr>
            </w:pPr>
            <w:r>
              <w:rPr>
                <w:rFonts w:ascii="Arial" w:cs="Arial" w:eastAsia="Arial" w:hAnsi="Arial"/>
                <w:sz w:val="18"/>
                <w:szCs w:val="18"/>
                <w:color w:val="auto"/>
              </w:rPr>
              <w:t>income</w:t>
            </w:r>
            <w:r>
              <w:rPr>
                <w:rFonts w:ascii="Arial" w:cs="Arial" w:eastAsia="Arial" w:hAnsi="Arial"/>
                <w:sz w:val="21"/>
                <w:szCs w:val="21"/>
                <w:color w:val="auto"/>
                <w:vertAlign w:val="superscript"/>
              </w:rPr>
              <w:t>(a)</w:t>
            </w: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attributable to common stock</w:t>
            </w:r>
          </w:p>
        </w:tc>
        <w:tc>
          <w:tcPr>
            <w:tcW w:w="7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6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00" w:hanging="41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No associated tax for the three and six months ended June 30, 2019 and 2018. See </w:t>
      </w:r>
      <w:r>
        <w:rPr>
          <w:rFonts w:ascii="Arial" w:cs="Arial" w:eastAsia="Arial" w:hAnsi="Arial"/>
          <w:sz w:val="14"/>
          <w:szCs w:val="14"/>
          <w:i w:val="1"/>
          <w:iCs w:val="1"/>
          <w:color w:val="auto"/>
        </w:rPr>
        <w:t>Note 10 Pension and Postretirement Benefit Plans</w:t>
      </w:r>
      <w:r>
        <w:rPr>
          <w:rFonts w:ascii="Arial" w:cs="Arial" w:eastAsia="Arial" w:hAnsi="Arial"/>
          <w:sz w:val="14"/>
          <w:szCs w:val="14"/>
          <w:color w:val="auto"/>
        </w:rPr>
        <w:t xml:space="preserve"> for additional information.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9"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jc w:val="center"/>
        <w:ind w:left="79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88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 FROM OPERATING ACTIVITIES</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7880" w:type="dxa"/>
            <w:vAlign w:val="bottom"/>
          </w:tcPr>
          <w:p>
            <w:pPr>
              <w:ind w:left="380"/>
              <w:spacing w:after="0"/>
              <w:rPr>
                <w:sz w:val="20"/>
                <w:szCs w:val="20"/>
                <w:color w:val="auto"/>
              </w:rPr>
            </w:pPr>
            <w:r>
              <w:rPr>
                <w:rFonts w:ascii="Arial" w:cs="Arial" w:eastAsia="Arial" w:hAnsi="Arial"/>
                <w:sz w:val="18"/>
                <w:szCs w:val="18"/>
                <w:color w:val="auto"/>
              </w:rPr>
              <w:t>Adjustments to reconcile net loss to net cash provided by</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788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Net derivative loss from commodity contracts</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proceeds (payments) on settled commodity derivatives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Net gain on early extinguishment of debt</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deferred gain</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Gain on asset divestiture</w:t>
            </w:r>
          </w:p>
        </w:tc>
        <w:tc>
          <w:tcPr>
            <w:tcW w:w="10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7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Dry hole expenses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63"/>
        </w:trPr>
        <w:tc>
          <w:tcPr>
            <w:tcW w:w="7880" w:type="dxa"/>
            <w:vAlign w:val="bottom"/>
          </w:tcPr>
          <w:p>
            <w:pPr>
              <w:ind w:left="720"/>
              <w:spacing w:after="0"/>
              <w:rPr>
                <w:sz w:val="20"/>
                <w:szCs w:val="20"/>
                <w:color w:val="auto"/>
              </w:rPr>
            </w:pPr>
            <w:r>
              <w:rPr>
                <w:rFonts w:ascii="Arial" w:cs="Arial" w:eastAsia="Arial" w:hAnsi="Arial"/>
                <w:sz w:val="18"/>
                <w:szCs w:val="18"/>
                <w:color w:val="auto"/>
              </w:rPr>
              <w:t>Other non-cash charges to income, net</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4"/>
        </w:trPr>
        <w:tc>
          <w:tcPr>
            <w:tcW w:w="788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provided by operating activities</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r>
      <w:tr>
        <w:trPr>
          <w:trHeight w:val="284"/>
        </w:trPr>
        <w:tc>
          <w:tcPr>
            <w:tcW w:w="78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investments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Changes in capital investment accruals</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Asset divestitures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4"/>
        </w:trPr>
        <w:tc>
          <w:tcPr>
            <w:tcW w:w="788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used in investing activities</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r>
      <w:tr>
        <w:trPr>
          <w:trHeight w:val="284"/>
        </w:trPr>
        <w:tc>
          <w:tcPr>
            <w:tcW w:w="78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2014 Revolving Credit Facility</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Repayments of 2014 Revolving Credit Facility</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(1,289)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(1,236)</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Debt repurchases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Contributions from noncontrolling interest holders, net</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796</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Distributions paid to noncontrolling interest holders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63"/>
        </w:trPr>
        <w:tc>
          <w:tcPr>
            <w:tcW w:w="788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7"/>
        </w:trPr>
        <w:tc>
          <w:tcPr>
            <w:tcW w:w="7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Shares canceled for taxes</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4"/>
        </w:trPr>
        <w:tc>
          <w:tcPr>
            <w:tcW w:w="7880" w:type="dxa"/>
            <w:vAlign w:val="bottom"/>
            <w:tcBorders>
              <w:bottom w:val="single" w:sz="8" w:color="CCEEFF"/>
            </w:tcBorders>
          </w:tcPr>
          <w:p>
            <w:pPr>
              <w:ind w:left="1140"/>
              <w:spacing w:after="0"/>
              <w:rPr>
                <w:sz w:val="20"/>
                <w:szCs w:val="20"/>
                <w:color w:val="auto"/>
              </w:rPr>
            </w:pPr>
            <w:r>
              <w:rPr>
                <w:rFonts w:ascii="Arial" w:cs="Arial" w:eastAsia="Arial" w:hAnsi="Arial"/>
                <w:sz w:val="18"/>
                <w:szCs w:val="18"/>
                <w:b w:val="1"/>
                <w:bCs w:val="1"/>
                <w:color w:val="auto"/>
              </w:rPr>
              <w:t>Net cash (used) provided by financing activities</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595</w:t>
            </w:r>
          </w:p>
        </w:tc>
      </w:tr>
      <w:tr>
        <w:trPr>
          <w:trHeight w:val="25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Increase in cash</w:t>
            </w: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64"/>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Cash—beginning of period</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r>
      <w:tr>
        <w:trPr>
          <w:trHeight w:val="25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Cash—end of period</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0"/>
        </w:trPr>
        <w:tc>
          <w:tcPr>
            <w:tcW w:w="7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Three months ended June 30, 2019</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5"/>
          </w:tcPr>
          <w:p>
            <w:pPr>
              <w:ind w:left="20"/>
              <w:spacing w:after="0"/>
              <w:rPr>
                <w:sz w:val="20"/>
                <w:szCs w:val="20"/>
                <w:color w:val="auto"/>
              </w:rPr>
            </w:pPr>
            <w:r>
              <w:rPr>
                <w:rFonts w:ascii="Arial" w:cs="Arial" w:eastAsia="Arial" w:hAnsi="Arial"/>
                <w:sz w:val="14"/>
                <w:szCs w:val="14"/>
                <w:b w:val="1"/>
                <w:bCs w:val="1"/>
                <w:color w:val="auto"/>
              </w:rPr>
              <w:t>Equity Attributable</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Equity Attributable to</w:t>
            </w:r>
          </w:p>
        </w:tc>
        <w:tc>
          <w:tcPr>
            <w:tcW w:w="40" w:type="dxa"/>
            <w:vAlign w:val="bottom"/>
          </w:tcPr>
          <w:p>
            <w:pPr>
              <w:spacing w:after="0"/>
              <w:rPr>
                <w:sz w:val="14"/>
                <w:szCs w:val="14"/>
                <w:color w:val="auto"/>
              </w:rPr>
            </w:pPr>
          </w:p>
        </w:tc>
        <w:tc>
          <w:tcPr>
            <w:tcW w:w="1420" w:type="dxa"/>
            <w:vAlign w:val="bottom"/>
            <w:gridSpan w:val="4"/>
          </w:tcPr>
          <w:p>
            <w:pPr>
              <w:ind w:left="40"/>
              <w:spacing w:after="0"/>
              <w:rPr>
                <w:sz w:val="20"/>
                <w:szCs w:val="20"/>
                <w:color w:val="auto"/>
              </w:rPr>
            </w:pPr>
            <w:r>
              <w:rPr>
                <w:rFonts w:ascii="Arial" w:cs="Arial" w:eastAsia="Arial" w:hAnsi="Arial"/>
                <w:sz w:val="14"/>
                <w:szCs w:val="14"/>
                <w:b w:val="1"/>
                <w:bCs w:val="1"/>
                <w:color w:val="auto"/>
              </w:rPr>
              <w:t>to Noncontrolling</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ind w:left="12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Equity</w:t>
            </w:r>
          </w:p>
        </w:tc>
        <w:tc>
          <w:tcPr>
            <w:tcW w:w="20" w:type="dxa"/>
            <w:vAlign w:val="bottom"/>
          </w:tcPr>
          <w:p>
            <w:pPr>
              <w:spacing w:after="0"/>
              <w:rPr>
                <w:sz w:val="17"/>
                <w:szCs w:val="17"/>
                <w:color w:val="auto"/>
              </w:rPr>
            </w:pPr>
          </w:p>
        </w:tc>
      </w:tr>
      <w:tr>
        <w:trPr>
          <w:trHeight w:val="256"/>
        </w:trPr>
        <w:tc>
          <w:tcPr>
            <w:tcW w:w="40" w:type="dxa"/>
            <w:vAlign w:val="bottom"/>
          </w:tcPr>
          <w:p>
            <w:pPr>
              <w:spacing w:after="0"/>
              <w:rPr>
                <w:sz w:val="22"/>
                <w:szCs w:val="22"/>
                <w:color w:val="auto"/>
              </w:rPr>
            </w:pPr>
          </w:p>
        </w:tc>
        <w:tc>
          <w:tcPr>
            <w:tcW w:w="3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2019</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4,989</w:t>
            </w: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(5,409)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(289)</w:t>
            </w:r>
          </w:p>
        </w:tc>
        <w:tc>
          <w:tcPr>
            <w:tcW w:w="20" w:type="dxa"/>
            <w:vAlign w:val="bottom"/>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3200" w:type="dxa"/>
            <w:vAlign w:val="bottom"/>
            <w:gridSpan w:val="2"/>
          </w:tcPr>
          <w:p>
            <w:pPr>
              <w:ind w:left="16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22"/>
                <w:szCs w:val="22"/>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22"/>
                <w:szCs w:val="22"/>
                <w:color w:val="auto"/>
              </w:rPr>
            </w:pPr>
          </w:p>
        </w:tc>
      </w:tr>
      <w:tr>
        <w:trPr>
          <w:trHeight w:val="200"/>
        </w:trPr>
        <w:tc>
          <w:tcPr>
            <w:tcW w:w="40" w:type="dxa"/>
            <w:vAlign w:val="bottom"/>
          </w:tcPr>
          <w:p>
            <w:pPr>
              <w:spacing w:after="0"/>
              <w:rPr>
                <w:sz w:val="17"/>
                <w:szCs w:val="17"/>
                <w:color w:val="auto"/>
              </w:rPr>
            </w:pPr>
          </w:p>
        </w:tc>
        <w:tc>
          <w:tcPr>
            <w:tcW w:w="32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Contribution from noncontrolling interest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40" w:type="dxa"/>
            <w:vAlign w:val="bottom"/>
          </w:tcPr>
          <w:p>
            <w:pPr>
              <w:spacing w:after="0"/>
              <w:rPr>
                <w:sz w:val="16"/>
                <w:szCs w:val="16"/>
                <w:color w:val="auto"/>
              </w:rPr>
            </w:pPr>
          </w:p>
        </w:tc>
        <w:tc>
          <w:tcPr>
            <w:tcW w:w="32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holders, net</w:t>
            </w:r>
          </w:p>
        </w:tc>
        <w:tc>
          <w:tcPr>
            <w:tcW w:w="1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3200" w:type="dxa"/>
            <w:vAlign w:val="bottom"/>
            <w:gridSpan w:val="2"/>
          </w:tcPr>
          <w:p>
            <w:pPr>
              <w:ind w:left="160"/>
              <w:spacing w:after="0"/>
              <w:rPr>
                <w:sz w:val="20"/>
                <w:szCs w:val="20"/>
                <w:color w:val="auto"/>
              </w:rPr>
            </w:pPr>
            <w:r>
              <w:rPr>
                <w:rFonts w:ascii="Arial" w:cs="Arial" w:eastAsia="Arial" w:hAnsi="Arial"/>
                <w:sz w:val="14"/>
                <w:szCs w:val="14"/>
                <w:color w:val="auto"/>
              </w:rPr>
              <w:t>Distributions to noncontrolling interest holders</w:t>
            </w:r>
          </w:p>
        </w:tc>
        <w:tc>
          <w:tcPr>
            <w:tcW w:w="120" w:type="dxa"/>
            <w:vAlign w:val="bottom"/>
          </w:tcPr>
          <w:p>
            <w:pPr>
              <w:spacing w:after="0"/>
              <w:rPr>
                <w:sz w:val="22"/>
                <w:szCs w:val="22"/>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22"/>
                <w:szCs w:val="22"/>
                <w:color w:val="auto"/>
              </w:rPr>
            </w:pPr>
          </w:p>
        </w:tc>
      </w:tr>
      <w:tr>
        <w:trPr>
          <w:trHeight w:val="276"/>
        </w:trPr>
        <w:tc>
          <w:tcPr>
            <w:tcW w:w="40" w:type="dxa"/>
            <w:vAlign w:val="bottom"/>
          </w:tcPr>
          <w:p>
            <w:pPr>
              <w:spacing w:after="0"/>
              <w:rPr>
                <w:sz w:val="24"/>
                <w:szCs w:val="24"/>
                <w:color w:val="auto"/>
              </w:rPr>
            </w:pPr>
          </w:p>
        </w:tc>
        <w:tc>
          <w:tcPr>
            <w:tcW w:w="32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Issuance of common stock</w:t>
            </w:r>
          </w:p>
        </w:tc>
        <w:tc>
          <w:tcPr>
            <w:tcW w:w="120" w:type="dxa"/>
            <w:vAlign w:val="bottom"/>
            <w:shd w:val="clear" w:color="auto" w:fill="CCEEFF"/>
          </w:tcPr>
          <w:p>
            <w:pPr>
              <w:spacing w:after="0"/>
              <w:rPr>
                <w:sz w:val="24"/>
                <w:szCs w:val="24"/>
                <w:color w:val="auto"/>
              </w:rPr>
            </w:pP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200" w:type="dxa"/>
            <w:vAlign w:val="bottom"/>
            <w:gridSpan w:val="2"/>
          </w:tcPr>
          <w:p>
            <w:pPr>
              <w:ind w:left="16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22"/>
                <w:szCs w:val="22"/>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2"/>
                <w:szCs w:val="22"/>
                <w:color w:val="auto"/>
              </w:rPr>
            </w:pPr>
          </w:p>
        </w:tc>
      </w:tr>
      <w:tr>
        <w:trPr>
          <w:trHeight w:val="276"/>
        </w:trPr>
        <w:tc>
          <w:tcPr>
            <w:tcW w:w="40" w:type="dxa"/>
            <w:vAlign w:val="bottom"/>
          </w:tcPr>
          <w:p>
            <w:pPr>
              <w:spacing w:after="0"/>
              <w:rPr>
                <w:sz w:val="24"/>
                <w:szCs w:val="24"/>
                <w:color w:val="auto"/>
              </w:rPr>
            </w:pPr>
          </w:p>
        </w:tc>
        <w:tc>
          <w:tcPr>
            <w:tcW w:w="32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Share-based compensation, net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32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4,994</w:t>
            </w: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(5,397)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(279)</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0"/>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rPr>
              <w:t>Six months ended June 30, 2019</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Equity Attributable</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Equity Attributable to</w:t>
            </w:r>
          </w:p>
        </w:tc>
        <w:tc>
          <w:tcPr>
            <w:tcW w:w="40" w:type="dxa"/>
            <w:vAlign w:val="bottom"/>
          </w:tcPr>
          <w:p>
            <w:pPr>
              <w:spacing w:after="0"/>
              <w:rPr>
                <w:sz w:val="14"/>
                <w:szCs w:val="14"/>
                <w:color w:val="auto"/>
              </w:rPr>
            </w:pPr>
          </w:p>
        </w:tc>
        <w:tc>
          <w:tcPr>
            <w:tcW w:w="1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to Noncontrolling</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31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Paid-in Capital</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(Loss) Income</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 Equity</w:t>
            </w:r>
          </w:p>
        </w:tc>
        <w:tc>
          <w:tcPr>
            <w:tcW w:w="20" w:type="dxa"/>
            <w:vAlign w:val="bottom"/>
            <w:tcBorders>
              <w:bottom w:val="single" w:sz="8" w:color="auto"/>
            </w:tcBorders>
          </w:tcPr>
          <w:p>
            <w:pPr>
              <w:spacing w:after="0"/>
              <w:rPr>
                <w:sz w:val="17"/>
                <w:szCs w:val="17"/>
                <w:color w:val="auto"/>
              </w:rPr>
            </w:pPr>
          </w:p>
        </w:tc>
      </w:tr>
      <w:tr>
        <w:trPr>
          <w:trHeight w:val="256"/>
        </w:trPr>
        <w:tc>
          <w:tcPr>
            <w:tcW w:w="32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4,987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20" w:type="dxa"/>
            <w:vAlign w:val="bottom"/>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3200" w:type="dxa"/>
            <w:vAlign w:val="bottom"/>
            <w:gridSpan w:val="2"/>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22"/>
                <w:szCs w:val="22"/>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22"/>
                <w:szCs w:val="22"/>
                <w:color w:val="auto"/>
              </w:rPr>
            </w:pPr>
          </w:p>
        </w:tc>
      </w:tr>
      <w:tr>
        <w:trPr>
          <w:trHeight w:val="200"/>
        </w:trPr>
        <w:tc>
          <w:tcPr>
            <w:tcW w:w="40" w:type="dxa"/>
            <w:vAlign w:val="bottom"/>
            <w:shd w:val="clear" w:color="auto" w:fill="CCEEFF"/>
          </w:tcPr>
          <w:p>
            <w:pPr>
              <w:spacing w:after="0"/>
              <w:rPr>
                <w:sz w:val="17"/>
                <w:szCs w:val="17"/>
                <w:color w:val="auto"/>
              </w:rPr>
            </w:pPr>
          </w:p>
        </w:tc>
        <w:tc>
          <w:tcPr>
            <w:tcW w:w="3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Contribution from noncontrolling interest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84"/>
        </w:trPr>
        <w:tc>
          <w:tcPr>
            <w:tcW w:w="40" w:type="dxa"/>
            <w:vAlign w:val="bottom"/>
            <w:shd w:val="clear" w:color="auto" w:fill="CCEEFF"/>
          </w:tcPr>
          <w:p>
            <w:pPr>
              <w:spacing w:after="0"/>
              <w:rPr>
                <w:sz w:val="16"/>
                <w:szCs w:val="16"/>
                <w:color w:val="auto"/>
              </w:rPr>
            </w:pPr>
          </w:p>
        </w:tc>
        <w:tc>
          <w:tcPr>
            <w:tcW w:w="32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holders, net</w:t>
            </w:r>
          </w:p>
        </w:tc>
        <w:tc>
          <w:tcPr>
            <w:tcW w:w="1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20" w:type="dxa"/>
            <w:vAlign w:val="bottom"/>
            <w:shd w:val="clear" w:color="auto" w:fill="CCEEFF"/>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3200" w:type="dxa"/>
            <w:vAlign w:val="bottom"/>
            <w:gridSpan w:val="2"/>
          </w:tcPr>
          <w:p>
            <w:pPr>
              <w:ind w:left="140"/>
              <w:spacing w:after="0"/>
              <w:rPr>
                <w:sz w:val="20"/>
                <w:szCs w:val="20"/>
                <w:color w:val="auto"/>
              </w:rPr>
            </w:pPr>
            <w:r>
              <w:rPr>
                <w:rFonts w:ascii="Arial" w:cs="Arial" w:eastAsia="Arial" w:hAnsi="Arial"/>
                <w:sz w:val="14"/>
                <w:szCs w:val="14"/>
                <w:color w:val="auto"/>
              </w:rPr>
              <w:t>Distributions to noncontrolling interest holders</w:t>
            </w:r>
          </w:p>
        </w:tc>
        <w:tc>
          <w:tcPr>
            <w:tcW w:w="120" w:type="dxa"/>
            <w:vAlign w:val="bottom"/>
          </w:tcPr>
          <w:p>
            <w:pPr>
              <w:spacing w:after="0"/>
              <w:rPr>
                <w:sz w:val="22"/>
                <w:szCs w:val="22"/>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22"/>
                <w:szCs w:val="22"/>
                <w:color w:val="auto"/>
              </w:rPr>
            </w:pPr>
          </w:p>
        </w:tc>
      </w:tr>
      <w:tr>
        <w:trPr>
          <w:trHeight w:val="276"/>
        </w:trPr>
        <w:tc>
          <w:tcPr>
            <w:tcW w:w="40" w:type="dxa"/>
            <w:vAlign w:val="bottom"/>
            <w:shd w:val="clear" w:color="auto" w:fill="CCEEFF"/>
          </w:tcPr>
          <w:p>
            <w:pPr>
              <w:spacing w:after="0"/>
              <w:rPr>
                <w:sz w:val="24"/>
                <w:szCs w:val="24"/>
                <w:color w:val="auto"/>
              </w:rPr>
            </w:pPr>
          </w:p>
        </w:tc>
        <w:tc>
          <w:tcPr>
            <w:tcW w:w="3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Issuance of common stock</w:t>
            </w:r>
          </w:p>
        </w:tc>
        <w:tc>
          <w:tcPr>
            <w:tcW w:w="120" w:type="dxa"/>
            <w:vAlign w:val="bottom"/>
            <w:shd w:val="clear" w:color="auto" w:fill="CCEEFF"/>
          </w:tcPr>
          <w:p>
            <w:pPr>
              <w:spacing w:after="0"/>
              <w:rPr>
                <w:sz w:val="24"/>
                <w:szCs w:val="24"/>
                <w:color w:val="auto"/>
              </w:rPr>
            </w:pP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200" w:type="dxa"/>
            <w:vAlign w:val="bottom"/>
            <w:gridSpan w:val="2"/>
          </w:tcPr>
          <w:p>
            <w:pPr>
              <w:ind w:left="14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22"/>
                <w:szCs w:val="22"/>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2"/>
                <w:szCs w:val="22"/>
                <w:color w:val="auto"/>
              </w:rPr>
            </w:pPr>
          </w:p>
        </w:tc>
      </w:tr>
      <w:tr>
        <w:trPr>
          <w:trHeight w:val="270"/>
        </w:trPr>
        <w:tc>
          <w:tcPr>
            <w:tcW w:w="40" w:type="dxa"/>
            <w:vAlign w:val="bottom"/>
            <w:shd w:val="clear" w:color="auto" w:fill="CCEEFF"/>
          </w:tcPr>
          <w:p>
            <w:pPr>
              <w:spacing w:after="0"/>
              <w:rPr>
                <w:sz w:val="23"/>
                <w:szCs w:val="23"/>
                <w:color w:val="auto"/>
              </w:rPr>
            </w:pPr>
          </w:p>
        </w:tc>
        <w:tc>
          <w:tcPr>
            <w:tcW w:w="3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 net</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20" w:type="dxa"/>
            <w:vAlign w:val="bottom"/>
            <w:tcBorders>
              <w:bottom w:val="single" w:sz="8" w:color="auto"/>
            </w:tcBorders>
            <w:shd w:val="clear" w:color="auto" w:fill="CCEEFF"/>
          </w:tcPr>
          <w:p>
            <w:pPr>
              <w:spacing w:after="0"/>
              <w:rPr>
                <w:sz w:val="23"/>
                <w:szCs w:val="23"/>
                <w:color w:val="auto"/>
              </w:rPr>
            </w:pPr>
          </w:p>
        </w:tc>
      </w:tr>
      <w:tr>
        <w:trPr>
          <w:trHeight w:val="243"/>
        </w:trPr>
        <w:tc>
          <w:tcPr>
            <w:tcW w:w="324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 June 30, 2019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4,994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(5,397)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(279)</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6"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six months ended June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 June 30, 2018</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75"/>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Equity Attributable</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Equity Attributable to</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to Noncontrolling</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6"/>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 Income</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Interests</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Equity</w:t>
            </w:r>
          </w:p>
        </w:tc>
      </w:tr>
      <w:tr>
        <w:trPr>
          <w:trHeight w:val="256"/>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4,930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(5,672)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(654)</w:t>
            </w:r>
          </w:p>
        </w:tc>
      </w:tr>
      <w:tr>
        <w:trPr>
          <w:trHeight w:val="264"/>
        </w:trPr>
        <w:tc>
          <w:tcPr>
            <w:tcW w:w="320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(92)</w:t>
            </w:r>
          </w:p>
        </w:tc>
      </w:tr>
      <w:tr>
        <w:trPr>
          <w:trHeight w:val="200"/>
        </w:trPr>
        <w:tc>
          <w:tcPr>
            <w:tcW w:w="3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Contribution from noncontrolling interest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84"/>
        </w:trPr>
        <w:tc>
          <w:tcPr>
            <w:tcW w:w="3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holders, net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r>
      <w:tr>
        <w:trPr>
          <w:trHeight w:val="264"/>
        </w:trPr>
        <w:tc>
          <w:tcPr>
            <w:tcW w:w="3200" w:type="dxa"/>
            <w:vAlign w:val="bottom"/>
          </w:tcPr>
          <w:p>
            <w:pPr>
              <w:ind w:left="160"/>
              <w:spacing w:after="0"/>
              <w:rPr>
                <w:sz w:val="20"/>
                <w:szCs w:val="20"/>
                <w:color w:val="auto"/>
              </w:rPr>
            </w:pPr>
            <w:r>
              <w:rPr>
                <w:rFonts w:ascii="Arial" w:cs="Arial" w:eastAsia="Arial" w:hAnsi="Arial"/>
                <w:sz w:val="14"/>
                <w:szCs w:val="14"/>
                <w:color w:val="auto"/>
              </w:rPr>
              <w:t>Distributions to noncontrolling interest holders</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w:t>
            </w:r>
          </w:p>
        </w:tc>
      </w:tr>
      <w:tr>
        <w:trPr>
          <w:trHeight w:val="276"/>
        </w:trPr>
        <w:tc>
          <w:tcPr>
            <w:tcW w:w="3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r>
      <w:tr>
        <w:trPr>
          <w:trHeight w:val="264"/>
        </w:trPr>
        <w:tc>
          <w:tcPr>
            <w:tcW w:w="3200" w:type="dxa"/>
            <w:vAlign w:val="bottom"/>
          </w:tcPr>
          <w:p>
            <w:pPr>
              <w:ind w:left="16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w:t>
            </w:r>
          </w:p>
        </w:tc>
      </w:tr>
      <w:tr>
        <w:trPr>
          <w:trHeight w:val="276"/>
        </w:trPr>
        <w:tc>
          <w:tcPr>
            <w:tcW w:w="3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Share-based compensation, net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r>
      <w:tr>
        <w:trPr>
          <w:trHeight w:val="237"/>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Balance, June 30,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4,985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(5,754)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(789)</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(645)</w:t>
            </w: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80"/>
        </w:trPr>
        <w:tc>
          <w:tcPr>
            <w:tcW w:w="3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Six months ended June 30, 2018</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175"/>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Equity Attributable</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Equity Attributable to</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to Noncontrolling</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96"/>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 Income</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Interests</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Equity</w:t>
            </w:r>
          </w:p>
        </w:tc>
      </w:tr>
      <w:tr>
        <w:trPr>
          <w:trHeight w:val="256"/>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4,879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(5,670)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(720)</w:t>
            </w:r>
          </w:p>
        </w:tc>
      </w:tr>
      <w:tr>
        <w:trPr>
          <w:trHeight w:val="264"/>
        </w:trPr>
        <w:tc>
          <w:tcPr>
            <w:tcW w:w="320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(97)</w:t>
            </w:r>
          </w:p>
        </w:tc>
      </w:tr>
      <w:tr>
        <w:trPr>
          <w:trHeight w:val="200"/>
        </w:trPr>
        <w:tc>
          <w:tcPr>
            <w:tcW w:w="3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Contribution from noncontrolling interest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184"/>
        </w:trPr>
        <w:tc>
          <w:tcPr>
            <w:tcW w:w="3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holders, net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r>
      <w:tr>
        <w:trPr>
          <w:trHeight w:val="264"/>
        </w:trPr>
        <w:tc>
          <w:tcPr>
            <w:tcW w:w="3200" w:type="dxa"/>
            <w:vAlign w:val="bottom"/>
          </w:tcPr>
          <w:p>
            <w:pPr>
              <w:ind w:left="160"/>
              <w:spacing w:after="0"/>
              <w:rPr>
                <w:sz w:val="20"/>
                <w:szCs w:val="20"/>
                <w:color w:val="auto"/>
              </w:rPr>
            </w:pPr>
            <w:r>
              <w:rPr>
                <w:rFonts w:ascii="Arial" w:cs="Arial" w:eastAsia="Arial" w:hAnsi="Arial"/>
                <w:sz w:val="14"/>
                <w:szCs w:val="14"/>
                <w:color w:val="auto"/>
              </w:rPr>
              <w:t>Distributions to noncontrolling interest holders</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(19)</w:t>
            </w:r>
          </w:p>
        </w:tc>
      </w:tr>
      <w:tr>
        <w:trPr>
          <w:trHeight w:val="276"/>
        </w:trPr>
        <w:tc>
          <w:tcPr>
            <w:tcW w:w="3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r>
      <w:tr>
        <w:trPr>
          <w:trHeight w:val="264"/>
        </w:trPr>
        <w:tc>
          <w:tcPr>
            <w:tcW w:w="3200" w:type="dxa"/>
            <w:vAlign w:val="bottom"/>
          </w:tcPr>
          <w:p>
            <w:pPr>
              <w:ind w:left="16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w:t>
            </w:r>
          </w:p>
        </w:tc>
      </w:tr>
      <w:tr>
        <w:trPr>
          <w:trHeight w:val="276"/>
        </w:trPr>
        <w:tc>
          <w:tcPr>
            <w:tcW w:w="32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Share-based compensation, net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r>
      <w:tr>
        <w:trPr>
          <w:trHeight w:val="237"/>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Balance, June 30,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4,985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(5,754)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(789)</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(645)</w:t>
            </w: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76"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2019</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THE SPIN-OFF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Separation and Spin-off</w:t>
      </w:r>
    </w:p>
    <w:p>
      <w:pPr>
        <w:spacing w:after="0" w:line="24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were incorporated in Delaware as a wholly owned subsidiary of Occidental Petroleum Corporation (Occidental) on April 23, 2014, and we became an independent, publicly traded company on December 1, 2014.</w:t>
      </w:r>
    </w:p>
    <w:p>
      <w:pPr>
        <w:spacing w:after="0" w:line="202"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the opinion of our management, the accompanying financial statements contain all adjustments (consisting of normal recurring adjustments) necessary to fairly present our financial position as of June 30, 2019 and December 31, 2018 and the statements of operations, comprehensive income, cash flows and equity for the three and six months ended June 30, 2019 and 2018, as applicable. We have eliminated all significant intercompany transactions and accounts. We account for our share of oil and gas exploration and development ventures, in which we have a direct working interest, by reporting our proportionate share of assets, liabilities, revenues, costs and cash flows within the relevant lines on our condensed consolidated balance sheets, statements of operations, equity and cash flows.</w:t>
      </w:r>
    </w:p>
    <w:p>
      <w:pPr>
        <w:spacing w:after="0" w:line="20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have prepared this report in accordance with generally accepted accounting principles in the United States (U.S.)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not misleading. This Form 10-Q should be read in conjunction with the consolidated financial statements and the notes thereto in our Annual Report on Form 10-K for the year ended December 31, 2018.</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ACCOUNTING AND DISCLOSURE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We adopted the Financial Accounting Standards Board's new lease accounting rules (ASC 842), as of January 1, 2019, using the modified retrospective approach where the new lease standard is not applied to prior comparative periods, which continue to be presented under accounting standards in effect for those prior periods. Under the modified retrospective approach, we recognized right-of-use (ROU) assets and lease liabilities of $66 million as of the adoption date. The adoption of the new lease accounting rules did not materially impact our consolidated results of operations and had no impact on cash flows or beginning retained earnings. The new lease standard does not affect our liquidity and has no impact on our debt-covenant calculations under our 2014 Revolving Credit Facility, 2016 Credit Agreement and 2017 Credit Agreement. See </w:t>
      </w:r>
      <w:r>
        <w:rPr>
          <w:rFonts w:ascii="Arial" w:cs="Arial" w:eastAsia="Arial" w:hAnsi="Arial"/>
          <w:sz w:val="18"/>
          <w:szCs w:val="18"/>
          <w:i w:val="1"/>
          <w:iCs w:val="1"/>
          <w:color w:val="auto"/>
        </w:rPr>
        <w:t>Note 12 Leases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6" w:right="239" w:bottom="1440" w:gutter="0" w:footer="0" w:header="0"/>
        </w:sectPr>
      </w:pPr>
    </w:p>
    <w:bookmarkStart w:id="9" w:name="page10"/>
    <w:bookmarkEnd w:id="9"/>
    <w:p>
      <w:pPr>
        <w:spacing w:after="0"/>
        <w:tabs>
          <w:tab w:leader="none" w:pos="9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OTHER INFORMATION</w:t>
      </w:r>
    </w:p>
    <w:p>
      <w:pPr>
        <w:spacing w:after="0" w:line="247"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Cash at June 30, 2019 and December 31, 2018 included $12 million and $2 million, respectively, that was restricted for capital investments and distributions to a joint venture (JV) partner.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00" w:type="dxa"/>
            <w:vAlign w:val="bottom"/>
            <w:gridSpan w:val="2"/>
          </w:tcPr>
          <w:p>
            <w:pPr>
              <w:ind w:left="340"/>
              <w:spacing w:after="0"/>
              <w:rPr>
                <w:sz w:val="20"/>
                <w:szCs w:val="20"/>
                <w:color w:val="auto"/>
              </w:rPr>
            </w:pPr>
            <w:r>
              <w:rPr>
                <w:rFonts w:ascii="Arial" w:cs="Arial" w:eastAsia="Arial" w:hAnsi="Arial"/>
                <w:sz w:val="18"/>
                <w:szCs w:val="18"/>
                <w:color w:val="auto"/>
              </w:rPr>
              <w:t>Other current assets, net as of June 30, 2019 and December 31, 2018 consisted of the following:</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640" w:type="dxa"/>
            <w:vAlign w:val="bottom"/>
          </w:tcPr>
          <w:p>
            <w:pPr>
              <w:spacing w:after="0"/>
              <w:rPr>
                <w:sz w:val="24"/>
                <w:szCs w:val="24"/>
                <w:color w:val="auto"/>
              </w:rPr>
            </w:pPr>
          </w:p>
        </w:tc>
        <w:tc>
          <w:tcPr>
            <w:tcW w:w="136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June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77"/>
        </w:trPr>
        <w:tc>
          <w:tcPr>
            <w:tcW w:w="7640" w:type="dxa"/>
            <w:vAlign w:val="bottom"/>
          </w:tcPr>
          <w:p>
            <w:pPr>
              <w:spacing w:after="0"/>
              <w:rPr>
                <w:sz w:val="24"/>
                <w:szCs w:val="24"/>
                <w:color w:val="auto"/>
              </w:rPr>
            </w:pPr>
          </w:p>
        </w:tc>
        <w:tc>
          <w:tcPr>
            <w:tcW w:w="13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9"/>
              </w:rPr>
              <w:t>2019</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51"/>
        </w:trPr>
        <w:tc>
          <w:tcPr>
            <w:tcW w:w="76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Amounts due from joint interest partners</w:t>
            </w:r>
          </w:p>
        </w:tc>
        <w:tc>
          <w:tcPr>
            <w:tcW w:w="1360" w:type="dxa"/>
            <w:vAlign w:val="bottom"/>
          </w:tcPr>
          <w:p>
            <w:pPr>
              <w:spacing w:after="0"/>
              <w:rPr>
                <w:sz w:val="22"/>
                <w:szCs w:val="22"/>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13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 net</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340"/>
              <w:spacing w:after="0"/>
              <w:rPr>
                <w:sz w:val="20"/>
                <w:szCs w:val="20"/>
                <w:color w:val="auto"/>
              </w:rPr>
            </w:pPr>
            <w:r>
              <w:rPr>
                <w:rFonts w:ascii="Arial" w:cs="Arial" w:eastAsia="Arial" w:hAnsi="Arial"/>
                <w:sz w:val="18"/>
                <w:szCs w:val="18"/>
                <w:color w:val="auto"/>
              </w:rPr>
              <w:t>Accrued liabilities as of June 30, 2019 and December 31, 2018 consisted of the following:</w:t>
            </w: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6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40" w:type="dxa"/>
            <w:vAlign w:val="bottom"/>
          </w:tcPr>
          <w:p>
            <w:pPr>
              <w:spacing w:after="0"/>
              <w:rPr>
                <w:sz w:val="24"/>
                <w:szCs w:val="24"/>
                <w:color w:val="auto"/>
              </w:rPr>
            </w:pPr>
          </w:p>
        </w:tc>
        <w:tc>
          <w:tcPr>
            <w:tcW w:w="136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June 30,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77"/>
        </w:trPr>
        <w:tc>
          <w:tcPr>
            <w:tcW w:w="7640" w:type="dxa"/>
            <w:vAlign w:val="bottom"/>
          </w:tcPr>
          <w:p>
            <w:pPr>
              <w:spacing w:after="0"/>
              <w:rPr>
                <w:sz w:val="24"/>
                <w:szCs w:val="24"/>
                <w:color w:val="auto"/>
              </w:rPr>
            </w:pPr>
          </w:p>
        </w:tc>
        <w:tc>
          <w:tcPr>
            <w:tcW w:w="13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9"/>
              </w:rPr>
              <w:t>2019</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51"/>
        </w:trPr>
        <w:tc>
          <w:tcPr>
            <w:tcW w:w="76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20" w:type="dxa"/>
            <w:vAlign w:val="bottom"/>
            <w:gridSpan w:val="4"/>
          </w:tcPr>
          <w:p>
            <w:pPr>
              <w:jc w:val="right"/>
              <w:ind w:right="135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employee-related costs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Accrued taxes other than on income</w:t>
            </w:r>
          </w:p>
        </w:tc>
        <w:tc>
          <w:tcPr>
            <w:tcW w:w="1360" w:type="dxa"/>
            <w:vAlign w:val="bottom"/>
          </w:tcPr>
          <w:p>
            <w:pPr>
              <w:spacing w:after="0"/>
              <w:rPr>
                <w:sz w:val="22"/>
                <w:szCs w:val="22"/>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13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Operating lease liability</w:t>
            </w:r>
          </w:p>
        </w:tc>
        <w:tc>
          <w:tcPr>
            <w:tcW w:w="1360" w:type="dxa"/>
            <w:vAlign w:val="bottom"/>
          </w:tcPr>
          <w:p>
            <w:pPr>
              <w:spacing w:after="0"/>
              <w:rPr>
                <w:sz w:val="22"/>
                <w:szCs w:val="22"/>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13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Other long-term liabilities included asset retirement obligations of $479 million and $402 million at June 30, 2019 and December 31, 2018, respectively.</w:t>
      </w:r>
    </w:p>
    <w:p>
      <w:pPr>
        <w:spacing w:after="0" w:line="196"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Non-cash financing activities in 2018 included 2.85 million shares of common stock (valued at $51 million) issued in connection with an acquisition.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and other on-balance sheet financial instruments, other than debt, approximate fair value.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47"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We did not make U.S. federal and state income tax payments during the six months ended June 30, 2019 and 2018. Interest paid, net of capitalized amounts, totaled $219 million and $212 million for the six months ended June 30, 2019 and 2018,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40" w:type="dxa"/>
            <w:vAlign w:val="bottom"/>
          </w:tcPr>
          <w:p>
            <w:pPr>
              <w:spacing w:after="0"/>
              <w:rPr>
                <w:sz w:val="20"/>
                <w:szCs w:val="20"/>
                <w:color w:val="auto"/>
              </w:rPr>
            </w:pPr>
            <w:r>
              <w:rPr>
                <w:rFonts w:ascii="Arial" w:cs="Arial" w:eastAsia="Arial" w:hAnsi="Arial"/>
                <w:sz w:val="18"/>
                <w:szCs w:val="18"/>
                <w:b w:val="1"/>
                <w:bCs w:val="1"/>
                <w:color w:val="auto"/>
              </w:rPr>
              <w:t>NOTE 4  INVENTORIES</w:t>
            </w: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2"/>
        </w:trPr>
        <w:tc>
          <w:tcPr>
            <w:tcW w:w="7640" w:type="dxa"/>
            <w:vAlign w:val="bottom"/>
          </w:tcPr>
          <w:p>
            <w:pPr>
              <w:ind w:left="340"/>
              <w:spacing w:after="0"/>
              <w:rPr>
                <w:sz w:val="20"/>
                <w:szCs w:val="20"/>
                <w:color w:val="auto"/>
              </w:rPr>
            </w:pPr>
            <w:r>
              <w:rPr>
                <w:rFonts w:ascii="Arial" w:cs="Arial" w:eastAsia="Arial" w:hAnsi="Arial"/>
                <w:sz w:val="18"/>
                <w:szCs w:val="18"/>
                <w:color w:val="auto"/>
              </w:rPr>
              <w:t>Inventories as of June 30, 2019 and December 31, 2018 consisted of the following:</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92"/>
        </w:trPr>
        <w:tc>
          <w:tcPr>
            <w:tcW w:w="7640" w:type="dxa"/>
            <w:vAlign w:val="bottom"/>
          </w:tcPr>
          <w:p>
            <w:pPr>
              <w:spacing w:after="0"/>
              <w:rPr>
                <w:sz w:val="24"/>
                <w:szCs w:val="24"/>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December 31,</w:t>
            </w:r>
          </w:p>
        </w:tc>
      </w:tr>
      <w:tr>
        <w:trPr>
          <w:trHeight w:val="277"/>
        </w:trPr>
        <w:tc>
          <w:tcPr>
            <w:tcW w:w="7640" w:type="dxa"/>
            <w:vAlign w:val="bottom"/>
          </w:tcPr>
          <w:p>
            <w:pPr>
              <w:spacing w:after="0"/>
              <w:rPr>
                <w:sz w:val="24"/>
                <w:szCs w:val="24"/>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51"/>
        </w:trPr>
        <w:tc>
          <w:tcPr>
            <w:tcW w:w="76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00" w:type="dxa"/>
            <w:vAlign w:val="bottom"/>
          </w:tcPr>
          <w:p>
            <w:pPr>
              <w:spacing w:after="0"/>
              <w:rPr>
                <w:sz w:val="21"/>
                <w:szCs w:val="2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Materials and supplies</w:t>
            </w:r>
          </w:p>
        </w:tc>
        <w:tc>
          <w:tcPr>
            <w:tcW w:w="14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14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7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0"/>
        </w:trPr>
        <w:tc>
          <w:tcPr>
            <w:tcW w:w="76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76" w:right="239" w:bottom="1440" w:gutter="0" w:footer="0" w:header="0"/>
          <w:type w:val="continuous"/>
        </w:sectPr>
      </w:pPr>
    </w:p>
    <w:bookmarkStart w:id="10" w:name="page11"/>
    <w:bookmarkEnd w:id="10"/>
    <w:p>
      <w:pPr>
        <w:spacing w:after="0"/>
        <w:tabs>
          <w:tab w:leader="none" w:pos="880" w:val="left"/>
        </w:tabs>
        <w:rPr>
          <w:sz w:val="20"/>
          <w:szCs w:val="20"/>
          <w:color w:val="auto"/>
        </w:rPr>
      </w:pPr>
      <w:r>
        <w:rPr>
          <w:rFonts w:ascii="Arial" w:cs="Arial" w:eastAsia="Arial" w:hAnsi="Arial"/>
          <w:sz w:val="18"/>
          <w:szCs w:val="18"/>
          <w:b w:val="1"/>
          <w:bCs w:val="1"/>
          <w:color w:val="auto"/>
        </w:rPr>
        <w:t>NOTE 5</w:t>
        <w:tab/>
        <w:t>DEBT</w:t>
      </w:r>
    </w:p>
    <w:p>
      <w:pPr>
        <w:spacing w:after="0" w:line="247"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As of June 30, 2019 and December 31, 2018, our long-term debt consisted of the following credit agreements, second lien notes and senior notes:</w:t>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Outstanding Principal</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Interest Rate</w:t>
            </w: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Maturity</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June 30, 2019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Credit Agreements</w:t>
            </w:r>
          </w:p>
        </w:tc>
        <w:tc>
          <w:tcPr>
            <w:tcW w:w="120" w:type="dxa"/>
            <w:vAlign w:val="bottom"/>
          </w:tcPr>
          <w:p>
            <w:pPr>
              <w:spacing w:after="0"/>
              <w:rPr>
                <w:sz w:val="21"/>
                <w:szCs w:val="21"/>
                <w:color w:val="auto"/>
              </w:rPr>
            </w:pPr>
          </w:p>
        </w:tc>
        <w:tc>
          <w:tcPr>
            <w:tcW w:w="2300" w:type="dxa"/>
            <w:vAlign w:val="bottom"/>
            <w:gridSpan w:val="3"/>
          </w:tcPr>
          <w:p>
            <w:pPr>
              <w:jc w:val="right"/>
              <w:ind w:right="499"/>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LIBOR plus</w:t>
            </w: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3.25%-4.00%</w:t>
            </w: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w:t>
            </w:r>
          </w:p>
        </w:tc>
        <w:tc>
          <w:tcPr>
            <w:tcW w:w="0" w:type="dxa"/>
            <w:vAlign w:val="bottom"/>
          </w:tcPr>
          <w:p>
            <w:pPr>
              <w:spacing w:after="0"/>
              <w:rPr>
                <w:sz w:val="1"/>
                <w:szCs w:val="1"/>
                <w:color w:val="auto"/>
              </w:rPr>
            </w:pPr>
          </w:p>
        </w:tc>
      </w:tr>
      <w:tr>
        <w:trPr>
          <w:trHeight w:val="214"/>
        </w:trPr>
        <w:tc>
          <w:tcPr>
            <w:tcW w:w="2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2014 Revolving 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540</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ABR plus 2.25%-3.00%</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June 30, 2021</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Priority Lien</w:t>
            </w: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LIBOR plus 4.75%</w:t>
            </w:r>
          </w:p>
        </w:tc>
        <w:tc>
          <w:tcPr>
            <w:tcW w:w="214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7"/>
              </w:rPr>
              <w:t>December 31, 2022</w:t>
            </w:r>
            <w:r>
              <w:rPr>
                <w:rFonts w:ascii="Arial" w:cs="Arial" w:eastAsia="Arial" w:hAnsi="Arial"/>
                <w:sz w:val="21"/>
                <w:szCs w:val="21"/>
                <w:color w:val="auto"/>
                <w:w w:val="97"/>
                <w:vertAlign w:val="superscript"/>
              </w:rPr>
              <w:t>(a)</w:t>
            </w:r>
          </w:p>
        </w:tc>
        <w:tc>
          <w:tcPr>
            <w:tcW w:w="1340" w:type="dxa"/>
            <w:vAlign w:val="bottom"/>
          </w:tcPr>
          <w:p>
            <w:pPr>
              <w:jc w:val="center"/>
              <w:spacing w:after="0"/>
              <w:rPr>
                <w:sz w:val="20"/>
                <w:szCs w:val="20"/>
                <w:color w:val="auto"/>
              </w:rPr>
            </w:pPr>
            <w:r>
              <w:rPr>
                <w:rFonts w:ascii="Arial" w:cs="Arial" w:eastAsia="Arial" w:hAnsi="Arial"/>
                <w:sz w:val="16"/>
                <w:szCs w:val="16"/>
                <w:color w:val="auto"/>
              </w:rPr>
              <w:t>Shared First-</w:t>
            </w:r>
          </w:p>
        </w:tc>
        <w:tc>
          <w:tcPr>
            <w:tcW w:w="0" w:type="dxa"/>
            <w:vAlign w:val="bottom"/>
          </w:tcPr>
          <w:p>
            <w:pPr>
              <w:spacing w:after="0"/>
              <w:rPr>
                <w:sz w:val="1"/>
                <w:szCs w:val="1"/>
                <w:color w:val="auto"/>
              </w:rPr>
            </w:pPr>
          </w:p>
        </w:tc>
      </w:tr>
      <w:tr>
        <w:trPr>
          <w:trHeight w:val="214"/>
        </w:trPr>
        <w:tc>
          <w:tcPr>
            <w:tcW w:w="2840" w:type="dxa"/>
            <w:vAlign w:val="bottom"/>
          </w:tcPr>
          <w:p>
            <w:pPr>
              <w:ind w:left="160"/>
              <w:spacing w:after="0"/>
              <w:rPr>
                <w:sz w:val="20"/>
                <w:szCs w:val="20"/>
                <w:color w:val="auto"/>
              </w:rPr>
            </w:pPr>
            <w:r>
              <w:rPr>
                <w:rFonts w:ascii="Arial" w:cs="Arial" w:eastAsia="Arial" w:hAnsi="Arial"/>
                <w:sz w:val="16"/>
                <w:szCs w:val="16"/>
                <w:color w:val="auto"/>
              </w:rPr>
              <w:t>2017 Credit Agreement</w:t>
            </w:r>
          </w:p>
        </w:tc>
        <w:tc>
          <w:tcPr>
            <w:tcW w:w="12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1,300</w:t>
            </w:r>
          </w:p>
        </w:tc>
        <w:tc>
          <w:tcPr>
            <w:tcW w:w="120" w:type="dxa"/>
            <w:vAlign w:val="bottom"/>
          </w:tcPr>
          <w:p>
            <w:pPr>
              <w:spacing w:after="0"/>
              <w:rPr>
                <w:sz w:val="18"/>
                <w:szCs w:val="18"/>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ABR plus 3.75%</w:t>
            </w:r>
          </w:p>
        </w:tc>
        <w:tc>
          <w:tcPr>
            <w:tcW w:w="2140" w:type="dxa"/>
            <w:vAlign w:val="bottom"/>
            <w:gridSpan w:val="2"/>
            <w:vMerge w:val="continue"/>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Priority Lien</w:t>
            </w:r>
          </w:p>
        </w:tc>
        <w:tc>
          <w:tcPr>
            <w:tcW w:w="0" w:type="dxa"/>
            <w:vAlign w:val="bottom"/>
          </w:tcPr>
          <w:p>
            <w:pPr>
              <w:spacing w:after="0"/>
              <w:rPr>
                <w:sz w:val="1"/>
                <w:szCs w:val="1"/>
                <w:color w:val="auto"/>
              </w:rPr>
            </w:pPr>
          </w:p>
        </w:tc>
      </w:tr>
      <w:tr>
        <w:trPr>
          <w:trHeight w:val="218"/>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LIBOR plus 10.375%</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2016 Credit Agreement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1,000</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ABR plus 9.375%</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December 31, 2021</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First-Priority Lien</w:t>
            </w:r>
          </w:p>
        </w:tc>
        <w:tc>
          <w:tcPr>
            <w:tcW w:w="0" w:type="dxa"/>
            <w:vAlign w:val="bottom"/>
          </w:tcPr>
          <w:p>
            <w:pPr>
              <w:spacing w:after="0"/>
              <w:rPr>
                <w:sz w:val="1"/>
                <w:szCs w:val="1"/>
                <w:color w:val="auto"/>
              </w:rPr>
            </w:pPr>
          </w:p>
        </w:tc>
      </w:tr>
      <w:tr>
        <w:trPr>
          <w:trHeight w:val="260"/>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Second Lien Notes</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7"/>
              </w:rPr>
              <w:t>December 15, 2022</w:t>
            </w:r>
            <w:r>
              <w:rPr>
                <w:rFonts w:ascii="Arial" w:cs="Arial" w:eastAsia="Arial" w:hAnsi="Arial"/>
                <w:sz w:val="21"/>
                <w:szCs w:val="21"/>
                <w:color w:val="auto"/>
                <w:w w:val="97"/>
                <w:vertAlign w:val="superscript"/>
              </w:rPr>
              <w:t>(b)</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w:t>
            </w:r>
          </w:p>
        </w:tc>
        <w:tc>
          <w:tcPr>
            <w:tcW w:w="0" w:type="dxa"/>
            <w:vAlign w:val="bottom"/>
          </w:tcPr>
          <w:p>
            <w:pPr>
              <w:spacing w:after="0"/>
              <w:rPr>
                <w:sz w:val="1"/>
                <w:szCs w:val="1"/>
                <w:color w:val="auto"/>
              </w:rPr>
            </w:pPr>
          </w:p>
        </w:tc>
      </w:tr>
      <w:tr>
        <w:trPr>
          <w:trHeight w:val="214"/>
        </w:trPr>
        <w:tc>
          <w:tcPr>
            <w:tcW w:w="2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Second Lien Notes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1,991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2,067</w:t>
            </w:r>
          </w:p>
        </w:tc>
        <w:tc>
          <w:tcPr>
            <w:tcW w:w="19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8%</w:t>
            </w:r>
          </w:p>
        </w:tc>
        <w:tc>
          <w:tcPr>
            <w:tcW w:w="100" w:type="dxa"/>
            <w:vAlign w:val="bottom"/>
            <w:shd w:val="clear" w:color="auto" w:fill="CCEEFF"/>
          </w:tcPr>
          <w:p>
            <w:pPr>
              <w:spacing w:after="0"/>
              <w:rPr>
                <w:sz w:val="18"/>
                <w:szCs w:val="18"/>
                <w:color w:val="auto"/>
              </w:rPr>
            </w:pPr>
          </w:p>
        </w:tc>
        <w:tc>
          <w:tcPr>
            <w:tcW w:w="2140" w:type="dxa"/>
            <w:vAlign w:val="bottom"/>
            <w:gridSpan w:val="2"/>
            <w:vMerge w:val="continue"/>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Lien</w:t>
            </w:r>
          </w:p>
        </w:tc>
        <w:tc>
          <w:tcPr>
            <w:tcW w:w="0" w:type="dxa"/>
            <w:vAlign w:val="bottom"/>
          </w:tcPr>
          <w:p>
            <w:pPr>
              <w:spacing w:after="0"/>
              <w:rPr>
                <w:sz w:val="1"/>
                <w:szCs w:val="1"/>
                <w:color w:val="auto"/>
              </w:rPr>
            </w:pPr>
          </w:p>
        </w:tc>
      </w:tr>
      <w:tr>
        <w:trPr>
          <w:trHeight w:val="260"/>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Senior Notes</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5% Senior Notes due 2020</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9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5%</w:t>
            </w:r>
          </w:p>
        </w:tc>
        <w:tc>
          <w:tcPr>
            <w:tcW w:w="10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January 15, 2020</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60"/>
        </w:trPr>
        <w:tc>
          <w:tcPr>
            <w:tcW w:w="2840" w:type="dxa"/>
            <w:vAlign w:val="bottom"/>
          </w:tcPr>
          <w:p>
            <w:pPr>
              <w:ind w:left="160"/>
              <w:spacing w:after="0"/>
              <w:rPr>
                <w:sz w:val="20"/>
                <w:szCs w:val="20"/>
                <w:color w:val="auto"/>
              </w:rPr>
            </w:pPr>
            <w:r>
              <w:rPr>
                <w:rFonts w:ascii="Arial" w:cs="Arial" w:eastAsia="Arial" w:hAnsi="Arial"/>
                <w:sz w:val="16"/>
                <w:szCs w:val="16"/>
                <w:color w:val="auto"/>
              </w:rPr>
              <w:t>5½% Senior Notes due 2021</w:t>
            </w:r>
          </w:p>
        </w:tc>
        <w:tc>
          <w:tcPr>
            <w:tcW w:w="120" w:type="dxa"/>
            <w:vAlign w:val="bottom"/>
          </w:tcPr>
          <w:p>
            <w:pPr>
              <w:spacing w:after="0"/>
              <w:rPr>
                <w:sz w:val="22"/>
                <w:szCs w:val="22"/>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920" w:type="dxa"/>
            <w:vAlign w:val="bottom"/>
            <w:gridSpan w:val="2"/>
          </w:tcPr>
          <w:p>
            <w:pPr>
              <w:jc w:val="center"/>
              <w:ind w:left="1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color w:val="auto"/>
              </w:rPr>
              <w:t>September 15, 2021</w:t>
            </w:r>
          </w:p>
        </w:tc>
        <w:tc>
          <w:tcPr>
            <w:tcW w:w="1340" w:type="dxa"/>
            <w:vAlign w:val="bottom"/>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80"/>
        </w:trPr>
        <w:tc>
          <w:tcPr>
            <w:tcW w:w="2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6% Senior Notes due 2024</w:t>
            </w:r>
          </w:p>
        </w:tc>
        <w:tc>
          <w:tcPr>
            <w:tcW w:w="1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9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6%</w:t>
            </w:r>
          </w:p>
        </w:tc>
        <w:tc>
          <w:tcPr>
            <w:tcW w:w="10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November 15, 2024</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40"/>
        </w:trPr>
        <w:tc>
          <w:tcPr>
            <w:tcW w:w="2840" w:type="dxa"/>
            <w:vAlign w:val="bottom"/>
          </w:tcPr>
          <w:p>
            <w:pPr>
              <w:ind w:left="360"/>
              <w:spacing w:after="0"/>
              <w:rPr>
                <w:sz w:val="20"/>
                <w:szCs w:val="20"/>
                <w:color w:val="auto"/>
              </w:rPr>
            </w:pPr>
            <w:r>
              <w:rPr>
                <w:rFonts w:ascii="Arial" w:cs="Arial" w:eastAsia="Arial" w:hAnsi="Arial"/>
                <w:sz w:val="16"/>
                <w:szCs w:val="16"/>
                <w:b w:val="1"/>
                <w:bCs w:val="1"/>
                <w:color w:val="auto"/>
              </w:rPr>
              <w:t>Total Debt</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5,160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5,251</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Less: Current Maturities</w:t>
            </w:r>
          </w:p>
        </w:tc>
        <w:tc>
          <w:tcPr>
            <w:tcW w:w="1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840" w:type="dxa"/>
            <w:vAlign w:val="bottom"/>
          </w:tcPr>
          <w:p>
            <w:pPr>
              <w:ind w:left="360"/>
              <w:spacing w:after="0"/>
              <w:rPr>
                <w:sz w:val="20"/>
                <w:szCs w:val="20"/>
                <w:color w:val="auto"/>
              </w:rPr>
            </w:pPr>
            <w:r>
              <w:rPr>
                <w:rFonts w:ascii="Arial" w:cs="Arial" w:eastAsia="Arial" w:hAnsi="Arial"/>
                <w:sz w:val="16"/>
                <w:szCs w:val="16"/>
                <w:b w:val="1"/>
                <w:bCs w:val="1"/>
                <w:color w:val="auto"/>
              </w:rPr>
              <w:t>Long-Term Debt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5,060</w:t>
            </w:r>
          </w:p>
        </w:tc>
        <w:tc>
          <w:tcPr>
            <w:tcW w:w="120" w:type="dxa"/>
            <w:vAlign w:val="bottom"/>
          </w:tcPr>
          <w:p>
            <w:pPr>
              <w:spacing w:after="0"/>
              <w:rPr>
                <w:sz w:val="20"/>
                <w:szCs w:val="20"/>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5,251</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3810</wp:posOffset>
            </wp:positionV>
            <wp:extent cx="187833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78330" cy="26035"/>
                    </a:xfrm>
                    <a:prstGeom prst="rect">
                      <a:avLst/>
                    </a:prstGeom>
                    <a:noFill/>
                  </pic:spPr>
                </pic:pic>
              </a:graphicData>
            </a:graphic>
          </wp:anchor>
        </w:drawing>
      </w:r>
    </w:p>
    <w:p>
      <w:pPr>
        <w:spacing w:after="0" w:line="3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Note:</w:t>
        <w:tab/>
        <w:t>For a detailed description of our credit agreements, second lien notes and senior notes, please see our most recent Form 10-K for the year ended December 31, 2018.</w:t>
      </w:r>
    </w:p>
    <w:p>
      <w:pPr>
        <w:spacing w:after="0" w:line="1" w:lineRule="exact"/>
        <w:rPr>
          <w:sz w:val="20"/>
          <w:szCs w:val="20"/>
          <w:color w:val="auto"/>
        </w:rPr>
      </w:pPr>
    </w:p>
    <w:p>
      <w:pPr>
        <w:ind w:left="500" w:right="20" w:hanging="330"/>
        <w:spacing w:after="0" w:line="241"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in principal of the 2016 Credit Agreement is outstanding at that time.</w:t>
      </w:r>
    </w:p>
    <w:p>
      <w:pPr>
        <w:ind w:left="500" w:right="40" w:hanging="330"/>
        <w:spacing w:after="0" w:line="258"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Second Lien Notes require principal repayments of $315 million in June 2021, $63 million in December 2021, $65 million in June 2022 and $1,548 million in December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Gain and Issuance Costs</w:t>
      </w:r>
    </w:p>
    <w:p>
      <w:pPr>
        <w:spacing w:after="0" w:line="247"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As of June 30, 2019, net deferred gain and issuance costs were $185 million, consisting of $267 million of a deferred gain offset by $82 million of deferred issuance costs and original issue discounts. The December 31, 2018 net deferred gain and issuance costs were $216 million, consisting of $313 million of a deferred gain offset by $97 million of deferred issuance costs and original issue discounts.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Revolving Credit Facility</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of June 30, 2019, we had $309 million of available borrowing capacity under our $1 billion revolving credit facility (2014 Revolving Credit Facility), before a $150 million month-end minimum liquidity requirement. Effective May 1, 2019, the borrowing base under this facility was reaffirmed at $ 2.3 billion. Our 2014 Revolving Credit Facility also includes a sub-limit of $400 million for the issuance of letters of credit. As of June 30, 2019 and December 31, 2018, we had letters of credit outstanding of $166 million and $162 million, respectively. These letters of credit were issued to support ordinary course marketing, insurance, regulatory and other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Repurchases</w:t>
      </w:r>
    </w:p>
    <w:p>
      <w:pPr>
        <w:spacing w:after="0" w:line="247"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 the first quarter of 2019, we repurchased $18 million in face value of our 8% senior secured second lien notes due December 15, 2022 (Second Lien Notes) for $14 million in cash resulting in a pre-tax gain of $6 million, including the effect of unamortized deferred gain and issuance costs. In the second quarter of 2019, we repurchased $58 million in face value of our Second Lien Notes for $45 million in cash resulting in a pre-tax gain of $20 million, including the effect of unamortized deferred gain and issuance costs.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76"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4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estimate the fair value of fixed-rate debt, which is classified as Level 1, based on prices from known market transactions for our instruments. The estimated fair value of our debt at June 30, 2019 and December 31, 2018, including the fair value of the variable-rate portion, was $4.6 billion and $4.5 billion, respectively, compared to a carrying value of $5.2 billion and $5.3 billion,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2019, we were in compliance with all financial and other debt covenants.</w:t>
      </w:r>
    </w:p>
    <w:p>
      <w:pPr>
        <w:spacing w:after="0" w:line="225"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All obligations under our 2014 Revolving Credit Facility, 2017 Credit Agreement and 2016 Credit Agreement (collectively, Credit Facilities) as well as our Second Lien Notes and Senior Notes are guaranteed both fully and unconditionally and jointly and severally by all of our material wholly owned subsidiaries.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JOINT VENTURES</w:t>
      </w:r>
    </w:p>
    <w:p>
      <w:pPr>
        <w:spacing w:after="0" w:line="247" w:lineRule="exact"/>
        <w:rPr>
          <w:sz w:val="20"/>
          <w:szCs w:val="20"/>
          <w:color w:val="auto"/>
        </w:rPr>
      </w:pPr>
    </w:p>
    <w:p>
      <w:pPr>
        <w:jc w:val="both"/>
        <w:ind w:right="100" w:firstLine="324"/>
        <w:spacing w:after="0" w:line="250" w:lineRule="auto"/>
        <w:rPr>
          <w:sz w:val="20"/>
          <w:szCs w:val="20"/>
          <w:color w:val="auto"/>
        </w:rPr>
      </w:pPr>
      <w:r>
        <w:rPr>
          <w:rFonts w:ascii="Arial" w:cs="Arial" w:eastAsia="Arial" w:hAnsi="Arial"/>
          <w:sz w:val="18"/>
          <w:szCs w:val="18"/>
          <w:color w:val="auto"/>
        </w:rPr>
        <w:t xml:space="preserve">We have two separate development JVs with Benefit Street Partners (BSP) and Macquarie Infrastructure and Real Assets Inc. (MIRA). In July 2019 we entered into a third development JV with subsidiaries of Colony Capital Inc. (Colony) as described in </w:t>
      </w:r>
      <w:r>
        <w:rPr>
          <w:rFonts w:ascii="Arial" w:cs="Arial" w:eastAsia="Arial" w:hAnsi="Arial"/>
          <w:sz w:val="18"/>
          <w:szCs w:val="18"/>
          <w:i w:val="1"/>
          <w:iCs w:val="1"/>
          <w:color w:val="auto"/>
        </w:rPr>
        <w:t>Note 16 Subsequent Event</w:t>
      </w:r>
      <w:r>
        <w:rPr>
          <w:rFonts w:ascii="Arial" w:cs="Arial" w:eastAsia="Arial" w:hAnsi="Arial"/>
          <w:sz w:val="18"/>
          <w:szCs w:val="18"/>
          <w:color w:val="auto"/>
        </w:rPr>
        <w:t>. In addition to these development JVs, we have a midstream JV with Ares Management L.P. (Ares) and several other smaller exploration JVs.</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BSP and Ares JVs are consolidated, the details of which are described below. For all of our other JVs, we report our proportionate share of operations in our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47"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 following table presents the changes in noncontrolling interests for our consolidated JVs, which is reported in equity and mezzanine equity on the condensed consolidated balance sheets, for the six months ended June 30, 2019 and 2018:</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Mezzanine Equity -</w:t>
            </w:r>
          </w:p>
        </w:tc>
      </w:t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Redeemable</w:t>
            </w:r>
          </w:p>
        </w:tc>
      </w:tr>
      <w:tr>
        <w:trPr>
          <w:trHeight w:val="189"/>
        </w:trPr>
        <w:tc>
          <w:tcPr>
            <w:tcW w:w="5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rPr>
              <w:t>Equity Attributable to</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56"/>
              <w:spacing w:after="0"/>
              <w:rPr>
                <w:sz w:val="20"/>
                <w:szCs w:val="20"/>
                <w:color w:val="auto"/>
              </w:rPr>
            </w:pPr>
            <w:r>
              <w:rPr>
                <w:rFonts w:ascii="Arial" w:cs="Arial" w:eastAsia="Arial" w:hAnsi="Arial"/>
                <w:sz w:val="16"/>
                <w:szCs w:val="16"/>
                <w:b w:val="1"/>
                <w:bCs w:val="1"/>
                <w:color w:val="auto"/>
              </w:rPr>
              <w:t>Noncontrolling</w:t>
            </w:r>
          </w:p>
        </w:tc>
      </w:tr>
      <w:tr>
        <w:trPr>
          <w:trHeight w:val="228"/>
        </w:trPr>
        <w:tc>
          <w:tcPr>
            <w:tcW w:w="52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6"/>
                <w:szCs w:val="16"/>
                <w:b w:val="1"/>
                <w:bCs w:val="1"/>
                <w:color w:val="auto"/>
              </w:rPr>
              <w:t>Noncontrolling Interest</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rPr>
              <w:t>Interests</w:t>
            </w:r>
          </w:p>
        </w:tc>
      </w:tr>
      <w:tr>
        <w:trPr>
          <w:trHeight w:val="264"/>
        </w:trPr>
        <w:tc>
          <w:tcPr>
            <w:tcW w:w="52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Ares JV</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BSP JV</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Total</w:t>
            </w: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rPr>
              <w:t>Ares JV</w:t>
            </w:r>
          </w:p>
        </w:tc>
      </w:tr>
      <w:tr>
        <w:trPr>
          <w:trHeight w:val="251"/>
        </w:trPr>
        <w:tc>
          <w:tcPr>
            <w:tcW w:w="5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20" w:type="dxa"/>
            <w:vAlign w:val="bottom"/>
            <w:gridSpan w:val="4"/>
          </w:tcPr>
          <w:p>
            <w:pPr>
              <w:ind w:left="10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6"/>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December 31, 2018</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4"/>
              </w:rPr>
              <w:t>15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99</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756</w:t>
            </w:r>
          </w:p>
        </w:tc>
      </w:tr>
      <w:tr>
        <w:trPr>
          <w:trHeight w:val="261"/>
        </w:trPr>
        <w:tc>
          <w:tcPr>
            <w:tcW w:w="5240" w:type="dxa"/>
            <w:vAlign w:val="bottom"/>
          </w:tcPr>
          <w:p>
            <w:pPr>
              <w:ind w:left="40"/>
              <w:spacing w:after="0"/>
              <w:rPr>
                <w:sz w:val="20"/>
                <w:szCs w:val="20"/>
                <w:color w:val="auto"/>
              </w:rPr>
            </w:pPr>
            <w:r>
              <w:rPr>
                <w:rFonts w:ascii="Arial" w:cs="Arial" w:eastAsia="Arial" w:hAnsi="Arial"/>
                <w:sz w:val="17"/>
                <w:szCs w:val="17"/>
                <w:color w:val="auto"/>
              </w:rPr>
              <w:t>Net (loss) income attributable to noncontrolling interests</w:t>
            </w:r>
          </w:p>
        </w:tc>
        <w:tc>
          <w:tcPr>
            <w:tcW w:w="9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57</w:t>
            </w:r>
          </w:p>
        </w:tc>
      </w:tr>
      <w:tr>
        <w:trPr>
          <w:trHeight w:val="279"/>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Contributions from noncontrolling interest holders, net</w:t>
            </w: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Distributions to noncontrolling interest holders</w:t>
            </w:r>
          </w:p>
        </w:tc>
        <w:tc>
          <w:tcPr>
            <w:tcW w:w="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r>
      <w:tr>
        <w:trPr>
          <w:trHeight w:val="241"/>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June 30, 2019</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124</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777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07"/>
        </w:trPr>
        <w:tc>
          <w:tcPr>
            <w:tcW w:w="5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December 31, 2017</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94</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61"/>
        </w:trPr>
        <w:tc>
          <w:tcPr>
            <w:tcW w:w="5240" w:type="dxa"/>
            <w:vAlign w:val="bottom"/>
          </w:tcPr>
          <w:p>
            <w:pPr>
              <w:ind w:left="40"/>
              <w:spacing w:after="0"/>
              <w:rPr>
                <w:sz w:val="20"/>
                <w:szCs w:val="20"/>
                <w:color w:val="auto"/>
              </w:rPr>
            </w:pPr>
            <w:r>
              <w:rPr>
                <w:rFonts w:ascii="Arial" w:cs="Arial" w:eastAsia="Arial" w:hAnsi="Arial"/>
                <w:sz w:val="17"/>
                <w:szCs w:val="17"/>
                <w:color w:val="auto"/>
              </w:rPr>
              <w:t>Net (loss) income attributable to noncontrolling interests</w:t>
            </w:r>
          </w:p>
        </w:tc>
        <w:tc>
          <w:tcPr>
            <w:tcW w:w="9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16"/>
              <w:spacing w:after="0"/>
              <w:rPr>
                <w:sz w:val="20"/>
                <w:szCs w:val="20"/>
                <w:color w:val="auto"/>
              </w:rPr>
            </w:pPr>
            <w:r>
              <w:rPr>
                <w:rFonts w:ascii="Arial" w:cs="Arial" w:eastAsia="Arial" w:hAnsi="Arial"/>
                <w:sz w:val="17"/>
                <w:szCs w:val="17"/>
                <w:color w:val="auto"/>
              </w:rPr>
              <w:t>43</w:t>
            </w:r>
          </w:p>
        </w:tc>
      </w:tr>
      <w:tr>
        <w:trPr>
          <w:trHeight w:val="279"/>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Contributions from noncontrolling interest holders, net</w:t>
            </w:r>
          </w:p>
        </w:tc>
        <w:tc>
          <w:tcPr>
            <w:tcW w:w="9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4"/>
              </w:rPr>
              <w:t>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714</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Distributions to noncontrolling interest holders</w:t>
            </w:r>
          </w:p>
        </w:tc>
        <w:tc>
          <w:tcPr>
            <w:tcW w:w="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41"/>
        </w:trPr>
        <w:tc>
          <w:tcPr>
            <w:tcW w:w="52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Balance, June 30, 2018</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4"/>
              </w:rPr>
              <w:t>25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119</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735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Ares JV</w:t>
      </w:r>
    </w:p>
    <w:p>
      <w:pPr>
        <w:spacing w:after="0" w:line="24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condensed consolidated statements of operations reflect the operations of our midstream JV with ECR Corporate Holdings L.P. (ECR), a portfolio company of Ares, with ECR's share of net income (loss) reported in net income attributable to noncontrolling interests. ECR's redeemable noncontrolling interests are reported in mezzanine equity due to an embedded optional redemption feature.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7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BSP JV</w:t>
      </w:r>
    </w:p>
    <w:p>
      <w:pPr>
        <w:spacing w:after="0" w:line="243"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Our consolidated results reflect the operations of our development JV with Benefit Street Partners (BSP), with BSP's preferred interest reported in equity on our condensed consolidated balance sheets and BSP’s share of net income (loss) being reported in net income attributable to noncontrolling interests in our condensed consolidated statements of operations.</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47"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June 30, 2019 and December 31, 2018 were not material to our balance sheets as of such dates. We also evaluate the amount of reasonably possible losses that we could incur as a result of these matters. We believe that reasonably possible losses that we could incur in excess of reserves accrued would not be material to our consolidated financial position or results of operations.</w:t>
      </w:r>
    </w:p>
    <w:p>
      <w:pPr>
        <w:spacing w:after="0" w:line="18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4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use a variety of derivative instruments to protect our cash flow, operating margin and capital program from the cyclical nature of commodity prices and interest-rate movements. These derivatives are intended to help us maintain adequate liquidity and improve our ability to comply with the covenants of our Credit Facilities in case of price deterioration.</w:t>
      </w:r>
    </w:p>
    <w:p>
      <w:pPr>
        <w:spacing w:after="0" w:line="202"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We did not have any derivative instruments designated as accounting hedges as of and during the three and six months ended June 30, 2019 and 2018. Unless otherwise indicated, we use the term "hedge" to describe derivative instruments that are designed to achieve our hedging program goals, even though they are not accounted for as accounting hedges.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Price Risk</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held the following Brent-based crude oil contracts as of June 30,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Q3</w:t>
            </w:r>
          </w:p>
        </w:tc>
        <w:tc>
          <w:tcPr>
            <w:tcW w:w="26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Q4</w:t>
            </w: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Q1</w:t>
            </w:r>
          </w:p>
        </w:tc>
        <w:tc>
          <w:tcPr>
            <w:tcW w:w="240" w:type="dxa"/>
            <w:vAlign w:val="bottom"/>
          </w:tcPr>
          <w:p>
            <w:pPr>
              <w:spacing w:after="0"/>
              <w:rPr>
                <w:sz w:val="18"/>
                <w:szCs w:val="18"/>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Q2</w:t>
            </w:r>
          </w:p>
        </w:tc>
        <w:tc>
          <w:tcPr>
            <w:tcW w:w="340" w:type="dxa"/>
            <w:vAlign w:val="bottom"/>
          </w:tcPr>
          <w:p>
            <w:pPr>
              <w:spacing w:after="0"/>
              <w:rPr>
                <w:sz w:val="18"/>
                <w:szCs w:val="18"/>
                <w:color w:val="auto"/>
              </w:rPr>
            </w:pPr>
          </w:p>
        </w:tc>
      </w:tr>
      <w:tr>
        <w:trPr>
          <w:trHeight w:val="246"/>
        </w:trPr>
        <w:tc>
          <w:tcPr>
            <w:tcW w:w="6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21"/>
                <w:szCs w:val="21"/>
                <w:color w:val="auto"/>
              </w:rPr>
            </w:pP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Purchased Puts: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r>
      <w:tr>
        <w:trPr>
          <w:trHeight w:val="263"/>
        </w:trPr>
        <w:tc>
          <w:tcPr>
            <w:tcW w:w="6160" w:type="dxa"/>
            <w:vAlign w:val="bottom"/>
          </w:tcPr>
          <w:p>
            <w:pPr>
              <w:ind w:left="180"/>
              <w:spacing w:after="0"/>
              <w:rPr>
                <w:sz w:val="20"/>
                <w:szCs w:val="20"/>
                <w:color w:val="auto"/>
              </w:rPr>
            </w:pPr>
            <w:r>
              <w:rPr>
                <w:rFonts w:ascii="Arial" w:cs="Arial" w:eastAsia="Arial" w:hAnsi="Arial"/>
                <w:sz w:val="18"/>
                <w:szCs w:val="18"/>
                <w:color w:val="auto"/>
              </w:rPr>
              <w:t>Barrels per day</w:t>
            </w: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22"/>
                <w:szCs w:val="22"/>
                <w:color w:val="auto"/>
              </w:rPr>
            </w:pPr>
          </w:p>
        </w:tc>
      </w:tr>
      <w:tr>
        <w:trPr>
          <w:trHeight w:val="277"/>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price per barrel</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340" w:type="dxa"/>
            <w:vAlign w:val="bottom"/>
            <w:shd w:val="clear" w:color="auto" w:fill="CCEEFF"/>
          </w:tcPr>
          <w:p>
            <w:pPr>
              <w:spacing w:after="0"/>
              <w:rPr>
                <w:sz w:val="24"/>
                <w:szCs w:val="24"/>
                <w:color w:val="auto"/>
              </w:rPr>
            </w:pPr>
          </w:p>
        </w:tc>
      </w:tr>
      <w:tr>
        <w:trPr>
          <w:trHeight w:val="284"/>
        </w:trPr>
        <w:tc>
          <w:tcPr>
            <w:tcW w:w="6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Sold Puts: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r>
      <w:tr>
        <w:trPr>
          <w:trHeight w:val="263"/>
        </w:trPr>
        <w:tc>
          <w:tcPr>
            <w:tcW w:w="6160" w:type="dxa"/>
            <w:vAlign w:val="bottom"/>
          </w:tcPr>
          <w:p>
            <w:pPr>
              <w:ind w:left="180"/>
              <w:spacing w:after="0"/>
              <w:rPr>
                <w:sz w:val="20"/>
                <w:szCs w:val="20"/>
                <w:color w:val="auto"/>
              </w:rPr>
            </w:pPr>
            <w:r>
              <w:rPr>
                <w:rFonts w:ascii="Arial" w:cs="Arial" w:eastAsia="Arial" w:hAnsi="Arial"/>
                <w:sz w:val="18"/>
                <w:szCs w:val="18"/>
                <w:color w:val="auto"/>
              </w:rPr>
              <w:t>Barrels per day</w:t>
            </w: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22"/>
                <w:szCs w:val="22"/>
                <w:color w:val="auto"/>
              </w:rPr>
            </w:pPr>
          </w:p>
        </w:tc>
      </w:tr>
      <w:tr>
        <w:trPr>
          <w:trHeight w:val="277"/>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price per barrel</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w:t>
            </w:r>
          </w:p>
        </w:tc>
        <w:tc>
          <w:tcPr>
            <w:tcW w:w="340" w:type="dxa"/>
            <w:vAlign w:val="bottom"/>
            <w:shd w:val="clear" w:color="auto" w:fill="CCEEFF"/>
          </w:tcPr>
          <w:p>
            <w:pPr>
              <w:spacing w:after="0"/>
              <w:rPr>
                <w:sz w:val="24"/>
                <w:szCs w:val="24"/>
                <w:color w:val="auto"/>
              </w:rPr>
            </w:pPr>
          </w:p>
        </w:tc>
      </w:tr>
      <w:tr>
        <w:trPr>
          <w:trHeight w:val="284"/>
        </w:trPr>
        <w:tc>
          <w:tcPr>
            <w:tcW w:w="6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r>
      <w:tr>
        <w:trPr>
          <w:trHeight w:val="263"/>
        </w:trPr>
        <w:tc>
          <w:tcPr>
            <w:tcW w:w="6160" w:type="dxa"/>
            <w:vAlign w:val="bottom"/>
          </w:tcPr>
          <w:p>
            <w:pPr>
              <w:ind w:left="180"/>
              <w:spacing w:after="0"/>
              <w:rPr>
                <w:sz w:val="20"/>
                <w:szCs w:val="20"/>
                <w:color w:val="auto"/>
              </w:rPr>
            </w:pPr>
            <w:r>
              <w:rPr>
                <w:rFonts w:ascii="Arial" w:cs="Arial" w:eastAsia="Arial" w:hAnsi="Arial"/>
                <w:sz w:val="16"/>
                <w:szCs w:val="16"/>
                <w:color w:val="auto"/>
              </w:rPr>
              <w:t>Barrels per day</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340" w:type="dxa"/>
            <w:vAlign w:val="bottom"/>
          </w:tcPr>
          <w:p>
            <w:pPr>
              <w:ind w:left="20"/>
              <w:spacing w:after="0"/>
              <w:rPr>
                <w:sz w:val="20"/>
                <w:szCs w:val="20"/>
                <w:color w:val="auto"/>
              </w:rPr>
            </w:pPr>
            <w:r>
              <w:rPr>
                <w:rFonts w:ascii="Arial" w:cs="Arial" w:eastAsia="Arial" w:hAnsi="Arial"/>
                <w:sz w:val="11"/>
                <w:szCs w:val="11"/>
                <w:color w:val="auto"/>
              </w:rPr>
              <w:t>(a)</w:t>
            </w:r>
          </w:p>
        </w:tc>
      </w:tr>
      <w:tr>
        <w:trPr>
          <w:trHeight w:val="277"/>
        </w:trPr>
        <w:tc>
          <w:tcPr>
            <w:tcW w:w="6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Weighted-average price per barrel</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70.05</w:t>
            </w:r>
          </w:p>
        </w:tc>
        <w:tc>
          <w:tcPr>
            <w:tcW w:w="340" w:type="dxa"/>
            <w:vAlign w:val="bottom"/>
            <w:shd w:val="clear" w:color="auto" w:fill="CCEEFF"/>
          </w:tcPr>
          <w:p>
            <w:pPr>
              <w:spacing w:after="0"/>
              <w:rPr>
                <w:sz w:val="24"/>
                <w:szCs w:val="24"/>
                <w:color w:val="auto"/>
              </w:rPr>
            </w:pPr>
          </w:p>
        </w:tc>
      </w:tr>
    </w:tbl>
    <w:p>
      <w:pPr>
        <w:spacing w:after="0" w:line="5"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Counterparties have the option to increase swap volumes by up to 5,000 barrels per day at a weighted-average Brent price of $70.05 for the second quarter of 2020.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3" w:name="page14"/>
    <w:bookmarkEnd w:id="13"/>
    <w:p>
      <w:pPr>
        <w:jc w:val="both"/>
        <w:ind w:right="80" w:firstLine="324"/>
        <w:spacing w:after="0" w:line="256" w:lineRule="auto"/>
        <w:rPr>
          <w:sz w:val="20"/>
          <w:szCs w:val="20"/>
          <w:color w:val="auto"/>
        </w:rPr>
      </w:pPr>
      <w:r>
        <w:rPr>
          <w:rFonts w:ascii="Arial" w:cs="Arial" w:eastAsia="Arial" w:hAnsi="Arial"/>
          <w:sz w:val="18"/>
          <w:szCs w:val="18"/>
          <w:color w:val="auto"/>
        </w:rPr>
        <w:t>The BSP JV entered into crude oil derivatives for insignificant volumes through 2021 that are included in our consolidated results but not in the above table. The BSP JV also entered into natural gas swaps for insignificant volumes for periods through May 2021. The hedges entered into by the BSP JV could affect the timing of the redemption of BSP's noncontrolling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Risk</w:t>
      </w:r>
    </w:p>
    <w:p>
      <w:pPr>
        <w:spacing w:after="0" w:line="24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In May 2018, we entered into derivative contracts that limit our interest rate exposure with respect to $1.3 billion of our variable -rate indebtedness. These interest-rate contracts reset monthly and require the counterparties to pay any excess interest owed on such amount in the event the one-month LIBOR exceeds 2.75% for any monthly period prior to May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166"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 We recognize fair value changes on derivative instruments in each reporting period. The changes in fair value result from the relationship between our existing positions, contract prices or interest rates and the associated forward curves.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fair values (at gross and net) of our outstanding commodity derivatives as of June 30, 2019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millions):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28575</wp:posOffset>
            </wp:positionV>
            <wp:extent cx="7237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Gross Amounts</w:t>
            </w: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Gross Amounts</w:t>
            </w:r>
          </w:p>
        </w:tc>
        <w:tc>
          <w:tcPr>
            <w:tcW w:w="140" w:type="dxa"/>
            <w:vAlign w:val="bottom"/>
          </w:tcPr>
          <w:p>
            <w:pPr>
              <w:spacing w:after="0"/>
              <w:rPr>
                <w:sz w:val="17"/>
                <w:szCs w:val="17"/>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Net Fair Value</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Recognized at Fair</w:t>
            </w:r>
          </w:p>
        </w:tc>
        <w:tc>
          <w:tcPr>
            <w:tcW w:w="140" w:type="dxa"/>
            <w:vAlign w:val="bottom"/>
          </w:tcPr>
          <w:p>
            <w:pPr>
              <w:spacing w:after="0"/>
              <w:rPr>
                <w:sz w:val="17"/>
                <w:szCs w:val="17"/>
                <w:color w:val="auto"/>
              </w:rPr>
            </w:pPr>
          </w:p>
        </w:tc>
        <w:tc>
          <w:tcPr>
            <w:tcW w:w="16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Offset in the</w:t>
            </w:r>
          </w:p>
        </w:tc>
        <w:tc>
          <w:tcPr>
            <w:tcW w:w="140" w:type="dxa"/>
            <w:vAlign w:val="bottom"/>
          </w:tcPr>
          <w:p>
            <w:pPr>
              <w:spacing w:after="0"/>
              <w:rPr>
                <w:sz w:val="17"/>
                <w:szCs w:val="17"/>
                <w:color w:val="auto"/>
              </w:rPr>
            </w:pPr>
          </w:p>
        </w:tc>
        <w:tc>
          <w:tcPr>
            <w:tcW w:w="1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Presented in the</w:t>
            </w:r>
          </w:p>
        </w:tc>
        <w:tc>
          <w:tcPr>
            <w:tcW w:w="0" w:type="dxa"/>
            <w:vAlign w:val="bottom"/>
          </w:tcPr>
          <w:p>
            <w:pPr>
              <w:spacing w:after="0"/>
              <w:rPr>
                <w:sz w:val="1"/>
                <w:szCs w:val="1"/>
                <w:color w:val="auto"/>
              </w:rPr>
            </w:pPr>
          </w:p>
        </w:tc>
      </w:tr>
      <w:tr>
        <w:trPr>
          <w:trHeight w:val="246"/>
        </w:trPr>
        <w:tc>
          <w:tcPr>
            <w:tcW w:w="4540" w:type="dxa"/>
            <w:vAlign w:val="bottom"/>
          </w:tcPr>
          <w:p>
            <w:pPr>
              <w:ind w:left="174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Value</w:t>
            </w:r>
          </w:p>
        </w:tc>
        <w:tc>
          <w:tcPr>
            <w:tcW w:w="140" w:type="dxa"/>
            <w:vAlign w:val="bottom"/>
          </w:tcPr>
          <w:p>
            <w:pPr>
              <w:spacing w:after="0"/>
              <w:rPr>
                <w:sz w:val="21"/>
                <w:szCs w:val="21"/>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Balance Sheet</w:t>
            </w:r>
          </w:p>
        </w:tc>
        <w:tc>
          <w:tcPr>
            <w:tcW w:w="140" w:type="dxa"/>
            <w:vAlign w:val="bottom"/>
          </w:tcPr>
          <w:p>
            <w:pPr>
              <w:spacing w:after="0"/>
              <w:rPr>
                <w:sz w:val="21"/>
                <w:szCs w:val="21"/>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rPr>
              <w:t>Balance Sheet</w:t>
            </w:r>
          </w:p>
        </w:tc>
        <w:tc>
          <w:tcPr>
            <w:tcW w:w="0" w:type="dxa"/>
            <w:vAlign w:val="bottom"/>
          </w:tcPr>
          <w:p>
            <w:pPr>
              <w:spacing w:after="0"/>
              <w:rPr>
                <w:sz w:val="1"/>
                <w:szCs w:val="1"/>
                <w:color w:val="auto"/>
              </w:rPr>
            </w:pPr>
          </w:p>
        </w:tc>
      </w:tr>
      <w:tr>
        <w:trPr>
          <w:trHeight w:val="263"/>
        </w:trPr>
        <w:tc>
          <w:tcPr>
            <w:tcW w:w="4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63"/>
        </w:trPr>
        <w:tc>
          <w:tcPr>
            <w:tcW w:w="45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45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5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5"/>
          </w:tcPr>
          <w:p>
            <w:pPr>
              <w:jc w:val="center"/>
              <w:ind w:right="1020"/>
              <w:spacing w:after="0"/>
              <w:rPr>
                <w:sz w:val="20"/>
                <w:szCs w:val="20"/>
                <w:color w:val="auto"/>
              </w:rPr>
            </w:pPr>
            <w:r>
              <w:rPr>
                <w:rFonts w:ascii="Arial" w:cs="Arial" w:eastAsia="Arial" w:hAnsi="Arial"/>
                <w:sz w:val="18"/>
                <w:szCs w:val="18"/>
                <w:b w:val="1"/>
                <w:bCs w:val="1"/>
                <w:color w:val="auto"/>
                <w:w w:val="99"/>
              </w:rPr>
              <w:t>December 31, 2018</w:t>
            </w: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Gross Amounts</w:t>
            </w: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Gross Amounts</w:t>
            </w:r>
          </w:p>
        </w:tc>
        <w:tc>
          <w:tcPr>
            <w:tcW w:w="140" w:type="dxa"/>
            <w:vAlign w:val="bottom"/>
          </w:tcPr>
          <w:p>
            <w:pPr>
              <w:spacing w:after="0"/>
              <w:rPr>
                <w:sz w:val="17"/>
                <w:szCs w:val="17"/>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Net Fair Value</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Recognized at Fair</w:t>
            </w:r>
          </w:p>
        </w:tc>
        <w:tc>
          <w:tcPr>
            <w:tcW w:w="140" w:type="dxa"/>
            <w:vAlign w:val="bottom"/>
          </w:tcPr>
          <w:p>
            <w:pPr>
              <w:spacing w:after="0"/>
              <w:rPr>
                <w:sz w:val="17"/>
                <w:szCs w:val="17"/>
                <w:color w:val="auto"/>
              </w:rPr>
            </w:pPr>
          </w:p>
        </w:tc>
        <w:tc>
          <w:tcPr>
            <w:tcW w:w="16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Offset in the</w:t>
            </w:r>
          </w:p>
        </w:tc>
        <w:tc>
          <w:tcPr>
            <w:tcW w:w="140" w:type="dxa"/>
            <w:vAlign w:val="bottom"/>
          </w:tcPr>
          <w:p>
            <w:pPr>
              <w:spacing w:after="0"/>
              <w:rPr>
                <w:sz w:val="17"/>
                <w:szCs w:val="17"/>
                <w:color w:val="auto"/>
              </w:rPr>
            </w:pPr>
          </w:p>
        </w:tc>
        <w:tc>
          <w:tcPr>
            <w:tcW w:w="1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Presented in the</w:t>
            </w:r>
          </w:p>
        </w:tc>
        <w:tc>
          <w:tcPr>
            <w:tcW w:w="0" w:type="dxa"/>
            <w:vAlign w:val="bottom"/>
          </w:tcPr>
          <w:p>
            <w:pPr>
              <w:spacing w:after="0"/>
              <w:rPr>
                <w:sz w:val="1"/>
                <w:szCs w:val="1"/>
                <w:color w:val="auto"/>
              </w:rPr>
            </w:pPr>
          </w:p>
        </w:tc>
      </w:tr>
      <w:tr>
        <w:trPr>
          <w:trHeight w:val="246"/>
        </w:trPr>
        <w:tc>
          <w:tcPr>
            <w:tcW w:w="4540" w:type="dxa"/>
            <w:vAlign w:val="bottom"/>
          </w:tcPr>
          <w:p>
            <w:pPr>
              <w:ind w:left="1740"/>
              <w:spacing w:after="0"/>
              <w:rPr>
                <w:sz w:val="20"/>
                <w:szCs w:val="20"/>
                <w:color w:val="auto"/>
              </w:rPr>
            </w:pPr>
            <w:r>
              <w:rPr>
                <w:rFonts w:ascii="Arial" w:cs="Arial" w:eastAsia="Arial" w:hAnsi="Arial"/>
                <w:sz w:val="18"/>
                <w:szCs w:val="18"/>
                <w:b w:val="1"/>
                <w:bCs w:val="1"/>
                <w:color w:val="auto"/>
              </w:rPr>
              <w:t>Balance Sheet Classification</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Value</w:t>
            </w:r>
          </w:p>
        </w:tc>
        <w:tc>
          <w:tcPr>
            <w:tcW w:w="140" w:type="dxa"/>
            <w:vAlign w:val="bottom"/>
          </w:tcPr>
          <w:p>
            <w:pPr>
              <w:spacing w:after="0"/>
              <w:rPr>
                <w:sz w:val="21"/>
                <w:szCs w:val="21"/>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Balance Sheet</w:t>
            </w:r>
          </w:p>
        </w:tc>
        <w:tc>
          <w:tcPr>
            <w:tcW w:w="140" w:type="dxa"/>
            <w:vAlign w:val="bottom"/>
          </w:tcPr>
          <w:p>
            <w:pPr>
              <w:spacing w:after="0"/>
              <w:rPr>
                <w:sz w:val="21"/>
                <w:szCs w:val="21"/>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rPr>
              <w:t>Balance Sheet</w:t>
            </w:r>
          </w:p>
        </w:tc>
        <w:tc>
          <w:tcPr>
            <w:tcW w:w="0" w:type="dxa"/>
            <w:vAlign w:val="bottom"/>
          </w:tcPr>
          <w:p>
            <w:pPr>
              <w:spacing w:after="0"/>
              <w:rPr>
                <w:sz w:val="1"/>
                <w:szCs w:val="1"/>
                <w:color w:val="auto"/>
              </w:rPr>
            </w:pPr>
          </w:p>
        </w:tc>
      </w:tr>
      <w:tr>
        <w:trPr>
          <w:trHeight w:val="263"/>
        </w:trPr>
        <w:tc>
          <w:tcPr>
            <w:tcW w:w="4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63"/>
        </w:trPr>
        <w:tc>
          <w:tcPr>
            <w:tcW w:w="454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90"/>
        </w:trPr>
        <w:tc>
          <w:tcPr>
            <w:tcW w:w="45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5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auto"/>
        </w:rPr>
        <w:t>Interest-Rate Contracts</w:t>
      </w:r>
    </w:p>
    <w:p>
      <w:pPr>
        <w:spacing w:after="0" w:line="243"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The fair values of our interest-rate derivatives and the impact of the changes in those values on our condensed consolidated statements of operations were immaterial for all periods presented.</w:t>
      </w:r>
    </w:p>
    <w:p>
      <w:pPr>
        <w:spacing w:after="0" w:line="1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EARNINGS PER SHARE</w:t>
      </w:r>
    </w:p>
    <w:p>
      <w:pPr>
        <w:spacing w:after="0" w:line="24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compute basic and diluted earnings per share (EPS) using the two-class method required for participating securities. Certain of our restricted and performance stock awards are considered participating securities because they have non-forfeitable dividend rights at the same rate as our common stock.</w:t>
      </w:r>
    </w:p>
    <w:p>
      <w:pPr>
        <w:spacing w:after="0" w:line="20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Under the two-class method, undistributed earnings allocated to participating securities are subtracted from net income attributable to common stock in determining net income available to common stockholders. In loss periods, no allocation is made to participating securities because participating securities do not share in losses. For basic EPS, the weighted-average number of common shares outstanding excludes outstanding shares related to unvested restricted stock awards. For diluted EPS, the basic shares outstanding are adjusted by adding all potentially dilutive securities.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EPS for the three and six months ended June 30, 2019 and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3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5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r>
      <w:tr>
        <w:trPr>
          <w:trHeight w:val="264"/>
        </w:trPr>
        <w:tc>
          <w:tcPr>
            <w:tcW w:w="5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51"/>
        </w:trPr>
        <w:tc>
          <w:tcPr>
            <w:tcW w:w="5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6"/>
          </w:tcPr>
          <w:p>
            <w:pPr>
              <w:ind w:left="100"/>
              <w:spacing w:after="0"/>
              <w:rPr>
                <w:sz w:val="20"/>
                <w:szCs w:val="20"/>
                <w:color w:val="auto"/>
              </w:rPr>
            </w:pPr>
            <w:r>
              <w:rPr>
                <w:rFonts w:ascii="Arial" w:cs="Arial" w:eastAsia="Arial" w:hAnsi="Arial"/>
                <w:sz w:val="14"/>
                <w:szCs w:val="14"/>
                <w:color w:val="auto"/>
              </w:rPr>
              <w:t>(in millions, except per-share amounts)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64"/>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57"/>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common stock</w:t>
            </w: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64"/>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(loss) available to common stockholders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77"/>
        </w:trPr>
        <w:tc>
          <w:tcPr>
            <w:tcW w:w="5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Weighted-average common shares outstanding - basic</w:t>
            </w:r>
          </w:p>
        </w:tc>
        <w:tc>
          <w:tcPr>
            <w:tcW w:w="7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w:t>
            </w:r>
          </w:p>
        </w:tc>
      </w:tr>
      <w:tr>
        <w:trPr>
          <w:trHeight w:val="23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64"/>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57"/>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common stock</w:t>
            </w:r>
          </w:p>
        </w:tc>
        <w:tc>
          <w:tcPr>
            <w:tcW w:w="7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64"/>
        </w:trPr>
        <w:tc>
          <w:tcPr>
            <w:tcW w:w="5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(loss) available to common stockholders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 - basic</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46.3</w:t>
            </w:r>
          </w:p>
        </w:tc>
      </w:tr>
      <w:tr>
        <w:trPr>
          <w:trHeight w:val="27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potentially dilutive securities</w:t>
            </w:r>
          </w:p>
        </w:tc>
        <w:tc>
          <w:tcPr>
            <w:tcW w:w="7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5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Weighted-average common shares outstanding - diluted</w:t>
            </w:r>
          </w:p>
        </w:tc>
        <w:tc>
          <w:tcPr>
            <w:tcW w:w="78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46.3</w:t>
            </w:r>
          </w:p>
        </w:tc>
      </w:tr>
      <w:tr>
        <w:trPr>
          <w:trHeight w:val="23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240" w:type="dxa"/>
            <w:vAlign w:val="bottom"/>
          </w:tcPr>
          <w:p>
            <w:pPr>
              <w:ind w:left="180"/>
              <w:spacing w:after="0"/>
              <w:rPr>
                <w:sz w:val="20"/>
                <w:szCs w:val="20"/>
                <w:color w:val="auto"/>
              </w:rPr>
            </w:pPr>
            <w:r>
              <w:rPr>
                <w:rFonts w:ascii="Arial" w:cs="Arial" w:eastAsia="Arial" w:hAnsi="Arial"/>
                <w:sz w:val="18"/>
                <w:szCs w:val="18"/>
                <w:color w:val="auto"/>
              </w:rPr>
              <w:t>Weighted-average anti-dilutive shares</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851"/>
        </w:trPr>
        <w:tc>
          <w:tcPr>
            <w:tcW w:w="5240" w:type="dxa"/>
            <w:vAlign w:val="bottom"/>
          </w:tcPr>
          <w:p>
            <w:pPr>
              <w:spacing w:after="0"/>
              <w:rPr>
                <w:sz w:val="24"/>
                <w:szCs w:val="24"/>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5" w:name="page16"/>
    <w:bookmarkEnd w:id="15"/>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PENSION AND POSTRETIREMENT BENEFIT PLANS</w:t>
      </w:r>
    </w:p>
    <w:p>
      <w:pPr>
        <w:spacing w:after="0" w:line="247"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 for the three and six months ended June 30, 2019 and 2018: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 June 30,</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64"/>
        </w:trPr>
        <w:tc>
          <w:tcPr>
            <w:tcW w:w="4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2019</w:t>
            </w:r>
          </w:p>
        </w:tc>
        <w:tc>
          <w:tcPr>
            <w:tcW w:w="1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2018</w:t>
            </w:r>
          </w:p>
        </w:tc>
        <w:tc>
          <w:tcPr>
            <w:tcW w:w="1380" w:type="dxa"/>
            <w:vAlign w:val="bottom"/>
            <w:tcBorders>
              <w:bottom w:val="single" w:sz="8" w:color="auto"/>
            </w:tcBorders>
          </w:tcPr>
          <w:p>
            <w:pPr>
              <w:spacing w:after="0"/>
              <w:rPr>
                <w:sz w:val="22"/>
                <w:szCs w:val="22"/>
                <w:color w:val="auto"/>
              </w:rPr>
            </w:pPr>
          </w:p>
        </w:tc>
      </w:tr>
      <w:tr>
        <w:trPr>
          <w:trHeight w:val="229"/>
        </w:trPr>
        <w:tc>
          <w:tcPr>
            <w:tcW w:w="4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Pension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color w:val="auto"/>
              </w:rPr>
              <w:t>Postretirement</w:t>
            </w:r>
          </w:p>
        </w:tc>
        <w:tc>
          <w:tcPr>
            <w:tcW w:w="36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Pension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w w:val="97"/>
              </w:rPr>
              <w:t>Postretirement</w:t>
            </w:r>
          </w:p>
        </w:tc>
      </w:tr>
      <w:tr>
        <w:trPr>
          <w:trHeight w:val="224"/>
        </w:trPr>
        <w:tc>
          <w:tcPr>
            <w:tcW w:w="4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Benefit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9"/>
              </w:rPr>
              <w:t>Benefit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Benefit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Benefit</w:t>
            </w:r>
          </w:p>
        </w:tc>
      </w:tr>
      <w:tr>
        <w:trPr>
          <w:trHeight w:val="251"/>
        </w:trPr>
        <w:tc>
          <w:tcPr>
            <w:tcW w:w="4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Recognized actuarial loss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Settlement loss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920" w:type="dxa"/>
            <w:vAlign w:val="bottom"/>
          </w:tcPr>
          <w:p>
            <w:pPr>
              <w:ind w:left="66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4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47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r>
      <w:tr>
        <w:trPr>
          <w:trHeight w:val="264"/>
        </w:trPr>
        <w:tc>
          <w:tcPr>
            <w:tcW w:w="476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w w:val="94"/>
              </w:rPr>
              <w:t>2019</w:t>
            </w:r>
          </w:p>
        </w:tc>
        <w:tc>
          <w:tcPr>
            <w:tcW w:w="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420" w:type="dxa"/>
            <w:vAlign w:val="bottom"/>
            <w:tcBorders>
              <w:bottom w:val="single" w:sz="8" w:color="auto"/>
            </w:tcBorders>
          </w:tcPr>
          <w:p>
            <w:pPr>
              <w:spacing w:after="0"/>
              <w:rPr>
                <w:sz w:val="22"/>
                <w:szCs w:val="22"/>
                <w:color w:val="auto"/>
              </w:rPr>
            </w:pPr>
          </w:p>
        </w:tc>
      </w:tr>
      <w:tr>
        <w:trPr>
          <w:trHeight w:val="229"/>
        </w:trPr>
        <w:tc>
          <w:tcPr>
            <w:tcW w:w="4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Pension</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3"/>
          </w:tcPr>
          <w:p>
            <w:pPr>
              <w:ind w:left="200"/>
              <w:spacing w:after="0"/>
              <w:rPr>
                <w:sz w:val="20"/>
                <w:szCs w:val="20"/>
                <w:color w:val="auto"/>
              </w:rPr>
            </w:pPr>
            <w:r>
              <w:rPr>
                <w:rFonts w:ascii="Arial" w:cs="Arial" w:eastAsia="Arial" w:hAnsi="Arial"/>
                <w:sz w:val="18"/>
                <w:szCs w:val="18"/>
                <w:color w:val="auto"/>
              </w:rPr>
              <w:t>Postretirement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Pension</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Postretirement</w:t>
            </w:r>
          </w:p>
        </w:tc>
      </w:tr>
      <w:tr>
        <w:trPr>
          <w:trHeight w:val="224"/>
        </w:trPr>
        <w:tc>
          <w:tcPr>
            <w:tcW w:w="476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Benefit</w:t>
            </w: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Benefit</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Benefit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Benefit</w:t>
            </w:r>
          </w:p>
        </w:tc>
      </w:tr>
      <w:tr>
        <w:trPr>
          <w:trHeight w:val="251"/>
        </w:trPr>
        <w:tc>
          <w:tcPr>
            <w:tcW w:w="4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760" w:type="dxa"/>
            <w:vAlign w:val="bottom"/>
            <w:gridSpan w:val="3"/>
          </w:tcPr>
          <w:p>
            <w:pPr>
              <w:jc w:val="right"/>
              <w:ind w:right="77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63"/>
        </w:trPr>
        <w:tc>
          <w:tcPr>
            <w:tcW w:w="47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14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7"/>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14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4760" w:type="dxa"/>
            <w:vAlign w:val="bottom"/>
          </w:tcPr>
          <w:p>
            <w:pPr>
              <w:ind w:left="20"/>
              <w:spacing w:after="0"/>
              <w:rPr>
                <w:sz w:val="20"/>
                <w:szCs w:val="20"/>
                <w:color w:val="auto"/>
              </w:rPr>
            </w:pPr>
            <w:r>
              <w:rPr>
                <w:rFonts w:ascii="Arial" w:cs="Arial" w:eastAsia="Arial" w:hAnsi="Arial"/>
                <w:sz w:val="18"/>
                <w:szCs w:val="18"/>
                <w:color w:val="auto"/>
              </w:rPr>
              <w:t>Recognized actuarial loss</w:t>
            </w:r>
          </w:p>
        </w:tc>
        <w:tc>
          <w:tcPr>
            <w:tcW w:w="114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w:t>
            </w:r>
          </w:p>
        </w:tc>
        <w:tc>
          <w:tcPr>
            <w:tcW w:w="11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4760" w:type="dxa"/>
            <w:vAlign w:val="bottom"/>
          </w:tcPr>
          <w:p>
            <w:pPr>
              <w:ind w:left="640"/>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380" w:type="dxa"/>
            <w:vAlign w:val="bottom"/>
            <w:gridSpan w:val="3"/>
          </w:tcPr>
          <w:p>
            <w:pPr>
              <w:jc w:val="right"/>
              <w:ind w:right="9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240" w:type="dxa"/>
            <w:vAlign w:val="bottom"/>
          </w:tcPr>
          <w:p>
            <w:pPr>
              <w:jc w:val="right"/>
              <w:ind w:right="103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0"/>
        </w:trPr>
        <w:tc>
          <w:tcPr>
            <w:tcW w:w="47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contributed $1 million to our defined benefit pension plans in each of the three months ended June 30, 2019 and 2018. We contributed $1 million and $2 million in the six months ended June 30, 2019 and 2018, respectively. We expect to satisfy minimum funding requirements with contributions of $2 million to our defined benefit pension plans during the remainder of 2019. The 2019 and 2018 settlement losses, which were reclassified from accumulated other comprehensive income, were associated with early retirements.</w:t>
      </w:r>
    </w:p>
    <w:p>
      <w:pPr>
        <w:spacing w:after="0" w:line="18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REVENUE RECOGNITION</w:t>
      </w:r>
    </w:p>
    <w:p>
      <w:pPr>
        <w:spacing w:after="0" w:line="247" w:lineRule="exact"/>
        <w:rPr>
          <w:sz w:val="20"/>
          <w:szCs w:val="20"/>
          <w:color w:val="auto"/>
        </w:rPr>
      </w:pPr>
    </w:p>
    <w:p>
      <w:pPr>
        <w:ind w:right="760" w:firstLine="324"/>
        <w:spacing w:after="0" w:line="262" w:lineRule="auto"/>
        <w:rPr>
          <w:sz w:val="20"/>
          <w:szCs w:val="20"/>
          <w:color w:val="auto"/>
        </w:rPr>
      </w:pPr>
      <w:r>
        <w:rPr>
          <w:rFonts w:ascii="Arial" w:cs="Arial" w:eastAsia="Arial" w:hAnsi="Arial"/>
          <w:sz w:val="18"/>
          <w:szCs w:val="18"/>
          <w:color w:val="auto"/>
        </w:rPr>
        <w:t>We derive substantially all of our revenue from sales of oil, natural gas and natural gas liquids (NGLs), with the remaining revenue generated from sales of electricity and marketing activities related to storage and managing excess pipeline capacity.</w:t>
      </w:r>
    </w:p>
    <w:p>
      <w:pPr>
        <w:spacing w:after="0" w:line="196"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The following is a description of our principal activities from which we generate revenue. Revenues are recognized when control of promised goods is transferred to our customers, in an amount that reflects the consideration we expect to receive in exchange for those goods.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Sales Contracts</w:t>
      </w:r>
    </w:p>
    <w:p>
      <w:pPr>
        <w:spacing w:after="0" w:line="247" w:lineRule="exact"/>
        <w:rPr>
          <w:sz w:val="20"/>
          <w:szCs w:val="20"/>
          <w:color w:val="auto"/>
        </w:rPr>
      </w:pPr>
    </w:p>
    <w:p>
      <w:pPr>
        <w:ind w:right="380" w:firstLine="324"/>
        <w:spacing w:after="0" w:line="254" w:lineRule="auto"/>
        <w:rPr>
          <w:sz w:val="20"/>
          <w:szCs w:val="20"/>
          <w:color w:val="auto"/>
        </w:rPr>
      </w:pPr>
      <w:r>
        <w:rPr>
          <w:rFonts w:ascii="Arial" w:cs="Arial" w:eastAsia="Arial" w:hAnsi="Arial"/>
          <w:sz w:val="18"/>
          <w:szCs w:val="18"/>
          <w:color w:val="auto"/>
        </w:rPr>
        <w:t>We recognize revenue from the sale of our oil, natural gas and NGL production when delivery has occurred and control passes to the customer. Our commodity contracts are short term, typically less than a year. We consider our performance obligations to be satisfied upon transfer of control of the commodity. Transportation and processing fees incurred by us prior to control being transferred to customers are recorded as a component of other expenses, net on our condensed consolidated statements of operations.</w:t>
      </w:r>
    </w:p>
    <w:p>
      <w:pPr>
        <w:spacing w:after="0" w:line="204"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Our commodity sales contracts are indexed to a market price or an average index price. We recognize revenue in the amount that we have a right to invoice once we are able to adequately estimate the consideration (i.e., when market prices are known). Our contracts with customers typically require payment within 30 days following delivery of the product.</w:t>
      </w:r>
    </w:p>
    <w:p>
      <w:pPr>
        <w:sectPr>
          <w:pgSz w:w="11900" w:h="16838" w:orient="portrait"/>
          <w:cols w:equalWidth="0" w:num="1">
            <w:col w:w="11420"/>
          </w:cols>
          <w:pgMar w:left="240" w:top="576"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576"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electrical output of the Elk Hills power plant that is not used in our operations is sold to the wholesale power market and to a utility under a power purchase and sales agreement (PPA) expiring in December 2020, which includes a fixed capacity payment and a variable monthly charge based on usage. Revenue is recognized when obligations under the terms of contracts with our customers are satisfied; generally, this occurs upon delivery of the electricity. We report electricity sales as other revenue on our condensed consolidated statements of operations. Revenue is measured as the amount of consideration we expect to receive based on average index pricing with payment due the month following delivery. Payments under our PPA are settled monthly. We consider our performance obligations to be satisfied upon delivery of electricity or as the contracted amount of energy is made available to the customer in the case of capacity payments.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Trading and Other</w:t>
      </w:r>
    </w:p>
    <w:p>
      <w:pPr>
        <w:spacing w:after="0" w:line="247"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Marketing, trading and other revenue primarily includes our activities associated with storing, transporting and marketing our production as well as third-party volumes.</w:t>
      </w:r>
    </w:p>
    <w:p>
      <w:pPr>
        <w:spacing w:after="0" w:line="196"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To transport our natural gas as well as third-party volumes, we have entered into firm pipeline commitments. In addition, we may from time-to-time enter into natural gas purchase and sale agreements with third parties to take advantage of market dislocations. We consider our performance obligations to be satisfied upon transfer of control of the commodity.</w:t>
      </w:r>
    </w:p>
    <w:p>
      <w:pPr>
        <w:spacing w:after="0" w:line="202"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We report our marketing and trading activities on a gross basis with purchases and costs reported in other expenses, net and sales recorded in other revenue on our condensed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disaggregated revenue for the six months ended June 30, 2019 and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55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left="611"/>
              <w:spacing w:after="0"/>
              <w:rPr>
                <w:sz w:val="20"/>
                <w:szCs w:val="20"/>
                <w:color w:val="auto"/>
              </w:rPr>
            </w:pPr>
            <w:r>
              <w:rPr>
                <w:rFonts w:ascii="Arial" w:cs="Arial" w:eastAsia="Arial" w:hAnsi="Arial"/>
                <w:sz w:val="18"/>
                <w:szCs w:val="18"/>
                <w:b w:val="1"/>
                <w:bCs w:val="1"/>
                <w:color w:val="auto"/>
                <w:w w:val="99"/>
              </w:rPr>
              <w:t>June 30,</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r>
      <w:tr>
        <w:trPr>
          <w:trHeight w:val="243"/>
        </w:trPr>
        <w:tc>
          <w:tcPr>
            <w:tcW w:w="5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7"/>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2"/>
        </w:trPr>
        <w:tc>
          <w:tcPr>
            <w:tcW w:w="5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3"/>
          </w:tcPr>
          <w:p>
            <w:pPr>
              <w:jc w:val="center"/>
              <w:ind w:left="591"/>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5"/>
        </w:trPr>
        <w:tc>
          <w:tcPr>
            <w:tcW w:w="5580" w:type="dxa"/>
            <w:vAlign w:val="bottom"/>
          </w:tcPr>
          <w:p>
            <w:pPr>
              <w:ind w:left="40"/>
              <w:spacing w:after="0"/>
              <w:rPr>
                <w:sz w:val="20"/>
                <w:szCs w:val="20"/>
                <w:color w:val="auto"/>
              </w:rPr>
            </w:pPr>
            <w:r>
              <w:rPr>
                <w:rFonts w:ascii="Arial" w:cs="Arial" w:eastAsia="Arial" w:hAnsi="Arial"/>
                <w:sz w:val="18"/>
                <w:szCs w:val="18"/>
                <w:color w:val="auto"/>
              </w:rPr>
              <w:t>Oil and gas sales: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NGLs</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50"/>
        </w:trPr>
        <w:tc>
          <w:tcPr>
            <w:tcW w:w="5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1,232</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Electricity</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trading and other</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64"/>
        </w:trPr>
        <w:tc>
          <w:tcPr>
            <w:tcW w:w="5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55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derivative gain (loss) from commodity contracts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57"/>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 and other</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1,158</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LEASES</w:t>
      </w:r>
    </w:p>
    <w:p>
      <w:pPr>
        <w:spacing w:after="0" w:line="247"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On January 1, 2019, we adopted ASC 842 using the modified retrospective approach that requires us to determine our lease balances as of the date of adoption. Prior periods continue to be reported under accounting standards in effect for those periods. We also elected to carry forward our accounting treatment for land easements on existing agreements. Mineral leases, including oil and natural gas leases, are not included in the scope of ASC 842.</w:t>
      </w:r>
    </w:p>
    <w:p>
      <w:pPr>
        <w:spacing w:after="0" w:line="204"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We have long-term operating leases for commercial office space, drilling rigs, fleet vehicles and certain facilities. In considering whether a contract contains a lease, we first considered whether there was an identifiable asset and then considered how and for what purpose the asset would be used over the contract term.</w:t>
      </w:r>
    </w:p>
    <w:p>
      <w:pPr>
        <w:spacing w:after="0" w:line="202" w:lineRule="exact"/>
        <w:rPr>
          <w:sz w:val="20"/>
          <w:szCs w:val="20"/>
          <w:color w:val="auto"/>
        </w:rPr>
      </w:pPr>
    </w:p>
    <w:p>
      <w:pPr>
        <w:ind w:right="520" w:firstLine="324"/>
        <w:spacing w:after="0" w:line="256" w:lineRule="auto"/>
        <w:rPr>
          <w:sz w:val="20"/>
          <w:szCs w:val="20"/>
          <w:color w:val="auto"/>
        </w:rPr>
      </w:pPr>
      <w:r>
        <w:rPr>
          <w:rFonts w:ascii="Arial" w:cs="Arial" w:eastAsia="Arial" w:hAnsi="Arial"/>
          <w:sz w:val="18"/>
          <w:szCs w:val="18"/>
          <w:color w:val="auto"/>
        </w:rPr>
        <w:t>Our lease liability was determined by measuring the present value of the remaining fixed minimum lease payments as of the date of adoption discounted using our incremental borrowing rate (IBR). In determining our IBR, we considered the average cost of borrowing for publicly traded corporate bond yields, which were adjusted to reflect our credit rating, remaining lease term and frequency of payments.</w:t>
      </w:r>
    </w:p>
    <w:p>
      <w:pPr>
        <w:spacing w:after="0" w:line="20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elected to combine lease and non-lease components in determining fixed minimum lease payments for our drilling rigs and commercial office space. If applicable, fixed minimum lease payments were reduced by lease incentives for our commercial buildings and increased by mobilization and demobilization fees related to our drilling rigs. Certain of our lease agreements include options to renew, which we exercise at our sole discretion, and we did not include these options in determining our fixed minimum lease payments over the lease term. Our lease liability does not include options to extend or terminate our leases. Our leases do not include options to purchase the leased property. Lease agreements for our fleet vehicles include residual value guarantees, none of which are recognized in our financial statements until the underlying contingency is resolved.</w:t>
      </w:r>
    </w:p>
    <w:p>
      <w:pPr>
        <w:sectPr>
          <w:pgSz w:w="11900" w:h="16838" w:orient="portrait"/>
          <w:cols w:equalWidth="0" w:num="1">
            <w:col w:w="11420"/>
          </w:cols>
          <w:pgMar w:left="240" w:top="792" w:right="239"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792" w:right="239" w:bottom="0" w:gutter="0" w:footer="0" w:header="0"/>
          <w:type w:val="continuous"/>
        </w:sectPr>
      </w:pPr>
    </w:p>
    <w:bookmarkStart w:id="17" w:name="page18"/>
    <w:bookmarkEnd w:id="17"/>
    <w:p>
      <w:pPr>
        <w:ind w:right="100" w:firstLine="324"/>
        <w:spacing w:after="0" w:line="256" w:lineRule="auto"/>
        <w:rPr>
          <w:sz w:val="20"/>
          <w:szCs w:val="20"/>
          <w:color w:val="auto"/>
        </w:rPr>
      </w:pPr>
      <w:r>
        <w:rPr>
          <w:rFonts w:ascii="Arial" w:cs="Arial" w:eastAsia="Arial" w:hAnsi="Arial"/>
          <w:sz w:val="18"/>
          <w:szCs w:val="18"/>
          <w:color w:val="auto"/>
        </w:rPr>
        <w:t>For all of our asset classes, we elected to keep leases with an initial term of 12 months or less off the balance sheet and have included costs related to these contracts in our short-term lease cost disclosure below. Contracts with terms of one month or less are excluded from our disclosure of short-term lease costs.</w:t>
      </w:r>
    </w:p>
    <w:p>
      <w:pPr>
        <w:spacing w:after="0" w:line="20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For our long-term contracts, variable lease costs were not included in the measurement of our lease balances. Variable lease costs for our drilling rigs included costs to operate, move and repair the rigs. Variable lease costs for certain of our commercial office buildings included utilities and common area maintenance charges. Variable lease costs for our fleet vehicles included other-than-routine maintenance and other various amounts in excess of our fixed minimum rental fee.</w:t>
      </w:r>
    </w:p>
    <w:p>
      <w:pPr>
        <w:spacing w:after="0" w:line="204"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Our operating lease costs, including amounts capitalized to property, plant and equipment, for the three and six months ended June 30, 2019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Three months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7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ended</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Six months ended</w:t>
            </w:r>
          </w:p>
        </w:tc>
      </w:tr>
      <w:tr>
        <w:trPr>
          <w:trHeight w:val="246"/>
        </w:trPr>
        <w:tc>
          <w:tcPr>
            <w:tcW w:w="78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9"/>
              </w:rPr>
              <w:t>June 30, 2019</w:t>
            </w: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June 30, 2019</w:t>
            </w:r>
          </w:p>
        </w:tc>
      </w:tr>
      <w:tr>
        <w:trPr>
          <w:trHeight w:val="251"/>
        </w:trPr>
        <w:tc>
          <w:tcPr>
            <w:tcW w:w="7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40" w:type="dxa"/>
            <w:vAlign w:val="bottom"/>
            <w:gridSpan w:val="4"/>
          </w:tcPr>
          <w:p>
            <w:pPr>
              <w:jc w:val="right"/>
              <w:ind w:right="1310"/>
              <w:spacing w:after="0"/>
              <w:rPr>
                <w:sz w:val="20"/>
                <w:szCs w:val="20"/>
                <w:color w:val="auto"/>
              </w:rPr>
            </w:pPr>
            <w:r>
              <w:rPr>
                <w:rFonts w:ascii="Arial" w:cs="Arial" w:eastAsia="Arial" w:hAnsi="Arial"/>
                <w:sz w:val="14"/>
                <w:szCs w:val="14"/>
                <w:color w:val="auto"/>
              </w:rPr>
              <w:t>(in millions)</w:t>
            </w:r>
          </w:p>
        </w:tc>
      </w:tr>
      <w:tr>
        <w:trPr>
          <w:trHeight w:val="276"/>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200" w:type="dxa"/>
            <w:vAlign w:val="bottom"/>
          </w:tcPr>
          <w:p>
            <w:pPr>
              <w:spacing w:after="0"/>
              <w:rPr>
                <w:sz w:val="22"/>
                <w:szCs w:val="22"/>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color w:val="auto"/>
              </w:rPr>
              <w:t>Total operating lease costs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r>
      <w:tr>
        <w:trPr>
          <w:trHeight w:val="20"/>
        </w:trPr>
        <w:tc>
          <w:tcPr>
            <w:tcW w:w="7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500" w:firstLine="324"/>
        <w:spacing w:after="0" w:line="262" w:lineRule="auto"/>
        <w:rPr>
          <w:sz w:val="20"/>
          <w:szCs w:val="20"/>
          <w:color w:val="auto"/>
        </w:rPr>
      </w:pPr>
      <w:r>
        <w:rPr>
          <w:rFonts w:ascii="Arial" w:cs="Arial" w:eastAsia="Arial" w:hAnsi="Arial"/>
          <w:sz w:val="18"/>
          <w:szCs w:val="18"/>
          <w:color w:val="auto"/>
        </w:rPr>
        <w:t>During the three months ended June 30, 2019, we entered into new contracts treated as finance leases, which are not material to our condensed consolidated results of operations.</w:t>
      </w:r>
    </w:p>
    <w:p>
      <w:pPr>
        <w:spacing w:after="0" w:line="196"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sublease certain commercial office space to third parties where we are the primary obligor under the head lease. The lease terms on those subleases never extend past the term of the head lease and the subleases contain no extension options or residual value guarantees. Sublease income is recognized based on the contract terms and included as a reduction of operating lease cost under our head lease. For the three and six months ended June 30, 2019, sublease income was not material to our condensed consolidated financial statements.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related to our operating leases for the three and six months ended June 30, 2019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center"/>
              <w:ind w:right="130"/>
              <w:spacing w:after="0"/>
              <w:rPr>
                <w:sz w:val="20"/>
                <w:szCs w:val="20"/>
                <w:color w:val="auto"/>
              </w:rPr>
            </w:pPr>
            <w:r>
              <w:rPr>
                <w:rFonts w:ascii="Arial" w:cs="Arial" w:eastAsia="Arial" w:hAnsi="Arial"/>
                <w:sz w:val="18"/>
                <w:szCs w:val="18"/>
                <w:b w:val="1"/>
                <w:bCs w:val="1"/>
                <w:color w:val="auto"/>
              </w:rPr>
              <w:t>Three months</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7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8"/>
              </w:rPr>
              <w:t>ended</w:t>
            </w:r>
          </w:p>
        </w:tc>
        <w:tc>
          <w:tcPr>
            <w:tcW w:w="18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Six months ended</w:t>
            </w:r>
          </w:p>
        </w:tc>
      </w:tr>
      <w:tr>
        <w:trPr>
          <w:trHeight w:val="246"/>
        </w:trPr>
        <w:tc>
          <w:tcPr>
            <w:tcW w:w="78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June 30, 2019</w:t>
            </w:r>
          </w:p>
        </w:tc>
        <w:tc>
          <w:tcPr>
            <w:tcW w:w="18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June 30, 2019</w:t>
            </w:r>
          </w:p>
        </w:tc>
      </w:tr>
      <w:tr>
        <w:trPr>
          <w:trHeight w:val="250"/>
        </w:trPr>
        <w:tc>
          <w:tcPr>
            <w:tcW w:w="7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gridSpan w:val="2"/>
          </w:tcPr>
          <w:p>
            <w:pPr>
              <w:jc w:val="right"/>
              <w:ind w:right="410"/>
              <w:spacing w:after="0"/>
              <w:rPr>
                <w:sz w:val="20"/>
                <w:szCs w:val="20"/>
                <w:color w:val="auto"/>
              </w:rPr>
            </w:pPr>
            <w:r>
              <w:rPr>
                <w:rFonts w:ascii="Arial" w:cs="Arial" w:eastAsia="Arial" w:hAnsi="Arial"/>
                <w:sz w:val="18"/>
                <w:szCs w:val="18"/>
                <w:color w:val="auto"/>
              </w:rPr>
              <w:t>(in millions)</w:t>
            </w:r>
          </w:p>
        </w:tc>
        <w:tc>
          <w:tcPr>
            <w:tcW w:w="800" w:type="dxa"/>
            <w:vAlign w:val="bottom"/>
          </w:tcPr>
          <w:p>
            <w:pPr>
              <w:spacing w:after="0"/>
              <w:rPr>
                <w:sz w:val="21"/>
                <w:szCs w:val="21"/>
                <w:color w:val="auto"/>
              </w:rPr>
            </w:pP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cash flows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0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57"/>
        </w:trPr>
        <w:tc>
          <w:tcPr>
            <w:tcW w:w="7880" w:type="dxa"/>
            <w:vAlign w:val="bottom"/>
          </w:tcPr>
          <w:p>
            <w:pPr>
              <w:ind w:left="40"/>
              <w:spacing w:after="0"/>
              <w:rPr>
                <w:sz w:val="20"/>
                <w:szCs w:val="20"/>
                <w:color w:val="auto"/>
              </w:rPr>
            </w:pPr>
            <w:r>
              <w:rPr>
                <w:rFonts w:ascii="Arial" w:cs="Arial" w:eastAsia="Arial" w:hAnsi="Arial"/>
                <w:sz w:val="18"/>
                <w:szCs w:val="18"/>
                <w:color w:val="auto"/>
              </w:rPr>
              <w:t>Investing cash flows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0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and financing cash flows from finance leases were not significant for the three months ended June 30, 2019.</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20" w:type="dxa"/>
            <w:vAlign w:val="bottom"/>
          </w:tcPr>
          <w:p>
            <w:pPr>
              <w:ind w:left="340"/>
              <w:spacing w:after="0"/>
              <w:rPr>
                <w:sz w:val="20"/>
                <w:szCs w:val="20"/>
                <w:color w:val="auto"/>
              </w:rPr>
            </w:pPr>
            <w:r>
              <w:rPr>
                <w:rFonts w:ascii="Arial" w:cs="Arial" w:eastAsia="Arial" w:hAnsi="Arial"/>
                <w:sz w:val="18"/>
                <w:szCs w:val="18"/>
                <w:color w:val="auto"/>
              </w:rPr>
              <w:t>Other information related to our operating and finance leases as of June 30, 2019 was as follows:</w:t>
            </w: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99"/>
        </w:trPr>
        <w:tc>
          <w:tcPr>
            <w:tcW w:w="9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June 30, 2019</w:t>
            </w:r>
          </w:p>
        </w:tc>
      </w:tr>
      <w:tr>
        <w:trPr>
          <w:trHeight w:val="263"/>
        </w:trPr>
        <w:tc>
          <w:tcPr>
            <w:tcW w:w="9620" w:type="dxa"/>
            <w:vAlign w:val="bottom"/>
          </w:tcPr>
          <w:p>
            <w:pPr>
              <w:ind w:left="40"/>
              <w:spacing w:after="0"/>
              <w:rPr>
                <w:sz w:val="20"/>
                <w:szCs w:val="20"/>
                <w:color w:val="auto"/>
              </w:rPr>
            </w:pPr>
            <w:r>
              <w:rPr>
                <w:rFonts w:ascii="Arial" w:cs="Arial" w:eastAsia="Arial" w:hAnsi="Arial"/>
                <w:sz w:val="18"/>
                <w:szCs w:val="18"/>
                <w:b w:val="1"/>
                <w:bCs w:val="1"/>
                <w:color w:val="auto"/>
              </w:rPr>
              <w:t>Operating Leases</w:t>
            </w: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63"/>
        </w:trPr>
        <w:tc>
          <w:tcPr>
            <w:tcW w:w="9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ROU asset obtained in exchange for lease obligations (in millions)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r>
      <w:tr>
        <w:trPr>
          <w:trHeight w:val="250"/>
        </w:trPr>
        <w:tc>
          <w:tcPr>
            <w:tcW w:w="9620" w:type="dxa"/>
            <w:vAlign w:val="bottom"/>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220" w:type="dxa"/>
            <w:vAlign w:val="bottom"/>
          </w:tcPr>
          <w:p>
            <w:pPr>
              <w:spacing w:after="0"/>
              <w:rPr>
                <w:sz w:val="21"/>
                <w:szCs w:val="21"/>
                <w:color w:val="auto"/>
              </w:rPr>
            </w:pP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2.74</w:t>
            </w:r>
          </w:p>
        </w:tc>
      </w:tr>
      <w:tr>
        <w:trPr>
          <w:trHeight w:val="263"/>
        </w:trPr>
        <w:tc>
          <w:tcPr>
            <w:tcW w:w="9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discount rate</w:t>
            </w: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84"/>
        </w:trPr>
        <w:tc>
          <w:tcPr>
            <w:tcW w:w="9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9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Finance Leases</w:t>
            </w:r>
          </w:p>
        </w:tc>
        <w:tc>
          <w:tcPr>
            <w:tcW w:w="2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50"/>
        </w:trPr>
        <w:tc>
          <w:tcPr>
            <w:tcW w:w="9620" w:type="dxa"/>
            <w:vAlign w:val="bottom"/>
          </w:tcPr>
          <w:p>
            <w:pPr>
              <w:ind w:left="40"/>
              <w:spacing w:after="0"/>
              <w:rPr>
                <w:sz w:val="20"/>
                <w:szCs w:val="20"/>
                <w:color w:val="auto"/>
              </w:rPr>
            </w:pPr>
            <w:r>
              <w:rPr>
                <w:rFonts w:ascii="Arial" w:cs="Arial" w:eastAsia="Arial" w:hAnsi="Arial"/>
                <w:sz w:val="18"/>
                <w:szCs w:val="18"/>
                <w:color w:val="auto"/>
              </w:rPr>
              <w:t>ROU asset obtained in exchange for lease obligations (in millions)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63"/>
        </w:trPr>
        <w:tc>
          <w:tcPr>
            <w:tcW w:w="9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2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2.83</w:t>
            </w:r>
          </w:p>
        </w:tc>
      </w:tr>
      <w:tr>
        <w:trPr>
          <w:trHeight w:val="243"/>
        </w:trPr>
        <w:tc>
          <w:tcPr>
            <w:tcW w:w="962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200" w:lineRule="exact"/>
        <w:rPr>
          <w:sz w:val="20"/>
          <w:szCs w:val="20"/>
          <w:color w:val="auto"/>
        </w:rPr>
      </w:pP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598" w:right="239" w:bottom="1440" w:gutter="0" w:footer="0" w:header="0"/>
          <w:type w:val="continuous"/>
        </w:sectPr>
      </w:pPr>
    </w:p>
    <w:bookmarkStart w:id="18" w:name="page19"/>
    <w:bookmarkEnd w:id="18"/>
    <w:p>
      <w:pPr>
        <w:ind w:left="340"/>
        <w:spacing w:after="0"/>
        <w:rPr>
          <w:sz w:val="20"/>
          <w:szCs w:val="20"/>
          <w:color w:val="auto"/>
        </w:rPr>
      </w:pPr>
      <w:r>
        <w:rPr>
          <w:rFonts w:ascii="Arial" w:cs="Arial" w:eastAsia="Arial" w:hAnsi="Arial"/>
          <w:sz w:val="18"/>
          <w:szCs w:val="18"/>
          <w:color w:val="auto"/>
        </w:rPr>
        <w:t>Balance sheet information related to our operating and finance leases as of June 30, 2019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2"/>
              <w:spacing w:after="0"/>
              <w:rPr>
                <w:sz w:val="20"/>
                <w:szCs w:val="20"/>
                <w:color w:val="auto"/>
              </w:rPr>
            </w:pPr>
            <w:r>
              <w:rPr>
                <w:rFonts w:ascii="Arial" w:cs="Arial" w:eastAsia="Arial" w:hAnsi="Arial"/>
                <w:sz w:val="18"/>
                <w:szCs w:val="18"/>
                <w:b w:val="1"/>
                <w:bCs w:val="1"/>
                <w:color w:val="auto"/>
                <w:w w:val="99"/>
              </w:rPr>
              <w:t>June 30,</w:t>
            </w:r>
          </w:p>
        </w:tc>
      </w:tr>
      <w:tr>
        <w:trPr>
          <w:trHeight w:val="277"/>
        </w:trPr>
        <w:tc>
          <w:tcPr>
            <w:tcW w:w="7200" w:type="dxa"/>
            <w:vAlign w:val="bottom"/>
          </w:tcPr>
          <w:p>
            <w:pPr>
              <w:spacing w:after="0"/>
              <w:rPr>
                <w:sz w:val="24"/>
                <w:szCs w:val="24"/>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Balance Sheet Location</w:t>
            </w:r>
          </w:p>
        </w:tc>
        <w:tc>
          <w:tcPr>
            <w:tcW w:w="240" w:type="dxa"/>
            <w:vAlign w:val="bottom"/>
          </w:tcPr>
          <w:p>
            <w:pPr>
              <w:spacing w:after="0"/>
              <w:rPr>
                <w:sz w:val="24"/>
                <w:szCs w:val="24"/>
                <w:color w:val="auto"/>
              </w:rPr>
            </w:pPr>
          </w:p>
        </w:tc>
        <w:tc>
          <w:tcPr>
            <w:tcW w:w="1240" w:type="dxa"/>
            <w:vAlign w:val="bottom"/>
          </w:tcPr>
          <w:p>
            <w:pPr>
              <w:jc w:val="center"/>
              <w:ind w:right="152"/>
              <w:spacing w:after="0"/>
              <w:rPr>
                <w:sz w:val="20"/>
                <w:szCs w:val="20"/>
                <w:color w:val="auto"/>
              </w:rPr>
            </w:pPr>
            <w:r>
              <w:rPr>
                <w:rFonts w:ascii="Arial" w:cs="Arial" w:eastAsia="Arial" w:hAnsi="Arial"/>
                <w:sz w:val="18"/>
                <w:szCs w:val="18"/>
                <w:b w:val="1"/>
                <w:bCs w:val="1"/>
                <w:color w:val="auto"/>
                <w:w w:val="99"/>
              </w:rPr>
              <w:t>2019</w:t>
            </w:r>
          </w:p>
        </w:tc>
      </w:tr>
      <w:tr>
        <w:trPr>
          <w:trHeight w:val="258"/>
        </w:trPr>
        <w:tc>
          <w:tcPr>
            <w:tcW w:w="7200" w:type="dxa"/>
            <w:vAlign w:val="bottom"/>
          </w:tcPr>
          <w:p>
            <w:pPr>
              <w:spacing w:after="0"/>
              <w:rPr>
                <w:sz w:val="22"/>
                <w:szCs w:val="22"/>
                <w:color w:val="auto"/>
              </w:rPr>
            </w:pPr>
          </w:p>
        </w:tc>
        <w:tc>
          <w:tcPr>
            <w:tcW w:w="2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center"/>
              <w:ind w:right="152"/>
              <w:spacing w:after="0"/>
              <w:rPr>
                <w:sz w:val="20"/>
                <w:szCs w:val="20"/>
                <w:color w:val="auto"/>
              </w:rPr>
            </w:pPr>
            <w:r>
              <w:rPr>
                <w:rFonts w:ascii="Arial" w:cs="Arial" w:eastAsia="Arial" w:hAnsi="Arial"/>
                <w:sz w:val="14"/>
                <w:szCs w:val="14"/>
                <w:color w:val="auto"/>
              </w:rPr>
              <w:t>(in millions)</w:t>
            </w:r>
          </w:p>
        </w:tc>
      </w:tr>
      <w:tr>
        <w:trPr>
          <w:trHeight w:val="275"/>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net</w:t>
            </w:r>
          </w:p>
        </w:tc>
        <w:tc>
          <w:tcPr>
            <w:tcW w:w="2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99"/>
              </w:rPr>
              <w:t>Other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Finance lease, net</w:t>
            </w:r>
          </w:p>
        </w:tc>
        <w:tc>
          <w:tcPr>
            <w:tcW w:w="27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i w:val="1"/>
                <w:iCs w:val="1"/>
                <w:color w:val="auto"/>
                <w:w w:val="99"/>
              </w:rPr>
              <w:t>PP&amp;E</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assets</w:t>
            </w:r>
          </w:p>
        </w:tc>
        <w:tc>
          <w:tcPr>
            <w:tcW w:w="2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r>
      <w:tr>
        <w:trPr>
          <w:trHeight w:val="20"/>
        </w:trPr>
        <w:tc>
          <w:tcPr>
            <w:tcW w:w="7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720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7200" w:type="dxa"/>
            <w:vAlign w:val="bottom"/>
          </w:tcPr>
          <w:p>
            <w:pPr>
              <w:ind w:left="40"/>
              <w:spacing w:after="0"/>
              <w:rPr>
                <w:sz w:val="20"/>
                <w:szCs w:val="20"/>
                <w:color w:val="auto"/>
              </w:rPr>
            </w:pPr>
            <w:r>
              <w:rPr>
                <w:rFonts w:ascii="Arial" w:cs="Arial" w:eastAsia="Arial" w:hAnsi="Arial"/>
                <w:sz w:val="18"/>
                <w:szCs w:val="18"/>
                <w:color w:val="auto"/>
              </w:rPr>
              <w:t>Current</w:t>
            </w:r>
          </w:p>
        </w:tc>
        <w:tc>
          <w:tcPr>
            <w:tcW w:w="2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w:t>
            </w:r>
          </w:p>
        </w:tc>
        <w:tc>
          <w:tcPr>
            <w:tcW w:w="2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rPr>
              <w:t>Accrued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63"/>
        </w:trPr>
        <w:tc>
          <w:tcPr>
            <w:tcW w:w="7200" w:type="dxa"/>
            <w:vAlign w:val="bottom"/>
          </w:tcPr>
          <w:p>
            <w:pPr>
              <w:ind w:left="180"/>
              <w:spacing w:after="0"/>
              <w:rPr>
                <w:sz w:val="20"/>
                <w:szCs w:val="20"/>
                <w:color w:val="auto"/>
              </w:rPr>
            </w:pPr>
            <w:r>
              <w:rPr>
                <w:rFonts w:ascii="Arial" w:cs="Arial" w:eastAsia="Arial" w:hAnsi="Arial"/>
                <w:sz w:val="18"/>
                <w:szCs w:val="18"/>
                <w:color w:val="auto"/>
              </w:rPr>
              <w:t>Finance lease</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rPr>
              <w:t>Accrued liabilities</w:t>
            </w: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 term</w:t>
            </w:r>
          </w:p>
        </w:tc>
        <w:tc>
          <w:tcPr>
            <w:tcW w:w="2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720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rPr>
              <w:t>Other long-term liabilities</w:t>
            </w: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7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w:t>
            </w:r>
          </w:p>
        </w:tc>
        <w:tc>
          <w:tcPr>
            <w:tcW w:w="2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i w:val="1"/>
                <w:iCs w:val="1"/>
                <w:color w:val="auto"/>
              </w:rPr>
              <w:t>Other long-term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Total lease liabilities</w:t>
            </w:r>
          </w:p>
        </w:tc>
        <w:tc>
          <w:tcPr>
            <w:tcW w:w="2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w:t>
            </w:r>
          </w:p>
        </w:tc>
      </w:tr>
      <w:tr>
        <w:trPr>
          <w:trHeight w:val="20"/>
        </w:trPr>
        <w:tc>
          <w:tcPr>
            <w:tcW w:w="7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As part of our company-wide consolidation of office space, we are vacating certain office space in 2019, some of which we may sublease. If we enter into a sublease agreement, we will evaluate the carrying value of our ROU asset, along with the carrying value of related tenant improvements, for impairment based on future identifiable cash flows. For the three months ended June 30, 2019, we did not recognize any impairment charges. For the six months ended June 30, 2019, we recognized impairment charges of $3 million. We may terminate leases for vacated office space before the expiration of the lease term. Where we have decided to not sublease vacated commercial office space, we will shorten the useful life of the ROU assets and related tenant improvements to recover our remaining costs over our expected period of use. Once the leased office space is abandoned, lease costs will be classified as other non-operating expenses on our condensed consolidated statements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60" w:type="dxa"/>
            <w:vAlign w:val="bottom"/>
          </w:tcPr>
          <w:p>
            <w:pPr>
              <w:ind w:left="340"/>
              <w:spacing w:after="0"/>
              <w:rPr>
                <w:sz w:val="20"/>
                <w:szCs w:val="20"/>
                <w:color w:val="auto"/>
              </w:rPr>
            </w:pPr>
            <w:r>
              <w:rPr>
                <w:rFonts w:ascii="Arial" w:cs="Arial" w:eastAsia="Arial" w:hAnsi="Arial"/>
                <w:sz w:val="18"/>
                <w:szCs w:val="18"/>
                <w:color w:val="auto"/>
              </w:rPr>
              <w:t>Maturities of our operating and financing lease liabilities at June 30, 2019 are as follows: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92"/>
        </w:trPr>
        <w:tc>
          <w:tcPr>
            <w:tcW w:w="8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Operating</w:t>
            </w:r>
          </w:p>
        </w:tc>
        <w:tc>
          <w:tcPr>
            <w:tcW w:w="340" w:type="dxa"/>
            <w:vAlign w:val="bottom"/>
          </w:tcPr>
          <w:p>
            <w:pPr>
              <w:spacing w:after="0"/>
              <w:rPr>
                <w:sz w:val="24"/>
                <w:szCs w:val="24"/>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Finance</w:t>
            </w:r>
          </w:p>
        </w:tc>
      </w:tr>
      <w:tr>
        <w:trPr>
          <w:trHeight w:val="277"/>
        </w:trPr>
        <w:tc>
          <w:tcPr>
            <w:tcW w:w="8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rPr>
              <w:t>Leases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Leases</w:t>
            </w:r>
          </w:p>
        </w:tc>
      </w:tr>
      <w:tr>
        <w:trPr>
          <w:trHeight w:val="251"/>
        </w:trPr>
        <w:tc>
          <w:tcPr>
            <w:tcW w:w="8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21"/>
                <w:szCs w:val="21"/>
                <w:color w:val="auto"/>
              </w:rPr>
            </w:pPr>
          </w:p>
        </w:tc>
      </w:tr>
      <w:tr>
        <w:trPr>
          <w:trHeight w:val="27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2"/>
                <w:szCs w:val="22"/>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2"/>
                <w:szCs w:val="22"/>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Interest</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have entered into contracts for commercial office space and facilities that are under construction as of June 30, 2019. These leases are not included in our lease population at June 30, 2019 as the lease terms have not commenced because we do not control the assets during construction. We will apply the new lease standard when the asset is placed in service by us, which is expected to be in January and June 2020. Payments for these contracts were included in the table of our future minimum lease payments as of December 31, 2018, which is shown below.</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8" w:right="239" w:bottom="1440" w:gutter="0" w:footer="0" w:header="0"/>
        </w:sectPr>
      </w:pPr>
    </w:p>
    <w:bookmarkStart w:id="19" w:name="page20"/>
    <w:bookmarkEnd w:id="19"/>
    <w:p>
      <w:pPr>
        <w:ind w:right="120" w:firstLine="324"/>
        <w:spacing w:after="0" w:line="262" w:lineRule="auto"/>
        <w:rPr>
          <w:sz w:val="20"/>
          <w:szCs w:val="20"/>
          <w:color w:val="auto"/>
        </w:rPr>
      </w:pPr>
      <w:r>
        <w:rPr>
          <w:rFonts w:ascii="Arial" w:cs="Arial" w:eastAsia="Arial" w:hAnsi="Arial"/>
          <w:sz w:val="18"/>
          <w:szCs w:val="18"/>
          <w:color w:val="auto"/>
        </w:rPr>
        <w:t>At December 31, 2018, future minimum lease payments for noncancelable operating leases under ASC 840 (excluding oil and natural gas and other mineral leases, utilities, taxes, insurance and common area maintenance expenses) were: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center"/>
              <w:ind w:right="152"/>
              <w:spacing w:after="0"/>
              <w:rPr>
                <w:sz w:val="20"/>
                <w:szCs w:val="20"/>
                <w:color w:val="auto"/>
              </w:rPr>
            </w:pPr>
            <w:r>
              <w:rPr>
                <w:rFonts w:ascii="Arial" w:cs="Arial" w:eastAsia="Arial" w:hAnsi="Arial"/>
                <w:sz w:val="18"/>
                <w:szCs w:val="18"/>
                <w:b w:val="1"/>
                <w:bCs w:val="1"/>
                <w:color w:val="auto"/>
                <w:w w:val="99"/>
              </w:rPr>
              <w:t>December 31,</w:t>
            </w:r>
          </w:p>
        </w:tc>
      </w:tr>
      <w:tr>
        <w:trPr>
          <w:trHeight w:val="277"/>
        </w:trPr>
        <w:tc>
          <w:tcPr>
            <w:tcW w:w="9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9"/>
              </w:rPr>
              <w:t>2018</w:t>
            </w:r>
          </w:p>
        </w:tc>
      </w:tr>
      <w:tr>
        <w:trPr>
          <w:trHeight w:val="251"/>
        </w:trPr>
        <w:tc>
          <w:tcPr>
            <w:tcW w:w="9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center"/>
              <w:ind w:right="152"/>
              <w:spacing w:after="0"/>
              <w:rPr>
                <w:sz w:val="20"/>
                <w:szCs w:val="20"/>
                <w:color w:val="auto"/>
              </w:rPr>
            </w:pPr>
            <w:r>
              <w:rPr>
                <w:rFonts w:ascii="Arial" w:cs="Arial" w:eastAsia="Arial" w:hAnsi="Arial"/>
                <w:sz w:val="14"/>
                <w:szCs w:val="14"/>
                <w:color w:val="auto"/>
              </w:rPr>
              <w:t>(in millions)</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63"/>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50"/>
        </w:trPr>
        <w:tc>
          <w:tcPr>
            <w:tcW w:w="9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r>
      <w:tr>
        <w:trPr>
          <w:trHeight w:val="257"/>
        </w:trPr>
        <w:tc>
          <w:tcPr>
            <w:tcW w:w="9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r>
      <w:tr>
        <w:trPr>
          <w:trHeight w:val="20"/>
        </w:trPr>
        <w:tc>
          <w:tcPr>
            <w:tcW w:w="9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Rental expense for operating leases under ASC 840 was $2 million and $5 million for the three and six months ended June 30, 2018, respectively. Rental income from subleases for the three and six months ended June 30, 2018 was not significant.</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INCOME TAXES</w:t>
      </w:r>
    </w:p>
    <w:p>
      <w:pPr>
        <w:spacing w:after="0" w:line="247"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For the six months ended June 30, 2019 and 2018, we did not provide any current or deferred tax provision or benefit. The difference between our statutory tax rate and our effective tax rate of zero for the periods presented includes changes to maintain our full valuation allowance against our net deferred tax assets given our recent and anticipated future earnings trends. We believe that there is a reasonable possibility that some or all of this allowance could be released in the foreseeable future. However, the amount of the net deferred tax assets considered realizable depends on the level of profitability that we are able to actually achieve.</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ASSET DIVESTITURE</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On May 1, 2019, we sold 50% of our working interest and transferred operatorship in certain zones of our Lost Hills field, located in the San Joaquin basin, for total consideration in excess of $200 million, consisting of approximately $168 million and a carried 200-well development program to be drilled through 2023 with an estimated value of $35 million (Lost Hills divestiture). We received cash proceeds of $165 million after transaction costs and purchase price adjustments, which was used to pay down our 2014 Revolving Credit Facility. The partial sale of proved property was accounted for as a normal retirement with no gain or loss recognized. The partial sale of unproved property was recorded as a recovery of cost.</w:t>
      </w:r>
    </w:p>
    <w:p>
      <w:pPr>
        <w:spacing w:after="0" w:line="18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CONDENSED CONSOLIDATING FINANCIAL INFORMATION</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Credit Facilities, Second Lien Notes and Senior Notes are guaranteed both fully and unconditionally and jointly and severally by our material wholly owned subsidiaries (Guarantor Subsidiaries). Certain of our subsidiaries do not guarantee our Credit Facilities, Second Lien Notes and Senior Notes (Non-Guarantor Subsidiaries) either because they hold assets that are less than 1% of our total consolidated assets or because they are not considered a "subsidiary" under the applicable financing agreement. The following condensed consolidating balance sheets as of June 30, 2019 and December 31, 2018 and the condensed consolidating statements of operations and statements of cash flows for the three and six months ended June 30, 2019 and 2018, as applicable, reflect the condensed consolidating financial information of our parent company, CRC (Parent), our combined Guarantor Subsidiaries, our combined Non-Guarantor Subsidiaries and the elimination entries necessary to arrive at the information for the Company on a consolidated basis.</w:t>
      </w:r>
    </w:p>
    <w:p>
      <w:pPr>
        <w:spacing w:after="0" w:line="206"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The financial information may not necessarily be indicative of results of operations, cash flows or financial position had the Guarantor Subsidiaries operated as independent entities.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8" w:right="239" w:bottom="1440" w:gutter="0" w:footer="0" w:header="0"/>
        </w:sectPr>
      </w:pPr>
    </w:p>
    <w:bookmarkStart w:id="20" w:name="page21"/>
    <w:bookmarkEnd w:id="20"/>
    <w:p>
      <w:pPr>
        <w:ind w:left="390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5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As of June 30, 2019 and December 31, 2018</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As of June 30, 2019</w:t>
            </w: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8"/>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color w:val="auto"/>
              </w:rPr>
              <w:t>Parent</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rPr>
              <w:t>Subsidiaries</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57"/>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Total property, plant and equipment, net</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5,874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6,409</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5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101</w:t>
            </w:r>
          </w:p>
        </w:tc>
      </w:tr>
      <w:tr>
        <w:trPr>
          <w:trHeight w:val="24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7,032</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7"/>
        </w:trPr>
        <w:tc>
          <w:tcPr>
            <w:tcW w:w="4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610</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5,060</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gain and issuance costs,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679</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due to (from) affiliates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Mezzanine equity</w:t>
            </w:r>
          </w:p>
        </w:tc>
        <w:tc>
          <w:tcPr>
            <w:tcW w:w="2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777</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6,120</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(5,814)</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r>
      <w:tr>
        <w:trPr>
          <w:trHeight w:val="234"/>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5,719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6,527</w:t>
            </w:r>
          </w:p>
        </w:tc>
        <w:tc>
          <w:tcPr>
            <w:tcW w:w="100" w:type="dxa"/>
            <w:vAlign w:val="bottom"/>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7,032</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8"/>
          </w:tcPr>
          <w:p>
            <w:pPr>
              <w:spacing w:after="0"/>
              <w:rPr>
                <w:sz w:val="20"/>
                <w:szCs w:val="20"/>
                <w:color w:val="auto"/>
              </w:rPr>
            </w:pPr>
            <w:r>
              <w:rPr>
                <w:rFonts w:ascii="Arial" w:cs="Arial" w:eastAsia="Arial" w:hAnsi="Arial"/>
                <w:sz w:val="16"/>
                <w:szCs w:val="16"/>
                <w:b w:val="1"/>
                <w:bCs w:val="1"/>
                <w:color w:val="auto"/>
              </w:rPr>
              <w:t>As of December 31, 2018</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8"/>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Combined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color w:val="auto"/>
                <w:w w:val="99"/>
              </w:rPr>
              <w:t>Guarantor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Subsidiaries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640</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Total property, plant and equipment, net</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5,913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6,455</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Investments in consolidated subsidiaries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w:t>
            </w:r>
          </w:p>
        </w:tc>
      </w:tr>
      <w:tr>
        <w:trPr>
          <w:trHeight w:val="24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7,158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67"/>
        </w:trPr>
        <w:tc>
          <w:tcPr>
            <w:tcW w:w="4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607</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5,251</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gain and issuance costs, net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575</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due to (from) affiliates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Mezzanine equity</w:t>
            </w:r>
          </w:p>
        </w:tc>
        <w:tc>
          <w:tcPr>
            <w:tcW w:w="24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756</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5,821</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(5,536)</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34"/>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5,474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6,631</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(5,549)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7,158</w:t>
            </w:r>
          </w:p>
        </w:tc>
      </w:tr>
      <w:tr>
        <w:trPr>
          <w:trHeight w:val="20"/>
        </w:trPr>
        <w:tc>
          <w:tcPr>
            <w:tcW w:w="4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3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2019 and 2018</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gridSpan w:val="8"/>
          </w:tcPr>
          <w:p>
            <w:pPr>
              <w:ind w:left="400"/>
              <w:spacing w:after="0"/>
              <w:rPr>
                <w:sz w:val="20"/>
                <w:szCs w:val="20"/>
                <w:color w:val="auto"/>
              </w:rPr>
            </w:pPr>
            <w:r>
              <w:rPr>
                <w:rFonts w:ascii="Arial" w:cs="Arial" w:eastAsia="Arial" w:hAnsi="Arial"/>
                <w:sz w:val="16"/>
                <w:szCs w:val="16"/>
                <w:b w:val="1"/>
                <w:bCs w:val="1"/>
                <w:color w:val="auto"/>
              </w:rPr>
              <w:t>For the three months ended June 30, 2019</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8"/>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Subsidiaries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 and other</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Total costs and other</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531</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(loss) income</w:t>
            </w: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4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178"/>
        </w:trPr>
        <w:tc>
          <w:tcPr>
            <w:tcW w:w="4580" w:type="dxa"/>
            <w:vAlign w:val="bottom"/>
          </w:tcPr>
          <w:p>
            <w:pPr>
              <w:ind w:left="40"/>
              <w:spacing w:after="0" w:line="178" w:lineRule="exact"/>
              <w:rPr>
                <w:sz w:val="20"/>
                <w:szCs w:val="20"/>
                <w:color w:val="auto"/>
              </w:rPr>
            </w:pPr>
            <w:r>
              <w:rPr>
                <w:rFonts w:ascii="Arial" w:cs="Arial" w:eastAsia="Arial" w:hAnsi="Arial"/>
                <w:sz w:val="16"/>
                <w:szCs w:val="16"/>
                <w:b w:val="1"/>
                <w:bCs w:val="1"/>
                <w:color w:val="auto"/>
              </w:rPr>
              <w:t>NET (LOSS) INCOME ATTRIBUTABLE TO COMMON</w:t>
            </w: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18"/>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0"/>
        </w:trPr>
        <w:tc>
          <w:tcPr>
            <w:tcW w:w="4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gridSpan w:val="8"/>
          </w:tcPr>
          <w:p>
            <w:pPr>
              <w:ind w:left="400"/>
              <w:spacing w:after="0"/>
              <w:rPr>
                <w:sz w:val="20"/>
                <w:szCs w:val="20"/>
                <w:color w:val="auto"/>
              </w:rPr>
            </w:pPr>
            <w:r>
              <w:rPr>
                <w:rFonts w:ascii="Arial" w:cs="Arial" w:eastAsia="Arial" w:hAnsi="Arial"/>
                <w:sz w:val="16"/>
                <w:szCs w:val="16"/>
                <w:b w:val="1"/>
                <w:bCs w:val="1"/>
                <w:color w:val="auto"/>
              </w:rPr>
              <w:t>For the three months ended June 30, 2018</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8"/>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Parent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rPr>
              <w:t>Subsidiaries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 and other</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Total costs and other</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538</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(loss) income</w:t>
            </w: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4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178"/>
        </w:trPr>
        <w:tc>
          <w:tcPr>
            <w:tcW w:w="4580" w:type="dxa"/>
            <w:vAlign w:val="bottom"/>
          </w:tcPr>
          <w:p>
            <w:pPr>
              <w:ind w:left="40"/>
              <w:spacing w:after="0" w:line="178" w:lineRule="exact"/>
              <w:rPr>
                <w:sz w:val="20"/>
                <w:szCs w:val="20"/>
                <w:color w:val="auto"/>
              </w:rPr>
            </w:pPr>
            <w:r>
              <w:rPr>
                <w:rFonts w:ascii="Arial" w:cs="Arial" w:eastAsia="Arial" w:hAnsi="Arial"/>
                <w:sz w:val="16"/>
                <w:szCs w:val="16"/>
                <w:b w:val="1"/>
                <w:bCs w:val="1"/>
                <w:color w:val="auto"/>
              </w:rPr>
              <w:t>NET (LOSS) INCOME ATTRIBUTABLE TO COMMON</w:t>
            </w: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18"/>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0"/>
        </w:trPr>
        <w:tc>
          <w:tcPr>
            <w:tcW w:w="4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gridSpan w:val="8"/>
          </w:tcPr>
          <w:p>
            <w:pPr>
              <w:ind w:left="480"/>
              <w:spacing w:after="0"/>
              <w:rPr>
                <w:sz w:val="20"/>
                <w:szCs w:val="20"/>
                <w:color w:val="auto"/>
              </w:rPr>
            </w:pPr>
            <w:r>
              <w:rPr>
                <w:rFonts w:ascii="Arial" w:cs="Arial" w:eastAsia="Arial" w:hAnsi="Arial"/>
                <w:sz w:val="16"/>
                <w:szCs w:val="16"/>
                <w:b w:val="1"/>
                <w:bCs w:val="1"/>
                <w:color w:val="auto"/>
              </w:rPr>
              <w:t>For the six months ended June 30, 2019</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8"/>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Parent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rPr>
              <w:t>Subsidiaries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 and other</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1,343</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Total costs and other</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1,164</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(loss) income</w:t>
            </w: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4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178"/>
        </w:trPr>
        <w:tc>
          <w:tcPr>
            <w:tcW w:w="4580" w:type="dxa"/>
            <w:vAlign w:val="bottom"/>
          </w:tcPr>
          <w:p>
            <w:pPr>
              <w:ind w:left="40"/>
              <w:spacing w:after="0" w:line="178" w:lineRule="exact"/>
              <w:rPr>
                <w:sz w:val="20"/>
                <w:szCs w:val="20"/>
                <w:color w:val="auto"/>
              </w:rPr>
            </w:pPr>
            <w:r>
              <w:rPr>
                <w:rFonts w:ascii="Arial" w:cs="Arial" w:eastAsia="Arial" w:hAnsi="Arial"/>
                <w:sz w:val="16"/>
                <w:szCs w:val="16"/>
                <w:b w:val="1"/>
                <w:bCs w:val="1"/>
                <w:color w:val="auto"/>
              </w:rPr>
              <w:t>NET (LOSS) INCOME ATTRIBUTABLE TO COMMON</w:t>
            </w: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18"/>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0"/>
        </w:trPr>
        <w:tc>
          <w:tcPr>
            <w:tcW w:w="4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gridSpan w:val="8"/>
          </w:tcPr>
          <w:p>
            <w:pPr>
              <w:ind w:left="480"/>
              <w:spacing w:after="0"/>
              <w:rPr>
                <w:sz w:val="20"/>
                <w:szCs w:val="20"/>
                <w:color w:val="auto"/>
              </w:rPr>
            </w:pPr>
            <w:r>
              <w:rPr>
                <w:rFonts w:ascii="Arial" w:cs="Arial" w:eastAsia="Arial" w:hAnsi="Arial"/>
                <w:sz w:val="16"/>
                <w:szCs w:val="16"/>
                <w:b w:val="1"/>
                <w:bCs w:val="1"/>
                <w:color w:val="auto"/>
              </w:rPr>
              <w:t>For the six months ended June 30, 2018</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8"/>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Parent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rPr>
              <w:t>Subsidiaries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color w:val="auto"/>
              </w:rPr>
              <w:t>Subsidiaries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 and other</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1,158</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Total costs and other</w:t>
            </w:r>
          </w:p>
        </w:tc>
        <w:tc>
          <w:tcPr>
            <w:tcW w:w="2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1,039</w:t>
            </w:r>
          </w:p>
        </w:tc>
      </w:tr>
      <w:tr>
        <w:trPr>
          <w:trHeight w:val="280"/>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(loss) income</w:t>
            </w:r>
          </w:p>
        </w:tc>
        <w:tc>
          <w:tcPr>
            <w:tcW w:w="2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4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178"/>
        </w:trPr>
        <w:tc>
          <w:tcPr>
            <w:tcW w:w="4580" w:type="dxa"/>
            <w:vAlign w:val="bottom"/>
          </w:tcPr>
          <w:p>
            <w:pPr>
              <w:ind w:left="40"/>
              <w:spacing w:after="0" w:line="178" w:lineRule="exact"/>
              <w:rPr>
                <w:sz w:val="20"/>
                <w:szCs w:val="20"/>
                <w:color w:val="auto"/>
              </w:rPr>
            </w:pPr>
            <w:r>
              <w:rPr>
                <w:rFonts w:ascii="Arial" w:cs="Arial" w:eastAsia="Arial" w:hAnsi="Arial"/>
                <w:sz w:val="16"/>
                <w:szCs w:val="16"/>
                <w:b w:val="1"/>
                <w:bCs w:val="1"/>
                <w:color w:val="auto"/>
              </w:rPr>
              <w:t>NET (LOSS) INCOME ATTRIBUTABLE TO COMMON</w:t>
            </w: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18"/>
        </w:trPr>
        <w:tc>
          <w:tcPr>
            <w:tcW w:w="4580" w:type="dxa"/>
            <w:vAlign w:val="bottom"/>
          </w:tcPr>
          <w:p>
            <w:pPr>
              <w:ind w:left="4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0"/>
        </w:trPr>
        <w:tc>
          <w:tcPr>
            <w:tcW w:w="4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738" w:right="239" w:bottom="1440" w:gutter="0" w:footer="0" w:header="0"/>
          <w:type w:val="continuous"/>
        </w:sectPr>
      </w:pPr>
    </w:p>
    <w:bookmarkStart w:id="22" w:name="page23"/>
    <w:bookmarkEnd w:id="22"/>
    <w:p>
      <w:pPr>
        <w:ind w:left="348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5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 the six months ended June 30, 2019 and 2018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ind w:left="48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405"/>
        </w:trPr>
        <w:tc>
          <w:tcPr>
            <w:tcW w:w="4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ind w:left="480"/>
              <w:spacing w:after="0"/>
              <w:rPr>
                <w:sz w:val="20"/>
                <w:szCs w:val="20"/>
                <w:color w:val="auto"/>
              </w:rPr>
            </w:pPr>
            <w:r>
              <w:rPr>
                <w:rFonts w:ascii="Arial" w:cs="Arial" w:eastAsia="Arial" w:hAnsi="Arial"/>
                <w:sz w:val="16"/>
                <w:szCs w:val="16"/>
                <w:b w:val="1"/>
                <w:bCs w:val="1"/>
                <w:color w:val="auto"/>
              </w:rPr>
              <w:t>For the six months ended June 30, 2019</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8"/>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Subsidiaries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provided by operating activities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7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(used) by financing activities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47"/>
        </w:trPr>
        <w:tc>
          <w:tcPr>
            <w:tcW w:w="4580" w:type="dxa"/>
            <w:vAlign w:val="bottom"/>
          </w:tcPr>
          <w:p>
            <w:pPr>
              <w:ind w:left="40"/>
              <w:spacing w:after="0"/>
              <w:rPr>
                <w:sz w:val="20"/>
                <w:szCs w:val="20"/>
                <w:color w:val="auto"/>
              </w:rPr>
            </w:pPr>
            <w:r>
              <w:rPr>
                <w:rFonts w:ascii="Arial" w:cs="Arial" w:eastAsia="Arial" w:hAnsi="Arial"/>
                <w:sz w:val="16"/>
                <w:szCs w:val="16"/>
                <w:color w:val="auto"/>
              </w:rPr>
              <w:t>Increase in cash</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40"/>
        </w:trPr>
        <w:tc>
          <w:tcPr>
            <w:tcW w:w="4580" w:type="dxa"/>
            <w:vAlign w:val="bottom"/>
          </w:tcPr>
          <w:p>
            <w:pPr>
              <w:ind w:left="40"/>
              <w:spacing w:after="0"/>
              <w:rPr>
                <w:sz w:val="20"/>
                <w:szCs w:val="20"/>
                <w:color w:val="auto"/>
              </w:rPr>
            </w:pPr>
            <w:r>
              <w:rPr>
                <w:rFonts w:ascii="Arial" w:cs="Arial" w:eastAsia="Arial" w:hAnsi="Arial"/>
                <w:sz w:val="16"/>
                <w:szCs w:val="16"/>
                <w:color w:val="auto"/>
              </w:rPr>
              <w:t>Cash—end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r>
      <w:tr>
        <w:trPr>
          <w:trHeight w:val="20"/>
        </w:trPr>
        <w:tc>
          <w:tcPr>
            <w:tcW w:w="4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98"/>
        </w:trPr>
        <w:tc>
          <w:tcPr>
            <w:tcW w:w="4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ind w:left="480"/>
              <w:spacing w:after="0"/>
              <w:rPr>
                <w:sz w:val="20"/>
                <w:szCs w:val="20"/>
                <w:color w:val="auto"/>
              </w:rPr>
            </w:pPr>
            <w:r>
              <w:rPr>
                <w:rFonts w:ascii="Arial" w:cs="Arial" w:eastAsia="Arial" w:hAnsi="Arial"/>
                <w:sz w:val="16"/>
                <w:szCs w:val="16"/>
                <w:b w:val="1"/>
                <w:bCs w:val="1"/>
                <w:color w:val="auto"/>
              </w:rPr>
              <w:t>For the six months ended June 30, 2018</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8"/>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rPr>
              <w:t>Combined</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Combined Non-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Guarantor</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Guarantor</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4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Parent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Subsidiaries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Subsidiaries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Consolidated</w:t>
            </w: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provided by operating activities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r>
      <w:tr>
        <w:trPr>
          <w:trHeight w:val="260"/>
        </w:trPr>
        <w:tc>
          <w:tcPr>
            <w:tcW w:w="45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(807)</w:t>
            </w:r>
          </w:p>
        </w:tc>
      </w:tr>
      <w:tr>
        <w:trPr>
          <w:trHeight w:val="27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(used) by financing activities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595</w:t>
            </w:r>
          </w:p>
        </w:tc>
      </w:tr>
      <w:tr>
        <w:trPr>
          <w:trHeight w:val="247"/>
        </w:trPr>
        <w:tc>
          <w:tcPr>
            <w:tcW w:w="4580" w:type="dxa"/>
            <w:vAlign w:val="bottom"/>
          </w:tcPr>
          <w:p>
            <w:pPr>
              <w:ind w:left="40"/>
              <w:spacing w:after="0"/>
              <w:rPr>
                <w:sz w:val="20"/>
                <w:szCs w:val="20"/>
                <w:color w:val="auto"/>
              </w:rPr>
            </w:pPr>
            <w:r>
              <w:rPr>
                <w:rFonts w:ascii="Arial" w:cs="Arial" w:eastAsia="Arial" w:hAnsi="Arial"/>
                <w:sz w:val="16"/>
                <w:szCs w:val="16"/>
                <w:color w:val="auto"/>
              </w:rPr>
              <w:t>Decrease (increase) in cash</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27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40"/>
        </w:trPr>
        <w:tc>
          <w:tcPr>
            <w:tcW w:w="4580" w:type="dxa"/>
            <w:vAlign w:val="bottom"/>
          </w:tcPr>
          <w:p>
            <w:pPr>
              <w:ind w:left="40"/>
              <w:spacing w:after="0"/>
              <w:rPr>
                <w:sz w:val="20"/>
                <w:szCs w:val="20"/>
                <w:color w:val="auto"/>
              </w:rPr>
            </w:pPr>
            <w:r>
              <w:rPr>
                <w:rFonts w:ascii="Arial" w:cs="Arial" w:eastAsia="Arial" w:hAnsi="Arial"/>
                <w:sz w:val="16"/>
                <w:szCs w:val="16"/>
                <w:color w:val="auto"/>
              </w:rPr>
              <w:t>Cash—end of period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20"/>
        </w:trPr>
        <w:tc>
          <w:tcPr>
            <w:tcW w:w="4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SUBSEQUENT EVENT</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July 2019, we entered into a JV with Colony under which Colony has committed to invest $320 million for the development of portions of our Elk Hills field, located in the San Joaquin basin. Colony's total investment may be increased to $500 million, subject to the mutual agreement of the parties. The initial commitment will cover multiple development opportunities in the Elk Hills field and is intended to be invested over approximately three years in accordance with a development plan that has been agreed to by the parties consisting of 275 wells. Colony will fund 100% of the development wells and will earn a 90% working interest in those wells. If Colony receives an agreed upon return, our working interest in those wells will increase from 10% to 82.5%. Our financial statements will reflect only our working interest share in the developed wells.</w:t>
      </w:r>
    </w:p>
    <w:p>
      <w:pPr>
        <w:spacing w:after="0" w:line="207" w:lineRule="exact"/>
        <w:rPr>
          <w:sz w:val="20"/>
          <w:szCs w:val="20"/>
          <w:color w:val="auto"/>
        </w:rPr>
      </w:pPr>
    </w:p>
    <w:p>
      <w:pPr>
        <w:jc w:val="both"/>
        <w:ind w:right="200" w:firstLine="324"/>
        <w:spacing w:after="0" w:line="256" w:lineRule="auto"/>
        <w:rPr>
          <w:sz w:val="20"/>
          <w:szCs w:val="20"/>
          <w:color w:val="auto"/>
        </w:rPr>
      </w:pPr>
      <w:r>
        <w:rPr>
          <w:rFonts w:ascii="Arial" w:cs="Arial" w:eastAsia="Arial" w:hAnsi="Arial"/>
          <w:sz w:val="18"/>
          <w:szCs w:val="18"/>
          <w:color w:val="auto"/>
        </w:rPr>
        <w:t>Colony also received a warrant to purchase up to 1.25 million shares of our common stock at an exercise price of $40 per share. Colony will be entitled to exercise the warrant in tranches as funding milestones are met. Each tranche will have a five-year term commencing on the date on which such tranche becomes exercisable.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38" w:right="239" w:bottom="1440" w:gutter="0" w:footer="0" w:header="0"/>
        </w:sectPr>
      </w:pPr>
    </w:p>
    <w:bookmarkStart w:id="23" w:name="page24"/>
    <w:bookmarkEnd w:id="23"/>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are incorporated in Delaware and became a publicly traded company on December 1, 2014. Except when the context otherwise requires or where otherwise indicated, all references to ‘‘CRC,’’ the ‘‘company,’’ ‘‘we,’’ ‘‘us’’ and ‘‘our’’ refer to California Resources Corporation and its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47"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Our operating results and those of the oil and gas industry as a whole are heavily influenced by commodity prices. Oil and gas prices and differentials may fluctuate significantly as a result of numerous market-related variables. These and other factors make it impossible to predict realized prices reliably.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average daily Brent, WTI and NYMEX prices for the three and six months ended June 30, 2019 and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55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1"/>
                <w:szCs w:val="21"/>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Brent oil ($/Bbl)</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74.90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66.11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71.04</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WTI oil ($/Bbl)</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59.82</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67.88</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57.36</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65.37</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NYMEX gas ($/MMBtu)</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r>
    </w:tbl>
    <w:p>
      <w:pPr>
        <w:spacing w:after="0" w:line="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Note:</w:t>
        <w:tab/>
        <w:t>Bbl refers to a barrel; MMBTU refers to one million British Thermal Units.</w:t>
      </w:r>
    </w:p>
    <w:p>
      <w:pPr>
        <w:spacing w:after="0" w:line="212"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currently sell all of our crude oil into the California refining market, which offers relatively favorable pricing compared to other U.S. regions for similar grades. California is heavily reliant on imported sources of energy, with approximately 73% of the oil consumed in 2018 imported from outside the state. A vast majority of the imported oil arrives via supertanker, mostly from foreign locations. As a result, California refiners have typically purchased crude oil at international waterborne-based prices. We believe that the limited crude transportation infrastructure from other parts of the U.S. into California will continue to contribute to higher realizations than most other U.S. oil markets for comparable grades.</w:t>
      </w:r>
    </w:p>
    <w:p>
      <w:pPr>
        <w:spacing w:after="0" w:line="20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Natural gas liquid (NGL) price realizations are related to the supply and demand for the products making up these liquids. Some of them more typically correlate to the price of oil while others are affected by natural gas prices as well as the demand for certain chemical products for which they are used as feedstock. In addition, infrastructure constraints and seasonality can magnify pricing volatility.</w:t>
      </w:r>
    </w:p>
    <w:p>
      <w:pPr>
        <w:spacing w:after="0" w:line="20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Natural gas prices and differentials are strongly affected by local market fundamentals, such as storage capacity and the availability of transportation capacity from producing areas. Transportation capacity influences prices because California imports more than 90% of its natural gas from other states and Canada. As a result, we typically enjoy favorable pricing relative to out-of-state producers due to lower transportation costs on the delivery of our gas. Changes in natural gas prices have a smaller impact on our operating results than changes in oil prices as only approximately 25% of our total equivalent production is made up of natural gas.</w:t>
      </w:r>
    </w:p>
    <w:p>
      <w:pPr>
        <w:spacing w:after="0" w:line="206"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In addition to selling natural gas, we also use natural gas for our steamfloods and power generation. As a result, the positive impact of higher natural gas prices is partially offset by higher operating costs of our steamflood projects and power generation, but higher prices still have a net positive effect on our operating results due to higher revenue. Conversely, lower natural gas prices lower the operating costs but, generally, have a net negative effect on our results.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76" w:right="239" w:bottom="1440" w:gutter="0" w:footer="0" w:header="0"/>
        </w:sectPr>
      </w:pPr>
    </w:p>
    <w:bookmarkStart w:id="24" w:name="page25"/>
    <w:bookmarkEnd w:id="24"/>
    <w:p>
      <w:pPr>
        <w:ind w:right="40" w:firstLine="324"/>
        <w:spacing w:after="0" w:line="252" w:lineRule="auto"/>
        <w:rPr>
          <w:sz w:val="20"/>
          <w:szCs w:val="20"/>
          <w:color w:val="auto"/>
        </w:rPr>
      </w:pPr>
      <w:r>
        <w:rPr>
          <w:rFonts w:ascii="Arial" w:cs="Arial" w:eastAsia="Arial" w:hAnsi="Arial"/>
          <w:sz w:val="18"/>
          <w:szCs w:val="18"/>
          <w:color w:val="auto"/>
        </w:rPr>
        <w:t>Our earnings are also affected by the performance of our complementary processing and power-generation assets. We process our wet gas to extract NGLs and other natural gas byproducts. We then deliver dry gas to pipelines and separately sell the NGLs. The efficiency with which we extract liquids from the wet gas stream affects our operating results. Additionally, we use part of the electricity from the Elk Hills power plant to reduce operating costs at our Elk Hills and certain nearby fields and to increase reliability. The remaining electricity is sold to the wholesale power market and a utility under a power purchase and sales agreement expiring in December 2020, which includes a capacity payment. The prices obtained for excess power impact our earnings but generally by an insignificant amount.</w:t>
      </w:r>
    </w:p>
    <w:p>
      <w:pPr>
        <w:spacing w:after="0" w:line="209"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opportunistically seek strategic hedging transactions to help protect our cash flow, operating margin and capital program from both the cyclical nature of commodity prices and interest rate movements while maintaining adequate liquidity and improving our ability to comply with our debt covenants. We built our 2019 and 2020 commodity hedge positions to protect our downside risk without significantly limiting our upside potential. We can give no assurances that our hedges will be adequate to accomplish our objectives. Unless otherwise indicated, we use the term "hedge" to describe derivative instruments that are designed to achieve our hedging program goals, even though they are not accounted for as cash-flow or fair-value hedges.</w:t>
      </w:r>
    </w:p>
    <w:p>
      <w:pPr>
        <w:spacing w:after="0" w:line="20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respond to economic conditions by adjusting the amount and allocation of our capital program while continuing to identify efficiencies and cost savings. Volatility in oil prices may materially affect the quantities of oil and gas reserves we can economically produce over the longer term.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conduct our operations on properties that we hold through fee interests, mineral leases and other contractual arrangements. We are the largest private oil and natural gas mineral acreage holder in California, with interests in 2.2 million net mineral acres, approximately 60% of which is held in fee and over 15% is held by production. Our oil and gas leases have primary terms ranging from one to ten years. Once production commences, the leases are extended through the end of their producing life. We also own or control a network of integrated infrastructure that complements our operations including gas plants, oil and gas gathering systems, power plants and other related assets. Our strategically located infrastructure helps us maximize the value generated from our production.</w:t>
      </w:r>
    </w:p>
    <w:p>
      <w:pPr>
        <w:spacing w:after="0" w:line="20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production costs. We record a share of production and reserves to recover a portion of such capital and production costs and an additional share for profit. Our portion of the production represents volumes: (i) to recover our partners’ share of capital and production costs that we incur on their behalf, (ii) for our share of contractually defined base production and (iii) for our share of remaining production thereafter. We recover our share of capital and production costs and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production costs. However, our net economic benefit is greater when product prices are higher. These contracts represented approximately 15% of our net production for the quarter ended June 30, 2019.</w:t>
      </w:r>
    </w:p>
    <w:p>
      <w:pPr>
        <w:spacing w:after="0" w:line="21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line with industry practice for reporting PSC-type contracts, we report 100% of operating costs under such contracts in our condensed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costs but only our net share of production equally inflates our revenue and operating costs and has no effect on our net results.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98" w:right="259" w:bottom="1440" w:gutter="0" w:footer="0" w:header="0"/>
        </w:sectPr>
      </w:pPr>
    </w:p>
    <w:bookmarkStart w:id="25" w:name="page26"/>
    <w:bookmarkEnd w:id="25"/>
    <w:p>
      <w:pPr>
        <w:ind w:firstLine="324"/>
        <w:spacing w:after="0" w:line="254" w:lineRule="auto"/>
        <w:rPr>
          <w:sz w:val="20"/>
          <w:szCs w:val="20"/>
          <w:color w:val="auto"/>
        </w:rPr>
      </w:pPr>
      <w:r>
        <w:rPr>
          <w:rFonts w:ascii="Arial" w:cs="Arial" w:eastAsia="Arial" w:hAnsi="Arial"/>
          <w:sz w:val="18"/>
          <w:szCs w:val="18"/>
          <w:color w:val="auto"/>
        </w:rPr>
        <w:t>With our significant land holdings in California, we have undertaken new initiatives to unlock additional value from our real estate. Our real estate development initiatives include exploring renewable energy opportunities on our land such as solar energy projects, agricultural activities (such as the production of fruits and nuts) and other commercial real estate uses. We are also exploring carbon capture and storage projects, geothermal energy and reclaimed water opportunities.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While certain aspects of our operations are affected by seasonal factors, such as energy costs, seasonality has not been a material driver of changes in our quarterly results during the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Joint Venture</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July 2019, we entered into a JV with subsidiaries of Colony Capital, Inc. (Colony) under which Colony has committed to invest $320 million for the development of portions of our Elk Hills field, located in the San Joaquin basin. Colony's total investment may be increased to $500 million, subject to the mutual agreement of the parties. The initial commitment will cover multiple development opportunities in the Elk Hills field and is intended to be invested over approximately three years in accordance with a development plan that has been agreed to by the parties consisting of 275 wells. Colony will fund 100% of the development wells and will earn a 90% working interest in those wells. If Colony receives an agreed upon return, our working interest in those wells will increase from 10% to 82.5%. Our financial statements will reflect only our working interest share in the JV properties.</w:t>
      </w:r>
    </w:p>
    <w:p>
      <w:pPr>
        <w:spacing w:after="0" w:line="20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Colony also received a warrant to purchase up to 1.25 million shares of our common stock at an exercise price of $40 per share. Colony will be entitled to exercise the warrant in tranches as funding milestones are met. Each tranche will have a five-year term commencing on the date on which such tranche becomes exercisable.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Divestiture</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May 1, 2019, we sold 50% of our working interest and transferred operatorship in certain zones of our Lost Hills field, located in the San Joaquin basin, for total consideration in excess of $ 200 million, consisting of $168 million and a carried 200-well development program to be drilled through 2023 with an estimated value of $35 million (Lost Hills divestiture). We received cash proceeds of $165 million after selling costs and purchase price adjustments, which was used to pay down our 2014 Revolving Credit Facility.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Joint Ventures</w:t>
      </w:r>
    </w:p>
    <w:p>
      <w:pPr>
        <w:spacing w:after="0" w:line="24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have a number of joint ventures (JVs) that allow us to accelerate the development of our assets while providing us with operational and financial flexibility as well as near-term production benefits.</w:t>
      </w:r>
    </w:p>
    <w:p>
      <w:pPr>
        <w:spacing w:after="0" w:line="196"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In our JV with Benefit Street Partners (BSP), BSP has funded an aggregate of $200 million, of which $50 million was funded in the first half of 2019.</w:t>
      </w:r>
    </w:p>
    <w:p>
      <w:pPr>
        <w:spacing w:after="0" w:line="196" w:lineRule="exact"/>
        <w:rPr>
          <w:sz w:val="20"/>
          <w:szCs w:val="20"/>
          <w:color w:val="auto"/>
        </w:rPr>
      </w:pPr>
    </w:p>
    <w:p>
      <w:pPr>
        <w:jc w:val="both"/>
        <w:ind w:right="200" w:firstLine="324"/>
        <w:spacing w:after="0" w:line="256" w:lineRule="auto"/>
        <w:rPr>
          <w:sz w:val="20"/>
          <w:szCs w:val="20"/>
          <w:color w:val="auto"/>
        </w:rPr>
      </w:pPr>
      <w:r>
        <w:rPr>
          <w:rFonts w:ascii="Arial" w:cs="Arial" w:eastAsia="Arial" w:hAnsi="Arial"/>
          <w:sz w:val="18"/>
          <w:szCs w:val="18"/>
          <w:color w:val="auto"/>
        </w:rPr>
        <w:t>In our JV with Macquarie Infrastructure and Real Assets Inc. (MIRA), MIRA has a total commitment of up to $300 million in development capital. The initial agreed-upon capital program is $140 million of which an aggregate of $122 million has been funded to date, with $7 million funded in the first quarter of 2019. We expect the remaining balance of MIRA's initial commitment to be invested in the second half of 2019.</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98"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Fixed and Variable Costs</w:t>
      </w:r>
    </w:p>
    <w:p>
      <w:pPr>
        <w:spacing w:after="0" w:line="20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Our production costs include variable costs that fluctuate with production levels, and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Overall, we believe approximately one-third of our operating costs are fixed over the life cycle of our fields. We actively manage our fields to optimize production and minimize costs. When we see growth in a field, we increase capacities and, similarly, when a field nears the end of its economic life, we manage the costs while it remains economically viable to produce.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Prices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average production volumes of oil, NGLs and natural gas per day for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242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9"/>
              </w:rPr>
              <w:t>Three months ended</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Six months ended</w:t>
            </w:r>
          </w:p>
        </w:tc>
      </w:tr>
      <w:tr>
        <w:trPr>
          <w:trHeight w:val="246"/>
        </w:trPr>
        <w:tc>
          <w:tcPr>
            <w:tcW w:w="56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99"/>
              </w:rPr>
              <w:t>June 30,</w:t>
            </w:r>
          </w:p>
        </w:tc>
        <w:tc>
          <w:tcPr>
            <w:tcW w:w="4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b w:val="1"/>
                <w:bCs w:val="1"/>
                <w:color w:val="auto"/>
                <w:w w:val="99"/>
              </w:rPr>
              <w:t>June 30,</w:t>
            </w:r>
          </w:p>
        </w:tc>
        <w:tc>
          <w:tcPr>
            <w:tcW w:w="960" w:type="dxa"/>
            <w:vAlign w:val="bottom"/>
            <w:tcBorders>
              <w:bottom w:val="single" w:sz="8" w:color="auto"/>
            </w:tcBorders>
          </w:tcPr>
          <w:p>
            <w:pPr>
              <w:spacing w:after="0"/>
              <w:rPr>
                <w:sz w:val="21"/>
                <w:szCs w:val="21"/>
                <w:color w:val="auto"/>
              </w:rPr>
            </w:pPr>
          </w:p>
        </w:tc>
      </w:tr>
      <w:tr>
        <w:trPr>
          <w:trHeight w:val="264"/>
        </w:trPr>
        <w:tc>
          <w:tcPr>
            <w:tcW w:w="56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6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Oil (MBbl/d)</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6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San Joaquin Basin</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63"/>
        </w:trPr>
        <w:tc>
          <w:tcPr>
            <w:tcW w:w="6540" w:type="dxa"/>
            <w:vAlign w:val="bottom"/>
            <w:gridSpan w:val="2"/>
          </w:tcPr>
          <w:p>
            <w:pPr>
              <w:ind w:left="340"/>
              <w:spacing w:after="0"/>
              <w:rPr>
                <w:sz w:val="20"/>
                <w:szCs w:val="20"/>
                <w:color w:val="auto"/>
              </w:rPr>
            </w:pPr>
            <w:r>
              <w:rPr>
                <w:rFonts w:ascii="Arial" w:cs="Arial" w:eastAsia="Arial" w:hAnsi="Arial"/>
                <w:sz w:val="18"/>
                <w:szCs w:val="18"/>
                <w:color w:val="auto"/>
              </w:rPr>
              <w:t>Los Angeles Basin</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Ventura Basin</w:t>
            </w:r>
          </w:p>
        </w:tc>
        <w:tc>
          <w:tcPr>
            <w:tcW w:w="9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0"/>
        </w:trPr>
        <w:tc>
          <w:tcPr>
            <w:tcW w:w="654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7"/>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NGLs (MBbl/d)</w:t>
            </w: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6540" w:type="dxa"/>
            <w:vAlign w:val="bottom"/>
            <w:gridSpan w:val="2"/>
          </w:tcPr>
          <w:p>
            <w:pPr>
              <w:ind w:left="340"/>
              <w:spacing w:after="0"/>
              <w:rPr>
                <w:sz w:val="20"/>
                <w:szCs w:val="20"/>
                <w:color w:val="auto"/>
              </w:rPr>
            </w:pPr>
            <w:r>
              <w:rPr>
                <w:rFonts w:ascii="Arial" w:cs="Arial" w:eastAsia="Arial" w:hAnsi="Arial"/>
                <w:sz w:val="18"/>
                <w:szCs w:val="18"/>
                <w:color w:val="auto"/>
              </w:rPr>
              <w:t>San Joaquin Basin</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Ventura Basin</w:t>
            </w:r>
          </w:p>
        </w:tc>
        <w:tc>
          <w:tcPr>
            <w:tcW w:w="9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0"/>
        </w:trPr>
        <w:tc>
          <w:tcPr>
            <w:tcW w:w="654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7"/>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Natural gas (MMcf/d)</w:t>
            </w: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6540" w:type="dxa"/>
            <w:vAlign w:val="bottom"/>
            <w:gridSpan w:val="2"/>
          </w:tcPr>
          <w:p>
            <w:pPr>
              <w:ind w:left="340"/>
              <w:spacing w:after="0"/>
              <w:rPr>
                <w:sz w:val="20"/>
                <w:szCs w:val="20"/>
                <w:color w:val="auto"/>
              </w:rPr>
            </w:pPr>
            <w:r>
              <w:rPr>
                <w:rFonts w:ascii="Arial" w:cs="Arial" w:eastAsia="Arial" w:hAnsi="Arial"/>
                <w:sz w:val="18"/>
                <w:szCs w:val="18"/>
                <w:color w:val="auto"/>
              </w:rPr>
              <w:t>San Joaquin Basin</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9"/>
              </w:rPr>
              <w:t>164</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172</w:t>
            </w: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77"/>
        </w:trPr>
        <w:tc>
          <w:tcPr>
            <w:tcW w:w="6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 Angeles Basin</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63"/>
        </w:trPr>
        <w:tc>
          <w:tcPr>
            <w:tcW w:w="6540" w:type="dxa"/>
            <w:vAlign w:val="bottom"/>
            <w:gridSpan w:val="2"/>
          </w:tcPr>
          <w:p>
            <w:pPr>
              <w:ind w:left="340"/>
              <w:spacing w:after="0"/>
              <w:rPr>
                <w:sz w:val="20"/>
                <w:szCs w:val="20"/>
                <w:color w:val="auto"/>
              </w:rPr>
            </w:pPr>
            <w:r>
              <w:rPr>
                <w:rFonts w:ascii="Arial" w:cs="Arial" w:eastAsia="Arial" w:hAnsi="Arial"/>
                <w:sz w:val="18"/>
                <w:szCs w:val="18"/>
                <w:color w:val="auto"/>
              </w:rPr>
              <w:t>Ventura Basin</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0"/>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Sacramento Basin</w:t>
            </w:r>
          </w:p>
        </w:tc>
        <w:tc>
          <w:tcPr>
            <w:tcW w:w="9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50"/>
        </w:trPr>
        <w:tc>
          <w:tcPr>
            <w:tcW w:w="654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9"/>
              </w:rPr>
              <w:t>203</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210</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90"/>
        </w:trPr>
        <w:tc>
          <w:tcPr>
            <w:tcW w:w="562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r>
      <w:tr>
        <w:trPr>
          <w:trHeight w:val="250"/>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Production (MBoe/d)</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9"/>
              </w:rPr>
              <w:t>129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134</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0</wp:posOffset>
            </wp:positionV>
            <wp:extent cx="368744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7445" cy="26035"/>
                    </a:xfrm>
                    <a:prstGeom prst="rect">
                      <a:avLst/>
                    </a:prstGeom>
                    <a:noFill/>
                  </pic:spPr>
                </pic:pic>
              </a:graphicData>
            </a:graphic>
          </wp:anchor>
        </w:drawing>
      </w:r>
    </w:p>
    <w:p>
      <w:pPr>
        <w:spacing w:after="0" w:line="25" w:lineRule="exact"/>
        <w:rPr>
          <w:sz w:val="20"/>
          <w:szCs w:val="20"/>
          <w:color w:val="auto"/>
        </w:rPr>
      </w:pPr>
    </w:p>
    <w:p>
      <w:pPr>
        <w:ind w:left="500" w:right="100" w:hanging="499"/>
        <w:spacing w:after="0" w:line="250" w:lineRule="auto"/>
        <w:tabs>
          <w:tab w:leader="none" w:pos="480" w:val="left"/>
        </w:tabs>
        <w:rPr>
          <w:sz w:val="20"/>
          <w:szCs w:val="20"/>
          <w:color w:val="auto"/>
        </w:rPr>
      </w:pPr>
      <w:r>
        <w:rPr>
          <w:rFonts w:ascii="Arial" w:cs="Arial" w:eastAsia="Arial" w:hAnsi="Arial"/>
          <w:sz w:val="14"/>
          <w:szCs w:val="14"/>
          <w:color w:val="auto"/>
        </w:rPr>
        <w:t>Note:</w:t>
        <w:tab/>
        <w:t>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194" w:lineRule="exact"/>
        <w:rPr>
          <w:sz w:val="20"/>
          <w:szCs w:val="20"/>
          <w:color w:val="auto"/>
        </w:rPr>
      </w:pPr>
    </w:p>
    <w:p>
      <w:pPr>
        <w:ind w:right="440" w:firstLine="324"/>
        <w:spacing w:after="0" w:line="256" w:lineRule="auto"/>
        <w:rPr>
          <w:sz w:val="20"/>
          <w:szCs w:val="20"/>
          <w:color w:val="auto"/>
        </w:rPr>
      </w:pPr>
      <w:r>
        <w:rPr>
          <w:rFonts w:ascii="Arial" w:cs="Arial" w:eastAsia="Arial" w:hAnsi="Arial"/>
          <w:sz w:val="18"/>
          <w:szCs w:val="18"/>
          <w:color w:val="auto"/>
        </w:rPr>
        <w:t>For the three months ended June 30, 2019 compared to the same period in 2018, total daily production decreased by approximately 5 MBoe/d or 4%. Over 2 MBoe/d of this decline resulted from the Lost Hills divestiture in May 2019 and PSC effects. Non-recurring events including power and plant outages lowered quarterly production by 1 MBoe/d.</w:t>
      </w:r>
    </w:p>
    <w:p>
      <w:pPr>
        <w:spacing w:after="0" w:line="20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For the six months ended June 30, 2019 compared to the same period in 2018, total daily production volumes increased by 2 MBoe/d or 2% as a result of the acquisition of the remaining working, surface and mineral interests in the Elk Hills unit from Chevron U.S.A., Inc. (the Elk Hills transaction), which closed in the second quarter of 2018. This increase was partially offset by the non-recurring events described above and production sold in the Lost Hills divestiture in the second quarter of 2019.</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76" w:right="239" w:bottom="1440" w:gutter="0" w:footer="0" w:header="0"/>
        </w:sectPr>
      </w:pPr>
    </w:p>
    <w:bookmarkStart w:id="27" w:name="page28"/>
    <w:bookmarkEnd w:id="27"/>
    <w:p>
      <w:pPr>
        <w:ind w:right="80" w:firstLine="324"/>
        <w:spacing w:after="0" w:line="262" w:lineRule="auto"/>
        <w:rPr>
          <w:sz w:val="20"/>
          <w:szCs w:val="20"/>
          <w:color w:val="auto"/>
        </w:rPr>
      </w:pPr>
      <w:r>
        <w:rPr>
          <w:rFonts w:ascii="Arial" w:cs="Arial" w:eastAsia="Arial" w:hAnsi="Arial"/>
          <w:sz w:val="18"/>
          <w:szCs w:val="18"/>
          <w:color w:val="auto"/>
        </w:rPr>
        <w:t>The following tables set forth the average realized prices and price realizations as a percentage of average Brent, WTI and NYMEX for our products for the three and six months ended June 30, 2019 and 2018:</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64"/>
        </w:trPr>
        <w:tc>
          <w:tcPr>
            <w:tcW w:w="4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7"/>
                <w:szCs w:val="17"/>
                <w:b w:val="1"/>
                <w:bCs w:val="1"/>
                <w:color w:val="auto"/>
              </w:rPr>
              <w:t>2019</w:t>
            </w:r>
          </w:p>
        </w:tc>
        <w:tc>
          <w:tcPr>
            <w:tcW w:w="14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7"/>
                <w:szCs w:val="17"/>
                <w:b w:val="1"/>
                <w:bCs w:val="1"/>
                <w:color w:val="auto"/>
              </w:rPr>
              <w:t>2018</w:t>
            </w:r>
          </w:p>
        </w:tc>
        <w:tc>
          <w:tcPr>
            <w:tcW w:w="14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gridSpan w:val="5"/>
          </w:tcPr>
          <w:p>
            <w:pPr>
              <w:jc w:val="right"/>
              <w:ind w:right="1020"/>
              <w:spacing w:after="0"/>
              <w:rPr>
                <w:sz w:val="20"/>
                <w:szCs w:val="20"/>
                <w:color w:val="auto"/>
              </w:rPr>
            </w:pPr>
            <w:r>
              <w:rPr>
                <w:rFonts w:ascii="Arial" w:cs="Arial" w:eastAsia="Arial" w:hAnsi="Arial"/>
                <w:sz w:val="17"/>
                <w:szCs w:val="17"/>
                <w:b w:val="1"/>
                <w:bCs w:val="1"/>
                <w:color w:val="auto"/>
              </w:rPr>
              <w:t>Price</w:t>
            </w:r>
          </w:p>
        </w:tc>
        <w:tc>
          <w:tcPr>
            <w:tcW w:w="1440" w:type="dxa"/>
            <w:vAlign w:val="bottom"/>
            <w:gridSpan w:val="2"/>
          </w:tcPr>
          <w:p>
            <w:pPr>
              <w:ind w:left="140"/>
              <w:spacing w:after="0"/>
              <w:rPr>
                <w:sz w:val="20"/>
                <w:szCs w:val="20"/>
                <w:color w:val="auto"/>
              </w:rPr>
            </w:pPr>
            <w:r>
              <w:rPr>
                <w:rFonts w:ascii="Arial" w:cs="Arial" w:eastAsia="Arial" w:hAnsi="Arial"/>
                <w:sz w:val="17"/>
                <w:szCs w:val="17"/>
                <w:b w:val="1"/>
                <w:bCs w:val="1"/>
                <w:color w:val="auto"/>
              </w:rPr>
              <w:t>Realization</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Price</w:t>
            </w: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7"/>
                <w:szCs w:val="17"/>
                <w:b w:val="1"/>
                <w:bCs w:val="1"/>
                <w:color w:val="auto"/>
              </w:rPr>
              <w:t>Realization</w:t>
            </w:r>
          </w:p>
        </w:tc>
      </w:tr>
      <w:tr>
        <w:trPr>
          <w:trHeight w:val="270"/>
        </w:trPr>
        <w:tc>
          <w:tcPr>
            <w:tcW w:w="42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Oil ($ per Bbl)</w:t>
            </w:r>
          </w:p>
        </w:tc>
        <w:tc>
          <w:tcPr>
            <w:tcW w:w="38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r>
      <w:tr>
        <w:trPr>
          <w:trHeight w:val="261"/>
        </w:trPr>
        <w:tc>
          <w:tcPr>
            <w:tcW w:w="4240" w:type="dxa"/>
            <w:vAlign w:val="bottom"/>
            <w:gridSpan w:val="2"/>
          </w:tcPr>
          <w:p>
            <w:pPr>
              <w:ind w:left="40"/>
              <w:spacing w:after="0"/>
              <w:rPr>
                <w:sz w:val="20"/>
                <w:szCs w:val="20"/>
                <w:color w:val="auto"/>
              </w:rPr>
            </w:pPr>
            <w:r>
              <w:rPr>
                <w:rFonts w:ascii="Arial" w:cs="Arial" w:eastAsia="Arial" w:hAnsi="Arial"/>
                <w:sz w:val="17"/>
                <w:szCs w:val="17"/>
                <w:color w:val="auto"/>
              </w:rPr>
              <w:t>Brent</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68.32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3"/>
          </w:tcPr>
          <w:p>
            <w:pPr>
              <w:jc w:val="right"/>
              <w:ind w:right="935"/>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74.90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2"/>
        </w:trPr>
        <w:tc>
          <w:tcPr>
            <w:tcW w:w="40" w:type="dxa"/>
            <w:vAlign w:val="bottom"/>
            <w:shd w:val="clear" w:color="auto" w:fill="CCEEFF"/>
          </w:tcPr>
          <w:p>
            <w:pPr>
              <w:spacing w:after="0"/>
              <w:rPr>
                <w:sz w:val="24"/>
                <w:szCs w:val="24"/>
                <w:color w:val="auto"/>
              </w:rPr>
            </w:pPr>
          </w:p>
        </w:tc>
        <w:tc>
          <w:tcPr>
            <w:tcW w:w="4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1"/>
        </w:trPr>
        <w:tc>
          <w:tcPr>
            <w:tcW w:w="4240" w:type="dxa"/>
            <w:vAlign w:val="bottom"/>
            <w:gridSpan w:val="2"/>
          </w:tcPr>
          <w:p>
            <w:pPr>
              <w:ind w:left="40"/>
              <w:spacing w:after="0"/>
              <w:rPr>
                <w:sz w:val="20"/>
                <w:szCs w:val="20"/>
                <w:color w:val="auto"/>
              </w:rPr>
            </w:pPr>
            <w:r>
              <w:rPr>
                <w:rFonts w:ascii="Arial" w:cs="Arial" w:eastAsia="Arial" w:hAnsi="Arial"/>
                <w:sz w:val="17"/>
                <w:szCs w:val="17"/>
                <w:color w:val="auto"/>
              </w:rPr>
              <w:t>Realized price, without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68.77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center"/>
              <w:ind w:right="135"/>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22"/>
                <w:szCs w:val="22"/>
                <w:color w:val="auto"/>
              </w:rPr>
            </w:pPr>
          </w:p>
        </w:tc>
        <w:tc>
          <w:tcPr>
            <w:tcW w:w="1260" w:type="dxa"/>
            <w:vAlign w:val="bottom"/>
            <w:gridSpan w:val="3"/>
          </w:tcPr>
          <w:p>
            <w:pPr>
              <w:jc w:val="right"/>
              <w:ind w:right="935"/>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73.19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center"/>
              <w:ind w:right="155"/>
              <w:spacing w:after="0"/>
              <w:rPr>
                <w:sz w:val="20"/>
                <w:szCs w:val="20"/>
                <w:color w:val="auto"/>
              </w:rPr>
            </w:pPr>
            <w:r>
              <w:rPr>
                <w:rFonts w:ascii="Arial" w:cs="Arial" w:eastAsia="Arial" w:hAnsi="Arial"/>
                <w:sz w:val="17"/>
                <w:szCs w:val="17"/>
                <w:color w:val="auto"/>
                <w:w w:val="99"/>
              </w:rPr>
              <w:t>98%</w:t>
            </w:r>
          </w:p>
        </w:tc>
        <w:tc>
          <w:tcPr>
            <w:tcW w:w="20" w:type="dxa"/>
            <w:vAlign w:val="bottom"/>
          </w:tcPr>
          <w:p>
            <w:pPr>
              <w:spacing w:after="0"/>
              <w:rPr>
                <w:sz w:val="22"/>
                <w:szCs w:val="22"/>
                <w:color w:val="auto"/>
              </w:rPr>
            </w:pPr>
          </w:p>
        </w:tc>
      </w:tr>
      <w:tr>
        <w:trPr>
          <w:trHeight w:val="272"/>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Settled hedges</w:t>
            </w: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1.89</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(9.08)</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81"/>
        </w:trPr>
        <w:tc>
          <w:tcPr>
            <w:tcW w:w="4240" w:type="dxa"/>
            <w:vAlign w:val="bottom"/>
            <w:gridSpan w:val="2"/>
          </w:tcPr>
          <w:p>
            <w:pPr>
              <w:ind w:left="40"/>
              <w:spacing w:after="0"/>
              <w:rPr>
                <w:sz w:val="20"/>
                <w:szCs w:val="20"/>
                <w:color w:val="auto"/>
              </w:rPr>
            </w:pPr>
            <w:r>
              <w:rPr>
                <w:rFonts w:ascii="Arial" w:cs="Arial" w:eastAsia="Arial" w:hAnsi="Arial"/>
                <w:sz w:val="17"/>
                <w:szCs w:val="17"/>
                <w:color w:val="auto"/>
              </w:rPr>
              <w:t>Realized price, with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70.66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center"/>
              <w:ind w:right="135"/>
              <w:spacing w:after="0"/>
              <w:rPr>
                <w:sz w:val="20"/>
                <w:szCs w:val="20"/>
                <w:color w:val="auto"/>
              </w:rPr>
            </w:pPr>
            <w:r>
              <w:rPr>
                <w:rFonts w:ascii="Arial" w:cs="Arial" w:eastAsia="Arial" w:hAnsi="Arial"/>
                <w:sz w:val="17"/>
                <w:szCs w:val="17"/>
                <w:color w:val="auto"/>
              </w:rPr>
              <w:t>103%</w:t>
            </w:r>
          </w:p>
        </w:tc>
        <w:tc>
          <w:tcPr>
            <w:tcW w:w="20" w:type="dxa"/>
            <w:vAlign w:val="bottom"/>
          </w:tcPr>
          <w:p>
            <w:pPr>
              <w:spacing w:after="0"/>
              <w:rPr>
                <w:sz w:val="24"/>
                <w:szCs w:val="24"/>
                <w:color w:val="auto"/>
              </w:rPr>
            </w:pPr>
          </w:p>
        </w:tc>
        <w:tc>
          <w:tcPr>
            <w:tcW w:w="1260" w:type="dxa"/>
            <w:vAlign w:val="bottom"/>
            <w:gridSpan w:val="3"/>
          </w:tcPr>
          <w:p>
            <w:pPr>
              <w:jc w:val="right"/>
              <w:ind w:right="935"/>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64.11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center"/>
              <w:ind w:right="155"/>
              <w:spacing w:after="0"/>
              <w:rPr>
                <w:sz w:val="20"/>
                <w:szCs w:val="20"/>
                <w:color w:val="auto"/>
              </w:rPr>
            </w:pPr>
            <w:r>
              <w:rPr>
                <w:rFonts w:ascii="Arial" w:cs="Arial" w:eastAsia="Arial" w:hAnsi="Arial"/>
                <w:sz w:val="17"/>
                <w:szCs w:val="17"/>
                <w:color w:val="auto"/>
                <w:w w:val="99"/>
              </w:rPr>
              <w:t>86%</w:t>
            </w:r>
          </w:p>
        </w:tc>
        <w:tc>
          <w:tcPr>
            <w:tcW w:w="20" w:type="dxa"/>
            <w:vAlign w:val="bottom"/>
          </w:tcPr>
          <w:p>
            <w:pPr>
              <w:spacing w:after="0"/>
              <w:rPr>
                <w:sz w:val="24"/>
                <w:szCs w:val="24"/>
                <w:color w:val="auto"/>
              </w:rPr>
            </w:pPr>
          </w:p>
        </w:tc>
      </w:tr>
      <w:tr>
        <w:trPr>
          <w:trHeight w:val="266"/>
        </w:trPr>
        <w:tc>
          <w:tcPr>
            <w:tcW w:w="40" w:type="dxa"/>
            <w:vAlign w:val="bottom"/>
            <w:tcBorders>
              <w:top w:val="single" w:sz="8" w:color="CCEEFF"/>
            </w:tcBorders>
            <w:shd w:val="clear" w:color="auto" w:fill="CCEEFF"/>
          </w:tcPr>
          <w:p>
            <w:pPr>
              <w:spacing w:after="0"/>
              <w:rPr>
                <w:sz w:val="23"/>
                <w:szCs w:val="23"/>
                <w:color w:val="auto"/>
              </w:rPr>
            </w:pPr>
          </w:p>
        </w:tc>
        <w:tc>
          <w:tcPr>
            <w:tcW w:w="42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CCEEFF"/>
            </w:tcBorders>
            <w:shd w:val="clear" w:color="auto" w:fill="CCEEFF"/>
          </w:tcPr>
          <w:p>
            <w:pPr>
              <w:spacing w:after="0"/>
              <w:rPr>
                <w:sz w:val="23"/>
                <w:szCs w:val="23"/>
                <w:color w:val="auto"/>
              </w:rPr>
            </w:pPr>
          </w:p>
        </w:tc>
        <w:tc>
          <w:tcPr>
            <w:tcW w:w="14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CCEEFF"/>
            </w:tcBorders>
            <w:shd w:val="clear" w:color="auto" w:fill="CCEEFF"/>
          </w:tcPr>
          <w:p>
            <w:pPr>
              <w:spacing w:after="0"/>
              <w:rPr>
                <w:sz w:val="23"/>
                <w:szCs w:val="23"/>
                <w:color w:val="auto"/>
              </w:rPr>
            </w:pPr>
          </w:p>
        </w:tc>
        <w:tc>
          <w:tcPr>
            <w:tcW w:w="14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r>
      <w:tr>
        <w:trPr>
          <w:trHeight w:val="261"/>
        </w:trPr>
        <w:tc>
          <w:tcPr>
            <w:tcW w:w="4240" w:type="dxa"/>
            <w:vAlign w:val="bottom"/>
            <w:gridSpan w:val="2"/>
          </w:tcPr>
          <w:p>
            <w:pPr>
              <w:ind w:left="40"/>
              <w:spacing w:after="0"/>
              <w:rPr>
                <w:sz w:val="20"/>
                <w:szCs w:val="20"/>
                <w:color w:val="auto"/>
              </w:rPr>
            </w:pPr>
            <w:r>
              <w:rPr>
                <w:rFonts w:ascii="Arial" w:cs="Arial" w:eastAsia="Arial" w:hAnsi="Arial"/>
                <w:sz w:val="17"/>
                <w:szCs w:val="17"/>
                <w:color w:val="auto"/>
              </w:rPr>
              <w:t>WTI</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59.82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3"/>
          </w:tcPr>
          <w:p>
            <w:pPr>
              <w:jc w:val="right"/>
              <w:ind w:right="935"/>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67.88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9"/>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Realized price, without hedge</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68.77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ind w:right="135"/>
              <w:spacing w:after="0"/>
              <w:rPr>
                <w:sz w:val="20"/>
                <w:szCs w:val="20"/>
                <w:color w:val="auto"/>
              </w:rPr>
            </w:pPr>
            <w:r>
              <w:rPr>
                <w:rFonts w:ascii="Arial" w:cs="Arial" w:eastAsia="Arial" w:hAnsi="Arial"/>
                <w:sz w:val="17"/>
                <w:szCs w:val="17"/>
                <w:color w:val="auto"/>
              </w:rPr>
              <w:t>115%</w:t>
            </w:r>
          </w:p>
        </w:tc>
        <w:tc>
          <w:tcPr>
            <w:tcW w:w="2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w w:val="96"/>
              </w:rPr>
              <w:t>108%</w:t>
            </w:r>
          </w:p>
        </w:tc>
        <w:tc>
          <w:tcPr>
            <w:tcW w:w="20" w:type="dxa"/>
            <w:vAlign w:val="bottom"/>
            <w:shd w:val="clear" w:color="auto" w:fill="CCEEFF"/>
          </w:tcPr>
          <w:p>
            <w:pPr>
              <w:spacing w:after="0"/>
              <w:rPr>
                <w:sz w:val="24"/>
                <w:szCs w:val="24"/>
                <w:color w:val="auto"/>
              </w:rPr>
            </w:pPr>
          </w:p>
        </w:tc>
      </w:tr>
      <w:tr>
        <w:trPr>
          <w:trHeight w:val="261"/>
        </w:trPr>
        <w:tc>
          <w:tcPr>
            <w:tcW w:w="4240" w:type="dxa"/>
            <w:vAlign w:val="bottom"/>
            <w:gridSpan w:val="2"/>
          </w:tcPr>
          <w:p>
            <w:pPr>
              <w:ind w:left="40"/>
              <w:spacing w:after="0"/>
              <w:rPr>
                <w:sz w:val="20"/>
                <w:szCs w:val="20"/>
                <w:color w:val="auto"/>
              </w:rPr>
            </w:pPr>
            <w:r>
              <w:rPr>
                <w:rFonts w:ascii="Arial" w:cs="Arial" w:eastAsia="Arial" w:hAnsi="Arial"/>
                <w:sz w:val="17"/>
                <w:szCs w:val="17"/>
                <w:color w:val="auto"/>
              </w:rPr>
              <w:t>Realized price, with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70.66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center"/>
              <w:ind w:right="135"/>
              <w:spacing w:after="0"/>
              <w:rPr>
                <w:sz w:val="20"/>
                <w:szCs w:val="20"/>
                <w:color w:val="auto"/>
              </w:rPr>
            </w:pPr>
            <w:r>
              <w:rPr>
                <w:rFonts w:ascii="Arial" w:cs="Arial" w:eastAsia="Arial" w:hAnsi="Arial"/>
                <w:sz w:val="17"/>
                <w:szCs w:val="17"/>
                <w:color w:val="auto"/>
              </w:rPr>
              <w:t>118%</w:t>
            </w:r>
          </w:p>
        </w:tc>
        <w:tc>
          <w:tcPr>
            <w:tcW w:w="20" w:type="dxa"/>
            <w:vAlign w:val="bottom"/>
          </w:tcPr>
          <w:p>
            <w:pPr>
              <w:spacing w:after="0"/>
              <w:rPr>
                <w:sz w:val="22"/>
                <w:szCs w:val="22"/>
                <w:color w:val="auto"/>
              </w:rPr>
            </w:pPr>
          </w:p>
        </w:tc>
        <w:tc>
          <w:tcPr>
            <w:tcW w:w="1260" w:type="dxa"/>
            <w:vAlign w:val="bottom"/>
            <w:gridSpan w:val="3"/>
          </w:tcPr>
          <w:p>
            <w:pPr>
              <w:jc w:val="right"/>
              <w:ind w:right="935"/>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64.11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center"/>
              <w:ind w:right="155"/>
              <w:spacing w:after="0"/>
              <w:rPr>
                <w:sz w:val="20"/>
                <w:szCs w:val="20"/>
                <w:color w:val="auto"/>
              </w:rPr>
            </w:pPr>
            <w:r>
              <w:rPr>
                <w:rFonts w:ascii="Arial" w:cs="Arial" w:eastAsia="Arial" w:hAnsi="Arial"/>
                <w:sz w:val="17"/>
                <w:szCs w:val="17"/>
                <w:color w:val="auto"/>
                <w:w w:val="99"/>
              </w:rPr>
              <w:t>94%</w:t>
            </w:r>
          </w:p>
        </w:tc>
        <w:tc>
          <w:tcPr>
            <w:tcW w:w="20" w:type="dxa"/>
            <w:vAlign w:val="bottom"/>
          </w:tcPr>
          <w:p>
            <w:pPr>
              <w:spacing w:after="0"/>
              <w:rPr>
                <w:sz w:val="22"/>
                <w:szCs w:val="22"/>
                <w:color w:val="auto"/>
              </w:rPr>
            </w:pPr>
          </w:p>
        </w:tc>
      </w:tr>
      <w:tr>
        <w:trPr>
          <w:trHeight w:val="292"/>
        </w:trPr>
        <w:tc>
          <w:tcPr>
            <w:tcW w:w="40" w:type="dxa"/>
            <w:vAlign w:val="bottom"/>
            <w:shd w:val="clear" w:color="auto" w:fill="CCEEFF"/>
          </w:tcPr>
          <w:p>
            <w:pPr>
              <w:spacing w:after="0"/>
              <w:rPr>
                <w:sz w:val="24"/>
                <w:szCs w:val="24"/>
                <w:color w:val="auto"/>
              </w:rPr>
            </w:pPr>
          </w:p>
        </w:tc>
        <w:tc>
          <w:tcPr>
            <w:tcW w:w="4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1"/>
        </w:trPr>
        <w:tc>
          <w:tcPr>
            <w:tcW w:w="4240" w:type="dxa"/>
            <w:vAlign w:val="bottom"/>
            <w:gridSpan w:val="2"/>
          </w:tcPr>
          <w:p>
            <w:pPr>
              <w:ind w:left="40"/>
              <w:spacing w:after="0"/>
              <w:rPr>
                <w:sz w:val="20"/>
                <w:szCs w:val="20"/>
                <w:color w:val="auto"/>
              </w:rPr>
            </w:pPr>
            <w:r>
              <w:rPr>
                <w:rFonts w:ascii="Arial" w:cs="Arial" w:eastAsia="Arial" w:hAnsi="Arial"/>
                <w:sz w:val="17"/>
                <w:szCs w:val="17"/>
                <w:b w:val="1"/>
                <w:bCs w:val="1"/>
                <w:color w:val="auto"/>
              </w:rPr>
              <w:t>NGLs ($ per Bbl)</w:t>
            </w: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9"/>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Realized price (% of Brent)</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27.82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w w:val="99"/>
              </w:rPr>
              <w:t>41%</w:t>
            </w:r>
          </w:p>
        </w:tc>
        <w:tc>
          <w:tcPr>
            <w:tcW w:w="2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w w:val="99"/>
              </w:rPr>
              <w:t>56%</w:t>
            </w:r>
          </w:p>
        </w:tc>
        <w:tc>
          <w:tcPr>
            <w:tcW w:w="20" w:type="dxa"/>
            <w:vAlign w:val="bottom"/>
            <w:shd w:val="clear" w:color="auto" w:fill="CCEEFF"/>
          </w:tcPr>
          <w:p>
            <w:pPr>
              <w:spacing w:after="0"/>
              <w:rPr>
                <w:sz w:val="24"/>
                <w:szCs w:val="24"/>
                <w:color w:val="auto"/>
              </w:rPr>
            </w:pPr>
          </w:p>
        </w:tc>
      </w:tr>
      <w:tr>
        <w:trPr>
          <w:trHeight w:val="261"/>
        </w:trPr>
        <w:tc>
          <w:tcPr>
            <w:tcW w:w="4240" w:type="dxa"/>
            <w:vAlign w:val="bottom"/>
            <w:gridSpan w:val="2"/>
          </w:tcPr>
          <w:p>
            <w:pPr>
              <w:ind w:left="40"/>
              <w:spacing w:after="0"/>
              <w:rPr>
                <w:sz w:val="20"/>
                <w:szCs w:val="20"/>
                <w:color w:val="auto"/>
              </w:rPr>
            </w:pPr>
            <w:r>
              <w:rPr>
                <w:rFonts w:ascii="Arial" w:cs="Arial" w:eastAsia="Arial" w:hAnsi="Arial"/>
                <w:sz w:val="17"/>
                <w:szCs w:val="17"/>
                <w:color w:val="auto"/>
              </w:rPr>
              <w:t>Realized price (% of WTI)</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27.82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center"/>
              <w:ind w:right="155"/>
              <w:spacing w:after="0"/>
              <w:rPr>
                <w:sz w:val="20"/>
                <w:szCs w:val="20"/>
                <w:color w:val="auto"/>
              </w:rPr>
            </w:pPr>
            <w:r>
              <w:rPr>
                <w:rFonts w:ascii="Arial" w:cs="Arial" w:eastAsia="Arial" w:hAnsi="Arial"/>
                <w:sz w:val="17"/>
                <w:szCs w:val="17"/>
                <w:color w:val="auto"/>
                <w:w w:val="99"/>
              </w:rPr>
              <w:t>47%</w:t>
            </w:r>
          </w:p>
        </w:tc>
        <w:tc>
          <w:tcPr>
            <w:tcW w:w="20" w:type="dxa"/>
            <w:vAlign w:val="bottom"/>
          </w:tcPr>
          <w:p>
            <w:pPr>
              <w:spacing w:after="0"/>
              <w:rPr>
                <w:sz w:val="22"/>
                <w:szCs w:val="22"/>
                <w:color w:val="auto"/>
              </w:rPr>
            </w:pPr>
          </w:p>
        </w:tc>
        <w:tc>
          <w:tcPr>
            <w:tcW w:w="1260" w:type="dxa"/>
            <w:vAlign w:val="bottom"/>
            <w:gridSpan w:val="3"/>
          </w:tcPr>
          <w:p>
            <w:pPr>
              <w:jc w:val="right"/>
              <w:ind w:right="935"/>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42.13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center"/>
              <w:ind w:right="155"/>
              <w:spacing w:after="0"/>
              <w:rPr>
                <w:sz w:val="20"/>
                <w:szCs w:val="20"/>
                <w:color w:val="auto"/>
              </w:rPr>
            </w:pPr>
            <w:r>
              <w:rPr>
                <w:rFonts w:ascii="Arial" w:cs="Arial" w:eastAsia="Arial" w:hAnsi="Arial"/>
                <w:sz w:val="17"/>
                <w:szCs w:val="17"/>
                <w:color w:val="auto"/>
                <w:w w:val="99"/>
              </w:rPr>
              <w:t>62%</w:t>
            </w:r>
          </w:p>
        </w:tc>
        <w:tc>
          <w:tcPr>
            <w:tcW w:w="20" w:type="dxa"/>
            <w:vAlign w:val="bottom"/>
          </w:tcPr>
          <w:p>
            <w:pPr>
              <w:spacing w:after="0"/>
              <w:rPr>
                <w:sz w:val="22"/>
                <w:szCs w:val="22"/>
                <w:color w:val="auto"/>
              </w:rPr>
            </w:pPr>
          </w:p>
        </w:tc>
      </w:tr>
      <w:tr>
        <w:trPr>
          <w:trHeight w:val="292"/>
        </w:trPr>
        <w:tc>
          <w:tcPr>
            <w:tcW w:w="40" w:type="dxa"/>
            <w:vAlign w:val="bottom"/>
            <w:shd w:val="clear" w:color="auto" w:fill="CCEEFF"/>
          </w:tcPr>
          <w:p>
            <w:pPr>
              <w:spacing w:after="0"/>
              <w:rPr>
                <w:sz w:val="24"/>
                <w:szCs w:val="24"/>
                <w:color w:val="auto"/>
              </w:rPr>
            </w:pPr>
          </w:p>
        </w:tc>
        <w:tc>
          <w:tcPr>
            <w:tcW w:w="4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1"/>
        </w:trPr>
        <w:tc>
          <w:tcPr>
            <w:tcW w:w="4240" w:type="dxa"/>
            <w:vAlign w:val="bottom"/>
            <w:gridSpan w:val="2"/>
          </w:tcPr>
          <w:p>
            <w:pPr>
              <w:ind w:left="40"/>
              <w:spacing w:after="0"/>
              <w:rPr>
                <w:sz w:val="20"/>
                <w:szCs w:val="20"/>
                <w:color w:val="auto"/>
              </w:rPr>
            </w:pPr>
            <w:r>
              <w:rPr>
                <w:rFonts w:ascii="Arial" w:cs="Arial" w:eastAsia="Arial" w:hAnsi="Arial"/>
                <w:sz w:val="17"/>
                <w:szCs w:val="17"/>
                <w:b w:val="1"/>
                <w:bCs w:val="1"/>
                <w:color w:val="auto"/>
              </w:rPr>
              <w:t>Natural gas</w:t>
            </w: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9"/>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NYMEX ($/MMBTU)</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2.66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Realized price, w/out hedge ($/Mcf)</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2.33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w w:val="99"/>
              </w:rPr>
              <w:t>88%</w:t>
            </w:r>
          </w:p>
        </w:tc>
        <w:tc>
          <w:tcPr>
            <w:tcW w:w="2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w w:val="99"/>
              </w:rPr>
              <w:t>82%</w:t>
            </w:r>
          </w:p>
        </w:tc>
        <w:tc>
          <w:tcPr>
            <w:tcW w:w="20" w:type="dxa"/>
            <w:vAlign w:val="bottom"/>
            <w:shd w:val="clear" w:color="auto" w:fill="CCEEFF"/>
          </w:tcPr>
          <w:p>
            <w:pPr>
              <w:spacing w:after="0"/>
              <w:rPr>
                <w:sz w:val="23"/>
                <w:szCs w:val="23"/>
                <w:color w:val="auto"/>
              </w:rPr>
            </w:pPr>
          </w:p>
        </w:tc>
      </w:tr>
      <w:tr>
        <w:trPr>
          <w:trHeight w:val="264"/>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7"/>
                <w:szCs w:val="17"/>
                <w:color w:val="auto"/>
              </w:rPr>
              <w:t>Settled hedges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0.03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r>
      <w:tr>
        <w:trPr>
          <w:trHeight w:val="241"/>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Realized price, with hedge ($/Mcf)</w:t>
            </w: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2.36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7"/>
                <w:szCs w:val="17"/>
                <w:color w:val="auto"/>
                <w:w w:val="99"/>
              </w:rPr>
              <w:t>89%</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7"/>
                <w:szCs w:val="17"/>
                <w:color w:val="auto"/>
                <w:w w:val="99"/>
              </w:rPr>
              <w:t>82%</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1"/>
        </w:trPr>
        <w:tc>
          <w:tcPr>
            <w:tcW w:w="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35"/>
              <w:spacing w:after="0"/>
              <w:rPr>
                <w:sz w:val="20"/>
                <w:szCs w:val="20"/>
                <w:color w:val="auto"/>
              </w:rPr>
            </w:pPr>
            <w:r>
              <w:rPr>
                <w:rFonts w:ascii="Arial" w:cs="Arial" w:eastAsia="Arial" w:hAnsi="Arial"/>
                <w:sz w:val="17"/>
                <w:szCs w:val="17"/>
                <w:b w:val="1"/>
                <w:bCs w:val="1"/>
                <w:color w:val="auto"/>
              </w:rPr>
              <w:t>Six months ended June 30,</w:t>
            </w: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7"/>
                <w:szCs w:val="17"/>
                <w:b w:val="1"/>
                <w:bCs w:val="1"/>
                <w:color w:val="auto"/>
              </w:rPr>
              <w:t>2019</w:t>
            </w:r>
          </w:p>
        </w:tc>
        <w:tc>
          <w:tcPr>
            <w:tcW w:w="14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7"/>
                <w:szCs w:val="17"/>
                <w:b w:val="1"/>
                <w:bCs w:val="1"/>
                <w:color w:val="auto"/>
              </w:rPr>
              <w:t>2018</w:t>
            </w:r>
          </w:p>
        </w:tc>
        <w:tc>
          <w:tcPr>
            <w:tcW w:w="14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20" w:type="dxa"/>
            <w:vAlign w:val="bottom"/>
            <w:gridSpan w:val="5"/>
          </w:tcPr>
          <w:p>
            <w:pPr>
              <w:jc w:val="right"/>
              <w:ind w:right="1040"/>
              <w:spacing w:after="0"/>
              <w:rPr>
                <w:sz w:val="20"/>
                <w:szCs w:val="20"/>
                <w:color w:val="auto"/>
              </w:rPr>
            </w:pPr>
            <w:r>
              <w:rPr>
                <w:rFonts w:ascii="Arial" w:cs="Arial" w:eastAsia="Arial" w:hAnsi="Arial"/>
                <w:sz w:val="17"/>
                <w:szCs w:val="17"/>
                <w:b w:val="1"/>
                <w:bCs w:val="1"/>
                <w:color w:val="auto"/>
              </w:rPr>
              <w:t>Price</w:t>
            </w:r>
          </w:p>
        </w:tc>
        <w:tc>
          <w:tcPr>
            <w:tcW w:w="1440" w:type="dxa"/>
            <w:vAlign w:val="bottom"/>
            <w:gridSpan w:val="2"/>
          </w:tcPr>
          <w:p>
            <w:pPr>
              <w:ind w:left="120"/>
              <w:spacing w:after="0"/>
              <w:rPr>
                <w:sz w:val="20"/>
                <w:szCs w:val="20"/>
                <w:color w:val="auto"/>
              </w:rPr>
            </w:pPr>
            <w:r>
              <w:rPr>
                <w:rFonts w:ascii="Arial" w:cs="Arial" w:eastAsia="Arial" w:hAnsi="Arial"/>
                <w:sz w:val="17"/>
                <w:szCs w:val="17"/>
                <w:b w:val="1"/>
                <w:bCs w:val="1"/>
                <w:color w:val="auto"/>
              </w:rPr>
              <w:t>Realization</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Price</w:t>
            </w: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7"/>
                <w:szCs w:val="17"/>
                <w:b w:val="1"/>
                <w:bCs w:val="1"/>
                <w:color w:val="auto"/>
              </w:rPr>
              <w:t>Realization</w:t>
            </w:r>
          </w:p>
        </w:tc>
      </w:tr>
      <w:tr>
        <w:trPr>
          <w:trHeight w:val="270"/>
        </w:trPr>
        <w:tc>
          <w:tcPr>
            <w:tcW w:w="40" w:type="dxa"/>
            <w:vAlign w:val="bottom"/>
          </w:tcPr>
          <w:p>
            <w:pPr>
              <w:spacing w:after="0"/>
              <w:rPr>
                <w:sz w:val="23"/>
                <w:szCs w:val="23"/>
                <w:color w:val="auto"/>
              </w:rPr>
            </w:pPr>
          </w:p>
        </w:tc>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Oil ($ per Bbl)</w:t>
            </w:r>
          </w:p>
        </w:tc>
        <w:tc>
          <w:tcPr>
            <w:tcW w:w="38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61"/>
        </w:trPr>
        <w:tc>
          <w:tcPr>
            <w:tcW w:w="40" w:type="dxa"/>
            <w:vAlign w:val="bottom"/>
          </w:tcPr>
          <w:p>
            <w:pPr>
              <w:spacing w:after="0"/>
              <w:rPr>
                <w:sz w:val="22"/>
                <w:szCs w:val="22"/>
                <w:color w:val="auto"/>
              </w:rPr>
            </w:pPr>
          </w:p>
        </w:tc>
        <w:tc>
          <w:tcPr>
            <w:tcW w:w="4200" w:type="dxa"/>
            <w:vAlign w:val="bottom"/>
          </w:tcPr>
          <w:p>
            <w:pPr>
              <w:ind w:left="20"/>
              <w:spacing w:after="0"/>
              <w:rPr>
                <w:sz w:val="20"/>
                <w:szCs w:val="20"/>
                <w:color w:val="auto"/>
              </w:rPr>
            </w:pPr>
            <w:r>
              <w:rPr>
                <w:rFonts w:ascii="Arial" w:cs="Arial" w:eastAsia="Arial" w:hAnsi="Arial"/>
                <w:sz w:val="17"/>
                <w:szCs w:val="17"/>
                <w:color w:val="auto"/>
              </w:rPr>
              <w:t>Brent</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66.11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3"/>
          </w:tcPr>
          <w:p>
            <w:pPr>
              <w:jc w:val="right"/>
              <w:ind w:right="955"/>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15"/>
              <w:spacing w:after="0"/>
              <w:rPr>
                <w:sz w:val="20"/>
                <w:szCs w:val="20"/>
                <w:color w:val="auto"/>
              </w:rPr>
            </w:pPr>
            <w:r>
              <w:rPr>
                <w:rFonts w:ascii="Arial" w:cs="Arial" w:eastAsia="Arial" w:hAnsi="Arial"/>
                <w:sz w:val="17"/>
                <w:szCs w:val="17"/>
                <w:color w:val="auto"/>
                <w:w w:val="98"/>
              </w:rPr>
              <w:t>71.04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2"/>
        </w:trPr>
        <w:tc>
          <w:tcPr>
            <w:tcW w:w="40" w:type="dxa"/>
            <w:vAlign w:val="bottom"/>
          </w:tcPr>
          <w:p>
            <w:pPr>
              <w:spacing w:after="0"/>
              <w:rPr>
                <w:sz w:val="24"/>
                <w:szCs w:val="24"/>
                <w:color w:val="auto"/>
              </w:rPr>
            </w:pPr>
          </w:p>
        </w:tc>
        <w:tc>
          <w:tcPr>
            <w:tcW w:w="4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1"/>
        </w:trPr>
        <w:tc>
          <w:tcPr>
            <w:tcW w:w="40" w:type="dxa"/>
            <w:vAlign w:val="bottom"/>
          </w:tcPr>
          <w:p>
            <w:pPr>
              <w:spacing w:after="0"/>
              <w:rPr>
                <w:sz w:val="22"/>
                <w:szCs w:val="22"/>
                <w:color w:val="auto"/>
              </w:rPr>
            </w:pPr>
          </w:p>
        </w:tc>
        <w:tc>
          <w:tcPr>
            <w:tcW w:w="4200" w:type="dxa"/>
            <w:vAlign w:val="bottom"/>
          </w:tcPr>
          <w:p>
            <w:pPr>
              <w:ind w:left="20"/>
              <w:spacing w:after="0"/>
              <w:rPr>
                <w:sz w:val="20"/>
                <w:szCs w:val="20"/>
                <w:color w:val="auto"/>
              </w:rPr>
            </w:pPr>
            <w:r>
              <w:rPr>
                <w:rFonts w:ascii="Arial" w:cs="Arial" w:eastAsia="Arial" w:hAnsi="Arial"/>
                <w:sz w:val="17"/>
                <w:szCs w:val="17"/>
                <w:color w:val="auto"/>
              </w:rPr>
              <w:t>Realized price, without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65.97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6"/>
              </w:rPr>
              <w:t>100%</w:t>
            </w:r>
          </w:p>
        </w:tc>
        <w:tc>
          <w:tcPr>
            <w:tcW w:w="20" w:type="dxa"/>
            <w:vAlign w:val="bottom"/>
          </w:tcPr>
          <w:p>
            <w:pPr>
              <w:spacing w:after="0"/>
              <w:rPr>
                <w:sz w:val="22"/>
                <w:szCs w:val="22"/>
                <w:color w:val="auto"/>
              </w:rPr>
            </w:pPr>
          </w:p>
        </w:tc>
        <w:tc>
          <w:tcPr>
            <w:tcW w:w="1260" w:type="dxa"/>
            <w:vAlign w:val="bottom"/>
            <w:gridSpan w:val="3"/>
          </w:tcPr>
          <w:p>
            <w:pPr>
              <w:jc w:val="right"/>
              <w:ind w:right="955"/>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15"/>
              <w:spacing w:after="0"/>
              <w:rPr>
                <w:sz w:val="20"/>
                <w:szCs w:val="20"/>
                <w:color w:val="auto"/>
              </w:rPr>
            </w:pPr>
            <w:r>
              <w:rPr>
                <w:rFonts w:ascii="Arial" w:cs="Arial" w:eastAsia="Arial" w:hAnsi="Arial"/>
                <w:sz w:val="17"/>
                <w:szCs w:val="17"/>
                <w:color w:val="auto"/>
                <w:w w:val="98"/>
              </w:rPr>
              <w:t>70.35</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9"/>
              </w:rPr>
              <w:t>99%</w:t>
            </w:r>
          </w:p>
        </w:tc>
        <w:tc>
          <w:tcPr>
            <w:tcW w:w="20" w:type="dxa"/>
            <w:vAlign w:val="bottom"/>
          </w:tcPr>
          <w:p>
            <w:pPr>
              <w:spacing w:after="0"/>
              <w:rPr>
                <w:sz w:val="22"/>
                <w:szCs w:val="22"/>
                <w:color w:val="auto"/>
              </w:rPr>
            </w:pPr>
          </w:p>
        </w:tc>
      </w:tr>
      <w:tr>
        <w:trPr>
          <w:trHeight w:val="272"/>
        </w:trPr>
        <w:tc>
          <w:tcPr>
            <w:tcW w:w="40" w:type="dxa"/>
            <w:vAlign w:val="bottom"/>
          </w:tcPr>
          <w:p>
            <w:pPr>
              <w:spacing w:after="0"/>
              <w:rPr>
                <w:sz w:val="23"/>
                <w:szCs w:val="23"/>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Settled hedges</w:t>
            </w: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1.93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81"/>
        </w:trPr>
        <w:tc>
          <w:tcPr>
            <w:tcW w:w="4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Arial" w:cs="Arial" w:eastAsia="Arial" w:hAnsi="Arial"/>
                <w:sz w:val="17"/>
                <w:szCs w:val="17"/>
                <w:color w:val="auto"/>
              </w:rPr>
              <w:t>Realized price, with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67.90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6"/>
              </w:rPr>
              <w:t>103%</w:t>
            </w:r>
          </w:p>
        </w:tc>
        <w:tc>
          <w:tcPr>
            <w:tcW w:w="20" w:type="dxa"/>
            <w:vAlign w:val="bottom"/>
          </w:tcPr>
          <w:p>
            <w:pPr>
              <w:spacing w:after="0"/>
              <w:rPr>
                <w:sz w:val="24"/>
                <w:szCs w:val="24"/>
                <w:color w:val="auto"/>
              </w:rPr>
            </w:pPr>
          </w:p>
        </w:tc>
        <w:tc>
          <w:tcPr>
            <w:tcW w:w="1260" w:type="dxa"/>
            <w:vAlign w:val="bottom"/>
            <w:gridSpan w:val="3"/>
          </w:tcPr>
          <w:p>
            <w:pPr>
              <w:jc w:val="right"/>
              <w:ind w:right="955"/>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15"/>
              <w:spacing w:after="0"/>
              <w:rPr>
                <w:sz w:val="20"/>
                <w:szCs w:val="20"/>
                <w:color w:val="auto"/>
              </w:rPr>
            </w:pPr>
            <w:r>
              <w:rPr>
                <w:rFonts w:ascii="Arial" w:cs="Arial" w:eastAsia="Arial" w:hAnsi="Arial"/>
                <w:sz w:val="17"/>
                <w:szCs w:val="17"/>
                <w:color w:val="auto"/>
                <w:w w:val="98"/>
              </w:rPr>
              <w:t>63.47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9"/>
              </w:rPr>
              <w:t>89%</w:t>
            </w:r>
          </w:p>
        </w:tc>
        <w:tc>
          <w:tcPr>
            <w:tcW w:w="20" w:type="dxa"/>
            <w:vAlign w:val="bottom"/>
          </w:tcPr>
          <w:p>
            <w:pPr>
              <w:spacing w:after="0"/>
              <w:rPr>
                <w:sz w:val="24"/>
                <w:szCs w:val="24"/>
                <w:color w:val="auto"/>
              </w:rPr>
            </w:pPr>
          </w:p>
        </w:tc>
      </w:tr>
      <w:tr>
        <w:trPr>
          <w:trHeight w:val="266"/>
        </w:trPr>
        <w:tc>
          <w:tcPr>
            <w:tcW w:w="40" w:type="dxa"/>
            <w:vAlign w:val="bottom"/>
          </w:tcPr>
          <w:p>
            <w:pPr>
              <w:spacing w:after="0"/>
              <w:rPr>
                <w:sz w:val="23"/>
                <w:szCs w:val="23"/>
                <w:color w:val="auto"/>
              </w:rPr>
            </w:pPr>
          </w:p>
        </w:tc>
        <w:tc>
          <w:tcPr>
            <w:tcW w:w="42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CCEEFF"/>
            </w:tcBorders>
            <w:shd w:val="clear" w:color="auto" w:fill="CCEEFF"/>
          </w:tcPr>
          <w:p>
            <w:pPr>
              <w:spacing w:after="0"/>
              <w:rPr>
                <w:sz w:val="23"/>
                <w:szCs w:val="23"/>
                <w:color w:val="auto"/>
              </w:rPr>
            </w:pPr>
          </w:p>
        </w:tc>
        <w:tc>
          <w:tcPr>
            <w:tcW w:w="14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CCEEFF"/>
            </w:tcBorders>
            <w:shd w:val="clear" w:color="auto" w:fill="CCEEFF"/>
          </w:tcPr>
          <w:p>
            <w:pPr>
              <w:spacing w:after="0"/>
              <w:rPr>
                <w:sz w:val="23"/>
                <w:szCs w:val="23"/>
                <w:color w:val="auto"/>
              </w:rPr>
            </w:pPr>
          </w:p>
        </w:tc>
        <w:tc>
          <w:tcPr>
            <w:tcW w:w="1420" w:type="dxa"/>
            <w:vAlign w:val="bottom"/>
            <w:tcBorders>
              <w:top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61"/>
        </w:trPr>
        <w:tc>
          <w:tcPr>
            <w:tcW w:w="40" w:type="dxa"/>
            <w:vAlign w:val="bottom"/>
          </w:tcPr>
          <w:p>
            <w:pPr>
              <w:spacing w:after="0"/>
              <w:rPr>
                <w:sz w:val="22"/>
                <w:szCs w:val="22"/>
                <w:color w:val="auto"/>
              </w:rPr>
            </w:pPr>
          </w:p>
        </w:tc>
        <w:tc>
          <w:tcPr>
            <w:tcW w:w="4200" w:type="dxa"/>
            <w:vAlign w:val="bottom"/>
          </w:tcPr>
          <w:p>
            <w:pPr>
              <w:ind w:left="20"/>
              <w:spacing w:after="0"/>
              <w:rPr>
                <w:sz w:val="20"/>
                <w:szCs w:val="20"/>
                <w:color w:val="auto"/>
              </w:rPr>
            </w:pPr>
            <w:r>
              <w:rPr>
                <w:rFonts w:ascii="Arial" w:cs="Arial" w:eastAsia="Arial" w:hAnsi="Arial"/>
                <w:sz w:val="17"/>
                <w:szCs w:val="17"/>
                <w:color w:val="auto"/>
              </w:rPr>
              <w:t>WTI</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57.36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3"/>
          </w:tcPr>
          <w:p>
            <w:pPr>
              <w:jc w:val="right"/>
              <w:ind w:right="955"/>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15"/>
              <w:spacing w:after="0"/>
              <w:rPr>
                <w:sz w:val="20"/>
                <w:szCs w:val="20"/>
                <w:color w:val="auto"/>
              </w:rPr>
            </w:pPr>
            <w:r>
              <w:rPr>
                <w:rFonts w:ascii="Arial" w:cs="Arial" w:eastAsia="Arial" w:hAnsi="Arial"/>
                <w:sz w:val="17"/>
                <w:szCs w:val="17"/>
                <w:color w:val="auto"/>
                <w:w w:val="98"/>
              </w:rPr>
              <w:t>65.37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9"/>
        </w:trPr>
        <w:tc>
          <w:tcPr>
            <w:tcW w:w="40" w:type="dxa"/>
            <w:vAlign w:val="bottom"/>
          </w:tcPr>
          <w:p>
            <w:pPr>
              <w:spacing w:after="0"/>
              <w:rPr>
                <w:sz w:val="24"/>
                <w:szCs w:val="24"/>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without hedge</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65.97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6"/>
              </w:rPr>
              <w:t>115%</w:t>
            </w:r>
          </w:p>
        </w:tc>
        <w:tc>
          <w:tcPr>
            <w:tcW w:w="2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955"/>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8"/>
              </w:rPr>
              <w:t>70.35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ind w:right="215"/>
              <w:spacing w:after="0"/>
              <w:rPr>
                <w:sz w:val="20"/>
                <w:szCs w:val="20"/>
                <w:color w:val="auto"/>
              </w:rPr>
            </w:pPr>
            <w:r>
              <w:rPr>
                <w:rFonts w:ascii="Arial" w:cs="Arial" w:eastAsia="Arial" w:hAnsi="Arial"/>
                <w:sz w:val="17"/>
                <w:szCs w:val="17"/>
                <w:color w:val="auto"/>
              </w:rPr>
              <w:t>108%</w:t>
            </w:r>
          </w:p>
        </w:tc>
        <w:tc>
          <w:tcPr>
            <w:tcW w:w="20" w:type="dxa"/>
            <w:vAlign w:val="bottom"/>
          </w:tcPr>
          <w:p>
            <w:pPr>
              <w:spacing w:after="0"/>
              <w:rPr>
                <w:sz w:val="24"/>
                <w:szCs w:val="24"/>
                <w:color w:val="auto"/>
              </w:rPr>
            </w:pPr>
          </w:p>
        </w:tc>
      </w:tr>
      <w:tr>
        <w:trPr>
          <w:trHeight w:val="261"/>
        </w:trPr>
        <w:tc>
          <w:tcPr>
            <w:tcW w:w="40" w:type="dxa"/>
            <w:vAlign w:val="bottom"/>
          </w:tcPr>
          <w:p>
            <w:pPr>
              <w:spacing w:after="0"/>
              <w:rPr>
                <w:sz w:val="22"/>
                <w:szCs w:val="22"/>
                <w:color w:val="auto"/>
              </w:rPr>
            </w:pPr>
          </w:p>
        </w:tc>
        <w:tc>
          <w:tcPr>
            <w:tcW w:w="4200" w:type="dxa"/>
            <w:vAlign w:val="bottom"/>
          </w:tcPr>
          <w:p>
            <w:pPr>
              <w:ind w:left="20"/>
              <w:spacing w:after="0"/>
              <w:rPr>
                <w:sz w:val="20"/>
                <w:szCs w:val="20"/>
                <w:color w:val="auto"/>
              </w:rPr>
            </w:pPr>
            <w:r>
              <w:rPr>
                <w:rFonts w:ascii="Arial" w:cs="Arial" w:eastAsia="Arial" w:hAnsi="Arial"/>
                <w:sz w:val="17"/>
                <w:szCs w:val="17"/>
                <w:color w:val="auto"/>
              </w:rPr>
              <w:t>Realized price, with hedge</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67.90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6"/>
              </w:rPr>
              <w:t>118%</w:t>
            </w:r>
          </w:p>
        </w:tc>
        <w:tc>
          <w:tcPr>
            <w:tcW w:w="20" w:type="dxa"/>
            <w:vAlign w:val="bottom"/>
          </w:tcPr>
          <w:p>
            <w:pPr>
              <w:spacing w:after="0"/>
              <w:rPr>
                <w:sz w:val="22"/>
                <w:szCs w:val="22"/>
                <w:color w:val="auto"/>
              </w:rPr>
            </w:pPr>
          </w:p>
        </w:tc>
        <w:tc>
          <w:tcPr>
            <w:tcW w:w="1260" w:type="dxa"/>
            <w:vAlign w:val="bottom"/>
            <w:gridSpan w:val="3"/>
          </w:tcPr>
          <w:p>
            <w:pPr>
              <w:jc w:val="right"/>
              <w:ind w:right="955"/>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15"/>
              <w:spacing w:after="0"/>
              <w:rPr>
                <w:sz w:val="20"/>
                <w:szCs w:val="20"/>
                <w:color w:val="auto"/>
              </w:rPr>
            </w:pPr>
            <w:r>
              <w:rPr>
                <w:rFonts w:ascii="Arial" w:cs="Arial" w:eastAsia="Arial" w:hAnsi="Arial"/>
                <w:sz w:val="17"/>
                <w:szCs w:val="17"/>
                <w:color w:val="auto"/>
                <w:w w:val="98"/>
              </w:rPr>
              <w:t>63.47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9"/>
              </w:rPr>
              <w:t>97%</w:t>
            </w:r>
          </w:p>
        </w:tc>
        <w:tc>
          <w:tcPr>
            <w:tcW w:w="20" w:type="dxa"/>
            <w:vAlign w:val="bottom"/>
          </w:tcPr>
          <w:p>
            <w:pPr>
              <w:spacing w:after="0"/>
              <w:rPr>
                <w:sz w:val="22"/>
                <w:szCs w:val="22"/>
                <w:color w:val="auto"/>
              </w:rPr>
            </w:pPr>
          </w:p>
        </w:tc>
      </w:tr>
      <w:tr>
        <w:trPr>
          <w:trHeight w:val="292"/>
        </w:trPr>
        <w:tc>
          <w:tcPr>
            <w:tcW w:w="40" w:type="dxa"/>
            <w:vAlign w:val="bottom"/>
          </w:tcPr>
          <w:p>
            <w:pPr>
              <w:spacing w:after="0"/>
              <w:rPr>
                <w:sz w:val="24"/>
                <w:szCs w:val="24"/>
                <w:color w:val="auto"/>
              </w:rPr>
            </w:pPr>
          </w:p>
        </w:tc>
        <w:tc>
          <w:tcPr>
            <w:tcW w:w="4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1"/>
        </w:trPr>
        <w:tc>
          <w:tcPr>
            <w:tcW w:w="40" w:type="dxa"/>
            <w:vAlign w:val="bottom"/>
          </w:tcPr>
          <w:p>
            <w:pPr>
              <w:spacing w:after="0"/>
              <w:rPr>
                <w:sz w:val="22"/>
                <w:szCs w:val="22"/>
                <w:color w:val="auto"/>
              </w:rPr>
            </w:pPr>
          </w:p>
        </w:tc>
        <w:tc>
          <w:tcPr>
            <w:tcW w:w="4200" w:type="dxa"/>
            <w:vAlign w:val="bottom"/>
          </w:tcPr>
          <w:p>
            <w:pPr>
              <w:ind w:left="20"/>
              <w:spacing w:after="0"/>
              <w:rPr>
                <w:sz w:val="20"/>
                <w:szCs w:val="20"/>
                <w:color w:val="auto"/>
              </w:rPr>
            </w:pPr>
            <w:r>
              <w:rPr>
                <w:rFonts w:ascii="Arial" w:cs="Arial" w:eastAsia="Arial" w:hAnsi="Arial"/>
                <w:sz w:val="17"/>
                <w:szCs w:val="17"/>
                <w:b w:val="1"/>
                <w:bCs w:val="1"/>
                <w:color w:val="auto"/>
              </w:rPr>
              <w:t>NGLs ($ per Bbl)</w:t>
            </w: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9"/>
        </w:trPr>
        <w:tc>
          <w:tcPr>
            <w:tcW w:w="40" w:type="dxa"/>
            <w:vAlign w:val="bottom"/>
          </w:tcPr>
          <w:p>
            <w:pPr>
              <w:spacing w:after="0"/>
              <w:rPr>
                <w:sz w:val="24"/>
                <w:szCs w:val="24"/>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Brent)</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34.97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9"/>
              </w:rPr>
              <w:t>53%</w:t>
            </w:r>
          </w:p>
        </w:tc>
        <w:tc>
          <w:tcPr>
            <w:tcW w:w="2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955"/>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8"/>
              </w:rPr>
              <w:t>42.63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9"/>
              </w:rPr>
              <w:t>60%</w:t>
            </w:r>
          </w:p>
        </w:tc>
        <w:tc>
          <w:tcPr>
            <w:tcW w:w="20" w:type="dxa"/>
            <w:vAlign w:val="bottom"/>
          </w:tcPr>
          <w:p>
            <w:pPr>
              <w:spacing w:after="0"/>
              <w:rPr>
                <w:sz w:val="24"/>
                <w:szCs w:val="24"/>
                <w:color w:val="auto"/>
              </w:rPr>
            </w:pPr>
          </w:p>
        </w:tc>
      </w:tr>
      <w:tr>
        <w:trPr>
          <w:trHeight w:val="261"/>
        </w:trPr>
        <w:tc>
          <w:tcPr>
            <w:tcW w:w="40" w:type="dxa"/>
            <w:vAlign w:val="bottom"/>
          </w:tcPr>
          <w:p>
            <w:pPr>
              <w:spacing w:after="0"/>
              <w:rPr>
                <w:sz w:val="22"/>
                <w:szCs w:val="22"/>
                <w:color w:val="auto"/>
              </w:rPr>
            </w:pPr>
          </w:p>
        </w:tc>
        <w:tc>
          <w:tcPr>
            <w:tcW w:w="4200" w:type="dxa"/>
            <w:vAlign w:val="bottom"/>
          </w:tcPr>
          <w:p>
            <w:pPr>
              <w:ind w:left="20"/>
              <w:spacing w:after="0"/>
              <w:rPr>
                <w:sz w:val="20"/>
                <w:szCs w:val="20"/>
                <w:color w:val="auto"/>
              </w:rPr>
            </w:pPr>
            <w:r>
              <w:rPr>
                <w:rFonts w:ascii="Arial" w:cs="Arial" w:eastAsia="Arial" w:hAnsi="Arial"/>
                <w:sz w:val="17"/>
                <w:szCs w:val="17"/>
                <w:color w:val="auto"/>
              </w:rPr>
              <w:t>Realized price (% of WTI)</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34.97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9"/>
              </w:rPr>
              <w:t>61%</w:t>
            </w:r>
          </w:p>
        </w:tc>
        <w:tc>
          <w:tcPr>
            <w:tcW w:w="20" w:type="dxa"/>
            <w:vAlign w:val="bottom"/>
          </w:tcPr>
          <w:p>
            <w:pPr>
              <w:spacing w:after="0"/>
              <w:rPr>
                <w:sz w:val="22"/>
                <w:szCs w:val="22"/>
                <w:color w:val="auto"/>
              </w:rPr>
            </w:pPr>
          </w:p>
        </w:tc>
        <w:tc>
          <w:tcPr>
            <w:tcW w:w="1260" w:type="dxa"/>
            <w:vAlign w:val="bottom"/>
            <w:gridSpan w:val="3"/>
          </w:tcPr>
          <w:p>
            <w:pPr>
              <w:jc w:val="right"/>
              <w:ind w:right="955"/>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15"/>
              <w:spacing w:after="0"/>
              <w:rPr>
                <w:sz w:val="20"/>
                <w:szCs w:val="20"/>
                <w:color w:val="auto"/>
              </w:rPr>
            </w:pPr>
            <w:r>
              <w:rPr>
                <w:rFonts w:ascii="Arial" w:cs="Arial" w:eastAsia="Arial" w:hAnsi="Arial"/>
                <w:sz w:val="17"/>
                <w:szCs w:val="17"/>
                <w:color w:val="auto"/>
                <w:w w:val="98"/>
              </w:rPr>
              <w:t>42.63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9"/>
              </w:rPr>
              <w:t>65%</w:t>
            </w:r>
          </w:p>
        </w:tc>
        <w:tc>
          <w:tcPr>
            <w:tcW w:w="20" w:type="dxa"/>
            <w:vAlign w:val="bottom"/>
          </w:tcPr>
          <w:p>
            <w:pPr>
              <w:spacing w:after="0"/>
              <w:rPr>
                <w:sz w:val="22"/>
                <w:szCs w:val="22"/>
                <w:color w:val="auto"/>
              </w:rPr>
            </w:pPr>
          </w:p>
        </w:tc>
      </w:tr>
      <w:tr>
        <w:trPr>
          <w:trHeight w:val="292"/>
        </w:trPr>
        <w:tc>
          <w:tcPr>
            <w:tcW w:w="40" w:type="dxa"/>
            <w:vAlign w:val="bottom"/>
          </w:tcPr>
          <w:p>
            <w:pPr>
              <w:spacing w:after="0"/>
              <w:rPr>
                <w:sz w:val="24"/>
                <w:szCs w:val="24"/>
                <w:color w:val="auto"/>
              </w:rPr>
            </w:pPr>
          </w:p>
        </w:tc>
        <w:tc>
          <w:tcPr>
            <w:tcW w:w="42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1"/>
        </w:trPr>
        <w:tc>
          <w:tcPr>
            <w:tcW w:w="40" w:type="dxa"/>
            <w:vAlign w:val="bottom"/>
          </w:tcPr>
          <w:p>
            <w:pPr>
              <w:spacing w:after="0"/>
              <w:rPr>
                <w:sz w:val="22"/>
                <w:szCs w:val="22"/>
                <w:color w:val="auto"/>
              </w:rPr>
            </w:pPr>
          </w:p>
        </w:tc>
        <w:tc>
          <w:tcPr>
            <w:tcW w:w="4200" w:type="dxa"/>
            <w:vAlign w:val="bottom"/>
          </w:tcPr>
          <w:p>
            <w:pPr>
              <w:ind w:left="20"/>
              <w:spacing w:after="0"/>
              <w:rPr>
                <w:sz w:val="20"/>
                <w:szCs w:val="20"/>
                <w:color w:val="auto"/>
              </w:rPr>
            </w:pPr>
            <w:r>
              <w:rPr>
                <w:rFonts w:ascii="Arial" w:cs="Arial" w:eastAsia="Arial" w:hAnsi="Arial"/>
                <w:sz w:val="17"/>
                <w:szCs w:val="17"/>
                <w:b w:val="1"/>
                <w:bCs w:val="1"/>
                <w:color w:val="auto"/>
              </w:rPr>
              <w:t>Natural gas</w:t>
            </w: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9"/>
        </w:trPr>
        <w:tc>
          <w:tcPr>
            <w:tcW w:w="40" w:type="dxa"/>
            <w:vAlign w:val="bottom"/>
          </w:tcPr>
          <w:p>
            <w:pPr>
              <w:spacing w:after="0"/>
              <w:rPr>
                <w:sz w:val="24"/>
                <w:szCs w:val="24"/>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NYMEX ($/MMBTU)</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2.95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955"/>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2.81</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w/out hedge ($/Mcf)</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2.87</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9"/>
              </w:rPr>
              <w:t>97%</w:t>
            </w:r>
          </w:p>
        </w:tc>
        <w:tc>
          <w:tcPr>
            <w:tcW w:w="2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955"/>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2.51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9"/>
              </w:rPr>
              <w:t>90%</w:t>
            </w:r>
          </w:p>
        </w:tc>
        <w:tc>
          <w:tcPr>
            <w:tcW w:w="20" w:type="dxa"/>
            <w:vAlign w:val="bottom"/>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Settled hedges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0.01</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r>
      <w:tr>
        <w:trPr>
          <w:trHeight w:val="241"/>
        </w:trPr>
        <w:tc>
          <w:tcPr>
            <w:tcW w:w="40" w:type="dxa"/>
            <w:vAlign w:val="bottom"/>
          </w:tcPr>
          <w:p>
            <w:pPr>
              <w:spacing w:after="0"/>
              <w:rPr>
                <w:sz w:val="20"/>
                <w:szCs w:val="20"/>
                <w:color w:val="auto"/>
              </w:rPr>
            </w:pPr>
          </w:p>
        </w:tc>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hedge ($/Mcf)</w:t>
            </w: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2.86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9"/>
              </w:rPr>
              <w:t>97%</w:t>
            </w:r>
          </w:p>
        </w:tc>
        <w:tc>
          <w:tcPr>
            <w:tcW w:w="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955"/>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2.52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9"/>
              </w:rPr>
              <w:t>89%</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14" w:right="239" w:bottom="759"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814" w:right="239" w:bottom="759" w:gutter="0" w:footer="0" w:header="0"/>
          <w:type w:val="continuous"/>
        </w:sectPr>
      </w:pPr>
    </w:p>
    <w:bookmarkStart w:id="28" w:name="page29"/>
    <w:bookmarkEnd w:id="28"/>
    <w:p>
      <w:pPr>
        <w:jc w:val="both"/>
        <w:ind w:right="100" w:firstLine="324"/>
        <w:spacing w:after="0" w:line="256" w:lineRule="auto"/>
        <w:rPr>
          <w:sz w:val="20"/>
          <w:szCs w:val="20"/>
          <w:color w:val="auto"/>
        </w:rPr>
      </w:pPr>
      <w:r>
        <w:rPr>
          <w:rFonts w:ascii="Arial" w:cs="Arial" w:eastAsia="Arial" w:hAnsi="Arial"/>
          <w:sz w:val="18"/>
          <w:szCs w:val="18"/>
          <w:color w:val="auto"/>
        </w:rPr>
        <w:t>Brent prices were lower in both the three and six months ended June 30, 2019 compared to the same prior-year periods. Favorable hedge settlements in 2019 compared to hedge payments made in 2018, along with higher realizations, resulted in a higher 2019 Brent realized price, with hedge settlements.</w:t>
      </w:r>
    </w:p>
    <w:p>
      <w:pPr>
        <w:spacing w:after="0" w:line="202"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Prices for NGLs decreased significantly from the prior-year periods. In the second quarter of 2019, realized NGL prices declined as local and national markets experienced excess supply from Canadian imports coupled with weaker demand.</w:t>
      </w:r>
    </w:p>
    <w:p>
      <w:pPr>
        <w:spacing w:after="0" w:line="196" w:lineRule="exact"/>
        <w:rPr>
          <w:sz w:val="20"/>
          <w:szCs w:val="20"/>
          <w:color w:val="auto"/>
        </w:rPr>
      </w:pPr>
    </w:p>
    <w:p>
      <w:pPr>
        <w:ind w:right="720" w:firstLine="324"/>
        <w:spacing w:after="0" w:line="262" w:lineRule="auto"/>
        <w:rPr>
          <w:sz w:val="20"/>
          <w:szCs w:val="20"/>
          <w:color w:val="auto"/>
        </w:rPr>
      </w:pPr>
      <w:r>
        <w:rPr>
          <w:rFonts w:ascii="Arial" w:cs="Arial" w:eastAsia="Arial" w:hAnsi="Arial"/>
          <w:sz w:val="18"/>
          <w:szCs w:val="18"/>
          <w:color w:val="auto"/>
        </w:rPr>
        <w:t>On average, our natural gas realized prices were higher in the second quarter and in the six months ended June 30, 2019 than the comparable periods of 2018 largely due to stronger California demand.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Analysis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our balance sheet between June 30, 2019 and December 31, 2018 are discussed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ind w:right="451"/>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20"/>
                <w:szCs w:val="20"/>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277"/>
        </w:trPr>
        <w:tc>
          <w:tcPr>
            <w:tcW w:w="7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04"/>
        </w:trPr>
        <w:tc>
          <w:tcPr>
            <w:tcW w:w="7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20" w:type="dxa"/>
            <w:vAlign w:val="bottom"/>
            <w:gridSpan w:val="3"/>
          </w:tcPr>
          <w:p>
            <w:pPr>
              <w:jc w:val="right"/>
              <w:ind w:right="1310"/>
              <w:spacing w:after="0"/>
              <w:rPr>
                <w:sz w:val="20"/>
                <w:szCs w:val="20"/>
                <w:color w:val="auto"/>
              </w:rPr>
            </w:pPr>
            <w:r>
              <w:rPr>
                <w:rFonts w:ascii="Arial" w:cs="Arial" w:eastAsia="Arial" w:hAnsi="Arial"/>
                <w:sz w:val="14"/>
                <w:szCs w:val="14"/>
                <w:color w:val="auto"/>
              </w:rPr>
              <w:t>(in millions)</w:t>
            </w:r>
          </w:p>
        </w:tc>
      </w:tr>
      <w:tr>
        <w:trPr>
          <w:trHeight w:val="53"/>
        </w:trPr>
        <w:tc>
          <w:tcPr>
            <w:tcW w:w="7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Trade receivables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234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Other current assets,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191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6,409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6,455</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290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5,060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5,251</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gain and issuance costs,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679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575</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Mezzanine equity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Equity attributable to common stock</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bl>
    <w:p>
      <w:pPr>
        <w:spacing w:after="0" w:line="215" w:lineRule="exact"/>
        <w:rPr>
          <w:sz w:val="20"/>
          <w:szCs w:val="20"/>
          <w:color w:val="auto"/>
        </w:rPr>
      </w:pPr>
    </w:p>
    <w:p>
      <w:pPr>
        <w:ind w:right="500" w:firstLine="324"/>
        <w:spacing w:after="0" w:line="262" w:lineRule="auto"/>
        <w:rPr>
          <w:sz w:val="20"/>
          <w:szCs w:val="20"/>
          <w:color w:val="auto"/>
        </w:rPr>
      </w:pPr>
      <w:r>
        <w:rPr>
          <w:rFonts w:ascii="Arial" w:cs="Arial" w:eastAsia="Arial" w:hAnsi="Arial"/>
          <w:sz w:val="18"/>
          <w:szCs w:val="18"/>
          <w:color w:val="auto"/>
        </w:rPr>
        <w:t xml:space="preserve">Cash at June 30, 2019 and December 31, 2018 included approximately $12 million and $ 2 million, respectively, which is restricted for capital investments and distributions to a JV partner.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our cash flow analysis.</w:t>
      </w:r>
    </w:p>
    <w:p>
      <w:pPr>
        <w:spacing w:after="0" w:line="196"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The decrease in trade receivables was largely due to our gas trading activities that were higher in the fourth quarter of 2018 compared to the second quarter of 2019.</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other current assets, net was primarily due to a decrease in the fair value of the current portion of our derivative assets.</w:t>
      </w:r>
    </w:p>
    <w:p>
      <w:pPr>
        <w:spacing w:after="0" w:line="22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decrease in property, plant and equipment, net primarily reflected our Lost Hills divestiture and depreciation, depletion and amortization, partially offset by capital investments in the first half of 2019 and changes to our asset retirement obligations (ARO) resulting from idle well regulations enacted in the first quarter of 2019.</w:t>
      </w:r>
    </w:p>
    <w:p>
      <w:pPr>
        <w:spacing w:after="0" w:line="202"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Other assets increased primarily due to recording a right-of-use asset for operating leases as a result of adopting new accounting rules on January 1, 2019 that impact the current period but not the prior period. This increase was partially offset by a decrease in the fair value of our long-term derivative assets.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 maturities of long-term debt reflected $100 million for our 5% senior notes due in January 2020.</w:t>
      </w:r>
    </w:p>
    <w:p>
      <w:pPr>
        <w:spacing w:after="0" w:line="225"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The reduction in accounts payable for the quarter ended June 30, 2019 reflected lower capital investments and gas trading activities, which were higher in the fourth quarter of 2018 compared to the second quarter of 2019.</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598" w:right="239" w:bottom="1440" w:gutter="0" w:footer="0" w:header="0"/>
          <w:type w:val="continuous"/>
        </w:sectPr>
      </w:pPr>
    </w:p>
    <w:bookmarkStart w:id="29" w:name="page30"/>
    <w:bookmarkEnd w:id="29"/>
    <w:p>
      <w:pPr>
        <w:ind w:right="20" w:firstLine="324"/>
        <w:spacing w:after="0" w:line="262" w:lineRule="auto"/>
        <w:rPr>
          <w:sz w:val="20"/>
          <w:szCs w:val="20"/>
          <w:color w:val="auto"/>
        </w:rPr>
      </w:pPr>
      <w:r>
        <w:rPr>
          <w:rFonts w:ascii="Arial" w:cs="Arial" w:eastAsia="Arial" w:hAnsi="Arial"/>
          <w:sz w:val="18"/>
          <w:szCs w:val="18"/>
          <w:color w:val="auto"/>
        </w:rPr>
        <w:t>The decrease in long-term debt reflected a reclassification of $100 million of our senior notes to current maturities of long-term debt and the proceeds from the Lost Hills divestiture that were used to pay down debt.</w:t>
      </w:r>
    </w:p>
    <w:p>
      <w:pPr>
        <w:spacing w:after="0" w:line="19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Other long-term liabilities reflected the increases in ARO primarily due to the new idle well regulations and long-term operating lease liabilities due to the adoption of new lease accounting rules. The annual incremental cash expenditures for ARO resulting from the new idle well regulations are not expected to be material.</w:t>
      </w:r>
    </w:p>
    <w:p>
      <w:pPr>
        <w:spacing w:after="0" w:line="202"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Mezzanine equity reflected the carrying amount of the Class A common and Class B preferred interests held by the noncontrolling interest partner in our midstream JV.</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Equity attributable to common stock decreased primarily as a result of the net loss for the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Gas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key operating data for our oil and gas operations, excluding certain corporate items, on a per Boe basis: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Production costs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19.01</w:t>
            </w:r>
          </w:p>
        </w:tc>
      </w:tr>
      <w:tr>
        <w:trPr>
          <w:trHeight w:val="270"/>
        </w:trPr>
        <w:tc>
          <w:tcPr>
            <w:tcW w:w="6500" w:type="dxa"/>
            <w:vAlign w:val="bottom"/>
          </w:tcPr>
          <w:p>
            <w:pPr>
              <w:ind w:left="40"/>
              <w:spacing w:after="0"/>
              <w:rPr>
                <w:sz w:val="20"/>
                <w:szCs w:val="20"/>
                <w:color w:val="auto"/>
              </w:rPr>
            </w:pPr>
            <w:r>
              <w:rPr>
                <w:rFonts w:ascii="Arial" w:cs="Arial" w:eastAsia="Arial" w:hAnsi="Arial"/>
                <w:sz w:val="18"/>
                <w:szCs w:val="18"/>
                <w:color w:val="auto"/>
              </w:rPr>
              <w:t>Production costs, excluding effects of PSC-type contracts</w:t>
            </w:r>
            <w:r>
              <w:rPr>
                <w:rFonts w:ascii="Arial" w:cs="Arial" w:eastAsia="Arial" w:hAnsi="Arial"/>
                <w:sz w:val="21"/>
                <w:szCs w:val="21"/>
                <w:color w:val="auto"/>
                <w:vertAlign w:val="superscript"/>
              </w:rPr>
              <w:t>(a)</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17.44</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1"/>
                <w:szCs w:val="21"/>
                <w:color w:val="auto"/>
                <w:vertAlign w:val="superscript"/>
              </w:rPr>
              <w:t>(b)</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r>
      <w:tr>
        <w:trPr>
          <w:trHeight w:val="270"/>
        </w:trPr>
        <w:tc>
          <w:tcPr>
            <w:tcW w:w="6500" w:type="dxa"/>
            <w:vAlign w:val="bottom"/>
          </w:tcPr>
          <w:p>
            <w:pPr>
              <w:ind w:left="40"/>
              <w:spacing w:after="0"/>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1"/>
                <w:szCs w:val="21"/>
                <w:color w:val="auto"/>
                <w:vertAlign w:val="superscript"/>
              </w:rPr>
              <w:t>(b)</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9.78</w:t>
            </w: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Field taxes other than on income</w:t>
            </w:r>
            <w:r>
              <w:rPr>
                <w:rFonts w:ascii="Arial" w:cs="Arial" w:eastAsia="Arial" w:hAnsi="Arial"/>
                <w:sz w:val="21"/>
                <w:szCs w:val="21"/>
                <w:color w:val="auto"/>
                <w:vertAlign w:val="superscript"/>
              </w:rPr>
              <w:t>(b)</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r>
    </w:tbl>
    <w:p>
      <w:pPr>
        <w:ind w:left="500" w:right="180" w:hanging="330"/>
        <w:spacing w:after="0" w:line="245"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As described in the </w:t>
      </w:r>
      <w:r>
        <w:rPr>
          <w:rFonts w:ascii="Arial" w:cs="Arial" w:eastAsia="Arial" w:hAnsi="Arial"/>
          <w:sz w:val="14"/>
          <w:szCs w:val="14"/>
          <w:i w:val="1"/>
          <w:iCs w:val="1"/>
          <w:color w:val="auto"/>
        </w:rPr>
        <w:t>Operations</w:t>
      </w:r>
      <w:r>
        <w:rPr>
          <w:rFonts w:ascii="Arial" w:cs="Arial" w:eastAsia="Arial" w:hAnsi="Arial"/>
          <w:sz w:val="14"/>
          <w:szCs w:val="14"/>
          <w:color w:val="auto"/>
        </w:rPr>
        <w:t xml:space="preserve"> section, the reporting of our PSC-type contracts creates a difference between reported production costs, which are for the full field, and reported volumes, which are only our net share, inflating the per barrel production costs. These amounts represent our production costs after adjusting for this difference.</w:t>
      </w:r>
    </w:p>
    <w:p>
      <w:pPr>
        <w:ind w:left="500" w:hanging="33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Excludes corporate expenses.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1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key operating data for consolidated operations for the three and six months ended June 30, 2019 and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21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r>
      <w:tr>
        <w:trPr>
          <w:trHeight w:val="264"/>
        </w:trPr>
        <w:tc>
          <w:tcPr>
            <w:tcW w:w="6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r>
      <w:tr>
        <w:trPr>
          <w:trHeight w:val="251"/>
        </w:trPr>
        <w:tc>
          <w:tcPr>
            <w:tcW w:w="6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gas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1,232</w:t>
            </w:r>
          </w:p>
        </w:tc>
      </w:tr>
      <w:tr>
        <w:trPr>
          <w:trHeight w:val="263"/>
        </w:trPr>
        <w:tc>
          <w:tcPr>
            <w:tcW w:w="6200" w:type="dxa"/>
            <w:vAlign w:val="bottom"/>
          </w:tcPr>
          <w:p>
            <w:pPr>
              <w:ind w:left="40"/>
              <w:spacing w:after="0"/>
              <w:rPr>
                <w:sz w:val="20"/>
                <w:szCs w:val="20"/>
                <w:color w:val="auto"/>
              </w:rPr>
            </w:pPr>
            <w:r>
              <w:rPr>
                <w:rFonts w:ascii="Arial" w:cs="Arial" w:eastAsia="Arial" w:hAnsi="Arial"/>
                <w:sz w:val="18"/>
                <w:szCs w:val="18"/>
                <w:color w:val="auto"/>
              </w:rPr>
              <w:t>Net derivative gain (loss) from commodity contracts</w:t>
            </w:r>
          </w:p>
        </w:tc>
        <w:tc>
          <w:tcPr>
            <w:tcW w:w="240" w:type="dxa"/>
            <w:vAlign w:val="bottom"/>
          </w:tcPr>
          <w:p>
            <w:pPr>
              <w:spacing w:after="0"/>
              <w:rPr>
                <w:sz w:val="22"/>
                <w:szCs w:val="22"/>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(205)</w:t>
            </w:r>
          </w:p>
        </w:tc>
      </w:tr>
      <w:tr>
        <w:trPr>
          <w:trHeight w:val="277"/>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revenue</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131</w:t>
            </w:r>
          </w:p>
        </w:tc>
      </w:tr>
      <w:tr>
        <w:trPr>
          <w:trHeight w:val="263"/>
        </w:trPr>
        <w:tc>
          <w:tcPr>
            <w:tcW w:w="6200" w:type="dxa"/>
            <w:vAlign w:val="bottom"/>
          </w:tcPr>
          <w:p>
            <w:pPr>
              <w:ind w:left="40"/>
              <w:spacing w:after="0"/>
              <w:rPr>
                <w:sz w:val="20"/>
                <w:szCs w:val="20"/>
                <w:color w:val="auto"/>
              </w:rPr>
            </w:pPr>
            <w:r>
              <w:rPr>
                <w:rFonts w:ascii="Arial" w:cs="Arial" w:eastAsia="Arial" w:hAnsi="Arial"/>
                <w:sz w:val="18"/>
                <w:szCs w:val="18"/>
                <w:color w:val="auto"/>
              </w:rPr>
              <w:t>Production costs</w:t>
            </w:r>
          </w:p>
        </w:tc>
        <w:tc>
          <w:tcPr>
            <w:tcW w:w="24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(443)</w:t>
            </w:r>
          </w:p>
        </w:tc>
      </w:tr>
      <w:tr>
        <w:trPr>
          <w:trHeight w:val="277"/>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(153)</w:t>
            </w:r>
          </w:p>
        </w:tc>
      </w:tr>
      <w:tr>
        <w:trPr>
          <w:trHeight w:val="263"/>
        </w:trPr>
        <w:tc>
          <w:tcPr>
            <w:tcW w:w="620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(244)</w:t>
            </w:r>
          </w:p>
        </w:tc>
      </w:tr>
      <w:tr>
        <w:trPr>
          <w:trHeight w:val="277"/>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Taxes other than on income</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r>
      <w:tr>
        <w:trPr>
          <w:trHeight w:val="263"/>
        </w:trPr>
        <w:tc>
          <w:tcPr>
            <w:tcW w:w="6200" w:type="dxa"/>
            <w:vAlign w:val="bottom"/>
          </w:tcPr>
          <w:p>
            <w:pPr>
              <w:ind w:left="40"/>
              <w:spacing w:after="0"/>
              <w:rPr>
                <w:sz w:val="20"/>
                <w:szCs w:val="20"/>
                <w:color w:val="auto"/>
              </w:rPr>
            </w:pPr>
            <w:r>
              <w:rPr>
                <w:rFonts w:ascii="Arial" w:cs="Arial" w:eastAsia="Arial" w:hAnsi="Arial"/>
                <w:sz w:val="18"/>
                <w:szCs w:val="18"/>
                <w:color w:val="auto"/>
              </w:rPr>
              <w:t>Exploration expense</w:t>
            </w:r>
          </w:p>
        </w:tc>
        <w:tc>
          <w:tcPr>
            <w:tcW w:w="24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(14)</w:t>
            </w:r>
          </w:p>
        </w:tc>
      </w:tr>
      <w:tr>
        <w:trPr>
          <w:trHeight w:val="277"/>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expenses, net</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r>
      <w:tr>
        <w:trPr>
          <w:trHeight w:val="263"/>
        </w:trPr>
        <w:tc>
          <w:tcPr>
            <w:tcW w:w="6200" w:type="dxa"/>
            <w:vAlign w:val="bottom"/>
          </w:tcPr>
          <w:p>
            <w:pPr>
              <w:ind w:left="40"/>
              <w:spacing w:after="0"/>
              <w:rPr>
                <w:sz w:val="20"/>
                <w:szCs w:val="20"/>
                <w:color w:val="auto"/>
              </w:rPr>
            </w:pPr>
            <w:r>
              <w:rPr>
                <w:rFonts w:ascii="Arial" w:cs="Arial" w:eastAsia="Arial" w:hAnsi="Arial"/>
                <w:sz w:val="18"/>
                <w:szCs w:val="18"/>
                <w:color w:val="auto"/>
              </w:rPr>
              <w:t>Interest and debt expense, net</w:t>
            </w:r>
          </w:p>
        </w:tc>
        <w:tc>
          <w:tcPr>
            <w:tcW w:w="24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(186)</w:t>
            </w:r>
          </w:p>
        </w:tc>
      </w:tr>
      <w:tr>
        <w:trPr>
          <w:trHeight w:val="277"/>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 on early extinguishment of debt</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r>
      <w:tr>
        <w:trPr>
          <w:trHeight w:val="263"/>
        </w:trPr>
        <w:tc>
          <w:tcPr>
            <w:tcW w:w="6200" w:type="dxa"/>
            <w:vAlign w:val="bottom"/>
          </w:tcPr>
          <w:p>
            <w:pPr>
              <w:ind w:left="40"/>
              <w:spacing w:after="0"/>
              <w:rPr>
                <w:sz w:val="20"/>
                <w:szCs w:val="20"/>
                <w:color w:val="auto"/>
              </w:rPr>
            </w:pPr>
            <w:r>
              <w:rPr>
                <w:rFonts w:ascii="Arial" w:cs="Arial" w:eastAsia="Arial" w:hAnsi="Arial"/>
                <w:sz w:val="18"/>
                <w:szCs w:val="18"/>
                <w:color w:val="auto"/>
              </w:rPr>
              <w:t>Gain on asset divestitures</w:t>
            </w:r>
          </w:p>
        </w:tc>
        <w:tc>
          <w:tcPr>
            <w:tcW w:w="240" w:type="dxa"/>
            <w:vAlign w:val="bottom"/>
          </w:tcPr>
          <w:p>
            <w:pPr>
              <w:spacing w:after="0"/>
              <w:rPr>
                <w:sz w:val="22"/>
                <w:szCs w:val="22"/>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w:t>
            </w:r>
          </w:p>
        </w:tc>
      </w:t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non-operating expenses</w:t>
            </w: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r>
      <w:tr>
        <w:trPr>
          <w:trHeight w:val="250"/>
        </w:trPr>
        <w:tc>
          <w:tcPr>
            <w:tcW w:w="620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(54)</w:t>
            </w:r>
          </w:p>
        </w:tc>
      </w:t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2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50"/>
        </w:trPr>
        <w:tc>
          <w:tcPr>
            <w:tcW w:w="62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(54)</w:t>
            </w:r>
          </w:p>
        </w:tc>
      </w:tr>
      <w:tr>
        <w:trPr>
          <w:trHeight w:val="27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r>
      <w:tr>
        <w:trPr>
          <w:trHeight w:val="297"/>
        </w:trPr>
        <w:tc>
          <w:tcPr>
            <w:tcW w:w="6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common stock</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w:t>
            </w:r>
          </w:p>
        </w:tc>
      </w:tr>
      <w:tr>
        <w:trPr>
          <w:trHeight w:val="264"/>
        </w:trPr>
        <w:tc>
          <w:tcPr>
            <w:tcW w:w="6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3"/>
        </w:trPr>
        <w:tc>
          <w:tcPr>
            <w:tcW w:w="6200" w:type="dxa"/>
            <w:vAlign w:val="bottom"/>
          </w:tcPr>
          <w:p>
            <w:pPr>
              <w:ind w:left="40"/>
              <w:spacing w:after="0"/>
              <w:rPr>
                <w:sz w:val="20"/>
                <w:szCs w:val="20"/>
                <w:color w:val="auto"/>
              </w:rPr>
            </w:pPr>
            <w:r>
              <w:rPr>
                <w:rFonts w:ascii="Arial" w:cs="Arial" w:eastAsia="Arial" w:hAnsi="Arial"/>
                <w:sz w:val="18"/>
                <w:szCs w:val="18"/>
                <w:color w:val="auto"/>
              </w:rPr>
              <w:t>Adjusted net (loss)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w:t>
            </w:r>
          </w:p>
        </w:tc>
      </w:tr>
      <w:tr>
        <w:trPr>
          <w:trHeight w:val="277"/>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EBITDAX</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495</w:t>
            </w:r>
          </w:p>
        </w:tc>
      </w:tr>
      <w:tr>
        <w:trPr>
          <w:trHeight w:val="257"/>
        </w:trPr>
        <w:tc>
          <w:tcPr>
            <w:tcW w:w="62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22"/>
                <w:szCs w:val="22"/>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2019 vs.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Oil and gas sales - </w:t>
      </w:r>
      <w:r>
        <w:rPr>
          <w:rFonts w:ascii="Arial" w:cs="Arial" w:eastAsia="Arial" w:hAnsi="Arial"/>
          <w:sz w:val="18"/>
          <w:szCs w:val="18"/>
          <w:color w:val="auto"/>
        </w:rPr>
        <w:t>Oil and gas sales, excluding the impact of settled hedges, decreased 12%, or $79 million,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30, 2019 compared to the same period of 2018 due to changes in realized prices and production as reflected in the following table:</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720" w:type="dxa"/>
            <w:vAlign w:val="bottom"/>
          </w:tcPr>
          <w:p>
            <w:pPr>
              <w:spacing w:after="0"/>
              <w:rPr>
                <w:sz w:val="21"/>
                <w:szCs w:val="21"/>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Oil</w:t>
            </w:r>
          </w:p>
        </w:tc>
        <w:tc>
          <w:tcPr>
            <w:tcW w:w="6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NGLs</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Natural Gas</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64"/>
        </w:trPr>
        <w:tc>
          <w:tcPr>
            <w:tcW w:w="37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June 30, 2018</w:t>
            </w:r>
          </w:p>
        </w:tc>
        <w:tc>
          <w:tcPr>
            <w:tcW w:w="12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657</w:t>
            </w:r>
          </w:p>
        </w:tc>
      </w:tr>
      <w:tr>
        <w:trPr>
          <w:trHeight w:val="263"/>
        </w:trPr>
        <w:tc>
          <w:tcPr>
            <w:tcW w:w="372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1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124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57"/>
        </w:trPr>
        <w:tc>
          <w:tcPr>
            <w:tcW w:w="3720" w:type="dxa"/>
            <w:vAlign w:val="bottom"/>
          </w:tcPr>
          <w:p>
            <w:pPr>
              <w:ind w:left="20"/>
              <w:spacing w:after="0"/>
              <w:rPr>
                <w:sz w:val="20"/>
                <w:szCs w:val="20"/>
                <w:color w:val="auto"/>
              </w:rPr>
            </w:pPr>
            <w:r>
              <w:rPr>
                <w:rFonts w:ascii="Arial" w:cs="Arial" w:eastAsia="Arial" w:hAnsi="Arial"/>
                <w:sz w:val="18"/>
                <w:szCs w:val="18"/>
                <w:color w:val="auto"/>
              </w:rPr>
              <w:t>Three months ended June 30, 2019</w:t>
            </w:r>
          </w:p>
        </w:tc>
        <w:tc>
          <w:tcPr>
            <w:tcW w:w="124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578</w:t>
            </w:r>
          </w:p>
        </w:tc>
      </w:tr>
      <w:tr>
        <w:trPr>
          <w:trHeight w:val="20"/>
        </w:trPr>
        <w:tc>
          <w:tcPr>
            <w:tcW w:w="3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Production and Prices</w:t>
      </w:r>
      <w:r>
        <w:rPr>
          <w:rFonts w:ascii="Arial" w:cs="Arial" w:eastAsia="Arial" w:hAnsi="Arial"/>
          <w:sz w:val="18"/>
          <w:szCs w:val="18"/>
          <w:color w:val="auto"/>
        </w:rPr>
        <w:t xml:space="preserve"> for index prices, realizations and production.</w:t>
      </w:r>
    </w:p>
    <w:p>
      <w:pPr>
        <w:spacing w:after="0" w:line="24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effect of settled hedges are not included in the table above. Proceeds from settled hedges on oil were $14 million for the three months ended June 30, 2019 compared to payments of $68 million for the three months ended June 30, 2018, which had a positive impact of $82 million on our realized price for oil. Including the effect of settled hedges, our oil and gas revenue was slightly higher compared to the same prior-year period.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76" w:right="239" w:bottom="1440" w:gutter="0" w:footer="0" w:header="0"/>
        </w:sectPr>
      </w:pPr>
    </w:p>
    <w:bookmarkStart w:id="31" w:name="page32"/>
    <w:bookmarkEnd w:id="31"/>
    <w:p>
      <w:pPr>
        <w:ind w:right="220" w:firstLine="324"/>
        <w:spacing w:after="0" w:line="261" w:lineRule="auto"/>
        <w:rPr>
          <w:sz w:val="20"/>
          <w:szCs w:val="20"/>
          <w:color w:val="auto"/>
        </w:rPr>
      </w:pPr>
      <w:r>
        <w:rPr>
          <w:rFonts w:ascii="Arial" w:cs="Arial" w:eastAsia="Arial" w:hAnsi="Arial"/>
          <w:sz w:val="18"/>
          <w:szCs w:val="18"/>
          <w:i w:val="1"/>
          <w:iCs w:val="1"/>
          <w:color w:val="auto"/>
        </w:rPr>
        <w:t xml:space="preserve">Net derivative gain (loss) from commodity contracts - </w:t>
      </w:r>
      <w:r>
        <w:rPr>
          <w:rFonts w:ascii="Arial" w:cs="Arial" w:eastAsia="Arial" w:hAnsi="Arial"/>
          <w:sz w:val="18"/>
          <w:szCs w:val="18"/>
          <w:color w:val="auto"/>
        </w:rPr>
        <w:t>Net derivative gain from commodity contracts was $21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 compared to a loss of $167 million in the same period of 2018, representing an overall change of $188 million as reflected in the following table. Non-cash changes in the fair value of our outstanding derivatives resulted from the positions held each period as well as the relationship between contract prices and the associated forward curves.</w:t>
      </w:r>
    </w:p>
    <w:p>
      <w:pPr>
        <w:spacing w:after="0" w:line="122"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8320" w:type="dxa"/>
            <w:vAlign w:val="bottom"/>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51"/>
        </w:trPr>
        <w:tc>
          <w:tcPr>
            <w:tcW w:w="8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r>
      <w:tr>
        <w:trPr>
          <w:trHeight w:val="27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derivative gain (loss), excluding noncontrolling interest</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64"/>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derivative gain (loss), noncontrolling interest</w:t>
            </w:r>
          </w:p>
        </w:tc>
        <w:tc>
          <w:tcPr>
            <w:tcW w:w="10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8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non-cash changes</w:t>
            </w:r>
          </w:p>
        </w:tc>
        <w:tc>
          <w:tcPr>
            <w:tcW w:w="106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64"/>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proceeds (payments) on settled commodity derivatives</w:t>
            </w:r>
          </w:p>
        </w:tc>
        <w:tc>
          <w:tcPr>
            <w:tcW w:w="10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57"/>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derivative gain (loss)</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0"/>
        </w:trPr>
        <w:tc>
          <w:tcPr>
            <w:tcW w:w="8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 Our general and administrative (G&amp;A) expenses decreased $11 million to $79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2019 compared to the same period of 2018 predominantly due to expenses related to our cash-settled equity awards, resulting from the adjustment of the obligation to our stock price at the end of each quarter. Our stock price decreased by approximately $10.00 from the beginning to the end of the second quarter of 2019 compared to an increase of approximately $30.00 in our stock price from the beginning to the end of the second quarter of 2018. This had the effect of lower non-cash stock-based compensation expense for cash-settled equity awards in the second quarter of 2019 compared to the same prior-year period. Additionally, the stock price for the cash-settled equity awards that vested during the three months ended June 30, 2019 were paid at a lower stock price compared to the cash-settled equity awards that vested in the same prior-year period. The decrease in stock-based compensation expense was partially offset by higher overhead in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2019 vs.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Oil and gas sales - </w:t>
      </w:r>
      <w:r>
        <w:rPr>
          <w:rFonts w:ascii="Arial" w:cs="Arial" w:eastAsia="Arial" w:hAnsi="Arial"/>
          <w:sz w:val="18"/>
          <w:szCs w:val="18"/>
          <w:color w:val="auto"/>
        </w:rPr>
        <w:t>Oil and gas sales, excluding the impact of settled hedges, decreased 4%, or $53 million, for the six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30, 2019 compared to the same period of 2018 due to changes in realized prices and production as reflected in the following table:</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720" w:type="dxa"/>
            <w:vAlign w:val="bottom"/>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Oil</w:t>
            </w:r>
          </w:p>
        </w:tc>
        <w:tc>
          <w:tcPr>
            <w:tcW w:w="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NGLs</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Natural Gas</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64"/>
        </w:trPr>
        <w:tc>
          <w:tcPr>
            <w:tcW w:w="37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2018</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1,232</w:t>
            </w:r>
          </w:p>
        </w:tc>
      </w:tr>
      <w:tr>
        <w:trPr>
          <w:trHeight w:val="263"/>
        </w:trPr>
        <w:tc>
          <w:tcPr>
            <w:tcW w:w="372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1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1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57"/>
        </w:trPr>
        <w:tc>
          <w:tcPr>
            <w:tcW w:w="3720" w:type="dxa"/>
            <w:vAlign w:val="bottom"/>
          </w:tcPr>
          <w:p>
            <w:pPr>
              <w:ind w:left="20"/>
              <w:spacing w:after="0"/>
              <w:rPr>
                <w:sz w:val="20"/>
                <w:szCs w:val="20"/>
                <w:color w:val="auto"/>
              </w:rPr>
            </w:pPr>
            <w:r>
              <w:rPr>
                <w:rFonts w:ascii="Arial" w:cs="Arial" w:eastAsia="Arial" w:hAnsi="Arial"/>
                <w:sz w:val="18"/>
                <w:szCs w:val="18"/>
                <w:color w:val="auto"/>
              </w:rPr>
              <w:t>Six months ended June 30, 2019</w:t>
            </w: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1,179</w:t>
            </w:r>
          </w:p>
        </w:tc>
      </w:tr>
      <w:tr>
        <w:trPr>
          <w:trHeight w:val="20"/>
        </w:trPr>
        <w:tc>
          <w:tcPr>
            <w:tcW w:w="3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Production and Prices</w:t>
      </w:r>
      <w:r>
        <w:rPr>
          <w:rFonts w:ascii="Arial" w:cs="Arial" w:eastAsia="Arial" w:hAnsi="Arial"/>
          <w:sz w:val="18"/>
          <w:szCs w:val="18"/>
          <w:color w:val="auto"/>
        </w:rPr>
        <w:t xml:space="preserve"> for index prices, realizations and production.</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 of settled hedges are not included in the table above. Proceeds from settlements on our oil contracts were $28 million for the six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months ended June 30, 2019 compared to payments of $99 million for the six months ended June 30, 2018, which had a positive impact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$127 million on our realized price for oil. Including the effect of settled hedges, our oil and gas revenue was higher compared to the same prior-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 period.</w:t>
      </w:r>
    </w:p>
    <w:p>
      <w:pPr>
        <w:spacing w:after="0" w:line="207"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i w:val="1"/>
          <w:iCs w:val="1"/>
          <w:color w:val="auto"/>
        </w:rPr>
        <w:t xml:space="preserve">Net derivative gain (loss) from commodity contracts - </w:t>
      </w:r>
      <w:r>
        <w:rPr>
          <w:rFonts w:ascii="Arial" w:cs="Arial" w:eastAsia="Arial" w:hAnsi="Arial"/>
          <w:sz w:val="18"/>
          <w:szCs w:val="18"/>
          <w:color w:val="auto"/>
        </w:rPr>
        <w:t>Net derivative loss from commodity contracts was $68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 compared to $205 million in the same period of 2018, representing an overall change of $137 million as reflected in the following table. Non-cash changes in the fair value of our outstanding derivatives resulted from the positions held each period as well as the relationship between contract prices and the associated forward curves.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2" w:name="page33"/>
    <w:bookmarkEnd w:id="32"/>
    <w:p>
      <w:pPr>
        <w:jc w:val="center"/>
        <w:ind w:left="836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jc w:val="center"/>
        <w:ind w:left="83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832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51"/>
        </w:trPr>
        <w:tc>
          <w:tcPr>
            <w:tcW w:w="8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060" w:type="dxa"/>
            <w:vAlign w:val="bottom"/>
          </w:tcPr>
          <w:p>
            <w:pPr>
              <w:spacing w:after="0"/>
              <w:rPr>
                <w:sz w:val="21"/>
                <w:szCs w:val="21"/>
                <w:color w:val="auto"/>
              </w:rPr>
            </w:pPr>
          </w:p>
        </w:tc>
      </w:tr>
      <w:tr>
        <w:trPr>
          <w:trHeight w:val="27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derivative gain (loss), excluding noncontrolling interest</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64"/>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derivative gain (loss), noncontrolling interest</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8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non-cash changes</w:t>
            </w: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64"/>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proceeds (payments) on settled commodity derivatives</w:t>
            </w:r>
          </w:p>
        </w:tc>
        <w:tc>
          <w:tcPr>
            <w:tcW w:w="10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57"/>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derivative gain (loss) from commodity contracts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0"/>
        </w:trPr>
        <w:tc>
          <w:tcPr>
            <w:tcW w:w="8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260" w:firstLine="324"/>
        <w:spacing w:after="0" w:line="282"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 The increase in other revenue of $101 million to $232 million for the six months ended June 30, 2019 compared to $131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same period of 2018, was largely the result of higher trading activity in 2019.</w:t>
      </w:r>
    </w:p>
    <w:p>
      <w:pPr>
        <w:spacing w:after="0" w:line="162"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i w:val="1"/>
          <w:iCs w:val="1"/>
          <w:color w:val="auto"/>
        </w:rPr>
        <w:t xml:space="preserve">Production costs </w:t>
      </w:r>
      <w:r>
        <w:rPr>
          <w:rFonts w:ascii="Arial" w:cs="Arial" w:eastAsia="Arial" w:hAnsi="Arial"/>
          <w:sz w:val="18"/>
          <w:szCs w:val="18"/>
          <w:color w:val="auto"/>
        </w:rPr>
        <w:t>- Production costs for the six months ended June 30, 2019 increased $20 million to $ 463 million, compared to $443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of 2018, resulting in a 5% increase. The increase is primarily attributable to the Elk Hills transaction that closed at the beginning of April 2018, higher surface operations and maintenance costs and other items, partially offset by lower downhole maintenance activity and lower costs resulting from the Lost Hills divestiture.</w:t>
      </w:r>
    </w:p>
    <w:p>
      <w:pPr>
        <w:spacing w:after="0" w:line="18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Our G&amp;A expenses increased $9 million to $162 million for the six months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of 2018 predominantly due to higher expenses across a number of functions, partially offset by lower cash-settled stock-based compensation expense. Our stock price was relatively flat from the beginning to the end of the six months ended June 30, 2019 compared to an increase of approximately $25.00 in our stock price from the beginning to the end of the six months ended June 30, 2018. This had the effect of lower non-cash stock-based compensation expense for cash-settled awards in the first half of 2019 compared to the same prior-year period.</w:t>
      </w:r>
    </w:p>
    <w:p>
      <w:pPr>
        <w:spacing w:after="0" w:line="183"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i w:val="1"/>
          <w:iCs w:val="1"/>
          <w:color w:val="auto"/>
        </w:rPr>
        <w:t xml:space="preserve">Other expenses, net </w:t>
      </w:r>
      <w:r>
        <w:rPr>
          <w:rFonts w:ascii="Arial" w:cs="Arial" w:eastAsia="Arial" w:hAnsi="Arial"/>
          <w:sz w:val="18"/>
          <w:szCs w:val="18"/>
          <w:color w:val="auto"/>
        </w:rPr>
        <w:t>- The increase in other expenses of $93 million to $203 million for the six months ended June 30, 2019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$110 million for the same period of 2018, was largely the result of higher trading activity in 2019.</w:t>
      </w:r>
    </w:p>
    <w:p>
      <w:pPr>
        <w:spacing w:after="0" w:line="162" w:lineRule="exact"/>
        <w:rPr>
          <w:sz w:val="20"/>
          <w:szCs w:val="20"/>
          <w:color w:val="auto"/>
        </w:rPr>
      </w:pPr>
    </w:p>
    <w:p>
      <w:pPr>
        <w:ind w:right="360" w:firstLine="324"/>
        <w:spacing w:after="0" w:line="266" w:lineRule="auto"/>
        <w:rPr>
          <w:sz w:val="20"/>
          <w:szCs w:val="20"/>
          <w:color w:val="auto"/>
        </w:rPr>
      </w:pPr>
      <w:r>
        <w:rPr>
          <w:rFonts w:ascii="Arial" w:cs="Arial" w:eastAsia="Arial" w:hAnsi="Arial"/>
          <w:sz w:val="18"/>
          <w:szCs w:val="18"/>
          <w:i w:val="1"/>
          <w:iCs w:val="1"/>
          <w:color w:val="auto"/>
        </w:rPr>
        <w:t xml:space="preserve">Interest and debt expense, net </w:t>
      </w:r>
      <w:r>
        <w:rPr>
          <w:rFonts w:ascii="Arial" w:cs="Arial" w:eastAsia="Arial" w:hAnsi="Arial"/>
          <w:sz w:val="18"/>
          <w:szCs w:val="18"/>
          <w:color w:val="auto"/>
        </w:rPr>
        <w:t>- Interest and debt expense, net increased $12 million to $198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compared to $186 million for the same period of 2018, primarily due to higher balances and interest rates on our variable-rate debt, partially offset by a lower outstanding balance on our Second Lien Notes as a result of repurchases.</w:t>
      </w:r>
    </w:p>
    <w:p>
      <w:pPr>
        <w:spacing w:after="0" w:line="176" w:lineRule="exact"/>
        <w:rPr>
          <w:sz w:val="20"/>
          <w:szCs w:val="20"/>
          <w:color w:val="auto"/>
        </w:rPr>
      </w:pPr>
    </w:p>
    <w:p>
      <w:pPr>
        <w:ind w:right="460" w:firstLine="324"/>
        <w:spacing w:after="0" w:line="266" w:lineRule="auto"/>
        <w:rPr>
          <w:sz w:val="20"/>
          <w:szCs w:val="20"/>
          <w:color w:val="auto"/>
        </w:rPr>
      </w:pPr>
      <w:r>
        <w:rPr>
          <w:rFonts w:ascii="Arial" w:cs="Arial" w:eastAsia="Arial" w:hAnsi="Arial"/>
          <w:sz w:val="18"/>
          <w:szCs w:val="18"/>
          <w:i w:val="1"/>
          <w:iCs w:val="1"/>
          <w:color w:val="auto"/>
        </w:rPr>
        <w:t xml:space="preserve">Net income attributable to noncontrolling interests - </w:t>
      </w:r>
      <w:r>
        <w:rPr>
          <w:rFonts w:ascii="Arial" w:cs="Arial" w:eastAsia="Arial" w:hAnsi="Arial"/>
          <w:sz w:val="18"/>
          <w:szCs w:val="18"/>
          <w:color w:val="auto"/>
        </w:rPr>
        <w:t>The increase in net income attributable to noncontrolling interests of $22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both changes in the fair value of derivative instruments held by the BSP JV and additional income allocated to our noncontrolling interest holders in 2019 since the Ares JV was entered into during the first quarter of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4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consolidated results of operations for the three and six months ended June 30, 2019 and 2018 include the effects of long-term stock-based compensation plans under which awards are granted annually to executives, non-executive employees and non-employee directors that are either settled with shares of our common stock or cash. Our equity-settled awards granted to executives include stock options, restricted stock units and performance stock units that either cliff vest at the end of a three-year period or vest ratably over a three-year period, some of which are partially settled in cash. Our equity-settled awards granted to non-employee directors are stock grants that vest immediately or restricted stock units that cliff vest after one year. Our cash-settled awards granted to non-executive employees vest ratably over a three-year period.</w:t>
      </w:r>
    </w:p>
    <w:p>
      <w:pPr>
        <w:spacing w:after="0" w:line="20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Changes in our stock price introduce volatility in our results of operations because we pay cash-settled awards based on our stock price on the vesting date and accounting rules require that we adjust our obligation for unvested awards to the amount that would be paid using our stock price at the end of each reporting period. Cash-settled awards, including executive awards partially settled in cash, account for approximately 50% of our total outstanding awards. Equity-settled awards are not similarly adjusted for changes in our stock price.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38" w:right="2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color w:val="auto"/>
        </w:rPr>
        <w:t>Stock-based compensation is included in both G&amp;A expenses and production costs as shown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17"/>
                <w:szCs w:val="17"/>
                <w:color w:val="auto"/>
              </w:rPr>
            </w:pPr>
          </w:p>
        </w:tc>
        <w:tc>
          <w:tcPr>
            <w:tcW w:w="3120" w:type="dxa"/>
            <w:vAlign w:val="bottom"/>
            <w:gridSpan w:val="7"/>
          </w:tcPr>
          <w:p>
            <w:pPr>
              <w:jc w:val="center"/>
              <w:ind w:right="90"/>
              <w:spacing w:after="0"/>
              <w:rPr>
                <w:sz w:val="20"/>
                <w:szCs w:val="20"/>
                <w:color w:val="auto"/>
              </w:rPr>
            </w:pPr>
            <w:r>
              <w:rPr>
                <w:rFonts w:ascii="Arial" w:cs="Arial" w:eastAsia="Arial" w:hAnsi="Arial"/>
                <w:sz w:val="18"/>
                <w:szCs w:val="18"/>
                <w:b w:val="1"/>
                <w:bCs w:val="1"/>
                <w:color w:val="auto"/>
                <w:w w:val="99"/>
              </w:rPr>
              <w:t>Six months ended</w:t>
            </w:r>
          </w:p>
        </w:tc>
      </w:tr>
      <w:tr>
        <w:trPr>
          <w:trHeight w:val="246"/>
        </w:trPr>
        <w:tc>
          <w:tcPr>
            <w:tcW w:w="46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9"/>
              </w:rPr>
              <w:t>June 30,</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64"/>
        </w:trPr>
        <w:tc>
          <w:tcPr>
            <w:tcW w:w="46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Variance</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Variance</w:t>
            </w:r>
          </w:p>
        </w:tc>
      </w:tr>
      <w:tr>
        <w:trPr>
          <w:trHeight w:val="245"/>
        </w:trPr>
        <w:tc>
          <w:tcPr>
            <w:tcW w:w="4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20" w:type="dxa"/>
            <w:vAlign w:val="bottom"/>
            <w:gridSpan w:val="7"/>
          </w:tcPr>
          <w:p>
            <w:pPr>
              <w:ind w:left="40"/>
              <w:spacing w:after="0"/>
              <w:rPr>
                <w:sz w:val="20"/>
                <w:szCs w:val="20"/>
                <w:color w:val="auto"/>
              </w:rPr>
            </w:pPr>
            <w:r>
              <w:rPr>
                <w:rFonts w:ascii="Arial" w:cs="Arial" w:eastAsia="Arial" w:hAnsi="Arial"/>
                <w:sz w:val="14"/>
                <w:szCs w:val="14"/>
                <w:color w:val="auto"/>
              </w:rPr>
              <w:t>(in millions, except per Boe amounts)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5"/>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G&amp;A expenses</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Cash-settled awards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Equity-settled awards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 G&amp;A</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4640" w:type="dxa"/>
            <w:vAlign w:val="bottom"/>
          </w:tcPr>
          <w:p>
            <w:pPr>
              <w:ind w:left="180"/>
              <w:spacing w:after="0"/>
              <w:rPr>
                <w:sz w:val="20"/>
                <w:szCs w:val="20"/>
                <w:color w:val="auto"/>
              </w:rPr>
            </w:pPr>
            <w:r>
              <w:rPr>
                <w:rFonts w:ascii="Arial" w:cs="Arial" w:eastAsia="Arial" w:hAnsi="Arial"/>
                <w:sz w:val="18"/>
                <w:szCs w:val="18"/>
                <w:color w:val="auto"/>
              </w:rPr>
              <w:t>Total in G&amp;A per Boe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90"/>
        </w:trPr>
        <w:tc>
          <w:tcPr>
            <w:tcW w:w="4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Production costs</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Cash-settled awards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Equity-settled awards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 production costs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4640" w:type="dxa"/>
            <w:vAlign w:val="bottom"/>
          </w:tcPr>
          <w:p>
            <w:pPr>
              <w:ind w:left="180"/>
              <w:spacing w:after="0"/>
              <w:rPr>
                <w:sz w:val="20"/>
                <w:szCs w:val="20"/>
                <w:color w:val="auto"/>
              </w:rPr>
            </w:pPr>
            <w:r>
              <w:rPr>
                <w:rFonts w:ascii="Arial" w:cs="Arial" w:eastAsia="Arial" w:hAnsi="Arial"/>
                <w:sz w:val="18"/>
                <w:szCs w:val="18"/>
                <w:color w:val="auto"/>
              </w:rPr>
              <w:t>Total in production costs per Boe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90"/>
        </w:trPr>
        <w:tc>
          <w:tcPr>
            <w:tcW w:w="46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r>
      <w:tr>
        <w:trPr>
          <w:trHeight w:val="290"/>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company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company per Boe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results of operations, which are presented in accordance with U.S. generally accepted accounting principles (GAAP), can include the effects of unusual, out-of-period and infrequent transactions and events affecting earnings that vary widely and unpredictably (in particular certain non-cash items such as derivative gains and losses) in nature, timing, amount and frequency. Therefore, management uses a measure called adjusted net income (loss) that excludes those items. This measure is not meant to disassociate these items from management's performance but rather is meant to provide useful information to investors interested in comparing our performance between periods. Reported earnings are considered representative of management's performance over the long term. Adjusted net income (loss) is not considered to be an alternative to net income (loss) reported in accordance with GAAP.</w:t>
      </w:r>
    </w:p>
    <w:p>
      <w:pPr>
        <w:spacing w:after="0" w:line="189" w:lineRule="exact"/>
        <w:rPr>
          <w:sz w:val="20"/>
          <w:szCs w:val="20"/>
          <w:color w:val="auto"/>
        </w:rPr>
      </w:pPr>
    </w:p>
    <w:p>
      <w:pPr>
        <w:jc w:val="both"/>
        <w:ind w:right="200" w:firstLine="324"/>
        <w:spacing w:after="0" w:line="266" w:lineRule="auto"/>
        <w:rPr>
          <w:sz w:val="20"/>
          <w:szCs w:val="20"/>
          <w:color w:val="auto"/>
        </w:rPr>
      </w:pPr>
      <w:r>
        <w:rPr>
          <w:rFonts w:ascii="Arial" w:cs="Arial" w:eastAsia="Arial" w:hAnsi="Arial"/>
          <w:sz w:val="18"/>
          <w:szCs w:val="18"/>
          <w:i w:val="1"/>
          <w:iCs w:val="1"/>
          <w:color w:val="auto"/>
        </w:rPr>
        <w:t xml:space="preserve">Adjusted net (loss) income </w:t>
      </w:r>
      <w:r>
        <w:rPr>
          <w:rFonts w:ascii="Arial" w:cs="Arial" w:eastAsia="Arial" w:hAnsi="Arial"/>
          <w:sz w:val="18"/>
          <w:szCs w:val="18"/>
          <w:color w:val="auto"/>
        </w:rPr>
        <w:t>- The following table presents a reconciliation of the GAAP financial measure of net income (loss) to the non-GAAP financial measure of adjusted net (loss) income and presents the GAAP financial measure of net income (loss) attributable to common stock per diluted share and the non-GAAP financial measure of adjusted net (loss) income per diluted share: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1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1"/>
                <w:szCs w:val="21"/>
                <w:color w:val="auto"/>
              </w:rPr>
            </w:pPr>
          </w:p>
        </w:tc>
      </w:tr>
      <w:tr>
        <w:trPr>
          <w:trHeight w:val="264"/>
        </w:trPr>
        <w:tc>
          <w:tcPr>
            <w:tcW w:w="65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r>
      <w:tr>
        <w:trPr>
          <w:trHeight w:val="251"/>
        </w:trPr>
        <w:tc>
          <w:tcPr>
            <w:tcW w:w="6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color w:val="auto"/>
              </w:rPr>
              <w:t>(in millions, except share data)</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Unusual, infrequent and other items: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35"/>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derivative (gain) loss from commodities, excluding noncontrolling</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30"/>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Early retirement and severance costs</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on early extinguishment of debt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unusual, infrequent and other items</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97"/>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net (loss) income</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1"/>
        </w:trPr>
        <w:tc>
          <w:tcPr>
            <w:tcW w:w="6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63"/>
        </w:trPr>
        <w:tc>
          <w:tcPr>
            <w:tcW w:w="6500" w:type="dxa"/>
            <w:vAlign w:val="bottom"/>
          </w:tcPr>
          <w:p>
            <w:pPr>
              <w:ind w:left="40"/>
              <w:spacing w:after="0"/>
              <w:rPr>
                <w:sz w:val="20"/>
                <w:szCs w:val="20"/>
                <w:color w:val="auto"/>
              </w:rPr>
            </w:pPr>
            <w:r>
              <w:rPr>
                <w:rFonts w:ascii="Arial" w:cs="Arial" w:eastAsia="Arial" w:hAnsi="Arial"/>
                <w:sz w:val="18"/>
                <w:szCs w:val="18"/>
                <w:color w:val="auto"/>
              </w:rPr>
              <w:t>Net income (loss) attributable to common stock per diluted share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net (loss) income per diluted share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r>
    </w:tbl>
    <w:p>
      <w:pPr>
        <w:spacing w:after="0" w:line="200" w:lineRule="exact"/>
        <w:rPr>
          <w:sz w:val="20"/>
          <w:szCs w:val="20"/>
          <w:color w:val="auto"/>
        </w:rPr>
      </w:pPr>
    </w:p>
    <w:p>
      <w:pPr>
        <w:sectPr>
          <w:pgSz w:w="11900" w:h="16838" w:orient="portrait"/>
          <w:cols w:equalWidth="0" w:num="1">
            <w:col w:w="11420"/>
          </w:cols>
          <w:pgMar w:left="240" w:top="598"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598" w:right="239" w:bottom="1440" w:gutter="0" w:footer="0" w:header="0"/>
          <w:type w:val="continuous"/>
        </w:sectPr>
      </w:pPr>
    </w:p>
    <w:bookmarkStart w:id="34" w:name="page35"/>
    <w:bookmarkEnd w:id="34"/>
    <w:p>
      <w:pPr>
        <w:ind w:right="40" w:firstLine="324"/>
        <w:spacing w:after="0" w:line="254" w:lineRule="auto"/>
        <w:rPr>
          <w:sz w:val="20"/>
          <w:szCs w:val="20"/>
          <w:color w:val="auto"/>
        </w:rPr>
      </w:pPr>
      <w:r>
        <w:rPr>
          <w:rFonts w:ascii="Arial" w:cs="Arial" w:eastAsia="Arial" w:hAnsi="Arial"/>
          <w:sz w:val="18"/>
          <w:szCs w:val="18"/>
          <w:i w:val="1"/>
          <w:iCs w:val="1"/>
          <w:color w:val="auto"/>
        </w:rPr>
        <w:t xml:space="preserve">Adjusted EBITDAX </w:t>
      </w:r>
      <w:r>
        <w:rPr>
          <w:rFonts w:ascii="Arial" w:cs="Arial" w:eastAsia="Arial" w:hAnsi="Arial"/>
          <w:sz w:val="18"/>
          <w:szCs w:val="18"/>
          <w:color w:val="auto"/>
        </w:rPr>
        <w:t>- We define adjusted EBITDAX as earnings before interest expense; income taxes; depreciation, depletion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exploration expense; other unusual, out-of-period and infrequent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the historic cost of depreciable and depletable assets. This measure should be read in conjunction with the information contained in our financial statements prepared in accordance with GAAP. A version of adjusted EBITDAX is a material component of certain of our financial covenants under our 2014 Revolving Credit Facility and is provided in addition to, and not as an alternative for, income and liquidity measures calculated in accordance with GAAP.</w:t>
      </w:r>
    </w:p>
    <w:p>
      <w:pPr>
        <w:spacing w:after="0" w:line="207" w:lineRule="exact"/>
        <w:rPr>
          <w:sz w:val="20"/>
          <w:szCs w:val="20"/>
          <w:color w:val="auto"/>
        </w:rPr>
      </w:pPr>
    </w:p>
    <w:p>
      <w:pPr>
        <w:ind w:right="400" w:firstLine="324"/>
        <w:spacing w:after="0" w:line="262" w:lineRule="auto"/>
        <w:rPr>
          <w:sz w:val="20"/>
          <w:szCs w:val="20"/>
          <w:color w:val="auto"/>
        </w:rPr>
      </w:pPr>
      <w:r>
        <w:rPr>
          <w:rFonts w:ascii="Arial" w:cs="Arial" w:eastAsia="Arial" w:hAnsi="Arial"/>
          <w:sz w:val="18"/>
          <w:szCs w:val="18"/>
          <w:color w:val="auto"/>
        </w:rPr>
        <w:t>The following table presents a reconciliation of the GAAP financial measure of net income (loss) to the non-GAAP financial measure of adjusted EBITDAX:</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0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6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r>
      <w:tr>
        <w:trPr>
          <w:trHeight w:val="264"/>
        </w:trPr>
        <w:tc>
          <w:tcPr>
            <w:tcW w:w="65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r>
      <w:tr>
        <w:trPr>
          <w:trHeight w:val="251"/>
        </w:trPr>
        <w:tc>
          <w:tcPr>
            <w:tcW w:w="6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Interest and debt expense, net</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63"/>
        </w:trPr>
        <w:tc>
          <w:tcPr>
            <w:tcW w:w="6500" w:type="dxa"/>
            <w:vAlign w:val="bottom"/>
          </w:tcPr>
          <w:p>
            <w:pPr>
              <w:ind w:left="180"/>
              <w:spacing w:after="0"/>
              <w:rPr>
                <w:sz w:val="20"/>
                <w:szCs w:val="20"/>
                <w:color w:val="auto"/>
              </w:rPr>
            </w:pPr>
            <w:r>
              <w:rPr>
                <w:rFonts w:ascii="Arial" w:cs="Arial" w:eastAsia="Arial" w:hAnsi="Arial"/>
                <w:sz w:val="18"/>
                <w:szCs w:val="18"/>
                <w:color w:val="auto"/>
              </w:rPr>
              <w:t>Exploration expense</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7"/>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Unusual, infrequent and other items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64"/>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non-cash items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EBITDAX</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The following table sets forth a reconciliation of the GAAP measure of net cash provided by operating activities to the non-GAAP financial measure of adjusted EBITDAX:</w:t>
      </w:r>
    </w:p>
    <w:p>
      <w:pPr>
        <w:spacing w:after="0" w:line="120" w:lineRule="exact"/>
        <w:rPr>
          <w:sz w:val="20"/>
          <w:szCs w:val="20"/>
          <w:color w:val="auto"/>
        </w:rPr>
      </w:pPr>
    </w:p>
    <w:p>
      <w:pPr>
        <w:jc w:val="center"/>
        <w:ind w:left="904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jc w:val="center"/>
        <w:ind w:left="90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14605</wp:posOffset>
            </wp:positionV>
            <wp:extent cx="15265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r>
      <w:tr>
        <w:trPr>
          <w:trHeight w:val="251"/>
        </w:trPr>
        <w:tc>
          <w:tcPr>
            <w:tcW w:w="9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63"/>
        </w:trPr>
        <w:tc>
          <w:tcPr>
            <w:tcW w:w="9020" w:type="dxa"/>
            <w:vAlign w:val="bottom"/>
          </w:tcPr>
          <w:p>
            <w:pPr>
              <w:ind w:left="180"/>
              <w:spacing w:after="0"/>
              <w:rPr>
                <w:sz w:val="20"/>
                <w:szCs w:val="20"/>
                <w:color w:val="auto"/>
              </w:rPr>
            </w:pPr>
            <w:r>
              <w:rPr>
                <w:rFonts w:ascii="Arial" w:cs="Arial" w:eastAsia="Arial" w:hAnsi="Arial"/>
                <w:sz w:val="18"/>
                <w:szCs w:val="18"/>
                <w:color w:val="auto"/>
              </w:rPr>
              <w:t>Cash interest</w:t>
            </w:r>
          </w:p>
        </w:tc>
        <w:tc>
          <w:tcPr>
            <w:tcW w:w="2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7"/>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expenditures</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63"/>
        </w:trPr>
        <w:tc>
          <w:tcPr>
            <w:tcW w:w="9020" w:type="dxa"/>
            <w:vAlign w:val="bottom"/>
          </w:tcPr>
          <w:p>
            <w:pPr>
              <w:ind w:left="180"/>
              <w:spacing w:after="0"/>
              <w:rPr>
                <w:sz w:val="20"/>
                <w:szCs w:val="20"/>
                <w:color w:val="auto"/>
              </w:rPr>
            </w:pPr>
            <w:r>
              <w:rPr>
                <w:rFonts w:ascii="Arial" w:cs="Arial" w:eastAsia="Arial" w:hAnsi="Arial"/>
                <w:sz w:val="18"/>
                <w:szCs w:val="18"/>
                <w:color w:val="auto"/>
              </w:rPr>
              <w:t>Working capital changes</w:t>
            </w:r>
          </w:p>
        </w:tc>
        <w:tc>
          <w:tcPr>
            <w:tcW w:w="2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Adjusted EBITDAX</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495</w:t>
            </w: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Adjusted EBITDAX increased by $61 million primarily due to higher oil and natural gas production, higher realized oil prices with hedges and higher trading income, partially offset by higher production costs.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50"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9"/>
        </w:trPr>
        <w:tc>
          <w:tcPr>
            <w:tcW w:w="902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86"/>
        </w:trPr>
        <w:tc>
          <w:tcPr>
            <w:tcW w:w="9020" w:type="dxa"/>
            <w:vAlign w:val="bottom"/>
          </w:tcPr>
          <w:p>
            <w:pPr>
              <w:spacing w:after="0"/>
              <w:rPr>
                <w:sz w:val="20"/>
                <w:szCs w:val="20"/>
                <w:color w:val="auto"/>
              </w:rPr>
            </w:pPr>
            <w:r>
              <w:rPr>
                <w:rFonts w:ascii="Arial" w:cs="Arial" w:eastAsia="Arial" w:hAnsi="Arial"/>
                <w:sz w:val="18"/>
                <w:szCs w:val="18"/>
                <w:b w:val="1"/>
                <w:bCs w:val="1"/>
                <w:i w:val="1"/>
                <w:iCs w:val="1"/>
                <w:color w:val="auto"/>
              </w:rPr>
              <w:t>Cash Flow Analysis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2"/>
        </w:trPr>
        <w:tc>
          <w:tcPr>
            <w:tcW w:w="9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9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r>
      <w:tr>
        <w:trPr>
          <w:trHeight w:val="264"/>
        </w:trPr>
        <w:tc>
          <w:tcPr>
            <w:tcW w:w="90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r>
      <w:tr>
        <w:trPr>
          <w:trHeight w:val="251"/>
        </w:trPr>
        <w:tc>
          <w:tcPr>
            <w:tcW w:w="9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investments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63"/>
        </w:trPr>
        <w:tc>
          <w:tcPr>
            <w:tcW w:w="9020" w:type="dxa"/>
            <w:vAlign w:val="bottom"/>
          </w:tcPr>
          <w:p>
            <w:pPr>
              <w:ind w:left="180"/>
              <w:spacing w:after="0"/>
              <w:rPr>
                <w:sz w:val="20"/>
                <w:szCs w:val="20"/>
                <w:color w:val="auto"/>
              </w:rPr>
            </w:pPr>
            <w:r>
              <w:rPr>
                <w:rFonts w:ascii="Arial" w:cs="Arial" w:eastAsia="Arial" w:hAnsi="Arial"/>
                <w:sz w:val="18"/>
                <w:szCs w:val="18"/>
                <w:color w:val="auto"/>
              </w:rPr>
              <w:t>Changes in capital investment accruals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7"/>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 divestitures and other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Net cash (used) provided by financing activities:</w:t>
            </w: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transactions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63"/>
        </w:trPr>
        <w:tc>
          <w:tcPr>
            <w:tcW w:w="9020" w:type="dxa"/>
            <w:vAlign w:val="bottom"/>
          </w:tcPr>
          <w:p>
            <w:pPr>
              <w:ind w:left="180"/>
              <w:spacing w:after="0"/>
              <w:rPr>
                <w:sz w:val="20"/>
                <w:szCs w:val="20"/>
                <w:color w:val="auto"/>
              </w:rPr>
            </w:pPr>
            <w:r>
              <w:rPr>
                <w:rFonts w:ascii="Arial" w:cs="Arial" w:eastAsia="Arial" w:hAnsi="Arial"/>
                <w:sz w:val="18"/>
                <w:szCs w:val="18"/>
                <w:color w:val="auto"/>
              </w:rPr>
              <w:t>Contributions (distributions) with noncontrolling interest 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755</w:t>
            </w:r>
          </w:p>
        </w:tc>
      </w:tr>
      <w:tr>
        <w:trPr>
          <w:trHeight w:val="277"/>
        </w:trPr>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 and other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bl>
    <w:p>
      <w:pPr>
        <w:spacing w:after="0" w:line="26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net cash provided by operating activities is sensitive to many variables, including changes in commodity prices. Commodity price movements may also lead to changes in other variables in our business including adjustments to our capital program. Our operating cash flow increased 16%, or $38 million, to $272 million for the six months ended June 30, 2019 from $ 234 million in the same period of 2018. The increase was primarily due to higher realized prices, including hedge settlements, and higher volumes in the first half of 2019. These increases were partially offset by changes in operating assets and liabilities related to higher interest payments on variable-rate debt that reduced our operating cash flow by $52 million in 2019 compared to $42 million in 2018. We expect our cash provided by operating activities to fully fund our internally funded capital program in 2019.</w:t>
      </w:r>
    </w:p>
    <w:p>
      <w:pPr>
        <w:spacing w:after="0" w:line="126"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net cash used in investing activities of $170 million for the six months ended June 30, 2019 primarily reflected $271 million of capital investments (excluding $57 million in capital-related accrual changes), of which $43 million was funded by BSP. Cash used in investing activities also included proceeds of $165 million related to the Lost Hills divestiture. For the six months ended June 30, 2018, our net cash used in investing activities of $807 million primarily included approximately $512 million of acquisition costs related to the Elk Hills transaction and a building in Bakersfield and $327 million of capital investments (excluding $22 million in capital-related accrual changes), of which $18 million was funded by BSP.</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amounts in the table below reflect our capital investment, excluding changes in capital investment accruals, for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2018:</w:t>
      </w:r>
    </w:p>
    <w:p>
      <w:pPr>
        <w:spacing w:after="0" w:line="149" w:lineRule="exact"/>
        <w:rPr>
          <w:sz w:val="20"/>
          <w:szCs w:val="20"/>
          <w:color w:val="auto"/>
        </w:rPr>
      </w:pPr>
    </w:p>
    <w:p>
      <w:pPr>
        <w:jc w:val="center"/>
        <w:ind w:left="9040"/>
        <w:spacing w:after="0"/>
        <w:rPr>
          <w:sz w:val="20"/>
          <w:szCs w:val="20"/>
          <w:color w:val="auto"/>
        </w:rPr>
      </w:pPr>
      <w:r>
        <w:rPr>
          <w:rFonts w:ascii="Arial" w:cs="Arial" w:eastAsia="Arial" w:hAnsi="Arial"/>
          <w:sz w:val="18"/>
          <w:szCs w:val="18"/>
          <w:b w:val="1"/>
          <w:bCs w:val="1"/>
          <w:color w:val="auto"/>
        </w:rPr>
        <w:t>Six months ended</w:t>
      </w:r>
    </w:p>
    <w:p>
      <w:pPr>
        <w:spacing w:after="0" w:line="18" w:lineRule="exact"/>
        <w:rPr>
          <w:sz w:val="20"/>
          <w:szCs w:val="20"/>
          <w:color w:val="auto"/>
        </w:rPr>
      </w:pPr>
    </w:p>
    <w:p>
      <w:pPr>
        <w:jc w:val="center"/>
        <w:ind w:left="90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14605</wp:posOffset>
            </wp:positionV>
            <wp:extent cx="15265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r>
      <w:tr>
        <w:trPr>
          <w:trHeight w:val="251"/>
        </w:trPr>
        <w:tc>
          <w:tcPr>
            <w:tcW w:w="9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21"/>
                <w:szCs w:val="2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gas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63"/>
        </w:trPr>
        <w:tc>
          <w:tcPr>
            <w:tcW w:w="9020" w:type="dxa"/>
            <w:vAlign w:val="bottom"/>
          </w:tcPr>
          <w:p>
            <w:pPr>
              <w:ind w:left="40"/>
              <w:spacing w:after="0"/>
              <w:rPr>
                <w:sz w:val="20"/>
                <w:szCs w:val="20"/>
                <w:color w:val="auto"/>
              </w:rPr>
            </w:pPr>
            <w:r>
              <w:rPr>
                <w:rFonts w:ascii="Arial" w:cs="Arial" w:eastAsia="Arial" w:hAnsi="Arial"/>
                <w:sz w:val="18"/>
                <w:szCs w:val="18"/>
                <w:color w:val="auto"/>
              </w:rPr>
              <w:t>Exploration</w:t>
            </w:r>
          </w:p>
        </w:tc>
        <w:tc>
          <w:tcPr>
            <w:tcW w:w="240" w:type="dxa"/>
            <w:vAlign w:val="bottom"/>
          </w:tcPr>
          <w:p>
            <w:pPr>
              <w:spacing w:after="0"/>
              <w:rPr>
                <w:sz w:val="22"/>
                <w:szCs w:val="22"/>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9020" w:type="dxa"/>
            <w:vAlign w:val="bottom"/>
          </w:tcPr>
          <w:p>
            <w:pPr>
              <w:ind w:left="180"/>
              <w:spacing w:after="0"/>
              <w:rPr>
                <w:sz w:val="20"/>
                <w:szCs w:val="20"/>
                <w:color w:val="auto"/>
              </w:rPr>
            </w:pPr>
            <w:r>
              <w:rPr>
                <w:rFonts w:ascii="Arial" w:cs="Arial" w:eastAsia="Arial" w:hAnsi="Arial"/>
                <w:sz w:val="18"/>
                <w:szCs w:val="18"/>
                <w:color w:val="auto"/>
              </w:rPr>
              <w:t>Total internally funded capital</w:t>
            </w: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309</w:t>
            </w: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BSP funded capital</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57"/>
        </w:trPr>
        <w:tc>
          <w:tcPr>
            <w:tcW w:w="9020" w:type="dxa"/>
            <w:vAlign w:val="bottom"/>
          </w:tcPr>
          <w:p>
            <w:pPr>
              <w:ind w:left="240"/>
              <w:spacing w:after="0"/>
              <w:rPr>
                <w:sz w:val="20"/>
                <w:szCs w:val="20"/>
                <w:color w:val="auto"/>
              </w:rPr>
            </w:pPr>
            <w:r>
              <w:rPr>
                <w:rFonts w:ascii="Arial" w:cs="Arial" w:eastAsia="Arial" w:hAnsi="Arial"/>
                <w:sz w:val="18"/>
                <w:szCs w:val="18"/>
                <w:color w:val="auto"/>
              </w:rPr>
              <w:t>Total capital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327</w:t>
            </w: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net cash used in financing activities of $92 million for the six months ended June 30, 2019 primarily comprised $65 million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distributions to our noncontrolling interest holders, $59 million of debt repurchases on our Second Lien Notes and net payments on our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Facility of $15 million, partially offset by contributions from BSP of $49 million. For the six months ended June 30, 2018,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of $595 million primarily comprised $796 million in net contributions from our noncontrolling interest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holders and $50 million from the issuance of common stock to an Ares-led investor group in connection with the Ares JV, partially offset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$119 million used for debt repurchases on our senior notes, $86 million of net payments on our 2014 Revolving Credit Facility and $41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distributions paid to our noncontrolling interest holders.</w:t>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576"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4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primary sources of liquidity and capital resources are cash flow from operations and available borrowing capacity under our 2014 Revolving Credit Facility. We also rely on other sources such as JVs to supplement our capital program, fund acquisitions and for other corporate purposes. We expect that the combination of these sources of funds will be adequate for our 2019 capital program, debt service and operating needs.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2019, our long-term debt consisted of the following credit agreements, second lien notes and senior notes: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ind w:right="120"/>
              <w:spacing w:after="0"/>
              <w:rPr>
                <w:sz w:val="20"/>
                <w:szCs w:val="20"/>
                <w:color w:val="auto"/>
              </w:rPr>
            </w:pPr>
            <w:r>
              <w:rPr>
                <w:rFonts w:ascii="Arial" w:cs="Arial" w:eastAsia="Arial" w:hAnsi="Arial"/>
                <w:sz w:val="16"/>
                <w:szCs w:val="16"/>
                <w:b w:val="1"/>
                <w:bCs w:val="1"/>
                <w:color w:val="auto"/>
              </w:rPr>
              <w:t>Principal</w:t>
            </w:r>
          </w:p>
        </w:tc>
        <w:tc>
          <w:tcPr>
            <w:tcW w:w="100" w:type="dxa"/>
            <w:vAlign w:val="bottom"/>
          </w:tcPr>
          <w:p>
            <w:pPr>
              <w:spacing w:after="0"/>
              <w:rPr>
                <w:sz w:val="19"/>
                <w:szCs w:val="19"/>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Interest Rate</w:t>
            </w:r>
          </w:p>
        </w:tc>
        <w:tc>
          <w:tcPr>
            <w:tcW w:w="2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Maturity</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Credit Agreements</w:t>
            </w:r>
          </w:p>
        </w:tc>
        <w:tc>
          <w:tcPr>
            <w:tcW w:w="2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center"/>
              <w:ind w:right="1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LIBOR plus 3.25%-4.00%</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2014 Revolving Credit Facility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2.25%-3.00%</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June 30, 2021</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Shared First-Priority Lien</w:t>
            </w:r>
          </w:p>
        </w:tc>
        <w:tc>
          <w:tcPr>
            <w:tcW w:w="0" w:type="dxa"/>
            <w:vAlign w:val="bottom"/>
          </w:tcPr>
          <w:p>
            <w:pPr>
              <w:spacing w:after="0"/>
              <w:rPr>
                <w:sz w:val="1"/>
                <w:szCs w:val="1"/>
                <w:color w:val="auto"/>
              </w:rPr>
            </w:pPr>
          </w:p>
        </w:tc>
      </w:tr>
      <w:tr>
        <w:trPr>
          <w:trHeight w:val="218"/>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LIBOR plus 4.75%</w:t>
            </w:r>
          </w:p>
        </w:tc>
        <w:tc>
          <w:tcPr>
            <w:tcW w:w="21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8"/>
              </w:rPr>
              <w:t>December 31, 2022</w:t>
            </w:r>
            <w:r>
              <w:rPr>
                <w:rFonts w:ascii="Arial" w:cs="Arial" w:eastAsia="Arial" w:hAnsi="Arial"/>
                <w:sz w:val="21"/>
                <w:szCs w:val="21"/>
                <w:color w:val="auto"/>
                <w:w w:val="98"/>
                <w:vertAlign w:val="superscript"/>
              </w:rPr>
              <w:t>(a)</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tcPr>
          <w:p>
            <w:pPr>
              <w:ind w:left="180"/>
              <w:spacing w:after="0"/>
              <w:rPr>
                <w:sz w:val="20"/>
                <w:szCs w:val="20"/>
                <w:color w:val="auto"/>
              </w:rPr>
            </w:pPr>
            <w:r>
              <w:rPr>
                <w:rFonts w:ascii="Arial" w:cs="Arial" w:eastAsia="Arial" w:hAnsi="Arial"/>
                <w:sz w:val="16"/>
                <w:szCs w:val="16"/>
                <w:color w:val="auto"/>
              </w:rPr>
              <w:t>2017 Credit Agreement</w:t>
            </w:r>
          </w:p>
        </w:tc>
        <w:tc>
          <w:tcPr>
            <w:tcW w:w="20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ABR plus 3.75%</w:t>
            </w:r>
          </w:p>
        </w:tc>
        <w:tc>
          <w:tcPr>
            <w:tcW w:w="2160" w:type="dxa"/>
            <w:vAlign w:val="bottom"/>
            <w:gridSpan w:val="2"/>
            <w:vMerge w:val="continue"/>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rPr>
              <w:t>Shared First-Priority Lien</w:t>
            </w: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LIBOR plus 10.375%</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2016 Credit Agreement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ABR plus 9.375%</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December 31, 2021</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First-Priority Lien</w:t>
            </w:r>
          </w:p>
        </w:tc>
        <w:tc>
          <w:tcPr>
            <w:tcW w:w="0" w:type="dxa"/>
            <w:vAlign w:val="bottom"/>
          </w:tcPr>
          <w:p>
            <w:pPr>
              <w:spacing w:after="0"/>
              <w:rPr>
                <w:sz w:val="1"/>
                <w:szCs w:val="1"/>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Second Lien Notes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Second Lien Notes</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1,991</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December 15, 2022</w:t>
            </w:r>
            <w:r>
              <w:rPr>
                <w:rFonts w:ascii="Arial" w:cs="Arial" w:eastAsia="Arial" w:hAnsi="Arial"/>
                <w:sz w:val="21"/>
                <w:szCs w:val="21"/>
                <w:color w:val="auto"/>
                <w:w w:val="98"/>
                <w:vertAlign w:val="superscript"/>
              </w:rPr>
              <w:t>(b)</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Second-Priority Lien</w:t>
            </w:r>
          </w:p>
        </w:tc>
        <w:tc>
          <w:tcPr>
            <w:tcW w:w="0" w:type="dxa"/>
            <w:vAlign w:val="bottom"/>
          </w:tcPr>
          <w:p>
            <w:pPr>
              <w:spacing w:after="0"/>
              <w:rPr>
                <w:sz w:val="1"/>
                <w:szCs w:val="1"/>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Senior Notes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 Senior Notes due 2020</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January 15, 2020</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60"/>
        </w:trPr>
        <w:tc>
          <w:tcPr>
            <w:tcW w:w="3200" w:type="dxa"/>
            <w:vAlign w:val="bottom"/>
          </w:tcPr>
          <w:p>
            <w:pPr>
              <w:ind w:left="180"/>
              <w:spacing w:after="0"/>
              <w:rPr>
                <w:sz w:val="20"/>
                <w:szCs w:val="20"/>
                <w:color w:val="auto"/>
              </w:rPr>
            </w:pPr>
            <w:r>
              <w:rPr>
                <w:rFonts w:ascii="Arial" w:cs="Arial" w:eastAsia="Arial" w:hAnsi="Arial"/>
                <w:sz w:val="16"/>
                <w:szCs w:val="16"/>
                <w:color w:val="auto"/>
              </w:rPr>
              <w:t>5½% Senior Notes due 2021</w:t>
            </w:r>
          </w:p>
        </w:tc>
        <w:tc>
          <w:tcPr>
            <w:tcW w:w="200" w:type="dxa"/>
            <w:vAlign w:val="bottom"/>
          </w:tcPr>
          <w:p>
            <w:pPr>
              <w:spacing w:after="0"/>
              <w:rPr>
                <w:sz w:val="22"/>
                <w:szCs w:val="22"/>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204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5.5%</w:t>
            </w:r>
          </w:p>
        </w:tc>
        <w:tc>
          <w:tcPr>
            <w:tcW w:w="100" w:type="dxa"/>
            <w:vAlign w:val="bottom"/>
          </w:tcPr>
          <w:p>
            <w:pPr>
              <w:spacing w:after="0"/>
              <w:rPr>
                <w:sz w:val="22"/>
                <w:szCs w:val="22"/>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rPr>
              <w:t>September 15, 2021</w:t>
            </w:r>
          </w:p>
        </w:tc>
        <w:tc>
          <w:tcPr>
            <w:tcW w:w="2400" w:type="dxa"/>
            <w:vAlign w:val="bottom"/>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73"/>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6% Senior Notes due 2024</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20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November 15, 2024</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Unsecured</w:t>
            </w:r>
          </w:p>
        </w:tc>
        <w:tc>
          <w:tcPr>
            <w:tcW w:w="0" w:type="dxa"/>
            <w:vAlign w:val="bottom"/>
          </w:tcPr>
          <w:p>
            <w:pPr>
              <w:spacing w:after="0"/>
              <w:rPr>
                <w:sz w:val="1"/>
                <w:szCs w:val="1"/>
                <w:color w:val="auto"/>
              </w:rPr>
            </w:pPr>
          </w:p>
        </w:tc>
      </w:tr>
      <w:tr>
        <w:trPr>
          <w:trHeight w:val="247"/>
        </w:trPr>
        <w:tc>
          <w:tcPr>
            <w:tcW w:w="3200" w:type="dxa"/>
            <w:vAlign w:val="bottom"/>
          </w:tcPr>
          <w:p>
            <w:pPr>
              <w:ind w:left="380"/>
              <w:spacing w:after="0"/>
              <w:rPr>
                <w:sz w:val="20"/>
                <w:szCs w:val="20"/>
                <w:color w:val="auto"/>
              </w:rPr>
            </w:pPr>
            <w:r>
              <w:rPr>
                <w:rFonts w:ascii="Arial" w:cs="Arial" w:eastAsia="Arial" w:hAnsi="Arial"/>
                <w:sz w:val="16"/>
                <w:szCs w:val="16"/>
                <w:color w:val="auto"/>
              </w:rPr>
              <w:t>Total</w:t>
            </w:r>
          </w:p>
        </w:tc>
        <w:tc>
          <w:tcPr>
            <w:tcW w:w="200" w:type="dxa"/>
            <w:vAlign w:val="bottom"/>
          </w:tcPr>
          <w:p>
            <w:pPr>
              <w:spacing w:after="0"/>
              <w:rPr>
                <w:sz w:val="21"/>
                <w:szCs w:val="21"/>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5,160</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Current Maturities</w:t>
            </w:r>
          </w:p>
        </w:tc>
        <w:tc>
          <w:tcPr>
            <w:tcW w:w="2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Long-Term Debt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5,060</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3810</wp:posOffset>
            </wp:positionV>
            <wp:extent cx="960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20955</wp:posOffset>
            </wp:positionV>
            <wp:extent cx="960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3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Note:</w:t>
        <w:tab/>
        <w:t>For a detailed description of our credit agreements, second lien notes and senior notes, please see our most recent Form 10-K for the year ended December 31, 2018.</w:t>
      </w:r>
    </w:p>
    <w:p>
      <w:pPr>
        <w:spacing w:after="0" w:line="1" w:lineRule="exact"/>
        <w:rPr>
          <w:sz w:val="20"/>
          <w:szCs w:val="20"/>
          <w:color w:val="auto"/>
        </w:rPr>
      </w:pPr>
    </w:p>
    <w:p>
      <w:pPr>
        <w:ind w:left="500" w:right="40" w:hanging="330"/>
        <w:spacing w:after="0" w:line="24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2017 Credit Agreement is subject to a springing maturity of 91 days prior to the maturity of our 2016 Credit Agreement if more than $100 million in principal of the 2016 Credit Agreement is outstanding at that time.</w:t>
      </w:r>
    </w:p>
    <w:p>
      <w:pPr>
        <w:ind w:left="500" w:right="60" w:hanging="330"/>
        <w:spacing w:after="0" w:line="258"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Second Lien Notes require principal repayments of $315 million in June 2021, $63 million in December 2021, $65 million in June 2022 and $1,548 million in December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Revolving Credit Facility</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As of June 30, 2019, we had $309 million of available borrowing capacity under our $1 billion revolving credit facility (2014 Revolving Credit Facility), before a $150 million month-end minimum liquidity requirement. Effective May 1, 2019, the borrowing base under this facility was reaffirmed at $ 2.3 billion. Our 2014 Revolving Credit Facility also includes a sub-limit of $400 million for the issuance of letters of credit. As of June 30, 2019 and December 31, 2018, we had letters of credit outstanding of $166 million and $162 million, respectively. These letters of credit were issued to support ordinary course marketing, insurance, regulatory and other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Repurchases</w:t>
      </w:r>
    </w:p>
    <w:p>
      <w:pPr>
        <w:spacing w:after="0" w:line="247"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In the first quarter of 2019, we repurchased $18 million in face value of our 8% senior secured second lien notes due December 15, 2022 (Second Lien Notes) for $14 million in cash resulting in a pre-tax gain of $6 million, including the effect of unamortized deferred gain and issuance costs. In the second quarter of 2019, we repurchased $58 million in face value of our Second Lien Notes for $45 million in cash resulting in a pre-tax gain of $20 million, including the effect of unamortized deferred gain and issuance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2019, we were in compliance with all financial and other debt covenants.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92" w:right="239" w:bottom="1440" w:gutter="0" w:footer="0" w:header="0"/>
        </w:sectPr>
      </w:pPr>
    </w:p>
    <w:bookmarkStart w:id="37" w:name="page38"/>
    <w:bookmarkEnd w:id="37"/>
    <w:p>
      <w:pPr>
        <w:ind w:right="20" w:firstLine="324"/>
        <w:spacing w:after="0" w:line="256" w:lineRule="auto"/>
        <w:rPr>
          <w:sz w:val="20"/>
          <w:szCs w:val="20"/>
          <w:color w:val="auto"/>
        </w:rPr>
      </w:pPr>
      <w:r>
        <w:rPr>
          <w:rFonts w:ascii="Arial" w:cs="Arial" w:eastAsia="Arial" w:hAnsi="Arial"/>
          <w:sz w:val="18"/>
          <w:szCs w:val="18"/>
          <w:color w:val="auto"/>
        </w:rPr>
        <w:t>All obligations under our 2014 Revolving Credit Facility, 2017 Credit Agreement and 2016 Credit Agreement (collectively, Credit Facilities) as well as our Second Lien Notes and Senior Notes are guaranteed both fully and unconditionally and jointly and severally by all of our material wholly owned subsidiaries.</w:t>
      </w:r>
    </w:p>
    <w:p>
      <w:pPr>
        <w:spacing w:after="0" w:line="202"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A one-eighth percent change in the variable interest rates on the borrowings under our Credit Facilities on June 30, 2019 would result in a $4 million change in annual interest expense before the impact of interest-rate contracts.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4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commodity prices negatively affect our operating cash flow, and the inverse applies during periods of rising commodity prices. To mitigate some of the risk inherent in the downward movement in oil prices, we have utilized various derivative instruments to hedge commodity price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Commodity Contracts</w:t>
      </w:r>
    </w:p>
    <w:p>
      <w:pPr>
        <w:spacing w:after="0" w:line="243"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Our strategy for protecting our cash flow, operating margin and capital program, while maintaining adequate liquidity, includes our hedging program. We currently have the following Brent-based crude oil contracts, as of August 1,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Q3</w:t>
            </w:r>
          </w:p>
        </w:tc>
        <w:tc>
          <w:tcPr>
            <w:tcW w:w="26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Q4</w:t>
            </w:r>
          </w:p>
        </w:tc>
        <w:tc>
          <w:tcPr>
            <w:tcW w:w="240" w:type="dxa"/>
            <w:vAlign w:val="bottom"/>
          </w:tcPr>
          <w:p>
            <w:pPr>
              <w:spacing w:after="0"/>
              <w:rPr>
                <w:sz w:val="17"/>
                <w:szCs w:val="17"/>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Q1</w:t>
            </w:r>
          </w:p>
        </w:tc>
        <w:tc>
          <w:tcPr>
            <w:tcW w:w="340" w:type="dxa"/>
            <w:vAlign w:val="bottom"/>
          </w:tcPr>
          <w:p>
            <w:pPr>
              <w:spacing w:after="0"/>
              <w:rPr>
                <w:sz w:val="17"/>
                <w:szCs w:val="17"/>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Q2</w:t>
            </w:r>
          </w:p>
        </w:tc>
        <w:tc>
          <w:tcPr>
            <w:tcW w:w="340" w:type="dxa"/>
            <w:vAlign w:val="bottom"/>
          </w:tcPr>
          <w:p>
            <w:pPr>
              <w:spacing w:after="0"/>
              <w:rPr>
                <w:sz w:val="17"/>
                <w:szCs w:val="17"/>
                <w:color w:val="auto"/>
              </w:rPr>
            </w:pPr>
          </w:p>
        </w:tc>
      </w:tr>
      <w:tr>
        <w:trPr>
          <w:trHeight w:val="246"/>
        </w:trPr>
        <w:tc>
          <w:tcPr>
            <w:tcW w:w="6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21"/>
                <w:szCs w:val="21"/>
                <w:color w:val="auto"/>
              </w:rPr>
            </w:pP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Purchased Puts: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r>
      <w:tr>
        <w:trPr>
          <w:trHeight w:val="263"/>
        </w:trPr>
        <w:tc>
          <w:tcPr>
            <w:tcW w:w="6160" w:type="dxa"/>
            <w:vAlign w:val="bottom"/>
          </w:tcPr>
          <w:p>
            <w:pPr>
              <w:ind w:left="180"/>
              <w:spacing w:after="0"/>
              <w:rPr>
                <w:sz w:val="20"/>
                <w:szCs w:val="20"/>
                <w:color w:val="auto"/>
              </w:rPr>
            </w:pPr>
            <w:r>
              <w:rPr>
                <w:rFonts w:ascii="Arial" w:cs="Arial" w:eastAsia="Arial" w:hAnsi="Arial"/>
                <w:sz w:val="18"/>
                <w:szCs w:val="18"/>
                <w:color w:val="auto"/>
              </w:rPr>
              <w:t>Barrels per day</w:t>
            </w: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22"/>
                <w:szCs w:val="22"/>
                <w:color w:val="auto"/>
              </w:rPr>
            </w:pPr>
          </w:p>
        </w:tc>
      </w:tr>
      <w:tr>
        <w:trPr>
          <w:trHeight w:val="277"/>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price per barrel</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72.00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340" w:type="dxa"/>
            <w:vAlign w:val="bottom"/>
            <w:shd w:val="clear" w:color="auto" w:fill="CCEEFF"/>
          </w:tcPr>
          <w:p>
            <w:pPr>
              <w:spacing w:after="0"/>
              <w:rPr>
                <w:sz w:val="24"/>
                <w:szCs w:val="24"/>
                <w:color w:val="auto"/>
              </w:rPr>
            </w:pPr>
          </w:p>
        </w:tc>
      </w:tr>
      <w:tr>
        <w:trPr>
          <w:trHeight w:val="284"/>
        </w:trPr>
        <w:tc>
          <w:tcPr>
            <w:tcW w:w="6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Sold Puts: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r>
      <w:tr>
        <w:trPr>
          <w:trHeight w:val="263"/>
        </w:trPr>
        <w:tc>
          <w:tcPr>
            <w:tcW w:w="6160" w:type="dxa"/>
            <w:vAlign w:val="bottom"/>
          </w:tcPr>
          <w:p>
            <w:pPr>
              <w:ind w:left="180"/>
              <w:spacing w:after="0"/>
              <w:rPr>
                <w:sz w:val="20"/>
                <w:szCs w:val="20"/>
                <w:color w:val="auto"/>
              </w:rPr>
            </w:pPr>
            <w:r>
              <w:rPr>
                <w:rFonts w:ascii="Arial" w:cs="Arial" w:eastAsia="Arial" w:hAnsi="Arial"/>
                <w:sz w:val="18"/>
                <w:szCs w:val="18"/>
                <w:color w:val="auto"/>
              </w:rPr>
              <w:t>Barrels per day</w:t>
            </w: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22"/>
                <w:szCs w:val="22"/>
                <w:color w:val="auto"/>
              </w:rPr>
            </w:pPr>
          </w:p>
        </w:tc>
      </w:tr>
      <w:tr>
        <w:trPr>
          <w:trHeight w:val="277"/>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price per barrel</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57.00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w:t>
            </w:r>
          </w:p>
        </w:tc>
        <w:tc>
          <w:tcPr>
            <w:tcW w:w="340" w:type="dxa"/>
            <w:vAlign w:val="bottom"/>
            <w:shd w:val="clear" w:color="auto" w:fill="CCEEFF"/>
          </w:tcPr>
          <w:p>
            <w:pPr>
              <w:spacing w:after="0"/>
              <w:rPr>
                <w:sz w:val="24"/>
                <w:szCs w:val="24"/>
                <w:color w:val="auto"/>
              </w:rPr>
            </w:pPr>
          </w:p>
        </w:tc>
      </w:tr>
      <w:tr>
        <w:trPr>
          <w:trHeight w:val="284"/>
        </w:trPr>
        <w:tc>
          <w:tcPr>
            <w:tcW w:w="6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Swaps: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r>
      <w:tr>
        <w:trPr>
          <w:trHeight w:val="263"/>
        </w:trPr>
        <w:tc>
          <w:tcPr>
            <w:tcW w:w="6160" w:type="dxa"/>
            <w:vAlign w:val="bottom"/>
          </w:tcPr>
          <w:p>
            <w:pPr>
              <w:ind w:left="180"/>
              <w:spacing w:after="0"/>
              <w:rPr>
                <w:sz w:val="20"/>
                <w:szCs w:val="20"/>
                <w:color w:val="auto"/>
              </w:rPr>
            </w:pPr>
            <w:r>
              <w:rPr>
                <w:rFonts w:ascii="Arial" w:cs="Arial" w:eastAsia="Arial" w:hAnsi="Arial"/>
                <w:sz w:val="18"/>
                <w:szCs w:val="18"/>
                <w:color w:val="auto"/>
              </w:rPr>
              <w:t>Barrels per day</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340" w:type="dxa"/>
            <w:vAlign w:val="bottom"/>
          </w:tcPr>
          <w:p>
            <w:pPr>
              <w:ind w:left="20"/>
              <w:spacing w:after="0"/>
              <w:rPr>
                <w:sz w:val="20"/>
                <w:szCs w:val="20"/>
                <w:color w:val="auto"/>
              </w:rPr>
            </w:pPr>
            <w:r>
              <w:rPr>
                <w:rFonts w:ascii="Arial" w:cs="Arial" w:eastAsia="Arial" w:hAnsi="Arial"/>
                <w:sz w:val="11"/>
                <w:szCs w:val="11"/>
                <w:color w:val="auto"/>
              </w:rPr>
              <w:t>(a)</w:t>
            </w:r>
          </w:p>
        </w:tc>
      </w:tr>
      <w:tr>
        <w:trPr>
          <w:trHeight w:val="277"/>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price per barrel</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70.05</w:t>
            </w:r>
          </w:p>
        </w:tc>
        <w:tc>
          <w:tcPr>
            <w:tcW w:w="340" w:type="dxa"/>
            <w:vAlign w:val="bottom"/>
            <w:shd w:val="clear" w:color="auto" w:fill="CCEEFF"/>
          </w:tcPr>
          <w:p>
            <w:pPr>
              <w:spacing w:after="0"/>
              <w:rPr>
                <w:sz w:val="24"/>
                <w:szCs w:val="24"/>
                <w:color w:val="auto"/>
              </w:rPr>
            </w:pPr>
          </w:p>
        </w:tc>
      </w:tr>
    </w:tbl>
    <w:p>
      <w:pPr>
        <w:spacing w:after="0" w:line="5" w:lineRule="exact"/>
        <w:rPr>
          <w:sz w:val="20"/>
          <w:szCs w:val="20"/>
          <w:color w:val="auto"/>
        </w:rPr>
      </w:pPr>
    </w:p>
    <w:p>
      <w:pPr>
        <w:ind w:left="500" w:hanging="330"/>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Counterparties have the option to increase swap volumes by up to 5,000 barrels per day at a weighted-average Brent price of $70.05 for the second quarter of 2020.</w:t>
      </w:r>
    </w:p>
    <w:p>
      <w:pPr>
        <w:spacing w:after="0" w:line="212"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The BSP JV entered into crude oil derivatives for insignificant volumes through 2021 that are included in our consolidated results but not in the above table. The BSP JV also entered into natural gas swaps for insignificant volumes for periods through May 2021. The hedges entered into by the BSP JV could affect the timing of the redemption of the JV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Interest-Rate Contracts</w:t>
      </w:r>
    </w:p>
    <w:p>
      <w:pPr>
        <w:spacing w:after="0" w:line="24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In May 2018, we entered into derivative contracts that limit our interest rate exposure with respect to $1.3 billion of our variable-rate indebtedness. The interest rate contracts reset monthly and require the counterparties to pay any excess interest owed on such amount in the event the one-month LIBOR exceeds 2.75% for any monthly period prior to May 2021.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9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2019 Capital Program</w:t>
      </w:r>
    </w:p>
    <w:p>
      <w:pPr>
        <w:spacing w:after="0" w:line="247"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expect our 2019 internally funded capital program to be in the range of $350 million to $ 385 million, of which $228 million has been invested in the first half of 2019. We have front-loaded our internally funded capital investments for 2019. With additional investment from new and existing JV partners, we anticipate JV investment of $175 million to $225 million, of which $50 million has been invested in the first half of 2019, for a total 2019 capital program of $525 million to $610 million.</w:t>
      </w:r>
    </w:p>
    <w:p>
      <w:pPr>
        <w:spacing w:after="0" w:line="204" w:lineRule="exact"/>
        <w:rPr>
          <w:sz w:val="20"/>
          <w:szCs w:val="20"/>
          <w:color w:val="auto"/>
        </w:rPr>
      </w:pPr>
    </w:p>
    <w:p>
      <w:pPr>
        <w:jc w:val="both"/>
        <w:ind w:right="500" w:firstLine="324"/>
        <w:spacing w:after="0" w:line="256" w:lineRule="auto"/>
        <w:rPr>
          <w:sz w:val="20"/>
          <w:szCs w:val="20"/>
          <w:color w:val="auto"/>
        </w:rPr>
      </w:pPr>
      <w:r>
        <w:rPr>
          <w:rFonts w:ascii="Arial" w:cs="Arial" w:eastAsia="Arial" w:hAnsi="Arial"/>
          <w:sz w:val="18"/>
          <w:szCs w:val="18"/>
          <w:color w:val="auto"/>
        </w:rPr>
        <w:t>We are focusing our 2019 capital on oil projects. Our capital program will be largely directed to short payout projects, such as primary drilling of both vertical and lateral wells and capital workovers, and low-risk projects including waterflood and steamflood investments that maintain base production. We will continue to focus on our core fields: Elk Hills, Buena Vista, Wilmington, Kern Front and Mt. Poso.</w:t>
      </w:r>
    </w:p>
    <w:p>
      <w:pPr>
        <w:spacing w:after="0" w:line="20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plan to use approximately 70% of our capital program on drilling and development of conventional and unconventional resources. The depth of our conventional wells is expected to range from 2,000 to 15,000 feet. Our conventional program largely consists of waterfloods and steamfloods along with some primary drilling. We also intend to drill unconventional wells in the Buena Vista area. With continued focus on cost savings and efficiencies, many of our deep conventional and unconventional wells have become more competitive.</w:t>
      </w:r>
    </w:p>
    <w:p>
      <w:pPr>
        <w:spacing w:after="0" w:line="204"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We also plan to use approximately 12% of our 2019 capital program for capital workovers on existing well bores. Capital workovers are some of the highest Value Creation Index projects in our portfolio and generally include well deepenings, recompletions, changes of lift methods and other activities designed to add incremental productive intervals and reserves.</w:t>
      </w:r>
    </w:p>
    <w:p>
      <w:pPr>
        <w:spacing w:after="0" w:line="20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Further, approximately 12% of our 2019 capital program is intended for facilities development for our newer projects, including pipeline and gathering line interconnections, gas compression and water management systems, and for mechanical integrity, safety and environmental projects. About 6% is intended to be used for exploration and other corporate uses.</w:t>
      </w:r>
    </w:p>
    <w:p>
      <w:pPr>
        <w:spacing w:after="0" w:line="202"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Efficiency gains in our capital costs have enabled us to maintain a robust capital program even in light of lower commodity prices in 2019. We will continue to build our inventory of available projects, which will position us to accelerate value by utilizing third-party capital and taking advantage of potential future commodity price increases.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June 30, 2019 and December 31, 2018 were not material to our condensed consolidated balance sheets as of such dates. We also evaluate the amount of reasonably possible losses that we could incur as a result of these matters. We believe that reasonably possible losses that we could incur in excess of reserves accrued would not be material to our consolidated financial position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and Disclosure Changes</w:t>
      </w:r>
    </w:p>
    <w:p>
      <w:pPr>
        <w:spacing w:after="0" w:line="229"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Accounting and Disclosure Changes</w:t>
      </w:r>
      <w:r>
        <w:rPr>
          <w:rFonts w:ascii="Arial" w:cs="Arial" w:eastAsia="Arial" w:hAnsi="Arial"/>
          <w:sz w:val="18"/>
          <w:szCs w:val="18"/>
          <w:color w:val="auto"/>
        </w:rPr>
        <w:t xml:space="preserve"> in the Notes to the Condensed Consolidated Financial Statements included in Part I of this Form 10-Q for a discussion of new accounting matters.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7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The information included herein contains forward-looking statements that involve risks and uncertainties that could materially affect our expected results of operations, liquidity, cash flows and business prospects. Such statements include those regarding our expectations as to our future:</w:t>
      </w:r>
    </w:p>
    <w:p>
      <w:pPr>
        <w:spacing w:after="0" w:line="16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position, liquidity, cash flows and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prospects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transactions and projects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costs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Value Creation Index (VCI) metrics, which are based on certain estimates including future production rates, costs and commodity prices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operations and operational results including production, hedging and capital investment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budgets and maintenance capital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curves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expected synergies from acquisitions and joint ventures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pacing w:after="0" w:line="16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commodity price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debt limitations on our financial flexibility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debt repurchases, distributions to JV partners or changes to our capital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enter desirable transactions including acquisitions, asset sales and joint ventures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spacing w:after="0" w:line="9" w:lineRule="exact"/>
        <w:rPr>
          <w:rFonts w:ascii="Arial" w:cs="Arial" w:eastAsia="Arial" w:hAnsi="Arial"/>
          <w:sz w:val="18"/>
          <w:szCs w:val="18"/>
          <w:color w:val="auto"/>
        </w:rPr>
      </w:pPr>
    </w:p>
    <w:p>
      <w:pPr>
        <w:ind w:left="660" w:right="8020" w:hanging="328"/>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recoverability of resources and unexpected geologic conditions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PSC effects on production and unit production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insufficient capital, including as a result of lender restrictions, unavailability of capital markets or inability to attract potential investors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w:t>
      </w:r>
    </w:p>
    <w:p>
      <w:pPr>
        <w:ind w:left="660" w:right="6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due to accidents, mechanical failures, transportation or storage constraints, natural disasters, labor difficulties, cyber attacks or other catastrophic events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factors discussed in </w:t>
      </w:r>
      <w:r>
        <w:rPr>
          <w:rFonts w:ascii="Arial" w:cs="Arial" w:eastAsia="Arial" w:hAnsi="Arial"/>
          <w:sz w:val="18"/>
          <w:szCs w:val="18"/>
          <w:i w:val="1"/>
          <w:iCs w:val="1"/>
          <w:color w:val="auto"/>
        </w:rPr>
        <w:t>Item 1A – Risk Factors</w:t>
      </w:r>
      <w:r>
        <w:rPr>
          <w:rFonts w:ascii="Arial" w:cs="Arial" w:eastAsia="Arial" w:hAnsi="Arial"/>
          <w:sz w:val="18"/>
          <w:szCs w:val="18"/>
          <w:color w:val="auto"/>
        </w:rPr>
        <w:t xml:space="preserve"> of our Form 10-K for the year ended December 31, 2018.</w:t>
      </w:r>
    </w:p>
    <w:p>
      <w:pPr>
        <w:spacing w:after="0" w:line="395" w:lineRule="exact"/>
        <w:rPr>
          <w:sz w:val="20"/>
          <w:szCs w:val="20"/>
          <w:color w:val="auto"/>
        </w:rPr>
      </w:pPr>
    </w:p>
    <w:p>
      <w:pPr>
        <w:ind w:right="80" w:firstLine="324"/>
        <w:spacing w:after="0" w:line="252" w:lineRule="auto"/>
        <w:rPr>
          <w:sz w:val="20"/>
          <w:szCs w:val="20"/>
          <w:color w:val="auto"/>
        </w:rPr>
      </w:pPr>
      <w:r>
        <w:rPr>
          <w:rFonts w:ascii="Arial" w:cs="Arial" w:eastAsia="Arial" w:hAnsi="Arial"/>
          <w:sz w:val="17"/>
          <w:szCs w:val="17"/>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11" w:right="239" w:bottom="1440" w:gutter="0" w:footer="0" w:header="0"/>
        </w:sectPr>
      </w:pPr>
    </w:p>
    <w:bookmarkStart w:id="40" w:name="page41"/>
    <w:bookmarkEnd w:id="40"/>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 xml:space="preserve">For the three and six months ended June 30, 2019, there were no material changes to commodity price risk, interest rate risk or counterparty credit risk from the information provided under Item 305 of Regulation S-K included under the caption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 (Incorporating Item 7A) – Quantitative and Qualitative Disclosures About Market Risk </w:t>
      </w:r>
      <w:r>
        <w:rPr>
          <w:rFonts w:ascii="Arial" w:cs="Arial" w:eastAsia="Arial" w:hAnsi="Arial"/>
          <w:sz w:val="18"/>
          <w:szCs w:val="18"/>
          <w:color w:val="auto"/>
        </w:rPr>
        <w:t>in the 2018 Form 10-K, except as discussed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47" w:lineRule="exact"/>
        <w:rPr>
          <w:sz w:val="20"/>
          <w:szCs w:val="20"/>
          <w:color w:val="auto"/>
        </w:rPr>
      </w:pPr>
    </w:p>
    <w:p>
      <w:pPr>
        <w:jc w:val="both"/>
        <w:ind w:right="40" w:firstLine="324"/>
        <w:spacing w:after="0" w:line="278" w:lineRule="auto"/>
        <w:rPr>
          <w:sz w:val="20"/>
          <w:szCs w:val="20"/>
          <w:color w:val="auto"/>
        </w:rPr>
      </w:pPr>
      <w:r>
        <w:rPr>
          <w:rFonts w:ascii="Arial" w:cs="Arial" w:eastAsia="Arial" w:hAnsi="Arial"/>
          <w:sz w:val="17"/>
          <w:szCs w:val="17"/>
          <w:color w:val="auto"/>
        </w:rPr>
        <w:t>For the third and fourth quarters of 2019, we protected our downside risk on 40,000 and 35,000 barrels per day at approximately $73 Brent and $76 Brent, respectively. These put spreads provide full upside to oil price movements and downside price protection until Brent prices drop below approximately $58 and $60 per barrel in the third and fourth quarters, respectively, at which point we receive Brent plus $15 per barrel.</w:t>
      </w:r>
    </w:p>
    <w:p>
      <w:pPr>
        <w:spacing w:after="0" w:line="18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For the first and second quarters of 2020, we protected our downside risk on 25,000 and 10,000 barrels per day at $72 Brent and $70 Brent, respectively. These put spreads provide downside price protection until Brent prices drop below $ 57 and $55 per barrel in the first and second quarters, respectively, at which point we receive Brent plus $ 15 per barrel. We also entered into a swap for 5,000 barrels per day in the second quarter of 2020 at approximately $70 Brent, which is subject to another 5,000 barrels per day at the same price at the option of the counterparties.</w:t>
      </w:r>
    </w:p>
    <w:p>
      <w:pPr>
        <w:spacing w:after="0" w:line="188"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color w:val="auto"/>
        </w:rPr>
        <w:t xml:space="preserve">See additional hedging information in </w:t>
      </w:r>
      <w:r>
        <w:rPr>
          <w:rFonts w:ascii="Arial" w:cs="Arial" w:eastAsia="Arial" w:hAnsi="Arial"/>
          <w:sz w:val="18"/>
          <w:szCs w:val="18"/>
          <w:i w:val="1"/>
          <w:iCs w:val="1"/>
          <w:color w:val="auto"/>
        </w:rPr>
        <w:t>Item 2 – Management's Discussion and Analysis of Financial Condition and Results of Operations –</w:t>
      </w:r>
      <w:r>
        <w:rPr>
          <w:rFonts w:ascii="Arial" w:cs="Arial" w:eastAsia="Arial" w:hAnsi="Arial"/>
          <w:sz w:val="18"/>
          <w:szCs w:val="18"/>
          <w:color w:val="auto"/>
        </w:rPr>
        <w:t xml:space="preserve"> </w:t>
      </w:r>
      <w:r>
        <w:rPr>
          <w:rFonts w:ascii="Arial" w:cs="Arial" w:eastAsia="Arial" w:hAnsi="Arial"/>
          <w:sz w:val="18"/>
          <w:szCs w:val="18"/>
          <w:i w:val="1"/>
          <w:i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For derivative instruments entered into as part of our hedging program, we are subject to counterparty credit risk to the extent the counterparty is unable to meet its settlement commitments. We actively manage this credit risk by selecting counterparties that we believe to be financially strong and continuing to monitor their financial health. Concentration of credit risk is regularly reviewed to ensure that counterparty credit risk is adequately diversified.</w:t>
      </w:r>
    </w:p>
    <w:p>
      <w:pPr>
        <w:spacing w:after="0" w:line="206"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As of June 30, 2019, the substantial majority of the credit exposures related to our business was with investment-grade counterparties. We believe exposure to credit-related losses related to our business at June 30, 2019 was not material and losses associated with credit risk have been insignificant for all periods presented.</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7"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Our President and Chief Executive Officer and our Senior Executive Vice President and Chief Financial Officer supervised and participated in our evaluation of our disclosure controls and procedures (as defined in Rules 13a-15(e) and 15d-15(e) under the Securities Exchange Act of 1934) as of the end of the period covered by this report. Based upon that evaluation, our President and Chief Executive Officer and our Senior Executive Vice President and Chief Financial Officer concluded that our disclosure controls and procedures were effective as of June 30, 2019.</w:t>
      </w:r>
    </w:p>
    <w:p>
      <w:pPr>
        <w:spacing w:after="0" w:line="164" w:lineRule="exact"/>
        <w:rPr>
          <w:sz w:val="20"/>
          <w:szCs w:val="20"/>
          <w:color w:val="auto"/>
        </w:rPr>
      </w:pPr>
    </w:p>
    <w:p>
      <w:pPr>
        <w:jc w:val="both"/>
        <w:ind w:right="200" w:firstLine="324"/>
        <w:spacing w:after="0" w:line="256" w:lineRule="auto"/>
        <w:rPr>
          <w:sz w:val="20"/>
          <w:szCs w:val="20"/>
          <w:color w:val="auto"/>
        </w:rPr>
      </w:pPr>
      <w:r>
        <w:rPr>
          <w:rFonts w:ascii="Arial" w:cs="Arial" w:eastAsia="Arial" w:hAnsi="Arial"/>
          <w:sz w:val="18"/>
          <w:szCs w:val="18"/>
          <w:color w:val="auto"/>
        </w:rPr>
        <w:t>There were no changes in our internal controls over financial reporting (as defined in Rules 13a-15(f) and 15d-15(f) under the Securities Exchange Act of 1934) during the three months ended June 30, 2019 that materially affected, or are reasonably likely to materially affect, our internal controls over financial reporting.</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76" w:right="259" w:bottom="1440" w:gutter="0" w:footer="0" w:header="0"/>
        </w:sectPr>
      </w:pPr>
    </w:p>
    <w:bookmarkStart w:id="41" w:name="page42"/>
    <w:bookmarkEnd w:id="41"/>
    <w:p>
      <w:pPr>
        <w:jc w:val="center"/>
        <w:ind w:right="-19"/>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Ventura County and other local authorities are conducting a civil investigation of the characterization of certain waste sent off-site for treatment or disposal at a licensed third-party facility. We do not expect the result of this investigation to have a material adverse effect on our condensed consolidated financial statements.</w:t>
      </w:r>
    </w:p>
    <w:p>
      <w:pPr>
        <w:spacing w:after="0" w:line="18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For information regarding legal proceedings, see </w:t>
      </w:r>
      <w:r>
        <w:rPr>
          <w:rFonts w:ascii="Arial" w:cs="Arial" w:eastAsia="Arial" w:hAnsi="Arial"/>
          <w:sz w:val="18"/>
          <w:szCs w:val="18"/>
          <w:i w:val="1"/>
          <w:iCs w:val="1"/>
          <w:color w:val="auto"/>
        </w:rPr>
        <w:t>Note 8 Lawsuits, Claims, Commitments and Contingencies</w:t>
      </w:r>
      <w:r>
        <w:rPr>
          <w:rFonts w:ascii="Arial" w:cs="Arial" w:eastAsia="Arial" w:hAnsi="Arial"/>
          <w:sz w:val="18"/>
          <w:szCs w:val="18"/>
          <w:color w:val="auto"/>
        </w:rPr>
        <w:t xml:space="preserve"> in the Notes to the Condensed Consolidated Financial Statements included in Part I of this Form 10-Q and Part I, Item 3, Legal Proceedings in the Form 10-K for the year ended December 31, 2018.</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tab/>
        <w:t>Risk Factors</w:t>
      </w:r>
    </w:p>
    <w:p>
      <w:pPr>
        <w:spacing w:after="0" w:line="24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Form 10-K for the year ended December 31, 2018.</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Disclosures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76"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9"/>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80" w:type="dxa"/>
            <w:vAlign w:val="bottom"/>
            <w:gridSpan w:val="10"/>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527"/>
        </w:trPr>
        <w:tc>
          <w:tcPr>
            <w:tcW w:w="900" w:type="dxa"/>
            <w:vAlign w:val="bottom"/>
          </w:tcPr>
          <w:p>
            <w:pPr>
              <w:ind w:left="4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10080" w:type="dxa"/>
            <w:vAlign w:val="bottom"/>
            <w:tcBorders>
              <w:bottom w:val="single" w:sz="8" w:color="0000FF"/>
            </w:tcBorders>
            <w:gridSpan w:val="9"/>
          </w:tcPr>
          <w:p>
            <w:pPr>
              <w:spacing w:after="0"/>
              <w:rPr>
                <w:rFonts w:ascii="Arial" w:cs="Arial" w:eastAsia="Arial" w:hAnsi="Arial"/>
                <w:sz w:val="18"/>
                <w:szCs w:val="18"/>
                <w:color w:val="0000FF"/>
              </w:rPr>
            </w:pPr>
            <w:hyperlink r:id="rId18">
              <w:r>
                <w:rPr>
                  <w:rFonts w:ascii="Arial" w:cs="Arial" w:eastAsia="Arial" w:hAnsi="Arial"/>
                  <w:sz w:val="18"/>
                  <w:szCs w:val="18"/>
                  <w:color w:val="0000FF"/>
                </w:rPr>
                <w:t>Amended and Restated Certificate of Incorporation of California Resources Corporation (filed as Exhibit 3.1 to Registrant’s</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2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18">
              <w:r>
                <w:rPr>
                  <w:rFonts w:ascii="Arial" w:cs="Arial" w:eastAsia="Arial" w:hAnsi="Arial"/>
                  <w:sz w:val="18"/>
                  <w:szCs w:val="18"/>
                  <w:color w:val="0000FF"/>
                  <w:w w:val="99"/>
                </w:rPr>
                <w:t>Current Report on Form 8-K filed June 3, 2016 and incorporated herein by reference).</w:t>
              </w:r>
            </w:hyperlink>
          </w:p>
        </w:tc>
        <w:tc>
          <w:tcPr>
            <w:tcW w:w="3260" w:type="dxa"/>
            <w:vAlign w:val="bottom"/>
            <w:gridSpan w:val="4"/>
          </w:tcPr>
          <w:p>
            <w:pPr>
              <w:spacing w:after="0"/>
              <w:rPr>
                <w:sz w:val="15"/>
                <w:szCs w:val="15"/>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9980" w:type="dxa"/>
            <w:vAlign w:val="bottom"/>
            <w:tcBorders>
              <w:bottom w:val="single" w:sz="8" w:color="0000FF"/>
            </w:tcBorders>
            <w:gridSpan w:val="8"/>
          </w:tcPr>
          <w:p>
            <w:pPr>
              <w:spacing w:after="0"/>
              <w:rPr>
                <w:rFonts w:ascii="Arial" w:cs="Arial" w:eastAsia="Arial" w:hAnsi="Arial"/>
                <w:sz w:val="18"/>
                <w:szCs w:val="18"/>
                <w:color w:val="0000FF"/>
                <w:w w:val="99"/>
              </w:rPr>
            </w:pPr>
            <w:hyperlink r:id="rId19">
              <w:r>
                <w:rPr>
                  <w:rFonts w:ascii="Arial" w:cs="Arial" w:eastAsia="Arial" w:hAnsi="Arial"/>
                  <w:sz w:val="18"/>
                  <w:szCs w:val="18"/>
                  <w:color w:val="0000FF"/>
                  <w:w w:val="99"/>
                </w:rPr>
                <w:t>Amended and Restated Bylaws of California Resources Corporation (filed as Exhibit 3.2 to the Registrant’s Current Report on</w:t>
              </w:r>
            </w:hyperlink>
          </w:p>
        </w:tc>
        <w:tc>
          <w:tcPr>
            <w:tcW w:w="100" w:type="dxa"/>
            <w:vAlign w:val="bottom"/>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80" w:type="dxa"/>
            <w:vAlign w:val="bottom"/>
            <w:gridSpan w:val="9"/>
          </w:tcPr>
          <w:p>
            <w:pPr>
              <w:spacing w:after="0" w:line="182" w:lineRule="exact"/>
              <w:rPr>
                <w:rFonts w:ascii="Arial" w:cs="Arial" w:eastAsia="Arial" w:hAnsi="Arial"/>
                <w:sz w:val="18"/>
                <w:szCs w:val="18"/>
                <w:color w:val="0000FF"/>
              </w:rPr>
            </w:pPr>
            <w:hyperlink r:id="rId19">
              <w:r>
                <w:rPr>
                  <w:rFonts w:ascii="Arial" w:cs="Arial" w:eastAsia="Arial" w:hAnsi="Arial"/>
                  <w:sz w:val="18"/>
                  <w:szCs w:val="18"/>
                  <w:color w:val="0000FF"/>
                </w:rPr>
                <w:t>Form 8-K filed November 10, 2015 and incorporated herein by reference).</w:t>
              </w:r>
            </w:hyperlink>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10080" w:type="dxa"/>
            <w:vAlign w:val="bottom"/>
            <w:tcBorders>
              <w:bottom w:val="single" w:sz="8" w:color="0000FF"/>
            </w:tcBorders>
            <w:gridSpan w:val="9"/>
          </w:tcPr>
          <w:p>
            <w:pPr>
              <w:spacing w:after="0"/>
              <w:rPr>
                <w:rFonts w:ascii="Arial" w:cs="Arial" w:eastAsia="Arial" w:hAnsi="Arial"/>
                <w:sz w:val="18"/>
                <w:szCs w:val="18"/>
                <w:color w:val="0000FF"/>
              </w:rPr>
            </w:pPr>
            <w:hyperlink r:id="rId20">
              <w:r>
                <w:rPr>
                  <w:rFonts w:ascii="Arial" w:cs="Arial" w:eastAsia="Arial" w:hAnsi="Arial"/>
                  <w:sz w:val="18"/>
                  <w:szCs w:val="18"/>
                  <w:color w:val="0000FF"/>
                </w:rPr>
                <w:t>Purchase Warrant for Common Stock (filed as Exhibit 4.1 to Registrant’s Current Report on Form 8-K Filed July 22, 2019 and</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80" w:type="dxa"/>
            <w:vAlign w:val="bottom"/>
            <w:gridSpan w:val="9"/>
          </w:tcPr>
          <w:p>
            <w:pPr>
              <w:spacing w:after="0" w:line="182" w:lineRule="exact"/>
              <w:rPr>
                <w:rFonts w:ascii="Arial" w:cs="Arial" w:eastAsia="Arial" w:hAnsi="Arial"/>
                <w:sz w:val="18"/>
                <w:szCs w:val="18"/>
                <w:color w:val="0000FF"/>
              </w:rPr>
            </w:pPr>
            <w:hyperlink r:id="rId20">
              <w:r>
                <w:rPr>
                  <w:rFonts w:ascii="Arial" w:cs="Arial" w:eastAsia="Arial" w:hAnsi="Arial"/>
                  <w:sz w:val="18"/>
                  <w:szCs w:val="18"/>
                  <w:color w:val="0000FF"/>
                </w:rPr>
                <w:t>incorporated herein by reference).</w:t>
              </w:r>
            </w:hyperlink>
          </w:p>
        </w:tc>
      </w:tr>
      <w:tr>
        <w:trPr>
          <w:trHeight w:val="20"/>
        </w:trPr>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10080" w:type="dxa"/>
            <w:vAlign w:val="bottom"/>
            <w:tcBorders>
              <w:bottom w:val="single" w:sz="8" w:color="0000FF"/>
            </w:tcBorders>
            <w:gridSpan w:val="9"/>
          </w:tcPr>
          <w:p>
            <w:pPr>
              <w:spacing w:after="0"/>
              <w:rPr>
                <w:rFonts w:ascii="Arial" w:cs="Arial" w:eastAsia="Arial" w:hAnsi="Arial"/>
                <w:sz w:val="18"/>
                <w:szCs w:val="18"/>
                <w:color w:val="0000FF"/>
              </w:rPr>
            </w:pPr>
            <w:hyperlink r:id="rId21">
              <w:r>
                <w:rPr>
                  <w:rFonts w:ascii="Arial" w:cs="Arial" w:eastAsia="Arial" w:hAnsi="Arial"/>
                  <w:sz w:val="18"/>
                  <w:szCs w:val="18"/>
                  <w:color w:val="0000FF"/>
                </w:rPr>
                <w:t>California Resources Corporation Long-Term Incentive Plan, as amended and restated, effective May 8, 2019 (filed as Exhibit</w:t>
              </w:r>
            </w:hyperlink>
          </w:p>
        </w:tc>
      </w:tr>
      <w:tr>
        <w:trPr>
          <w:trHeight w:val="183"/>
        </w:trPr>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80" w:type="dxa"/>
            <w:vAlign w:val="bottom"/>
            <w:gridSpan w:val="9"/>
          </w:tcPr>
          <w:p>
            <w:pPr>
              <w:spacing w:after="0" w:line="182" w:lineRule="exact"/>
              <w:rPr>
                <w:rFonts w:ascii="Arial" w:cs="Arial" w:eastAsia="Arial" w:hAnsi="Arial"/>
                <w:sz w:val="18"/>
                <w:szCs w:val="18"/>
                <w:color w:val="0000FF"/>
              </w:rPr>
            </w:pPr>
            <w:hyperlink r:id="rId21">
              <w:r>
                <w:rPr>
                  <w:rFonts w:ascii="Arial" w:cs="Arial" w:eastAsia="Arial" w:hAnsi="Arial"/>
                  <w:sz w:val="18"/>
                  <w:szCs w:val="18"/>
                  <w:color w:val="0000FF"/>
                </w:rPr>
                <w:t>4.</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Registrant’s Registration Statement on Form S-8 filed May 9, 2019 and incorporated herein by reference).</w:t>
              </w:r>
            </w:hyperlink>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64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9"/>
              </w:rPr>
            </w:pPr>
            <w:hyperlink w:anchor="page45">
              <w:r>
                <w:rPr>
                  <w:rFonts w:ascii="Arial" w:cs="Arial" w:eastAsia="Arial" w:hAnsi="Arial"/>
                  <w:sz w:val="18"/>
                  <w:szCs w:val="18"/>
                  <w:color w:val="0000FF"/>
                  <w:w w:val="99"/>
                </w:rPr>
                <w:t>Certification of CEO Pursuant to Section 302 of the Sarbanes-Oxley Act of 2002.</w:t>
              </w:r>
            </w:hyperlink>
          </w:p>
        </w:tc>
        <w:tc>
          <w:tcPr>
            <w:tcW w:w="2480" w:type="dxa"/>
            <w:vAlign w:val="bottom"/>
            <w:tcBorders>
              <w:top w:val="single" w:sz="8" w:color="0000FF"/>
            </w:tcBorders>
            <w:gridSpan w:val="3"/>
          </w:tcPr>
          <w:p>
            <w:pPr>
              <w:spacing w:after="0"/>
              <w:rPr>
                <w:sz w:val="24"/>
                <w:szCs w:val="24"/>
                <w:color w:val="auto"/>
              </w:rPr>
            </w:pPr>
          </w:p>
        </w:tc>
        <w:tc>
          <w:tcPr>
            <w:tcW w:w="1180" w:type="dxa"/>
            <w:vAlign w:val="bottom"/>
            <w:gridSpan w:val="2"/>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640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Certification of CFO Pursuant to Section 302 of the Sarbanes-Oxley Act of 2002.</w:t>
              </w:r>
            </w:hyperlink>
          </w:p>
        </w:tc>
        <w:tc>
          <w:tcPr>
            <w:tcW w:w="3680" w:type="dxa"/>
            <w:vAlign w:val="bottom"/>
            <w:gridSpan w:val="6"/>
          </w:tcPr>
          <w:p>
            <w:pPr>
              <w:spacing w:after="0"/>
              <w:rPr>
                <w:sz w:val="24"/>
                <w:szCs w:val="24"/>
                <w:color w:val="auto"/>
              </w:rPr>
            </w:pPr>
          </w:p>
        </w:tc>
      </w:tr>
      <w:tr>
        <w:trPr>
          <w:trHeight w:val="358"/>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728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47">
              <w:r>
                <w:rPr>
                  <w:rFonts w:ascii="Arial" w:cs="Arial" w:eastAsia="Arial" w:hAnsi="Arial"/>
                  <w:sz w:val="18"/>
                  <w:szCs w:val="18"/>
                  <w:color w:val="0000FF"/>
                  <w:w w:val="99"/>
                </w:rPr>
                <w:t>Certifications of CEO and CFO Pursuant to Section 906 of the Sarbanes-Oxley Act of 2002.</w:t>
              </w:r>
            </w:hyperlink>
          </w:p>
        </w:tc>
        <w:tc>
          <w:tcPr>
            <w:tcW w:w="2800" w:type="dxa"/>
            <w:vAlign w:val="bottom"/>
            <w:gridSpan w:val="3"/>
          </w:tcPr>
          <w:p>
            <w:pPr>
              <w:spacing w:after="0"/>
              <w:rPr>
                <w:sz w:val="24"/>
                <w:szCs w:val="24"/>
                <w:color w:val="auto"/>
              </w:rPr>
            </w:pPr>
          </w:p>
        </w:tc>
      </w:tr>
      <w:tr>
        <w:trPr>
          <w:trHeight w:val="399"/>
        </w:trPr>
        <w:tc>
          <w:tcPr>
            <w:tcW w:w="900" w:type="dxa"/>
            <w:vAlign w:val="bottom"/>
          </w:tcPr>
          <w:p>
            <w:pPr>
              <w:ind w:left="40"/>
              <w:spacing w:after="0"/>
              <w:rPr>
                <w:sz w:val="20"/>
                <w:szCs w:val="20"/>
                <w:color w:val="auto"/>
              </w:rPr>
            </w:pPr>
            <w:r>
              <w:rPr>
                <w:rFonts w:ascii="Arial" w:cs="Arial" w:eastAsia="Arial" w:hAnsi="Arial"/>
                <w:sz w:val="18"/>
                <w:szCs w:val="18"/>
                <w:color w:val="auto"/>
              </w:rPr>
              <w:t>101.INS*</w:t>
            </w:r>
          </w:p>
        </w:tc>
        <w:tc>
          <w:tcPr>
            <w:tcW w:w="40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101.SCH*</w:t>
            </w:r>
          </w:p>
        </w:tc>
        <w:tc>
          <w:tcPr>
            <w:tcW w:w="40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101.CAL*</w:t>
            </w:r>
          </w:p>
        </w:tc>
        <w:tc>
          <w:tcPr>
            <w:tcW w:w="40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101.LAB*</w:t>
            </w:r>
          </w:p>
        </w:tc>
        <w:tc>
          <w:tcPr>
            <w:tcW w:w="40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101.PRE*</w:t>
            </w:r>
          </w:p>
        </w:tc>
        <w:tc>
          <w:tcPr>
            <w:tcW w:w="40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78"/>
        </w:trPr>
        <w:tc>
          <w:tcPr>
            <w:tcW w:w="900" w:type="dxa"/>
            <w:vAlign w:val="bottom"/>
          </w:tcPr>
          <w:p>
            <w:pPr>
              <w:ind w:left="40"/>
              <w:spacing w:after="0"/>
              <w:rPr>
                <w:sz w:val="20"/>
                <w:szCs w:val="20"/>
                <w:color w:val="auto"/>
              </w:rPr>
            </w:pPr>
            <w:r>
              <w:rPr>
                <w:rFonts w:ascii="Arial" w:cs="Arial" w:eastAsia="Arial" w:hAnsi="Arial"/>
                <w:sz w:val="18"/>
                <w:szCs w:val="18"/>
                <w:color w:val="auto"/>
              </w:rPr>
              <w:t>101.DEF*</w:t>
            </w:r>
          </w:p>
        </w:tc>
        <w:tc>
          <w:tcPr>
            <w:tcW w:w="400" w:type="dxa"/>
            <w:vAlign w:val="bottom"/>
          </w:tcPr>
          <w:p>
            <w:pPr>
              <w:spacing w:after="0"/>
              <w:rPr>
                <w:sz w:val="24"/>
                <w:szCs w:val="24"/>
                <w:color w:val="auto"/>
              </w:rPr>
            </w:pPr>
          </w:p>
        </w:tc>
        <w:tc>
          <w:tcPr>
            <w:tcW w:w="1008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 Filed herewith</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576" w:right="27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6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820" w:val="left"/>
          <w:tab w:leader="none" w:pos="4240" w:val="left"/>
        </w:tabs>
        <w:rPr>
          <w:sz w:val="20"/>
          <w:szCs w:val="20"/>
          <w:color w:val="auto"/>
        </w:rPr>
      </w:pPr>
      <w:r>
        <w:rPr>
          <w:rFonts w:ascii="Arial" w:cs="Arial" w:eastAsia="Arial" w:hAnsi="Arial"/>
          <w:sz w:val="18"/>
          <w:szCs w:val="18"/>
          <w:color w:val="auto"/>
        </w:rPr>
        <w:t>DATE:</w:t>
        <w:tab/>
        <w:t>August 1, 2019</w:t>
      </w:r>
      <w:r>
        <w:rPr>
          <w:sz w:val="20"/>
          <w:szCs w:val="20"/>
          <w:color w:val="auto"/>
        </w:rPr>
        <w:tab/>
      </w:r>
      <w:r>
        <w:rPr>
          <w:rFonts w:ascii="Arial" w:cs="Arial" w:eastAsia="Arial" w:hAnsi="Arial"/>
          <w:sz w:val="18"/>
          <w:szCs w:val="18"/>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14605</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Roy M. Pineci</w:t>
      </w:r>
    </w:p>
    <w:p>
      <w:pPr>
        <w:spacing w:after="0" w:line="5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Executive Vice President - Finance</w:t>
      </w:r>
    </w:p>
    <w:p>
      <w:pPr>
        <w:spacing w:after="0" w:line="6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76"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Todd A. Stevens, certify that:</w:t>
      </w:r>
    </w:p>
    <w:p>
      <w:pPr>
        <w:spacing w:after="0" w:line="31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180" w:hanging="328"/>
        <w:spacing w:after="0" w:line="254"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7"/>
          <w:szCs w:val="17"/>
          <w:color w:val="auto"/>
        </w:rPr>
      </w:pPr>
    </w:p>
    <w:p>
      <w:pPr>
        <w:ind w:left="660" w:right="140" w:hanging="328"/>
        <w:spacing w:after="0" w:line="260"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7"/>
          <w:szCs w:val="17"/>
          <w:color w:val="auto"/>
        </w:rPr>
      </w:pPr>
    </w:p>
    <w:p>
      <w:pPr>
        <w:jc w:val="both"/>
        <w:ind w:left="660" w:right="20" w:hanging="328"/>
        <w:spacing w:after="0" w:line="24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09" w:lineRule="exact"/>
        <w:rPr>
          <w:rFonts w:ascii="Arial" w:cs="Arial" w:eastAsia="Arial" w:hAnsi="Arial"/>
          <w:sz w:val="17"/>
          <w:szCs w:val="17"/>
          <w:color w:val="auto"/>
        </w:rPr>
      </w:pPr>
    </w:p>
    <w:p>
      <w:pPr>
        <w:ind w:left="1300" w:right="120" w:hanging="644"/>
        <w:spacing w:after="0" w:line="254"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300" w:right="180" w:hanging="644"/>
        <w:spacing w:after="0" w:line="254"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300" w:right="140" w:hanging="644"/>
        <w:spacing w:after="0" w:line="254"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1300" w:right="20" w:hanging="644"/>
        <w:spacing w:after="0" w:line="254"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7"/>
          <w:szCs w:val="17"/>
          <w:color w:val="auto"/>
        </w:rPr>
      </w:pPr>
    </w:p>
    <w:p>
      <w:pPr>
        <w:ind w:left="660" w:right="60" w:hanging="328"/>
        <w:spacing w:after="0" w:line="260"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2" w:lineRule="exact"/>
        <w:rPr>
          <w:rFonts w:ascii="Arial" w:cs="Arial" w:eastAsia="Arial" w:hAnsi="Arial"/>
          <w:sz w:val="17"/>
          <w:szCs w:val="17"/>
          <w:color w:val="auto"/>
        </w:rPr>
      </w:pPr>
    </w:p>
    <w:p>
      <w:pPr>
        <w:ind w:left="1300" w:right="320" w:hanging="644"/>
        <w:spacing w:after="0" w:line="260"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300" w:right="540" w:hanging="644"/>
        <w:spacing w:after="0" w:line="260"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Date: August 1, 2019</w:t>
      </w:r>
    </w:p>
    <w:p>
      <w:pPr>
        <w:spacing w:after="0" w:line="16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25400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Todd A. Stevens</w:t>
      </w:r>
    </w:p>
    <w:p>
      <w:pPr>
        <w:spacing w:after="0" w:line="6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President and Chief Executive Officer</w:t>
      </w:r>
    </w:p>
    <w:p>
      <w:pPr>
        <w:spacing w:after="0" w:line="7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792"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I, Marshall D. Smith, certify that:</w:t>
      </w:r>
    </w:p>
    <w:p>
      <w:pPr>
        <w:spacing w:after="0" w:line="29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09" w:lineRule="exact"/>
        <w:rPr>
          <w:rFonts w:ascii="Arial" w:cs="Arial" w:eastAsia="Arial" w:hAnsi="Arial"/>
          <w:sz w:val="17"/>
          <w:szCs w:val="17"/>
          <w:color w:val="auto"/>
        </w:rPr>
      </w:pPr>
    </w:p>
    <w:p>
      <w:pPr>
        <w:ind w:left="660" w:right="180" w:hanging="652"/>
        <w:spacing w:after="0" w:line="254"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7"/>
          <w:szCs w:val="17"/>
          <w:color w:val="auto"/>
        </w:rPr>
      </w:pPr>
    </w:p>
    <w:p>
      <w:pPr>
        <w:ind w:left="660" w:right="140" w:hanging="652"/>
        <w:spacing w:after="0" w:line="260"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jc w:val="both"/>
        <w:ind w:left="660" w:right="20" w:hanging="652"/>
        <w:spacing w:after="0" w:line="24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09" w:lineRule="exact"/>
        <w:rPr>
          <w:rFonts w:ascii="Arial" w:cs="Arial" w:eastAsia="Arial" w:hAnsi="Arial"/>
          <w:sz w:val="17"/>
          <w:szCs w:val="17"/>
          <w:color w:val="auto"/>
        </w:rPr>
      </w:pPr>
    </w:p>
    <w:p>
      <w:pPr>
        <w:ind w:left="1300" w:right="120" w:hanging="644"/>
        <w:spacing w:after="0" w:line="254"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7"/>
          <w:szCs w:val="17"/>
          <w:color w:val="auto"/>
        </w:rPr>
      </w:pPr>
    </w:p>
    <w:p>
      <w:pPr>
        <w:ind w:left="1300" w:right="180" w:hanging="644"/>
        <w:spacing w:after="0" w:line="254"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7"/>
          <w:szCs w:val="17"/>
          <w:color w:val="auto"/>
        </w:rPr>
      </w:pPr>
    </w:p>
    <w:p>
      <w:pPr>
        <w:ind w:left="1300" w:right="140" w:hanging="644"/>
        <w:spacing w:after="0" w:line="254"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1300" w:right="20" w:hanging="644"/>
        <w:spacing w:after="0" w:line="254"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7"/>
          <w:szCs w:val="17"/>
          <w:color w:val="auto"/>
        </w:rPr>
      </w:pPr>
    </w:p>
    <w:p>
      <w:pPr>
        <w:ind w:left="660" w:right="60" w:hanging="652"/>
        <w:spacing w:after="0" w:line="260"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17"/>
          <w:szCs w:val="17"/>
          <w:color w:val="auto"/>
        </w:rPr>
      </w:pPr>
    </w:p>
    <w:p>
      <w:pPr>
        <w:ind w:left="1300" w:right="320" w:hanging="644"/>
        <w:spacing w:after="0" w:line="260"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300" w:right="540" w:hanging="644"/>
        <w:spacing w:after="0" w:line="260"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Date: August 1, 2019</w:t>
      </w:r>
    </w:p>
    <w:p>
      <w:pPr>
        <w:spacing w:after="0" w:line="19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 Marshall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967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Marshall D. Smith</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Senior Executive Vice President and</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Chief Financial Officer</w:t>
      </w:r>
    </w:p>
    <w:p>
      <w:pPr>
        <w:spacing w:after="0" w:line="75"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576"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6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connection with the Quarterly Report on Form 10-Q of California Resources Corporation (the “Company”) for the fiscal period ended June 30, 2019, as filed with the Securities and Exchange Commission on August 1, 2019 (the “Report”), Todd A. Stevens, as Chief Executive Officer of the Company, and Marshall D. Smith, as Chief Financial Officer of the Company, each hereby certifies, pursuant to 18 U.S.C. §1350, as adopted pursuant to §906 of the Sarbanes-Oxley Act of 2002, that, to the best of his or her knowledge, respectively:</w:t>
      </w:r>
    </w:p>
    <w:p>
      <w:pPr>
        <w:spacing w:after="0" w:line="200" w:lineRule="exact"/>
        <w:rPr>
          <w:sz w:val="20"/>
          <w:szCs w:val="20"/>
          <w:color w:val="auto"/>
        </w:rPr>
      </w:pPr>
    </w:p>
    <w:p>
      <w:pPr>
        <w:spacing w:after="0" w:line="24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4253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220" w:type="dxa"/>
            <w:vAlign w:val="bottom"/>
          </w:tcPr>
          <w:p>
            <w:pPr>
              <w:ind w:left="200"/>
              <w:spacing w:after="0"/>
              <w:rPr>
                <w:sz w:val="20"/>
                <w:szCs w:val="20"/>
                <w:color w:val="auto"/>
              </w:rPr>
            </w:pPr>
            <w:r>
              <w:rPr>
                <w:rFonts w:ascii="Arial" w:cs="Arial" w:eastAsia="Arial" w:hAnsi="Arial"/>
                <w:sz w:val="18"/>
                <w:szCs w:val="18"/>
                <w:color w:val="auto"/>
              </w:rPr>
              <w:t>Todd A. Stevens</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2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220" w:type="dxa"/>
            <w:vAlign w:val="bottom"/>
          </w:tcPr>
          <w:p>
            <w:pPr>
              <w:ind w:left="200"/>
              <w:spacing w:after="0"/>
              <w:rPr>
                <w:sz w:val="20"/>
                <w:szCs w:val="20"/>
                <w:color w:val="auto"/>
              </w:rPr>
            </w:pPr>
            <w:r>
              <w:rPr>
                <w:rFonts w:ascii="Arial" w:cs="Arial" w:eastAsia="Arial" w:hAnsi="Arial"/>
                <w:sz w:val="18"/>
                <w:szCs w:val="18"/>
                <w:color w:val="auto"/>
              </w:rPr>
              <w:t>August 1, 2019</w:t>
            </w:r>
          </w:p>
        </w:tc>
      </w:tr>
      <w:tr>
        <w:trPr>
          <w:trHeight w:val="871"/>
        </w:trPr>
        <w:tc>
          <w:tcPr>
            <w:tcW w:w="69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Marshall D. Smith</w:t>
            </w:r>
          </w:p>
        </w:tc>
      </w:tr>
      <w:tr>
        <w:trPr>
          <w:trHeight w:val="257"/>
        </w:trPr>
        <w:tc>
          <w:tcPr>
            <w:tcW w:w="760" w:type="dxa"/>
            <w:vAlign w:val="bottom"/>
          </w:tcPr>
          <w:p>
            <w:pPr>
              <w:ind w:left="40"/>
              <w:spacing w:after="0"/>
              <w:rPr>
                <w:sz w:val="20"/>
                <w:szCs w:val="20"/>
                <w:color w:val="auto"/>
              </w:rPr>
            </w:pPr>
            <w:r>
              <w:rPr>
                <w:rFonts w:ascii="Arial" w:cs="Arial" w:eastAsia="Arial" w:hAnsi="Arial"/>
                <w:sz w:val="18"/>
                <w:szCs w:val="18"/>
                <w:color w:val="auto"/>
              </w:rPr>
              <w:t>Name:</w:t>
            </w:r>
          </w:p>
        </w:tc>
        <w:tc>
          <w:tcPr>
            <w:tcW w:w="6220" w:type="dxa"/>
            <w:vAlign w:val="bottom"/>
          </w:tcPr>
          <w:p>
            <w:pPr>
              <w:ind w:left="200"/>
              <w:spacing w:after="0"/>
              <w:rPr>
                <w:sz w:val="20"/>
                <w:szCs w:val="20"/>
                <w:color w:val="auto"/>
              </w:rPr>
            </w:pPr>
            <w:r>
              <w:rPr>
                <w:rFonts w:ascii="Arial" w:cs="Arial" w:eastAsia="Arial" w:hAnsi="Arial"/>
                <w:sz w:val="18"/>
                <w:szCs w:val="18"/>
                <w:color w:val="auto"/>
              </w:rPr>
              <w:t>Marshall D. Smith</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Title:</w:t>
            </w:r>
          </w:p>
        </w:tc>
        <w:tc>
          <w:tcPr>
            <w:tcW w:w="6220" w:type="dxa"/>
            <w:vAlign w:val="bottom"/>
          </w:tcPr>
          <w:p>
            <w:pPr>
              <w:ind w:left="200"/>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270"/>
        </w:trPr>
        <w:tc>
          <w:tcPr>
            <w:tcW w:w="760" w:type="dxa"/>
            <w:vAlign w:val="bottom"/>
          </w:tcPr>
          <w:p>
            <w:pPr>
              <w:ind w:left="40"/>
              <w:spacing w:after="0"/>
              <w:rPr>
                <w:sz w:val="20"/>
                <w:szCs w:val="20"/>
                <w:color w:val="auto"/>
              </w:rPr>
            </w:pPr>
            <w:r>
              <w:rPr>
                <w:rFonts w:ascii="Arial" w:cs="Arial" w:eastAsia="Arial" w:hAnsi="Arial"/>
                <w:sz w:val="18"/>
                <w:szCs w:val="18"/>
                <w:color w:val="auto"/>
              </w:rPr>
              <w:t>Date:</w:t>
            </w:r>
          </w:p>
        </w:tc>
        <w:tc>
          <w:tcPr>
            <w:tcW w:w="6220" w:type="dxa"/>
            <w:vAlign w:val="bottom"/>
          </w:tcPr>
          <w:p>
            <w:pPr>
              <w:ind w:left="200"/>
              <w:spacing w:after="0"/>
              <w:rPr>
                <w:sz w:val="20"/>
                <w:szCs w:val="20"/>
                <w:color w:val="auto"/>
              </w:rPr>
            </w:pPr>
            <w:r>
              <w:rPr>
                <w:rFonts w:ascii="Arial" w:cs="Arial" w:eastAsia="Arial" w:hAnsi="Arial"/>
                <w:sz w:val="18"/>
                <w:szCs w:val="18"/>
                <w:color w:val="auto"/>
              </w:rPr>
              <w:t>August 1, 2019</w:t>
            </w:r>
          </w:p>
        </w:tc>
      </w:tr>
    </w:tbl>
    <w:p>
      <w:pPr>
        <w:spacing w:after="0" w:line="310"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142"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18" Type="http://schemas.openxmlformats.org/officeDocument/2006/relationships/hyperlink" Target="http://www.sec.gov/Archives/edgar/data/1609253/000160925316000271/exhibit31.htm" TargetMode="External"/><Relationship Id="rId19" Type="http://schemas.openxmlformats.org/officeDocument/2006/relationships/hyperlink" Target="http://www.sec.gov/Archives/edgar/data/1609253/000160925315000168/exhibit32amendedandrestate.htm" TargetMode="External"/><Relationship Id="rId20" Type="http://schemas.openxmlformats.org/officeDocument/2006/relationships/hyperlink" Target="http://www.sec.gov/Archives/edgar/data/1609253/000160925319000118/a20190722ex41.htm" TargetMode="External"/><Relationship Id="rId21" Type="http://schemas.openxmlformats.org/officeDocument/2006/relationships/hyperlink" Target="http://www.sec.gov/Archives/edgar/data/1609253/000160925319000068/a20190509exhibit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2019-12-28T08:47:48Z</dcterms:created>
  <dcterms:modified xsi:type="dcterms:W3CDTF">2019-12-28T08:47:48Z</dcterms:modified>
</cp:coreProperties>
</file>