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vMerge w:val="restart"/>
          </w:tcPr>
          <w:p>
            <w:pPr>
              <w:spacing w:after="0"/>
              <w:rPr>
                <w:sz w:val="20"/>
                <w:szCs w:val="20"/>
                <w:color w:val="auto"/>
              </w:rPr>
            </w:pPr>
            <w:r>
              <w:rPr>
                <w:rFonts w:ascii="Arial" w:cs="Arial" w:eastAsia="Arial" w:hAnsi="Arial"/>
                <w:sz w:val="17"/>
                <w:szCs w:val="17"/>
                <w:color w:val="0000FF"/>
                <w:w w:val="98"/>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01/28/2022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8"/>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7"/>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01/28/2022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13,128</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42.521</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9,167,002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01/31/2022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400" w:type="dxa"/>
            <w:vAlign w:val="bottom"/>
          </w:tcPr>
          <w:p>
            <w:pPr>
              <w:ind w:left="120"/>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42.6246</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9,117,002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9"/>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12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9,117,002 shares of Common Stock by reason of the direct or indirect beneficial ownership of such shares as follows: (i) ACOF AIV 1A directly holds 503,579 shares of Common Stock, (ii) ACOF AIV 1B directly holds 1,842,844 shares of Common Stock, (iii) ACOF AIV 2 directly holds 1,877,321 shares of Common Stock, (iv) AEOF AIV A-B directly holds 1,894,861 shares of Common Stock, (v) AEOF AIV C directly holds 804,524 shares of Common Stock and (vi) AF Energy Feeder, L.P. directly holds 2,193,873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2022-02-01T15:12:46Z</dcterms:created>
  <dcterms:modified xsi:type="dcterms:W3CDTF">2022-02-01T15:12:46Z</dcterms:modified>
</cp:coreProperties>
</file>