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ind w:left="21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57785</wp:posOffset>
            </wp:positionV>
            <wp:extent cx="1320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2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 INFORMATION</w:t>
      </w:r>
    </w:p>
    <w:p>
      <w:pPr>
        <w:sectPr>
          <w:pgSz w:w="11900" w:h="16838" w:orient="portrait"/>
          <w:cols w:equalWidth="0" w:num="1">
            <w:col w:w="11200"/>
          </w:cols>
          <w:pgMar w:left="320" w:top="643" w:right="379" w:bottom="1440" w:gutter="0" w:footer="0" w:header="0"/>
        </w:sectPr>
      </w:pPr>
    </w:p>
    <w:p>
      <w:pPr>
        <w:spacing w:after="0" w:line="107" w:lineRule="exact"/>
        <w:rPr>
          <w:sz w:val="24"/>
          <w:szCs w:val="24"/>
          <w:color w:val="auto"/>
        </w:rPr>
      </w:pPr>
    </w:p>
    <w:p>
      <w:pPr>
        <w:ind w:left="2740" w:firstLine="720"/>
        <w:spacing w:after="0" w:line="259"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93345</wp:posOffset>
            </wp:positionV>
            <wp:extent cx="1320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4"/>
          <w:szCs w:val="24"/>
          <w:color w:val="auto"/>
        </w:rPr>
      </w:pPr>
    </w:p>
    <w:p>
      <w:pPr>
        <w:sectPr>
          <w:pgSz w:w="11900" w:h="16838" w:orient="portrait"/>
          <w:cols w:equalWidth="0" w:num="2">
            <w:col w:w="7900" w:space="540"/>
            <w:col w:w="2760"/>
          </w:cols>
          <w:pgMar w:left="320" w:top="643" w:right="3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6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CALIFORNIA RESOURCES CORPORATION</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60" w:hanging="552"/>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20" w:hanging="55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1120" w:hanging="55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120" w:right="120" w:hanging="559"/>
        <w:spacing w:after="0" w:line="24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2" w:lineRule="exact"/>
        <w:rPr>
          <w:rFonts w:ascii="Arial" w:cs="Arial" w:eastAsia="Arial" w:hAnsi="Arial"/>
          <w:sz w:val="18"/>
          <w:szCs w:val="18"/>
          <w:color w:val="auto"/>
        </w:rPr>
      </w:pPr>
    </w:p>
    <w:p>
      <w:pPr>
        <w:ind w:left="1120" w:hanging="55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1120" w:hanging="55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71" w:lineRule="exact"/>
        <w:rPr>
          <w:rFonts w:ascii="Arial" w:cs="Arial" w:eastAsia="Arial" w:hAnsi="Arial"/>
          <w:sz w:val="18"/>
          <w:szCs w:val="18"/>
          <w:color w:val="auto"/>
        </w:rPr>
      </w:pPr>
    </w:p>
    <w:p>
      <w:pPr>
        <w:ind w:left="560" w:hanging="552"/>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60" w:hanging="552"/>
        <w:spacing w:after="0" w:line="274" w:lineRule="auto"/>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 w:lineRule="exact"/>
        <w:rPr>
          <w:rFonts w:ascii="MS PGothic" w:cs="MS PGothic" w:eastAsia="MS PGothic" w:hAnsi="MS PGothic"/>
          <w:sz w:val="17"/>
          <w:szCs w:val="17"/>
          <w:color w:val="auto"/>
        </w:rPr>
      </w:pPr>
    </w:p>
    <w:p>
      <w:pPr>
        <w:ind w:left="1120" w:hanging="55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1120" w:hanging="55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1120" w:hanging="55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120" w:hanging="55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-2350770</wp:posOffset>
            </wp:positionV>
            <wp:extent cx="641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-2118995</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-1758950</wp:posOffset>
            </wp:positionV>
            <wp:extent cx="641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-1527810</wp:posOffset>
            </wp:positionV>
            <wp:extent cx="6412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-1296035</wp:posOffset>
            </wp:positionV>
            <wp:extent cx="641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-593090</wp:posOffset>
            </wp:positionV>
            <wp:extent cx="641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-387350</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-181610</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23495</wp:posOffset>
            </wp:positionV>
            <wp:extent cx="6412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9395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9395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925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5417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Chairman of the Board</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0075C9"/>
        </w:rPr>
        <w:t>Dear Shareholders,</w:t>
      </w:r>
    </w:p>
    <w:p>
      <w:pPr>
        <w:spacing w:after="0" w:line="1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California Resources Corporation (“</w:t>
      </w:r>
      <w:r>
        <w:rPr>
          <w:rFonts w:ascii="Arial" w:cs="Arial" w:eastAsia="Arial" w:hAnsi="Arial"/>
          <w:sz w:val="18"/>
          <w:szCs w:val="18"/>
          <w:b w:val="1"/>
          <w:bCs w:val="1"/>
          <w:color w:val="auto"/>
        </w:rPr>
        <w:t>CRC</w:t>
      </w:r>
      <w:r>
        <w:rPr>
          <w:rFonts w:ascii="Arial" w:cs="Arial" w:eastAsia="Arial" w:hAnsi="Arial"/>
          <w:sz w:val="18"/>
          <w:szCs w:val="18"/>
          <w:color w:val="auto"/>
        </w:rPr>
        <w:t>”) celebrated its fifth anniversary in late 2019, and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applauds the progress CRC has made in developing a stronger company through improved governance, consistent performance and a culture built on its entrepreneurial spirit. Our experienced management team has instilled the Company’s core values of Character, Responsibility and Commitment to drive performance. The Board plays an active role in fostering CRC’s governance policies, aligning compensation with performance and promoting the robustness of CRC’s strategy amidst volatility in commodity markets. The value-driven approach of CRC’s executive leadership continues to enable us to capture value through our broad portfolio of assets and create effective capital allocation through the commodity cycle.</w:t>
      </w:r>
    </w:p>
    <w:p>
      <w:pPr>
        <w:spacing w:after="0" w:line="2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we reflect on the accomplishments of our first five years as an independent company, the Board remains committed to leading governance policies. When CRC was spun off from its former parent in 2014, our governance reflected that of a new public company in a cyclical sector. Certain criteria were put in place at the outset, like separation of Chairman and CEO roles, an independent lead director and a majority of the Board being independent, while other key governance items were allowed to mature with the Company. During my tenure and consistent with feedback from our shareholders, we have enhanced our governance profile, including moving away from a classified Board to an annual election of directors, introducing a majority voting standard for directors and instituting a more rigorous overboarding policy.</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When we have had an opportunity for Board refreshment as a result of a director’s departure, we have thoughtfully sought replacements to broaden the Board’s knowledge and expertise as we continue to attract and maintain the most effective mix of Board talent. We regularly engage in a review process to evaluate desired skill sets that strengthen governance, promote diversity of thought and align with the evolving demands of our business. Today, we believe our Board’s experience in the energy industry, as well as in financial services, accounting, real estate, human resources and organizational disciplines, is well-suited for the many challenges that face CRC beyond challenges typically faced in the energy sector. Every year, we aim to improve shareholder outreach to obtain feedback on our governance and compensation practices. The Board has utilized this feedback from shareholders to align a greater portion of executive compensation to shareholder returns, focus annual incentives on key measurable quantitative metrics and provide more detailed disclosure on the annual incentive payouts. We continue to focus management’s compensation on the actions that we feel will create long-term value, including further balance sheet strengthening, using a VCI metric for disciplined capital allocation, healthy EBITDAX generation, delivering excellent health, safety and environmental (HSE) performance and advancing sustainability projects that align with the State of California.</w:t>
      </w:r>
    </w:p>
    <w:p>
      <w:pPr>
        <w:spacing w:after="0" w:line="21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Although we’ve enhanced our governance and shareholder outreach in many ways, we have not been successful in obtaining shareholder approval on all the governance items that we have recommended to shareholders for adoption. For the past two years, we have recommended replacing our super majority voting provisions with majority vote requirements. Following two years of these shareholder proposals failing to garner the support of anywhere near the 75% of the outstanding shares required for approval, we have removed the proposals from the ballot this year. This decision was made by the Board after garnering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ind w:right="100"/>
        <w:spacing w:after="0" w:line="256" w:lineRule="auto"/>
        <w:rPr>
          <w:sz w:val="20"/>
          <w:szCs w:val="20"/>
          <w:color w:val="auto"/>
        </w:rPr>
      </w:pPr>
      <w:r>
        <w:rPr>
          <w:rFonts w:ascii="Arial" w:cs="Arial" w:eastAsia="Arial" w:hAnsi="Arial"/>
          <w:sz w:val="18"/>
          <w:szCs w:val="18"/>
          <w:color w:val="auto"/>
        </w:rPr>
        <w:t>shareholder feedback on this and other governance issues. We expect to revisit this proposal again in the relatively near term, particularly if we see shifts in our shareholder base to more institutional ownership that we believe would increase the likelihood of our obtaining the approval of the requisite 75% of the outstanding shares.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proudly operate critical energy infrastructure in California, the world’s fifth largest economy, under the most comprehensive and stringent oil and gas regulations. Hence our executive compensation metrics reflect the importance of this responsibility to address Californians’ energy needs and challenges in a manner that aims to meet community expectations. One of our most important achievements in 2019 was our health and safety record: CRC had zero recordable employee workplace injuries. On a combined basis, including contractors, we had an impressive injury and illness incidence rate (IIR) of 0.34 per 200,000 hours worked, which is better than safety statistics in the insurance and finance sectors according to the latest data available from the U.S. Bureau of Labor Statistics. For comparison, the average IIR for all employers in the U.S. in 2018 was 3.1, an injury rate nine times higher than what CRC’s workforce achieved.</w:t>
      </w:r>
    </w:p>
    <w:p>
      <w:pPr>
        <w:spacing w:after="0" w:line="20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Management has also been effectively progressing towards the Board’s four 2030 Sustainability Goals, which include specific quantitative targets for water recycling, reduction of methane emissions, integrating renewable power in our operations and carbon capture and sequestration. These goals align directly with those of the State of California and are measured against a 2013 baseline, the year before CRC launched. CRC has surpassed its methane target with a 60-percent reduction in methane emissions since 2013 and is almost halfway to its water target of a 30-percent increase in its water recycling volume. In 2019, CRC designed two 2-MW solar projects, and initiated solar projects that would provide up to an additional 40 MW at multiple CRC fields. CRC commenced a front-end engineering and design study on carbon capture at Elk Hills, one of nine such projects in the U.S. that received financial support from the U.S. Department of Energy in</w:t>
      </w:r>
    </w:p>
    <w:p>
      <w:pPr>
        <w:spacing w:after="0" w:line="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2019. We were also quite pleased to receive validation of our sustainability efforts by receiving an A- from CDP (formerly known as the Carbon Disclosure Project) for our 2019 climate disclosure, scoring at CDP’s Leadership Level. CRC received the highest ranking among all U.S. oil and gas companies, tying for first with one other U.S.-based E&amp;P company. This recognition highlights CRC’s differentiated value as a California E&amp;P and the company’s ongoing commitment to provide sustainable, safe and reliable energy solutions for Californians.</w:t>
      </w:r>
    </w:p>
    <w:p>
      <w:pPr>
        <w:spacing w:after="0" w:line="20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are focused on fostering diversity across the organization, including in the composition of our Board and management, as well as in recruiting and developing a workforce that reflects the diversity of the communities where we operate. We believe that CRC’s culture has progressed significantly in the past five years, from that of its former multi-national parent, to an engaged and entrepreneurial culture grounded in the company’s core values and focused on delivering local solutions to meet the needs of Californians. CRC’s strong culture of service empowers employees to champion the communities they live and work in and supports them in leading our community</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outreach. CRC’s work with community groups focuses on supporting diverse members of the community including working families of all ethnic groups, with an emphasis on veterans and women, as well as public health and safety and fostering science, technology, engineering and mathematics (STEM) education and workforce development. The Board frequently receives company-wide employee feedback that aids in providing insight into the company’s culture, managerial effectiveness and diversity. Our employees embrace the entrepreneurial “One CRC” mindset that promotes innovative thinking, increased collaboration and accountability and a focus on process improvements in everything we do. We are proud of our track record in pursuing opportunities to improve the lives of Californians and managing the risks of the business with a keen focus on Environmental, Social and Governance attributes that align well with the State of California, our employees and our investors. The Board will carry this active oversight forward in 2020 and beyond as we guide management as they continue to strengthen the balance sheet, capture the full value of our robust portfolio and promote effective 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 w:name="page5"/>
    <w:bookmarkEnd w:id="4"/>
    <w:p>
      <w:pPr>
        <w:ind w:right="40"/>
        <w:spacing w:after="0" w:line="256" w:lineRule="auto"/>
        <w:rPr>
          <w:sz w:val="20"/>
          <w:szCs w:val="20"/>
          <w:color w:val="auto"/>
        </w:rPr>
      </w:pPr>
      <w:r>
        <w:rPr>
          <w:rFonts w:ascii="Arial" w:cs="Arial" w:eastAsia="Arial" w:hAnsi="Arial"/>
          <w:sz w:val="18"/>
          <w:szCs w:val="18"/>
          <w:color w:val="auto"/>
        </w:rPr>
        <w:t>The Board and I are pleased with the tremendous progress CRC has made over the past five years as we’ve worked to become a stronger independent company. As we enter a new decade, we are focused on delivering value for shareholders by strengthening our balance sheet, effectively allocating human and financial capital and continuously improving our already strong operational and HSE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1450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E. Albrecht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PLEASE NOTE: This letter and the Proxy Statement contain forward-looking statements that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except as required by applicable law.</w:t>
      </w:r>
    </w:p>
    <w:p>
      <w:pPr>
        <w:spacing w:after="0" w:line="16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included in this letter and the Proxy Statement certain voluntary disclosures regarding our Sustainability Goals, Sustainability Reports and related matters because we believe these matters are of interest to our investors; however, we 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to correct or update such disclosures,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5" w:name="page6"/>
    <w:bookmarkEnd w:id="5"/>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825625" cy="1020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825625" cy="1020445"/>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6"/>
          <w:szCs w:val="16"/>
          <w:color w:val="7F7F7F"/>
        </w:rPr>
        <w:t>27200 Tourney Road, Suite 200 | Santa Clarita | California 91355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2020 Annual Meeting of Stockholders</w:t>
      </w:r>
    </w:p>
    <w:p>
      <w:pPr>
        <w:sectPr>
          <w:pgSz w:w="11900" w:h="16838" w:orient="portrait"/>
          <w:cols w:equalWidth="0" w:num="1">
            <w:col w:w="11200"/>
          </w:cols>
          <w:pgMar w:left="320" w:top="1440" w:right="37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May 6, 2020</w:t>
      </w:r>
    </w:p>
    <w:p>
      <w:pPr>
        <w:spacing w:after="0" w:line="77" w:lineRule="exact"/>
        <w:rPr>
          <w:sz w:val="20"/>
          <w:szCs w:val="20"/>
          <w:color w:val="auto"/>
        </w:rPr>
      </w:pPr>
    </w:p>
    <w:p>
      <w:pPr>
        <w:sectPr>
          <w:pgSz w:w="11900" w:h="16838" w:orient="portrait"/>
          <w:cols w:equalWidth="0" w:num="2">
            <w:col w:w="1280" w:space="720"/>
            <w:col w:w="9200"/>
          </w:cols>
          <w:pgMar w:left="320" w:top="1440" w:right="379" w:bottom="1440" w:gutter="0" w:footer="0" w:header="0"/>
          <w:type w:val="continuous"/>
        </w:sectPr>
      </w:pPr>
    </w:p>
    <w:p>
      <w:pPr>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11:00 a.m., local time</w:t>
      </w:r>
    </w:p>
    <w:p>
      <w:pPr>
        <w:spacing w:after="0" w:line="77" w:lineRule="exact"/>
        <w:rPr>
          <w:sz w:val="20"/>
          <w:szCs w:val="20"/>
          <w:color w:val="auto"/>
        </w:rPr>
      </w:pPr>
    </w:p>
    <w:p>
      <w:pPr>
        <w:sectPr>
          <w:pgSz w:w="11900" w:h="16838" w:orient="portrait"/>
          <w:cols w:equalWidth="0" w:num="2">
            <w:col w:w="1280" w:space="720"/>
            <w:col w:w="9200"/>
          </w:cols>
          <w:pgMar w:left="320" w:top="1440" w:right="379" w:bottom="1440" w:gutter="0" w:footer="0" w:header="0"/>
          <w:type w:val="continuous"/>
        </w:sectPr>
      </w:pPr>
    </w:p>
    <w:p>
      <w:pPr>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ind w:right="3840"/>
        <w:spacing w:after="0" w:line="246" w:lineRule="auto"/>
        <w:rPr>
          <w:sz w:val="20"/>
          <w:szCs w:val="20"/>
          <w:color w:val="auto"/>
        </w:rPr>
      </w:pPr>
      <w:r>
        <w:rPr>
          <w:rFonts w:ascii="Arial" w:cs="Arial" w:eastAsia="Arial" w:hAnsi="Arial"/>
          <w:sz w:val="18"/>
          <w:szCs w:val="18"/>
          <w:color w:val="auto"/>
        </w:rPr>
        <w:t>Bakersfield Marriott at the Convention Center, 801 Truxtun Avenue, Bakersfield, California 93301</w:t>
      </w:r>
    </w:p>
    <w:p>
      <w:pPr>
        <w:spacing w:after="0" w:line="62" w:lineRule="exact"/>
        <w:rPr>
          <w:sz w:val="20"/>
          <w:szCs w:val="20"/>
          <w:color w:val="auto"/>
        </w:rPr>
      </w:pPr>
    </w:p>
    <w:p>
      <w:pPr>
        <w:sectPr>
          <w:pgSz w:w="11900" w:h="16838" w:orient="portrait"/>
          <w:cols w:equalWidth="0" w:num="2">
            <w:col w:w="1280" w:space="720"/>
            <w:col w:w="9200"/>
          </w:cols>
          <w:pgMar w:left="320" w:top="1440" w:right="379" w:bottom="1440" w:gutter="0" w:footer="0" w:header="0"/>
          <w:type w:val="continuous"/>
        </w:sectPr>
      </w:pPr>
    </w:p>
    <w:p>
      <w:pPr>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9, 2020</w:t>
      </w:r>
    </w:p>
    <w:p>
      <w:pPr>
        <w:spacing w:after="0" w:line="200" w:lineRule="exact"/>
        <w:rPr>
          <w:sz w:val="20"/>
          <w:szCs w:val="20"/>
          <w:color w:val="auto"/>
        </w:rPr>
      </w:pPr>
    </w:p>
    <w:p>
      <w:pPr>
        <w:sectPr>
          <w:pgSz w:w="11900" w:h="16838" w:orient="portrait"/>
          <w:cols w:equalWidth="0" w:num="2">
            <w:col w:w="1280" w:space="720"/>
            <w:col w:w="9200"/>
          </w:cols>
          <w:pgMar w:left="320" w:top="1440" w:right="37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2020 annual meeting of stockholders:</w:t>
      </w:r>
    </w:p>
    <w:p>
      <w:pPr>
        <w:spacing w:after="0" w:line="212" w:lineRule="exact"/>
        <w:rPr>
          <w:sz w:val="20"/>
          <w:szCs w:val="20"/>
          <w:color w:val="auto"/>
        </w:rPr>
      </w:pPr>
    </w:p>
    <w:p>
      <w:pPr>
        <w:ind w:left="580" w:hanging="343"/>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each to a one-year term;</w:t>
      </w:r>
    </w:p>
    <w:p>
      <w:pPr>
        <w:spacing w:after="0" w:line="103" w:lineRule="exact"/>
        <w:rPr>
          <w:rFonts w:ascii="Arial" w:cs="Arial" w:eastAsia="Arial" w:hAnsi="Arial"/>
          <w:sz w:val="18"/>
          <w:szCs w:val="18"/>
          <w:color w:val="auto"/>
        </w:rPr>
      </w:pPr>
    </w:p>
    <w:p>
      <w:pPr>
        <w:ind w:left="580" w:right="80" w:hanging="343"/>
        <w:spacing w:after="0" w:line="24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2020; and</w:t>
      </w:r>
    </w:p>
    <w:p>
      <w:pPr>
        <w:spacing w:after="0" w:line="88" w:lineRule="exact"/>
        <w:rPr>
          <w:rFonts w:ascii="Arial" w:cs="Arial" w:eastAsia="Arial" w:hAnsi="Arial"/>
          <w:sz w:val="18"/>
          <w:szCs w:val="18"/>
          <w:color w:val="auto"/>
        </w:rPr>
      </w:pPr>
    </w:p>
    <w:p>
      <w:pPr>
        <w:ind w:left="580" w:hanging="343"/>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close of business on March 9, 2020 was fixed as the record date for the determination of stockholders entitled to receive notice of and to vote at the annual meeting or any adjournment or postponement thereof. Only our stockholders or their legal proxy holders as of the record date or our invited guests may attend the annual meeting in person.</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intend to hold the annual meeting in person. However, we are actively monitoring the coronavirus (COVID-19); we are sensitive to the public health and travel concerns our stockholders may have and the protocols that federal, state, and local governments may impose. In the event it is not possible or advisable to hold the annual meeting in person, we will announce alternative arrangements for the meeting as promptly as practicable, which may include holding the meeting partially or solely by means of remote communication. Please monitor our annual meeting website at http://www.astproxyportal.com/ast/20758/ for updated information. If you are planning to attend our meeting, please check the website ten days prior to the meeting date. As always, we encourage you to vote your shares prior to the annual meeting.</w:t>
      </w:r>
    </w:p>
    <w:p>
      <w:pPr>
        <w:spacing w:after="0" w:line="20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Beginning on March 24, 2020, we mailed a Notice of Internet Availability of Proxy Materials to our stockholders containing instructions on how to access the proxy statement and vote online and made our proxy materials available to our stockholders over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14145"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line="234" w:lineRule="auto"/>
        <w:rPr>
          <w:sz w:val="20"/>
          <w:szCs w:val="20"/>
          <w:color w:val="auto"/>
        </w:rPr>
      </w:pPr>
      <w:r>
        <w:rPr>
          <w:rFonts w:ascii="Arial" w:cs="Arial" w:eastAsia="Arial" w:hAnsi="Arial"/>
          <w:sz w:val="18"/>
          <w:szCs w:val="18"/>
          <w:i w:val="1"/>
          <w:iCs w:val="1"/>
          <w:color w:val="auto"/>
        </w:rPr>
        <w:t>Senior Executive Vice President, Chief Administrative Officer and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color w:val="0075C9"/>
        </w:rPr>
        <w:t>IMPORTANT VOTING INFORMATION</w:t>
      </w:r>
    </w:p>
    <w:p>
      <w:pPr>
        <w:spacing w:after="0" w:line="11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you owned shares of our common stock at the close of business on March 9, 2020, you are entitled to one vote per share upon each matter presented at our 2020 annual meeting of stockholders to be held on May 6, 2020. In order for stockholders whose shares were held in an account at a brokerage firm, bank or other nominee (i.e., in “street name”) as of March 9, 2020 to attend the 2020 annual meeting, they will need to obtain a proxy from the broker, bank or other nominee that holds their shares authorizing them to vote in person at the annual meeting.</w:t>
      </w:r>
    </w:p>
    <w:p>
      <w:pPr>
        <w:spacing w:after="0" w:line="2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2020, and may not vote on the election of directors and other matters to be considered at the annual meeting. For your vote to be counted, you will need to communicate your voting decisions to your broker, bank or other nominee before the date of the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1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1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If you have any questions about the proxy voting process, and you own shares that are registered in your own name, please contact AST Shareholder Services at (866) 659- 2647 or (718) 921-8124. If you have any questions about the proxy voting process, and your shares are held in “street name,” please contact the broker, bank or other nominee where you hold your shares. The Securities and Exchange Commission also has a website (</w:t>
      </w:r>
      <w:r>
        <w:rPr>
          <w:rFonts w:ascii="Arial" w:cs="Arial" w:eastAsia="Arial" w:hAnsi="Arial"/>
          <w:sz w:val="18"/>
          <w:szCs w:val="18"/>
          <w:i w:val="1"/>
          <w:iCs w:val="1"/>
          <w:color w:val="auto"/>
        </w:rPr>
        <w:t>www.sec.gov/spotlight/proxymatters.shtml</w:t>
      </w:r>
      <w:r>
        <w:rPr>
          <w:rFonts w:ascii="Arial" w:cs="Arial" w:eastAsia="Arial" w:hAnsi="Arial"/>
          <w:sz w:val="18"/>
          <w:szCs w:val="18"/>
          <w:color w:val="auto"/>
        </w:rPr>
        <w:t>) with more information about your rights as a stockholder. You also may contact our Investor Relations Department by phone at (818) 661-6010 or by e-mail at IR@crc.com.</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 IN PERSON</w:t>
      </w:r>
    </w:p>
    <w:p>
      <w:pPr>
        <w:spacing w:after="0" w:line="11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Only stockholders of record or their legal proxy holders as of March 9, 2020 or our invited guests may attend the annual meeting in person. </w:t>
      </w:r>
      <w:r>
        <w:rPr>
          <w:rFonts w:ascii="Arial" w:cs="Arial" w:eastAsia="Arial" w:hAnsi="Arial"/>
          <w:sz w:val="18"/>
          <w:szCs w:val="18"/>
          <w:b w:val="1"/>
          <w:bCs w:val="1"/>
          <w:color w:val="auto"/>
        </w:rPr>
        <w:t>If you plan to attend the annual meeting in person, you</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w:t>
      </w:r>
      <w:r>
        <w:rPr>
          <w:rFonts w:ascii="Arial" w:cs="Arial" w:eastAsia="Arial" w:hAnsi="Arial"/>
          <w:sz w:val="18"/>
          <w:szCs w:val="18"/>
          <w:b w:val="1"/>
          <w:bCs w:val="1"/>
          <w:color w:val="auto"/>
        </w:rPr>
        <w:t>present a valid form of government-issued photo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identification, such as a driver’s license or passport. </w:t>
      </w:r>
      <w:r>
        <w:rPr>
          <w:rFonts w:ascii="Arial" w:cs="Arial" w:eastAsia="Arial" w:hAnsi="Arial"/>
          <w:sz w:val="18"/>
          <w:szCs w:val="18"/>
          <w:color w:val="auto"/>
        </w:rPr>
        <w:t>In addition to such personal identification, you will need an admission ticket or</w:t>
      </w:r>
      <w:r>
        <w:rPr>
          <w:rFonts w:ascii="Arial" w:cs="Arial" w:eastAsia="Arial" w:hAnsi="Arial"/>
          <w:sz w:val="18"/>
          <w:szCs w:val="18"/>
          <w:b w:val="1"/>
          <w:bCs w:val="1"/>
          <w:color w:val="auto"/>
        </w:rPr>
        <w:t xml:space="preserve"> </w:t>
      </w:r>
      <w:r>
        <w:rPr>
          <w:rFonts w:ascii="Arial" w:cs="Arial" w:eastAsia="Arial" w:hAnsi="Arial"/>
          <w:sz w:val="18"/>
          <w:szCs w:val="18"/>
          <w:color w:val="auto"/>
        </w:rPr>
        <w:t>proof of ownership of CRC stock as of the record date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 for the meeting, and will need to obtain a proxy from your broker, bank or other nominee if you wish to vote in person at the annual meeting.</w:t>
      </w:r>
    </w:p>
    <w:p>
      <w:pPr>
        <w:spacing w:after="0" w:line="203" w:lineRule="exact"/>
        <w:rPr>
          <w:sz w:val="20"/>
          <w:szCs w:val="20"/>
          <w:color w:val="auto"/>
        </w:rPr>
      </w:pPr>
    </w:p>
    <w:p>
      <w:pPr>
        <w:jc w:val="center"/>
        <w:spacing w:after="0" w:line="284" w:lineRule="auto"/>
        <w:rPr>
          <w:sz w:val="20"/>
          <w:szCs w:val="20"/>
          <w:color w:val="auto"/>
        </w:rPr>
      </w:pPr>
      <w:r>
        <w:rPr>
          <w:rFonts w:ascii="Arial" w:cs="Arial" w:eastAsia="Arial" w:hAnsi="Arial"/>
          <w:sz w:val="22"/>
          <w:szCs w:val="22"/>
          <w:b w:val="1"/>
          <w:bCs w:val="1"/>
          <w:color w:val="0075C9"/>
        </w:rPr>
        <w:t>IMPORTANT NOTICE REGARDING THE INTERNET AVAILABILITY OF PROXY MATERIALS FOR THE STOCKHOLDER MEETING TO BE HELD ON MAY 6, 2020</w:t>
      </w:r>
    </w:p>
    <w:p>
      <w:pPr>
        <w:spacing w:after="0" w:line="11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color w:val="auto"/>
        </w:rPr>
        <w:t>The Notice of the 2020 Annual Meeting of Stockholders, the Proxy Statement for the 2020 Annual Meeting of Stockholders and the 2019 Annual Report to Stockholders (which includes the Annual Report on Form 10-K for the fiscal year ended December 31, 2019) of California Resources Corporation are available at http://www.astproxyportal.com/ast/20758/.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 w:name="page8"/>
    <w:bookmarkEnd w:id="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TABLE OF CONTENTS</w:t>
      </w:r>
    </w:p>
    <w:p>
      <w:pPr>
        <w:spacing w:after="0" w:line="173" w:lineRule="exact"/>
        <w:rPr>
          <w:sz w:val="20"/>
          <w:szCs w:val="20"/>
          <w:color w:val="auto"/>
        </w:rPr>
      </w:pPr>
    </w:p>
    <w:p>
      <w:pPr>
        <w:spacing w:after="0"/>
        <w:rPr>
          <w:sz w:val="20"/>
          <w:szCs w:val="20"/>
          <w:color w:val="auto"/>
        </w:rPr>
      </w:pPr>
      <w:r>
        <w:rPr>
          <w:rFonts w:ascii="Arial" w:cs="Arial" w:eastAsia="Arial" w:hAnsi="Arial"/>
          <w:sz w:val="32"/>
          <w:szCs w:val="32"/>
          <w:color w:val="0075C9"/>
        </w:rPr>
        <w:t>Table of Contents</w:t>
      </w:r>
    </w:p>
    <w:tbl>
      <w:tblPr>
        <w:tblLayout w:type="fixed"/>
        <w:tblInd w:w="20" w:type="dxa"/>
        <w:tblCellMar>
          <w:top w:w="0" w:type="dxa"/>
          <w:left w:w="0" w:type="dxa"/>
          <w:bottom w:w="0" w:type="dxa"/>
          <w:right w:w="0" w:type="dxa"/>
        </w:tblCellMar>
      </w:tblPr>
      <w:tr>
        <w:trPr>
          <w:trHeight w:val="144"/>
        </w:trPr>
        <w:tc>
          <w:tcPr>
            <w:tcW w:w="5860" w:type="dxa"/>
            <w:vAlign w:val="bottom"/>
            <w:gridSpan w:val="53"/>
          </w:tcPr>
          <w:p>
            <w:pPr>
              <w:spacing w:after="0"/>
              <w:rPr>
                <w:sz w:val="12"/>
                <w:szCs w:val="12"/>
                <w:color w:val="auto"/>
              </w:rPr>
            </w:pPr>
          </w:p>
        </w:tc>
        <w:tc>
          <w:tcPr>
            <w:tcW w:w="980" w:type="dxa"/>
            <w:vAlign w:val="bottom"/>
            <w:tcBorders>
              <w:bottom w:val="single" w:sz="8" w:color="0000EE"/>
            </w:tcBorders>
            <w:gridSpan w:val="5"/>
          </w:tcPr>
          <w:p>
            <w:pPr>
              <w:spacing w:after="0" w:line="144" w:lineRule="exact"/>
              <w:rPr>
                <w:rFonts w:ascii="Arial" w:cs="Arial" w:eastAsia="Arial" w:hAnsi="Arial"/>
                <w:sz w:val="14"/>
                <w:szCs w:val="14"/>
                <w:color w:val="0000EE"/>
              </w:rPr>
            </w:pPr>
            <w:hyperlink w:anchor="page71">
              <w:r>
                <w:rPr>
                  <w:rFonts w:ascii="Arial" w:cs="Arial" w:eastAsia="Arial" w:hAnsi="Arial"/>
                  <w:sz w:val="14"/>
                  <w:szCs w:val="14"/>
                  <w:color w:val="0000EE"/>
                </w:rPr>
                <w:t>CEO Pay Ratio</w:t>
              </w:r>
            </w:hyperlink>
          </w:p>
        </w:tc>
        <w:tc>
          <w:tcPr>
            <w:tcW w:w="4360" w:type="dxa"/>
            <w:vAlign w:val="bottom"/>
            <w:gridSpan w:val="25"/>
          </w:tcPr>
          <w:p>
            <w:pPr>
              <w:jc w:val="right"/>
              <w:ind w:right="428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2"/>
        </w:trPr>
        <w:tc>
          <w:tcPr>
            <w:tcW w:w="4660" w:type="dxa"/>
            <w:vAlign w:val="bottom"/>
            <w:gridSpan w:val="51"/>
            <w:vMerge w:val="restart"/>
          </w:tcPr>
          <w:p>
            <w:pPr>
              <w:spacing w:after="0" w:line="183" w:lineRule="exact"/>
              <w:rPr>
                <w:rFonts w:ascii="Arial" w:cs="Arial" w:eastAsia="Arial" w:hAnsi="Arial"/>
                <w:sz w:val="16"/>
                <w:szCs w:val="16"/>
                <w:color w:val="0000EE"/>
              </w:rPr>
            </w:pPr>
            <w:hyperlink w:anchor="page6">
              <w:r>
                <w:rPr>
                  <w:rFonts w:ascii="Arial" w:cs="Arial" w:eastAsia="Arial" w:hAnsi="Arial"/>
                  <w:sz w:val="16"/>
                  <w:szCs w:val="16"/>
                  <w:color w:val="0000EE"/>
                </w:rPr>
                <w:t>Notice of the 2020 Annual Meeting of Stockholders</w:t>
              </w:r>
            </w:hyperlink>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760" w:type="dxa"/>
            <w:vAlign w:val="bottom"/>
            <w:tcBorders>
              <w:bottom w:val="single" w:sz="8" w:color="0000EE"/>
            </w:tcBorders>
            <w:gridSpan w:val="24"/>
          </w:tcPr>
          <w:p>
            <w:pPr>
              <w:spacing w:after="0" w:line="129" w:lineRule="exact"/>
              <w:rPr>
                <w:rFonts w:ascii="Arial" w:cs="Arial" w:eastAsia="Arial" w:hAnsi="Arial"/>
                <w:sz w:val="14"/>
                <w:szCs w:val="14"/>
                <w:color w:val="0000EE"/>
              </w:rPr>
            </w:pPr>
            <w:hyperlink w:anchor="page73">
              <w:r>
                <w:rPr>
                  <w:rFonts w:ascii="Arial" w:cs="Arial" w:eastAsia="Arial" w:hAnsi="Arial"/>
                  <w:sz w:val="14"/>
                  <w:szCs w:val="14"/>
                  <w:color w:val="0000EE"/>
                </w:rPr>
                <w:t>Potential Payments Upon Termination or Change in Control</w:t>
              </w:r>
            </w:hyperlink>
          </w:p>
        </w:tc>
        <w:tc>
          <w:tcPr>
            <w:tcW w:w="2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1"/>
        </w:trPr>
        <w:tc>
          <w:tcPr>
            <w:tcW w:w="4660" w:type="dxa"/>
            <w:vAlign w:val="bottom"/>
            <w:gridSpan w:val="51"/>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60" w:type="dxa"/>
            <w:vAlign w:val="bottom"/>
            <w:tcBorders>
              <w:top w:val="single" w:sz="8" w:color="0000EE"/>
              <w:bottom w:val="single" w:sz="8" w:color="0000EE"/>
            </w:tcBorders>
            <w:gridSpan w:val="18"/>
            <w:vMerge w:val="restart"/>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Proxy Statement Summary</w:t>
              </w:r>
            </w:hyperlink>
          </w:p>
        </w:tc>
        <w:tc>
          <w:tcPr>
            <w:tcW w:w="1600" w:type="dxa"/>
            <w:vAlign w:val="bottom"/>
            <w:tcBorders>
              <w:top w:val="single" w:sz="8" w:color="0000EE"/>
              <w:bottom w:val="single" w:sz="8" w:color="0000EE"/>
            </w:tcBorders>
            <w:gridSpan w:val="31"/>
            <w:vMerge w:val="restart"/>
          </w:tcPr>
          <w:p>
            <w:pPr>
              <w:spacing w:after="0"/>
              <w:rPr>
                <w:sz w:val="13"/>
                <w:szCs w:val="13"/>
                <w:color w:val="auto"/>
              </w:rPr>
            </w:pPr>
          </w:p>
        </w:tc>
        <w:tc>
          <w:tcPr>
            <w:tcW w:w="1100" w:type="dxa"/>
            <w:vAlign w:val="bottom"/>
            <w:gridSpan w:val="2"/>
            <w:vMerge w:val="restart"/>
          </w:tcPr>
          <w:p>
            <w:pPr>
              <w:spacing w:after="0"/>
              <w:rPr>
                <w:sz w:val="13"/>
                <w:szCs w:val="13"/>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6"/>
                <w:szCs w:val="16"/>
                <w:color w:val="0075C9"/>
              </w:rPr>
              <w:t>1</w:t>
            </w:r>
          </w:p>
        </w:tc>
        <w:tc>
          <w:tcPr>
            <w:tcW w:w="1660" w:type="dxa"/>
            <w:vAlign w:val="bottom"/>
            <w:tcBorders>
              <w:bottom w:val="single" w:sz="8" w:color="0000EE"/>
            </w:tcBorders>
            <w:gridSpan w:val="9"/>
          </w:tcPr>
          <w:p>
            <w:pPr>
              <w:spacing w:after="0" w:line="155" w:lineRule="exact"/>
              <w:rPr>
                <w:rFonts w:ascii="Arial" w:cs="Arial" w:eastAsia="Arial" w:hAnsi="Arial"/>
                <w:sz w:val="16"/>
                <w:szCs w:val="16"/>
                <w:color w:val="0000EE"/>
              </w:rPr>
            </w:pPr>
            <w:hyperlink w:anchor="page75">
              <w:r>
                <w:rPr>
                  <w:rFonts w:ascii="Arial" w:cs="Arial" w:eastAsia="Arial" w:hAnsi="Arial"/>
                  <w:sz w:val="16"/>
                  <w:szCs w:val="16"/>
                  <w:color w:val="0000EE"/>
                </w:rPr>
                <w:t>Director Compensation</w:t>
              </w:r>
            </w:hyperlink>
          </w:p>
        </w:tc>
        <w:tc>
          <w:tcPr>
            <w:tcW w:w="3200" w:type="dxa"/>
            <w:vAlign w:val="bottom"/>
            <w:gridSpan w:val="21"/>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6"/>
                <w:szCs w:val="16"/>
                <w:color w:val="0075C9"/>
              </w:rPr>
              <w:t>67</w:t>
            </w:r>
          </w:p>
        </w:tc>
        <w:tc>
          <w:tcPr>
            <w:tcW w:w="0" w:type="dxa"/>
            <w:vAlign w:val="bottom"/>
          </w:tcPr>
          <w:p>
            <w:pPr>
              <w:spacing w:after="0"/>
              <w:rPr>
                <w:sz w:val="1"/>
                <w:szCs w:val="1"/>
                <w:color w:val="auto"/>
              </w:rPr>
            </w:pPr>
          </w:p>
        </w:tc>
      </w:tr>
      <w:tr>
        <w:trPr>
          <w:trHeight w:val="34"/>
        </w:trPr>
        <w:tc>
          <w:tcPr>
            <w:tcW w:w="1960" w:type="dxa"/>
            <w:vAlign w:val="bottom"/>
            <w:tcBorders>
              <w:bottom w:val="single" w:sz="8" w:color="0000EE"/>
            </w:tcBorders>
            <w:gridSpan w:val="18"/>
            <w:vMerge w:val="continue"/>
          </w:tcPr>
          <w:p>
            <w:pPr>
              <w:spacing w:after="0"/>
              <w:rPr>
                <w:sz w:val="2"/>
                <w:szCs w:val="2"/>
                <w:color w:val="auto"/>
              </w:rPr>
            </w:pPr>
          </w:p>
        </w:tc>
        <w:tc>
          <w:tcPr>
            <w:tcW w:w="1600" w:type="dxa"/>
            <w:vAlign w:val="bottom"/>
            <w:gridSpan w:val="31"/>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gridSpan w:val="29"/>
            <w:vMerge w:val="restart"/>
          </w:tcPr>
          <w:p>
            <w:pPr>
              <w:spacing w:after="0" w:line="155" w:lineRule="exact"/>
              <w:rPr>
                <w:rFonts w:ascii="Arial" w:cs="Arial" w:eastAsia="Arial" w:hAnsi="Arial"/>
                <w:sz w:val="14"/>
                <w:szCs w:val="14"/>
                <w:color w:val="0000EE"/>
              </w:rPr>
            </w:pPr>
            <w:hyperlink w:anchor="page75">
              <w:r>
                <w:rPr>
                  <w:rFonts w:ascii="Arial" w:cs="Arial" w:eastAsia="Arial" w:hAnsi="Arial"/>
                  <w:sz w:val="14"/>
                  <w:szCs w:val="14"/>
                  <w:color w:val="0000EE"/>
                </w:rPr>
                <w:t>Program Objectives</w:t>
              </w:r>
            </w:hyperlink>
          </w:p>
        </w:tc>
        <w:tc>
          <w:tcPr>
            <w:tcW w:w="60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02"/>
        </w:trPr>
        <w:tc>
          <w:tcPr>
            <w:tcW w:w="4660" w:type="dxa"/>
            <w:vAlign w:val="bottom"/>
            <w:gridSpan w:val="51"/>
            <w:vMerge w:val="restart"/>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Board of Directors and Corporate Governance</w:t>
              </w:r>
            </w:hyperlink>
          </w:p>
        </w:tc>
        <w:tc>
          <w:tcPr>
            <w:tcW w:w="1080" w:type="dxa"/>
            <w:vAlign w:val="bottom"/>
            <w:vMerge w:val="restart"/>
          </w:tcPr>
          <w:p>
            <w:pPr>
              <w:jc w:val="right"/>
              <w:ind w:right="188"/>
              <w:spacing w:after="0"/>
              <w:rPr>
                <w:sz w:val="20"/>
                <w:szCs w:val="20"/>
                <w:color w:val="auto"/>
              </w:rPr>
            </w:pPr>
            <w:r>
              <w:rPr>
                <w:rFonts w:ascii="Arial" w:cs="Arial" w:eastAsia="Arial" w:hAnsi="Arial"/>
                <w:sz w:val="16"/>
                <w:szCs w:val="16"/>
                <w:color w:val="0075C9"/>
              </w:rPr>
              <w:t>7</w:t>
            </w:r>
          </w:p>
        </w:tc>
        <w:tc>
          <w:tcPr>
            <w:tcW w:w="120" w:type="dxa"/>
            <w:vAlign w:val="bottom"/>
          </w:tcPr>
          <w:p>
            <w:pPr>
              <w:spacing w:after="0"/>
              <w:rPr>
                <w:sz w:val="8"/>
                <w:szCs w:val="8"/>
                <w:color w:val="auto"/>
              </w:rPr>
            </w:pPr>
          </w:p>
        </w:tc>
        <w:tc>
          <w:tcPr>
            <w:tcW w:w="4740" w:type="dxa"/>
            <w:vAlign w:val="bottom"/>
            <w:gridSpan w:val="29"/>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60" w:type="dxa"/>
            <w:vAlign w:val="bottom"/>
            <w:gridSpan w:val="51"/>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660" w:type="dxa"/>
            <w:vAlign w:val="bottom"/>
            <w:gridSpan w:val="51"/>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740" w:type="dxa"/>
            <w:vAlign w:val="bottom"/>
            <w:gridSpan w:val="29"/>
            <w:vMerge w:val="restart"/>
          </w:tcPr>
          <w:p>
            <w:pPr>
              <w:spacing w:after="0" w:line="142" w:lineRule="exact"/>
              <w:rPr>
                <w:rFonts w:ascii="Arial" w:cs="Arial" w:eastAsia="Arial" w:hAnsi="Arial"/>
                <w:sz w:val="14"/>
                <w:szCs w:val="14"/>
                <w:color w:val="0000EE"/>
              </w:rPr>
            </w:pPr>
            <w:hyperlink w:anchor="page75">
              <w:r>
                <w:rPr>
                  <w:rFonts w:ascii="Arial" w:cs="Arial" w:eastAsia="Arial" w:hAnsi="Arial"/>
                  <w:sz w:val="14"/>
                  <w:szCs w:val="14"/>
                  <w:color w:val="0000EE"/>
                </w:rPr>
                <w:t>Program Elements</w:t>
              </w:r>
            </w:hyperlink>
          </w:p>
        </w:tc>
        <w:tc>
          <w:tcPr>
            <w:tcW w:w="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34"/>
        </w:trPr>
        <w:tc>
          <w:tcPr>
            <w:tcW w:w="140" w:type="dxa"/>
            <w:vAlign w:val="bottom"/>
            <w:tcBorders>
              <w:top w:val="single" w:sz="8" w:color="0000EE"/>
            </w:tcBorders>
          </w:tcPr>
          <w:p>
            <w:pPr>
              <w:spacing w:after="0"/>
              <w:rPr>
                <w:sz w:val="2"/>
                <w:szCs w:val="2"/>
                <w:color w:val="auto"/>
              </w:rPr>
            </w:pPr>
          </w:p>
        </w:tc>
        <w:tc>
          <w:tcPr>
            <w:tcW w:w="1440" w:type="dxa"/>
            <w:vAlign w:val="bottom"/>
            <w:tcBorders>
              <w:top w:val="single" w:sz="8" w:color="0000EE"/>
            </w:tcBorders>
            <w:gridSpan w:val="8"/>
            <w:vMerge w:val="restart"/>
          </w:tcPr>
          <w:p>
            <w:pPr>
              <w:spacing w:after="0" w:line="142" w:lineRule="exact"/>
              <w:rPr>
                <w:rFonts w:ascii="Arial" w:cs="Arial" w:eastAsia="Arial" w:hAnsi="Arial"/>
                <w:sz w:val="14"/>
                <w:szCs w:val="14"/>
                <w:color w:val="0000EE"/>
              </w:rPr>
            </w:pPr>
            <w:hyperlink w:anchor="page15">
              <w:r>
                <w:rPr>
                  <w:rFonts w:ascii="Arial" w:cs="Arial" w:eastAsia="Arial" w:hAnsi="Arial"/>
                  <w:sz w:val="14"/>
                  <w:szCs w:val="14"/>
                  <w:color w:val="0000EE"/>
                </w:rPr>
                <w:t>Our Board of Directors</w:t>
              </w:r>
            </w:hyperlink>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
                <w:szCs w:val="2"/>
                <w:color w:val="auto"/>
              </w:rPr>
            </w:pPr>
          </w:p>
        </w:tc>
        <w:tc>
          <w:tcPr>
            <w:tcW w:w="4740" w:type="dxa"/>
            <w:vAlign w:val="bottom"/>
            <w:gridSpan w:val="29"/>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40" w:type="dxa"/>
            <w:vAlign w:val="bottom"/>
            <w:gridSpan w:val="8"/>
            <w:vMerge w:val="continue"/>
          </w:tcPr>
          <w:p>
            <w:pPr>
              <w:spacing w:after="0" w:line="20" w:lineRule="exact"/>
              <w:rPr>
                <w:sz w:val="1"/>
                <w:szCs w:val="1"/>
                <w:color w:val="auto"/>
              </w:rPr>
            </w:pPr>
          </w:p>
        </w:tc>
        <w:tc>
          <w:tcPr>
            <w:tcW w:w="3080" w:type="dxa"/>
            <w:vAlign w:val="bottom"/>
            <w:gridSpan w:val="42"/>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320" w:type="dxa"/>
            <w:vAlign w:val="bottom"/>
            <w:tcBorders>
              <w:right w:val="single" w:sz="8" w:color="0000EE"/>
            </w:tcBorders>
            <w:gridSpan w:val="7"/>
          </w:tcPr>
          <w:p>
            <w:pPr>
              <w:spacing w:after="0" w:line="20" w:lineRule="exact"/>
              <w:rPr>
                <w:sz w:val="1"/>
                <w:szCs w:val="1"/>
                <w:color w:val="auto"/>
              </w:rPr>
            </w:pPr>
          </w:p>
        </w:tc>
        <w:tc>
          <w:tcPr>
            <w:tcW w:w="414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40" w:type="dxa"/>
            <w:vAlign w:val="bottom"/>
          </w:tcPr>
          <w:p>
            <w:pPr>
              <w:spacing w:after="0"/>
              <w:rPr>
                <w:sz w:val="8"/>
                <w:szCs w:val="8"/>
                <w:color w:val="auto"/>
              </w:rPr>
            </w:pPr>
          </w:p>
        </w:tc>
        <w:tc>
          <w:tcPr>
            <w:tcW w:w="1440" w:type="dxa"/>
            <w:vAlign w:val="bottom"/>
            <w:tcBorders>
              <w:bottom w:val="single" w:sz="8" w:color="0000EE"/>
            </w:tcBorders>
            <w:gridSpan w:val="8"/>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540" w:type="dxa"/>
            <w:vAlign w:val="bottom"/>
            <w:gridSpan w:val="2"/>
            <w:vMerge w:val="restart"/>
          </w:tcPr>
          <w:p>
            <w:pPr>
              <w:spacing w:after="0"/>
              <w:rPr>
                <w:sz w:val="8"/>
                <w:szCs w:val="8"/>
                <w:color w:val="auto"/>
              </w:rPr>
            </w:pPr>
          </w:p>
        </w:tc>
        <w:tc>
          <w:tcPr>
            <w:tcW w:w="620" w:type="dxa"/>
            <w:vAlign w:val="bottom"/>
            <w:vMerge w:val="restart"/>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vMerge w:val="restart"/>
          </w:tcPr>
          <w:p>
            <w:pPr>
              <w:spacing w:after="0"/>
              <w:rPr>
                <w:sz w:val="8"/>
                <w:szCs w:val="8"/>
                <w:color w:val="auto"/>
              </w:rPr>
            </w:pPr>
          </w:p>
        </w:tc>
        <w:tc>
          <w:tcPr>
            <w:tcW w:w="4740" w:type="dxa"/>
            <w:vAlign w:val="bottom"/>
            <w:gridSpan w:val="29"/>
            <w:vMerge w:val="restart"/>
          </w:tcPr>
          <w:p>
            <w:pPr>
              <w:spacing w:after="0" w:line="135" w:lineRule="exact"/>
              <w:rPr>
                <w:rFonts w:ascii="Arial" w:cs="Arial" w:eastAsia="Arial" w:hAnsi="Arial"/>
                <w:sz w:val="14"/>
                <w:szCs w:val="14"/>
                <w:color w:val="0000EE"/>
              </w:rPr>
            </w:pPr>
            <w:hyperlink w:anchor="page75">
              <w:r>
                <w:rPr>
                  <w:rFonts w:ascii="Arial" w:cs="Arial" w:eastAsia="Arial" w:hAnsi="Arial"/>
                  <w:sz w:val="14"/>
                  <w:szCs w:val="14"/>
                  <w:color w:val="0000EE"/>
                </w:rPr>
                <w:t>2019 Compensation of Directors</w:t>
              </w:r>
            </w:hyperlink>
          </w:p>
        </w:tc>
        <w:tc>
          <w:tcPr>
            <w:tcW w:w="60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740" w:type="dxa"/>
            <w:vAlign w:val="bottom"/>
            <w:gridSpan w:val="29"/>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520" w:type="dxa"/>
            <w:vAlign w:val="bottom"/>
            <w:gridSpan w:val="50"/>
            <w:vMerge w:val="restart"/>
          </w:tcPr>
          <w:p>
            <w:pPr>
              <w:spacing w:after="0" w:line="122" w:lineRule="exact"/>
              <w:rPr>
                <w:rFonts w:ascii="Arial" w:cs="Arial" w:eastAsia="Arial" w:hAnsi="Arial"/>
                <w:sz w:val="14"/>
                <w:szCs w:val="14"/>
                <w:color w:val="0000EE"/>
              </w:rPr>
            </w:pPr>
            <w:hyperlink w:anchor="page23">
              <w:r>
                <w:rPr>
                  <w:rFonts w:ascii="Arial" w:cs="Arial" w:eastAsia="Arial" w:hAnsi="Arial"/>
                  <w:sz w:val="14"/>
                  <w:szCs w:val="14"/>
                  <w:color w:val="0000EE"/>
                </w:rPr>
                <w:t>Board Refreshment and Evaluation</w:t>
              </w:r>
            </w:hyperlink>
          </w:p>
        </w:tc>
        <w:tc>
          <w:tcPr>
            <w:tcW w:w="1080" w:type="dxa"/>
            <w:vAlign w:val="bottom"/>
            <w:vMerge w:val="restart"/>
          </w:tcPr>
          <w:p>
            <w:pPr>
              <w:jc w:val="right"/>
              <w:ind w:right="188"/>
              <w:spacing w:after="0" w:line="122" w:lineRule="exact"/>
              <w:rPr>
                <w:sz w:val="20"/>
                <w:szCs w:val="20"/>
                <w:color w:val="auto"/>
              </w:rPr>
            </w:pPr>
            <w:r>
              <w:rPr>
                <w:rFonts w:ascii="Arial" w:cs="Arial" w:eastAsia="Arial" w:hAnsi="Arial"/>
                <w:sz w:val="14"/>
                <w:szCs w:val="14"/>
                <w:color w:val="auto"/>
              </w:rPr>
              <w:t>15</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40" w:type="dxa"/>
            <w:vAlign w:val="bottom"/>
          </w:tcPr>
          <w:p>
            <w:pPr>
              <w:spacing w:after="0"/>
              <w:rPr>
                <w:sz w:val="8"/>
                <w:szCs w:val="8"/>
                <w:color w:val="auto"/>
              </w:rPr>
            </w:pPr>
          </w:p>
        </w:tc>
        <w:tc>
          <w:tcPr>
            <w:tcW w:w="4520" w:type="dxa"/>
            <w:vAlign w:val="bottom"/>
            <w:gridSpan w:val="50"/>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080" w:type="dxa"/>
            <w:vAlign w:val="bottom"/>
            <w:gridSpan w:val="11"/>
            <w:vMerge w:val="restart"/>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Stock Ownership Information</w:t>
              </w:r>
            </w:hyperlink>
          </w:p>
        </w:tc>
        <w:tc>
          <w:tcPr>
            <w:tcW w:w="2780" w:type="dxa"/>
            <w:vAlign w:val="bottom"/>
            <w:gridSpan w:val="19"/>
            <w:vMerge w:val="restart"/>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0075C9"/>
              </w:rPr>
              <w:t>68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80" w:type="dxa"/>
            <w:vAlign w:val="bottom"/>
            <w:gridSpan w:val="11"/>
            <w:vMerge w:val="continue"/>
          </w:tcPr>
          <w:p>
            <w:pPr>
              <w:spacing w:after="0" w:line="20" w:lineRule="exact"/>
              <w:rPr>
                <w:sz w:val="1"/>
                <w:szCs w:val="1"/>
                <w:color w:val="auto"/>
              </w:rPr>
            </w:pPr>
          </w:p>
        </w:tc>
        <w:tc>
          <w:tcPr>
            <w:tcW w:w="2780" w:type="dxa"/>
            <w:vAlign w:val="bottom"/>
            <w:gridSpan w:val="19"/>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0" w:type="dxa"/>
            <w:vAlign w:val="bottom"/>
            <w:gridSpan w:val="48"/>
            <w:vMerge w:val="restart"/>
          </w:tcPr>
          <w:p>
            <w:pPr>
              <w:spacing w:after="0" w:line="142" w:lineRule="exact"/>
              <w:rPr>
                <w:rFonts w:ascii="Arial" w:cs="Arial" w:eastAsia="Arial" w:hAnsi="Arial"/>
                <w:sz w:val="14"/>
                <w:szCs w:val="14"/>
                <w:color w:val="0000EE"/>
              </w:rPr>
            </w:pPr>
            <w:hyperlink w:anchor="page23">
              <w:r>
                <w:rPr>
                  <w:rFonts w:ascii="Arial" w:cs="Arial" w:eastAsia="Arial" w:hAnsi="Arial"/>
                  <w:sz w:val="14"/>
                  <w:szCs w:val="14"/>
                  <w:color w:val="0000EE"/>
                </w:rPr>
                <w:t>Identifying and Evaluating Nominees for Director</w:t>
              </w:r>
            </w:hyperlink>
          </w:p>
        </w:tc>
        <w:tc>
          <w:tcPr>
            <w:tcW w:w="1080" w:type="dxa"/>
            <w:vAlign w:val="bottom"/>
            <w:vMerge w:val="restart"/>
          </w:tcPr>
          <w:p>
            <w:pPr>
              <w:jc w:val="right"/>
              <w:ind w:right="188"/>
              <w:spacing w:after="0" w:line="142" w:lineRule="exact"/>
              <w:rPr>
                <w:sz w:val="20"/>
                <w:szCs w:val="20"/>
                <w:color w:val="auto"/>
              </w:rPr>
            </w:pPr>
            <w:r>
              <w:rPr>
                <w:rFonts w:ascii="Arial" w:cs="Arial" w:eastAsia="Arial" w:hAnsi="Arial"/>
                <w:sz w:val="14"/>
                <w:szCs w:val="14"/>
                <w:color w:val="auto"/>
              </w:rPr>
              <w:t>15</w:t>
            </w:r>
          </w:p>
        </w:tc>
        <w:tc>
          <w:tcPr>
            <w:tcW w:w="2080" w:type="dxa"/>
            <w:vAlign w:val="bottom"/>
            <w:tcBorders>
              <w:bottom w:val="single" w:sz="8" w:color="0000EE"/>
            </w:tcBorders>
            <w:gridSpan w:val="11"/>
            <w:vMerge w:val="continue"/>
          </w:tcPr>
          <w:p>
            <w:pPr>
              <w:spacing w:after="0"/>
              <w:rPr>
                <w:sz w:val="6"/>
                <w:szCs w:val="6"/>
                <w:color w:val="auto"/>
              </w:rPr>
            </w:pPr>
          </w:p>
        </w:tc>
        <w:tc>
          <w:tcPr>
            <w:tcW w:w="2780" w:type="dxa"/>
            <w:vAlign w:val="bottom"/>
            <w:gridSpan w:val="19"/>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0" w:type="dxa"/>
            <w:vAlign w:val="bottom"/>
            <w:gridSpan w:val="48"/>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740" w:type="dxa"/>
            <w:vAlign w:val="bottom"/>
            <w:gridSpan w:val="29"/>
            <w:vMerge w:val="restart"/>
          </w:tcPr>
          <w:p>
            <w:pPr>
              <w:spacing w:after="0" w:line="155" w:lineRule="exact"/>
              <w:rPr>
                <w:rFonts w:ascii="Arial" w:cs="Arial" w:eastAsia="Arial" w:hAnsi="Arial"/>
                <w:sz w:val="14"/>
                <w:szCs w:val="14"/>
                <w:color w:val="0000EE"/>
              </w:rPr>
            </w:pPr>
            <w:hyperlink w:anchor="page76">
              <w:r>
                <w:rPr>
                  <w:rFonts w:ascii="Arial" w:cs="Arial" w:eastAsia="Arial" w:hAnsi="Arial"/>
                  <w:sz w:val="14"/>
                  <w:szCs w:val="14"/>
                  <w:color w:val="0000EE"/>
                </w:rPr>
                <w:t>Security Ownership of Directors, Management and Certain Beneficial</w:t>
              </w:r>
            </w:hyperlink>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60" w:type="dxa"/>
            <w:vAlign w:val="bottom"/>
            <w:tcBorders>
              <w:top w:val="single" w:sz="8" w:color="0000EE"/>
            </w:tcBorders>
            <w:gridSpan w:val="43"/>
            <w:vMerge w:val="restart"/>
          </w:tcPr>
          <w:p>
            <w:pPr>
              <w:spacing w:after="0" w:line="142" w:lineRule="exact"/>
              <w:rPr>
                <w:rFonts w:ascii="Arial" w:cs="Arial" w:eastAsia="Arial" w:hAnsi="Arial"/>
                <w:sz w:val="14"/>
                <w:szCs w:val="14"/>
                <w:color w:val="0000EE"/>
              </w:rPr>
            </w:pPr>
            <w:hyperlink w:anchor="page23">
              <w:r>
                <w:rPr>
                  <w:rFonts w:ascii="Arial" w:cs="Arial" w:eastAsia="Arial" w:hAnsi="Arial"/>
                  <w:sz w:val="14"/>
                  <w:szCs w:val="14"/>
                  <w:color w:val="0000EE"/>
                </w:rPr>
                <w:t>Director Criteria, Qualifications and Experience</w:t>
              </w:r>
            </w:hyperlink>
          </w:p>
        </w:tc>
        <w:tc>
          <w:tcPr>
            <w:tcW w:w="1340" w:type="dxa"/>
            <w:vAlign w:val="bottom"/>
            <w:gridSpan w:val="5"/>
            <w:vMerge w:val="restart"/>
          </w:tcPr>
          <w:p>
            <w:pPr>
              <w:spacing w:after="0"/>
              <w:rPr>
                <w:sz w:val="7"/>
                <w:szCs w:val="7"/>
                <w:color w:val="auto"/>
              </w:rPr>
            </w:pPr>
          </w:p>
        </w:tc>
        <w:tc>
          <w:tcPr>
            <w:tcW w:w="1080" w:type="dxa"/>
            <w:vAlign w:val="bottom"/>
            <w:vMerge w:val="restart"/>
          </w:tcPr>
          <w:p>
            <w:pPr>
              <w:jc w:val="right"/>
              <w:ind w:right="188"/>
              <w:spacing w:after="0" w:line="142"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7"/>
                <w:szCs w:val="7"/>
                <w:color w:val="auto"/>
              </w:rPr>
            </w:pPr>
          </w:p>
        </w:tc>
        <w:tc>
          <w:tcPr>
            <w:tcW w:w="4740" w:type="dxa"/>
            <w:vAlign w:val="bottom"/>
            <w:gridSpan w:val="29"/>
            <w:vMerge w:val="continue"/>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43"/>
            <w:vMerge w:val="continue"/>
          </w:tcPr>
          <w:p>
            <w:pPr>
              <w:spacing w:after="0" w:line="20" w:lineRule="exact"/>
              <w:rPr>
                <w:sz w:val="1"/>
                <w:szCs w:val="1"/>
                <w:color w:val="auto"/>
              </w:rPr>
            </w:pPr>
          </w:p>
        </w:tc>
        <w:tc>
          <w:tcPr>
            <w:tcW w:w="1340" w:type="dxa"/>
            <w:vAlign w:val="bottom"/>
            <w:gridSpan w:val="5"/>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43"/>
            <w:vMerge w:val="continue"/>
          </w:tcPr>
          <w:p>
            <w:pPr>
              <w:spacing w:after="0"/>
              <w:rPr>
                <w:sz w:val="2"/>
                <w:szCs w:val="2"/>
                <w:color w:val="auto"/>
              </w:rPr>
            </w:pPr>
          </w:p>
        </w:tc>
        <w:tc>
          <w:tcPr>
            <w:tcW w:w="1340" w:type="dxa"/>
            <w:vAlign w:val="bottom"/>
            <w:gridSpan w:val="5"/>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gridSpan w:val="29"/>
            <w:vMerge w:val="restart"/>
          </w:tcPr>
          <w:p>
            <w:pPr>
              <w:spacing w:after="0" w:line="142" w:lineRule="exact"/>
              <w:rPr>
                <w:rFonts w:ascii="Arial" w:cs="Arial" w:eastAsia="Arial" w:hAnsi="Arial"/>
                <w:sz w:val="14"/>
                <w:szCs w:val="14"/>
                <w:color w:val="0000EE"/>
              </w:rPr>
            </w:pPr>
            <w:hyperlink w:anchor="page76">
              <w:r>
                <w:rPr>
                  <w:rFonts w:ascii="Arial" w:cs="Arial" w:eastAsia="Arial" w:hAnsi="Arial"/>
                  <w:sz w:val="14"/>
                  <w:szCs w:val="14"/>
                  <w:color w:val="0000EE"/>
                </w:rPr>
                <w:t>Holders</w:t>
              </w:r>
            </w:hyperlink>
          </w:p>
        </w:tc>
        <w:tc>
          <w:tcPr>
            <w:tcW w:w="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tcBorders>
              <w:top w:val="single" w:sz="8" w:color="0000EE"/>
            </w:tcBorders>
            <w:gridSpan w:val="39"/>
            <w:vMerge w:val="restart"/>
          </w:tcPr>
          <w:p>
            <w:pPr>
              <w:spacing w:after="0" w:line="142" w:lineRule="exact"/>
              <w:rPr>
                <w:rFonts w:ascii="Arial" w:cs="Arial" w:eastAsia="Arial" w:hAnsi="Arial"/>
                <w:sz w:val="14"/>
                <w:szCs w:val="14"/>
                <w:color w:val="0000EE"/>
              </w:rPr>
            </w:pPr>
            <w:hyperlink w:anchor="page23">
              <w:r>
                <w:rPr>
                  <w:rFonts w:ascii="Arial" w:cs="Arial" w:eastAsia="Arial" w:hAnsi="Arial"/>
                  <w:sz w:val="14"/>
                  <w:szCs w:val="14"/>
                  <w:color w:val="0000EE"/>
                </w:rPr>
                <w:t>Board Diversity</w:t>
              </w:r>
            </w:hyperlink>
          </w:p>
        </w:tc>
        <w:tc>
          <w:tcPr>
            <w:tcW w:w="1440" w:type="dxa"/>
            <w:vAlign w:val="bottom"/>
            <w:gridSpan w:val="9"/>
            <w:vMerge w:val="restart"/>
          </w:tcPr>
          <w:p>
            <w:pPr>
              <w:spacing w:after="0"/>
              <w:rPr>
                <w:sz w:val="7"/>
                <w:szCs w:val="7"/>
                <w:color w:val="auto"/>
              </w:rPr>
            </w:pPr>
          </w:p>
        </w:tc>
        <w:tc>
          <w:tcPr>
            <w:tcW w:w="1080" w:type="dxa"/>
            <w:vAlign w:val="bottom"/>
            <w:vMerge w:val="restart"/>
          </w:tcPr>
          <w:p>
            <w:pPr>
              <w:jc w:val="right"/>
              <w:ind w:right="188"/>
              <w:spacing w:after="0" w:line="142"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7"/>
                <w:szCs w:val="7"/>
                <w:color w:val="auto"/>
              </w:rPr>
            </w:pPr>
          </w:p>
        </w:tc>
        <w:tc>
          <w:tcPr>
            <w:tcW w:w="4740" w:type="dxa"/>
            <w:vAlign w:val="bottom"/>
            <w:gridSpan w:val="29"/>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gridSpan w:val="39"/>
            <w:vMerge w:val="continue"/>
          </w:tcPr>
          <w:p>
            <w:pPr>
              <w:spacing w:after="0" w:line="20" w:lineRule="exact"/>
              <w:rPr>
                <w:sz w:val="1"/>
                <w:szCs w:val="1"/>
                <w:color w:val="auto"/>
              </w:rPr>
            </w:pPr>
          </w:p>
        </w:tc>
        <w:tc>
          <w:tcPr>
            <w:tcW w:w="1440" w:type="dxa"/>
            <w:vAlign w:val="bottom"/>
            <w:gridSpan w:val="9"/>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gridSpan w:val="39"/>
            <w:vMerge w:val="continue"/>
          </w:tcPr>
          <w:p>
            <w:pPr>
              <w:spacing w:after="0"/>
              <w:rPr>
                <w:sz w:val="2"/>
                <w:szCs w:val="2"/>
                <w:color w:val="auto"/>
              </w:rPr>
            </w:pPr>
          </w:p>
        </w:tc>
        <w:tc>
          <w:tcPr>
            <w:tcW w:w="1440" w:type="dxa"/>
            <w:vAlign w:val="bottom"/>
            <w:gridSpan w:val="9"/>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gridSpan w:val="29"/>
            <w:vMerge w:val="restart"/>
          </w:tcPr>
          <w:p>
            <w:pPr>
              <w:spacing w:after="0" w:line="142" w:lineRule="exact"/>
              <w:rPr>
                <w:rFonts w:ascii="Arial" w:cs="Arial" w:eastAsia="Arial" w:hAnsi="Arial"/>
                <w:sz w:val="14"/>
                <w:szCs w:val="14"/>
                <w:color w:val="0000EE"/>
              </w:rPr>
            </w:pPr>
            <w:hyperlink w:anchor="page77">
              <w:r>
                <w:rPr>
                  <w:rFonts w:ascii="Arial" w:cs="Arial" w:eastAsia="Arial" w:hAnsi="Arial"/>
                  <w:sz w:val="14"/>
                  <w:szCs w:val="14"/>
                  <w:color w:val="0000EE"/>
                </w:rPr>
                <w:t>Delinquent Section 16(a) Reports</w:t>
              </w:r>
            </w:hyperlink>
          </w:p>
        </w:tc>
        <w:tc>
          <w:tcPr>
            <w:tcW w:w="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69</w:t>
            </w: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740" w:type="dxa"/>
            <w:vAlign w:val="bottom"/>
            <w:gridSpan w:val="29"/>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60" w:type="dxa"/>
            <w:vAlign w:val="bottom"/>
            <w:gridSpan w:val="37"/>
            <w:vMerge w:val="restart"/>
          </w:tcPr>
          <w:p>
            <w:pPr>
              <w:spacing w:after="0" w:line="142" w:lineRule="exact"/>
              <w:rPr>
                <w:rFonts w:ascii="Arial" w:cs="Arial" w:eastAsia="Arial" w:hAnsi="Arial"/>
                <w:sz w:val="14"/>
                <w:szCs w:val="14"/>
                <w:color w:val="0000EE"/>
              </w:rPr>
            </w:pPr>
            <w:hyperlink w:anchor="page23">
              <w:r>
                <w:rPr>
                  <w:rFonts w:ascii="Arial" w:cs="Arial" w:eastAsia="Arial" w:hAnsi="Arial"/>
                  <w:sz w:val="14"/>
                  <w:szCs w:val="14"/>
                  <w:color w:val="0000EE"/>
                </w:rPr>
                <w:t>Board Evaluations and Incumbent Directors</w:t>
              </w:r>
            </w:hyperlink>
          </w:p>
        </w:tc>
        <w:tc>
          <w:tcPr>
            <w:tcW w:w="1640" w:type="dxa"/>
            <w:vAlign w:val="bottom"/>
            <w:gridSpan w:val="11"/>
            <w:vMerge w:val="restart"/>
          </w:tcPr>
          <w:p>
            <w:pPr>
              <w:spacing w:after="0"/>
              <w:rPr>
                <w:sz w:val="7"/>
                <w:szCs w:val="7"/>
                <w:color w:val="auto"/>
              </w:rPr>
            </w:pPr>
          </w:p>
        </w:tc>
        <w:tc>
          <w:tcPr>
            <w:tcW w:w="1080" w:type="dxa"/>
            <w:vAlign w:val="bottom"/>
            <w:vMerge w:val="restart"/>
          </w:tcPr>
          <w:p>
            <w:pPr>
              <w:jc w:val="right"/>
              <w:ind w:right="188"/>
              <w:spacing w:after="0" w:line="142" w:lineRule="exact"/>
              <w:rPr>
                <w:sz w:val="20"/>
                <w:szCs w:val="20"/>
                <w:color w:val="auto"/>
              </w:rPr>
            </w:pPr>
            <w:r>
              <w:rPr>
                <w:rFonts w:ascii="Arial" w:cs="Arial" w:eastAsia="Arial" w:hAnsi="Arial"/>
                <w:sz w:val="14"/>
                <w:szCs w:val="14"/>
                <w:color w:val="auto"/>
              </w:rPr>
              <w:t>15</w:t>
            </w:r>
          </w:p>
        </w:tc>
        <w:tc>
          <w:tcPr>
            <w:tcW w:w="120" w:type="dxa"/>
            <w:vAlign w:val="bottom"/>
            <w:vMerge w:val="continue"/>
          </w:tcPr>
          <w:p>
            <w:pPr>
              <w:spacing w:after="0"/>
              <w:rPr>
                <w:sz w:val="7"/>
                <w:szCs w:val="7"/>
                <w:color w:val="auto"/>
              </w:rPr>
            </w:pPr>
          </w:p>
        </w:tc>
        <w:tc>
          <w:tcPr>
            <w:tcW w:w="4740" w:type="dxa"/>
            <w:vAlign w:val="bottom"/>
            <w:gridSpan w:val="29"/>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37"/>
            <w:vMerge w:val="continue"/>
          </w:tcPr>
          <w:p>
            <w:pPr>
              <w:spacing w:after="0" w:line="20" w:lineRule="exact"/>
              <w:rPr>
                <w:sz w:val="1"/>
                <w:szCs w:val="1"/>
                <w:color w:val="auto"/>
              </w:rPr>
            </w:pPr>
          </w:p>
        </w:tc>
        <w:tc>
          <w:tcPr>
            <w:tcW w:w="1640" w:type="dxa"/>
            <w:vAlign w:val="bottom"/>
            <w:gridSpan w:val="11"/>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0000EE"/>
            </w:tcBorders>
            <w:gridSpan w:val="37"/>
            <w:vMerge w:val="continue"/>
          </w:tcPr>
          <w:p>
            <w:pPr>
              <w:spacing w:after="0"/>
              <w:rPr>
                <w:sz w:val="2"/>
                <w:szCs w:val="2"/>
                <w:color w:val="auto"/>
              </w:rPr>
            </w:pPr>
          </w:p>
        </w:tc>
        <w:tc>
          <w:tcPr>
            <w:tcW w:w="1640" w:type="dxa"/>
            <w:vAlign w:val="bottom"/>
            <w:gridSpan w:val="11"/>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2200" w:type="dxa"/>
            <w:vAlign w:val="bottom"/>
            <w:gridSpan w:val="13"/>
            <w:vMerge w:val="restart"/>
          </w:tcPr>
          <w:p>
            <w:pPr>
              <w:spacing w:after="0"/>
              <w:rPr>
                <w:rFonts w:ascii="Arial" w:cs="Arial" w:eastAsia="Arial" w:hAnsi="Arial"/>
                <w:sz w:val="16"/>
                <w:szCs w:val="16"/>
                <w:color w:val="0000EE"/>
                <w:w w:val="98"/>
              </w:rPr>
            </w:pPr>
            <w:hyperlink w:anchor="page78">
              <w:r>
                <w:rPr>
                  <w:rFonts w:ascii="Arial" w:cs="Arial" w:eastAsia="Arial" w:hAnsi="Arial"/>
                  <w:sz w:val="16"/>
                  <w:szCs w:val="16"/>
                  <w:color w:val="0000EE"/>
                  <w:w w:val="98"/>
                </w:rPr>
                <w:t>Proposals Requiring Your Vote</w:t>
              </w:r>
            </w:hyperlink>
          </w:p>
        </w:tc>
        <w:tc>
          <w:tcPr>
            <w:tcW w:w="2660" w:type="dxa"/>
            <w:vAlign w:val="bottom"/>
            <w:gridSpan w:val="17"/>
            <w:vMerge w:val="restart"/>
          </w:tcPr>
          <w:p>
            <w:pPr>
              <w:spacing w:after="0"/>
              <w:rPr>
                <w:sz w:val="2"/>
                <w:szCs w:val="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0075C9"/>
              </w:rPr>
              <w:t>70</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0000EE"/>
            </w:tcBorders>
            <w:gridSpan w:val="4"/>
          </w:tcPr>
          <w:p>
            <w:pPr>
              <w:spacing w:after="0" w:line="142" w:lineRule="exact"/>
              <w:rPr>
                <w:rFonts w:ascii="Arial" w:cs="Arial" w:eastAsia="Arial" w:hAnsi="Arial"/>
                <w:sz w:val="14"/>
                <w:szCs w:val="14"/>
                <w:color w:val="0000EE"/>
                <w:w w:val="98"/>
              </w:rPr>
            </w:pPr>
            <w:hyperlink w:anchor="page24">
              <w:r>
                <w:rPr>
                  <w:rFonts w:ascii="Arial" w:cs="Arial" w:eastAsia="Arial" w:hAnsi="Arial"/>
                  <w:sz w:val="14"/>
                  <w:szCs w:val="14"/>
                  <w:color w:val="0000EE"/>
                  <w:w w:val="98"/>
                </w:rPr>
                <w:t>Board Education</w:t>
              </w:r>
            </w:hyperlink>
          </w:p>
        </w:tc>
        <w:tc>
          <w:tcPr>
            <w:tcW w:w="3360" w:type="dxa"/>
            <w:vAlign w:val="bottom"/>
            <w:gridSpan w:val="44"/>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16</w:t>
            </w:r>
          </w:p>
        </w:tc>
        <w:tc>
          <w:tcPr>
            <w:tcW w:w="2200" w:type="dxa"/>
            <w:vAlign w:val="bottom"/>
            <w:tcBorders>
              <w:bottom w:val="single" w:sz="8" w:color="0000EE"/>
            </w:tcBorders>
            <w:gridSpan w:val="13"/>
            <w:vMerge w:val="continue"/>
          </w:tcPr>
          <w:p>
            <w:pPr>
              <w:spacing w:after="0"/>
              <w:rPr>
                <w:sz w:val="12"/>
                <w:szCs w:val="12"/>
                <w:color w:val="auto"/>
              </w:rPr>
            </w:pPr>
          </w:p>
        </w:tc>
        <w:tc>
          <w:tcPr>
            <w:tcW w:w="2660" w:type="dxa"/>
            <w:vAlign w:val="bottom"/>
            <w:gridSpan w:val="17"/>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49"/>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Director Independence Determinations</w:t>
              </w:r>
            </w:hyperlink>
          </w:p>
        </w:tc>
        <w:tc>
          <w:tcPr>
            <w:tcW w:w="1080" w:type="dxa"/>
            <w:vAlign w:val="bottom"/>
          </w:tcPr>
          <w:p>
            <w:pPr>
              <w:jc w:val="right"/>
              <w:ind w:right="188"/>
              <w:spacing w:after="0" w:line="12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4740" w:type="dxa"/>
            <w:vAlign w:val="bottom"/>
            <w:gridSpan w:val="29"/>
          </w:tcPr>
          <w:p>
            <w:pPr>
              <w:spacing w:after="0" w:line="129" w:lineRule="exact"/>
              <w:rPr>
                <w:rFonts w:ascii="Arial" w:cs="Arial" w:eastAsia="Arial" w:hAnsi="Arial"/>
                <w:sz w:val="14"/>
                <w:szCs w:val="14"/>
                <w:color w:val="0000EE"/>
              </w:rPr>
            </w:pPr>
            <w:hyperlink w:anchor="page78">
              <w:r>
                <w:rPr>
                  <w:rFonts w:ascii="Arial" w:cs="Arial" w:eastAsia="Arial" w:hAnsi="Arial"/>
                  <w:sz w:val="14"/>
                  <w:szCs w:val="14"/>
                  <w:color w:val="0000EE"/>
                </w:rPr>
                <w:t>Proposal 1: Election of Directors</w:t>
              </w:r>
            </w:hyperlink>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gridSpan w:val="3"/>
          </w:tcPr>
          <w:p>
            <w:pPr>
              <w:spacing w:after="0" w:line="20" w:lineRule="exact"/>
              <w:rPr>
                <w:sz w:val="1"/>
                <w:szCs w:val="1"/>
                <w:color w:val="auto"/>
              </w:rPr>
            </w:pPr>
          </w:p>
        </w:tc>
        <w:tc>
          <w:tcPr>
            <w:tcW w:w="126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tcBorders>
              <w:right w:val="single" w:sz="8" w:color="0000EE"/>
            </w:tcBorders>
            <w:gridSpan w:val="10"/>
            <w:shd w:val="clear" w:color="auto" w:fill="0000EE"/>
          </w:tcPr>
          <w:p>
            <w:pPr>
              <w:spacing w:after="0" w:line="20" w:lineRule="exact"/>
              <w:rPr>
                <w:sz w:val="1"/>
                <w:szCs w:val="1"/>
                <w:color w:val="auto"/>
              </w:rPr>
            </w:pPr>
          </w:p>
        </w:tc>
        <w:tc>
          <w:tcPr>
            <w:tcW w:w="440" w:type="dxa"/>
            <w:vAlign w:val="bottom"/>
            <w:tcBorders>
              <w:right w:val="single" w:sz="8" w:color="0000EE"/>
            </w:tcBorders>
            <w:gridSpan w:val="9"/>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3260" w:type="dxa"/>
            <w:vAlign w:val="bottom"/>
            <w:gridSpan w:val="23"/>
          </w:tcPr>
          <w:p>
            <w:pPr>
              <w:spacing w:after="0" w:line="20" w:lineRule="exact"/>
              <w:rPr>
                <w:sz w:val="1"/>
                <w:szCs w:val="1"/>
                <w:color w:val="auto"/>
              </w:rPr>
            </w:pPr>
          </w:p>
        </w:tc>
        <w:tc>
          <w:tcPr>
            <w:tcW w:w="2060" w:type="dxa"/>
            <w:vAlign w:val="bottom"/>
            <w:tcBorders>
              <w:bottom w:val="single" w:sz="8" w:color="0000EE"/>
            </w:tcBorders>
            <w:gridSpan w:val="11"/>
          </w:tcPr>
          <w:p>
            <w:pPr>
              <w:spacing w:after="0" w:line="20" w:lineRule="exact"/>
              <w:rPr>
                <w:sz w:val="1"/>
                <w:szCs w:val="1"/>
                <w:color w:val="auto"/>
              </w:rPr>
            </w:pPr>
          </w:p>
        </w:tc>
        <w:tc>
          <w:tcPr>
            <w:tcW w:w="32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00" w:type="dxa"/>
            <w:vAlign w:val="bottom"/>
            <w:gridSpan w:val="49"/>
          </w:tcPr>
          <w:p>
            <w:pPr>
              <w:spacing w:after="0" w:line="109" w:lineRule="exact"/>
              <w:rPr>
                <w:rFonts w:ascii="Arial" w:cs="Arial" w:eastAsia="Arial" w:hAnsi="Arial"/>
                <w:sz w:val="12"/>
                <w:szCs w:val="12"/>
                <w:color w:val="0000EE"/>
              </w:rPr>
            </w:pPr>
            <w:hyperlink w:anchor="page25">
              <w:r>
                <w:rPr>
                  <w:rFonts w:ascii="Arial" w:cs="Arial" w:eastAsia="Arial" w:hAnsi="Arial"/>
                  <w:sz w:val="12"/>
                  <w:szCs w:val="12"/>
                  <w:color w:val="0000EE"/>
                </w:rPr>
                <w:t>Board Leadership Structure and Committees</w:t>
              </w:r>
            </w:hyperlink>
          </w:p>
        </w:tc>
        <w:tc>
          <w:tcPr>
            <w:tcW w:w="1080" w:type="dxa"/>
            <w:vAlign w:val="bottom"/>
          </w:tcPr>
          <w:p>
            <w:pPr>
              <w:jc w:val="right"/>
              <w:ind w:right="188"/>
              <w:spacing w:after="0" w:line="109" w:lineRule="exact"/>
              <w:rPr>
                <w:sz w:val="20"/>
                <w:szCs w:val="20"/>
                <w:color w:val="auto"/>
              </w:rPr>
            </w:pPr>
            <w:r>
              <w:rPr>
                <w:rFonts w:ascii="Arial" w:cs="Arial" w:eastAsia="Arial" w:hAnsi="Arial"/>
                <w:sz w:val="12"/>
                <w:szCs w:val="12"/>
                <w:color w:val="auto"/>
              </w:rPr>
              <w:t>17</w:t>
            </w:r>
          </w:p>
        </w:tc>
        <w:tc>
          <w:tcPr>
            <w:tcW w:w="120" w:type="dxa"/>
            <w:vAlign w:val="bottom"/>
          </w:tcPr>
          <w:p>
            <w:pPr>
              <w:spacing w:after="0"/>
              <w:rPr>
                <w:sz w:val="10"/>
                <w:szCs w:val="10"/>
                <w:color w:val="auto"/>
              </w:rPr>
            </w:pPr>
          </w:p>
        </w:tc>
        <w:tc>
          <w:tcPr>
            <w:tcW w:w="4740" w:type="dxa"/>
            <w:vAlign w:val="bottom"/>
            <w:gridSpan w:val="29"/>
          </w:tcPr>
          <w:p>
            <w:pPr>
              <w:spacing w:after="0" w:line="115" w:lineRule="exact"/>
              <w:rPr>
                <w:rFonts w:ascii="Arial" w:cs="Arial" w:eastAsia="Arial" w:hAnsi="Arial"/>
                <w:sz w:val="13"/>
                <w:szCs w:val="13"/>
                <w:color w:val="0000EE"/>
              </w:rPr>
            </w:pPr>
            <w:hyperlink w:anchor="page78">
              <w:r>
                <w:rPr>
                  <w:rFonts w:ascii="Arial" w:cs="Arial" w:eastAsia="Arial" w:hAnsi="Arial"/>
                  <w:sz w:val="13"/>
                  <w:szCs w:val="13"/>
                  <w:color w:val="0000EE"/>
                </w:rPr>
                <w:t>Proposal 2: Ratification of the Appointment of the Independent</w:t>
              </w:r>
            </w:hyperlink>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gridSpan w:val="36"/>
            <w:vMerge w:val="restart"/>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Chairman</w:t>
              </w:r>
            </w:hyperlink>
          </w:p>
        </w:tc>
        <w:tc>
          <w:tcPr>
            <w:tcW w:w="1660" w:type="dxa"/>
            <w:vAlign w:val="bottom"/>
            <w:gridSpan w:val="12"/>
            <w:vMerge w:val="restart"/>
          </w:tcPr>
          <w:p>
            <w:pPr>
              <w:spacing w:after="0" w:line="20" w:lineRule="exact"/>
              <w:rPr>
                <w:sz w:val="1"/>
                <w:szCs w:val="1"/>
                <w:color w:val="auto"/>
              </w:rPr>
            </w:pPr>
          </w:p>
        </w:tc>
        <w:tc>
          <w:tcPr>
            <w:tcW w:w="1080" w:type="dxa"/>
            <w:vAlign w:val="bottom"/>
            <w:vMerge w:val="restart"/>
          </w:tcPr>
          <w:p>
            <w:pPr>
              <w:jc w:val="right"/>
              <w:ind w:right="188"/>
              <w:spacing w:after="0" w:line="129" w:lineRule="exact"/>
              <w:rPr>
                <w:sz w:val="20"/>
                <w:szCs w:val="20"/>
                <w:color w:val="auto"/>
              </w:rPr>
            </w:pPr>
            <w:r>
              <w:rPr>
                <w:rFonts w:ascii="Arial" w:cs="Arial" w:eastAsia="Arial" w:hAnsi="Arial"/>
                <w:sz w:val="14"/>
                <w:szCs w:val="14"/>
                <w:color w:val="auto"/>
              </w:rPr>
              <w:t>17</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vMerge w:val="restart"/>
          </w:tcPr>
          <w:p>
            <w:pPr>
              <w:jc w:val="right"/>
              <w:spacing w:after="0" w:line="129" w:lineRule="exact"/>
              <w:rPr>
                <w:sz w:val="20"/>
                <w:szCs w:val="20"/>
                <w:color w:val="auto"/>
              </w:rPr>
            </w:pPr>
            <w:r>
              <w:rPr>
                <w:rFonts w:ascii="Arial" w:cs="Arial" w:eastAsia="Arial" w:hAnsi="Arial"/>
                <w:sz w:val="14"/>
                <w:szCs w:val="14"/>
                <w:color w:val="auto"/>
              </w:rPr>
              <w:t>70</w:t>
            </w:r>
          </w:p>
        </w:tc>
        <w:tc>
          <w:tcPr>
            <w:tcW w:w="0" w:type="dxa"/>
            <w:vAlign w:val="bottom"/>
          </w:tcPr>
          <w:p>
            <w:pPr>
              <w:spacing w:after="0" w:line="20" w:lineRule="exact"/>
              <w:rPr>
                <w:sz w:val="1"/>
                <w:szCs w:val="1"/>
                <w:color w:val="auto"/>
              </w:rPr>
            </w:pPr>
          </w:p>
        </w:tc>
      </w:tr>
      <w:tr>
        <w:trPr>
          <w:trHeight w:val="122"/>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36"/>
            <w:vMerge w:val="continue"/>
          </w:tcPr>
          <w:p>
            <w:pPr>
              <w:spacing w:after="0"/>
              <w:rPr>
                <w:sz w:val="10"/>
                <w:szCs w:val="10"/>
                <w:color w:val="auto"/>
              </w:rPr>
            </w:pPr>
          </w:p>
        </w:tc>
        <w:tc>
          <w:tcPr>
            <w:tcW w:w="1660" w:type="dxa"/>
            <w:vAlign w:val="bottom"/>
            <w:gridSpan w:val="1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740" w:type="dxa"/>
            <w:vAlign w:val="bottom"/>
            <w:gridSpan w:val="29"/>
          </w:tcPr>
          <w:p>
            <w:pPr>
              <w:spacing w:after="0" w:line="115" w:lineRule="exact"/>
              <w:rPr>
                <w:rFonts w:ascii="Arial" w:cs="Arial" w:eastAsia="Arial" w:hAnsi="Arial"/>
                <w:sz w:val="13"/>
                <w:szCs w:val="13"/>
                <w:color w:val="0000EE"/>
              </w:rPr>
            </w:pPr>
            <w:hyperlink w:anchor="page78">
              <w:r>
                <w:rPr>
                  <w:rFonts w:ascii="Arial" w:cs="Arial" w:eastAsia="Arial" w:hAnsi="Arial"/>
                  <w:sz w:val="13"/>
                  <w:szCs w:val="13"/>
                  <w:color w:val="0000EE"/>
                </w:rPr>
                <w:t>Registered Public Accounting Firm</w:t>
              </w:r>
            </w:hyperlink>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80" w:type="dxa"/>
            <w:vAlign w:val="bottom"/>
            <w:gridSpan w:val="54"/>
          </w:tcPr>
          <w:p>
            <w:pPr>
              <w:spacing w:after="0" w:line="20" w:lineRule="exact"/>
              <w:rPr>
                <w:sz w:val="1"/>
                <w:szCs w:val="1"/>
                <w:color w:val="auto"/>
              </w:rPr>
            </w:pPr>
          </w:p>
        </w:tc>
        <w:tc>
          <w:tcPr>
            <w:tcW w:w="2200" w:type="dxa"/>
            <w:vAlign w:val="bottom"/>
            <w:tcBorders>
              <w:bottom w:val="single" w:sz="8" w:color="0000EE"/>
            </w:tcBorders>
            <w:gridSpan w:val="14"/>
          </w:tcPr>
          <w:p>
            <w:pPr>
              <w:spacing w:after="0" w:line="20" w:lineRule="exact"/>
              <w:rPr>
                <w:sz w:val="1"/>
                <w:szCs w:val="1"/>
                <w:color w:val="auto"/>
              </w:rPr>
            </w:pPr>
          </w:p>
        </w:tc>
        <w:tc>
          <w:tcPr>
            <w:tcW w:w="31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0" w:type="dxa"/>
            <w:vAlign w:val="bottom"/>
            <w:gridSpan w:val="48"/>
          </w:tcPr>
          <w:p>
            <w:pPr>
              <w:spacing w:after="0" w:line="109" w:lineRule="exact"/>
              <w:rPr>
                <w:rFonts w:ascii="Arial" w:cs="Arial" w:eastAsia="Arial" w:hAnsi="Arial"/>
                <w:sz w:val="12"/>
                <w:szCs w:val="12"/>
                <w:color w:val="0000EE"/>
              </w:rPr>
            </w:pPr>
            <w:hyperlink w:anchor="page25">
              <w:r>
                <w:rPr>
                  <w:rFonts w:ascii="Arial" w:cs="Arial" w:eastAsia="Arial" w:hAnsi="Arial"/>
                  <w:sz w:val="12"/>
                  <w:szCs w:val="12"/>
                  <w:color w:val="0000EE"/>
                </w:rPr>
                <w:t>Lead Independent Director</w:t>
              </w:r>
            </w:hyperlink>
          </w:p>
        </w:tc>
        <w:tc>
          <w:tcPr>
            <w:tcW w:w="1080" w:type="dxa"/>
            <w:vAlign w:val="bottom"/>
          </w:tcPr>
          <w:p>
            <w:pPr>
              <w:jc w:val="right"/>
              <w:ind w:right="188"/>
              <w:spacing w:after="0" w:line="109" w:lineRule="exact"/>
              <w:rPr>
                <w:sz w:val="20"/>
                <w:szCs w:val="20"/>
                <w:color w:val="auto"/>
              </w:rPr>
            </w:pPr>
            <w:r>
              <w:rPr>
                <w:rFonts w:ascii="Arial" w:cs="Arial" w:eastAsia="Arial" w:hAnsi="Arial"/>
                <w:sz w:val="12"/>
                <w:szCs w:val="12"/>
                <w:color w:val="auto"/>
              </w:rPr>
              <w:t>17</w:t>
            </w:r>
          </w:p>
        </w:tc>
        <w:tc>
          <w:tcPr>
            <w:tcW w:w="120" w:type="dxa"/>
            <w:vAlign w:val="bottom"/>
          </w:tcPr>
          <w:p>
            <w:pPr>
              <w:spacing w:after="0"/>
              <w:rPr>
                <w:sz w:val="10"/>
                <w:szCs w:val="10"/>
                <w:color w:val="auto"/>
              </w:rPr>
            </w:pPr>
          </w:p>
        </w:tc>
        <w:tc>
          <w:tcPr>
            <w:tcW w:w="4740" w:type="dxa"/>
            <w:vAlign w:val="bottom"/>
            <w:gridSpan w:val="29"/>
          </w:tcPr>
          <w:p>
            <w:pPr>
              <w:spacing w:after="0" w:line="115" w:lineRule="exact"/>
              <w:rPr>
                <w:rFonts w:ascii="Arial" w:cs="Arial" w:eastAsia="Arial" w:hAnsi="Arial"/>
                <w:sz w:val="13"/>
                <w:szCs w:val="13"/>
                <w:color w:val="0000EE"/>
              </w:rPr>
            </w:pPr>
            <w:hyperlink w:anchor="page79">
              <w:r>
                <w:rPr>
                  <w:rFonts w:ascii="Arial" w:cs="Arial" w:eastAsia="Arial" w:hAnsi="Arial"/>
                  <w:sz w:val="13"/>
                  <w:szCs w:val="13"/>
                  <w:color w:val="0000EE"/>
                </w:rPr>
                <w:t>Proposal 3: Advisory Vote to Approve Named Executive Officer</w:t>
              </w:r>
            </w:hyperlink>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20" w:type="dxa"/>
            <w:vAlign w:val="bottom"/>
            <w:tcBorders>
              <w:right w:val="single" w:sz="8" w:color="0000EE"/>
            </w:tcBorders>
            <w:gridSpan w:val="8"/>
          </w:tcPr>
          <w:p>
            <w:pPr>
              <w:spacing w:after="0" w:line="20" w:lineRule="exact"/>
              <w:rPr>
                <w:sz w:val="1"/>
                <w:szCs w:val="1"/>
                <w:color w:val="auto"/>
              </w:rPr>
            </w:pPr>
          </w:p>
        </w:tc>
        <w:tc>
          <w:tcPr>
            <w:tcW w:w="440" w:type="dxa"/>
            <w:vAlign w:val="bottom"/>
            <w:tcBorders>
              <w:right w:val="single" w:sz="8" w:color="0000EE"/>
            </w:tcBorders>
            <w:gridSpan w:val="10"/>
            <w:shd w:val="clear" w:color="auto" w:fill="0000EE"/>
          </w:tcPr>
          <w:p>
            <w:pPr>
              <w:spacing w:after="0" w:line="20" w:lineRule="exact"/>
              <w:rPr>
                <w:sz w:val="1"/>
                <w:szCs w:val="1"/>
                <w:color w:val="auto"/>
              </w:rPr>
            </w:pPr>
          </w:p>
        </w:tc>
        <w:tc>
          <w:tcPr>
            <w:tcW w:w="3920" w:type="dxa"/>
            <w:vAlign w:val="bottom"/>
            <w:gridSpan w:val="36"/>
          </w:tcPr>
          <w:p>
            <w:pPr>
              <w:spacing w:after="0" w:line="20" w:lineRule="exact"/>
              <w:rPr>
                <w:sz w:val="1"/>
                <w:szCs w:val="1"/>
                <w:color w:val="auto"/>
              </w:rPr>
            </w:pPr>
          </w:p>
        </w:tc>
        <w:tc>
          <w:tcPr>
            <w:tcW w:w="4000" w:type="dxa"/>
            <w:vAlign w:val="bottom"/>
            <w:tcBorders>
              <w:bottom w:val="single" w:sz="8" w:color="0000EE"/>
            </w:tcBorders>
            <w:gridSpan w:val="26"/>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23"/>
          </w:tcPr>
          <w:p>
            <w:pPr>
              <w:spacing w:after="0" w:line="109" w:lineRule="exact"/>
              <w:rPr>
                <w:rFonts w:ascii="Arial" w:cs="Arial" w:eastAsia="Arial" w:hAnsi="Arial"/>
                <w:sz w:val="12"/>
                <w:szCs w:val="12"/>
                <w:color w:val="0000EE"/>
              </w:rPr>
            </w:pPr>
            <w:hyperlink w:anchor="page25">
              <w:r>
                <w:rPr>
                  <w:rFonts w:ascii="Arial" w:cs="Arial" w:eastAsia="Arial" w:hAnsi="Arial"/>
                  <w:sz w:val="12"/>
                  <w:szCs w:val="12"/>
                  <w:color w:val="0000EE"/>
                </w:rPr>
                <w:t>Board Meetings and Attendance</w:t>
              </w:r>
            </w:hyperlink>
          </w:p>
        </w:tc>
        <w:tc>
          <w:tcPr>
            <w:tcW w:w="2320" w:type="dxa"/>
            <w:vAlign w:val="bottom"/>
            <w:gridSpan w:val="25"/>
          </w:tcPr>
          <w:p>
            <w:pPr>
              <w:spacing w:after="0"/>
              <w:rPr>
                <w:sz w:val="10"/>
                <w:szCs w:val="10"/>
                <w:color w:val="auto"/>
              </w:rPr>
            </w:pPr>
          </w:p>
        </w:tc>
        <w:tc>
          <w:tcPr>
            <w:tcW w:w="1080" w:type="dxa"/>
            <w:vAlign w:val="bottom"/>
          </w:tcPr>
          <w:p>
            <w:pPr>
              <w:jc w:val="right"/>
              <w:ind w:right="188"/>
              <w:spacing w:after="0" w:line="109" w:lineRule="exact"/>
              <w:rPr>
                <w:sz w:val="20"/>
                <w:szCs w:val="20"/>
                <w:color w:val="auto"/>
              </w:rPr>
            </w:pPr>
            <w:r>
              <w:rPr>
                <w:rFonts w:ascii="Arial" w:cs="Arial" w:eastAsia="Arial" w:hAnsi="Arial"/>
                <w:sz w:val="12"/>
                <w:szCs w:val="12"/>
                <w:color w:val="auto"/>
              </w:rPr>
              <w:t>17</w:t>
            </w:r>
          </w:p>
        </w:tc>
        <w:tc>
          <w:tcPr>
            <w:tcW w:w="120" w:type="dxa"/>
            <w:vAlign w:val="bottom"/>
          </w:tcPr>
          <w:p>
            <w:pPr>
              <w:spacing w:after="0"/>
              <w:rPr>
                <w:sz w:val="10"/>
                <w:szCs w:val="10"/>
                <w:color w:val="auto"/>
              </w:rPr>
            </w:pPr>
          </w:p>
        </w:tc>
        <w:tc>
          <w:tcPr>
            <w:tcW w:w="4740" w:type="dxa"/>
            <w:vAlign w:val="bottom"/>
            <w:gridSpan w:val="29"/>
          </w:tcPr>
          <w:p>
            <w:pPr>
              <w:spacing w:after="0" w:line="115" w:lineRule="exact"/>
              <w:rPr>
                <w:rFonts w:ascii="Arial" w:cs="Arial" w:eastAsia="Arial" w:hAnsi="Arial"/>
                <w:sz w:val="13"/>
                <w:szCs w:val="13"/>
                <w:color w:val="0000EE"/>
              </w:rPr>
            </w:pPr>
            <w:hyperlink w:anchor="page79">
              <w:r>
                <w:rPr>
                  <w:rFonts w:ascii="Arial" w:cs="Arial" w:eastAsia="Arial" w:hAnsi="Arial"/>
                  <w:sz w:val="13"/>
                  <w:szCs w:val="13"/>
                  <w:color w:val="0000EE"/>
                </w:rPr>
                <w:t>Compensation</w:t>
              </w:r>
            </w:hyperlink>
          </w:p>
        </w:tc>
        <w:tc>
          <w:tcPr>
            <w:tcW w:w="600" w:type="dxa"/>
            <w:vAlign w:val="bottom"/>
          </w:tcPr>
          <w:p>
            <w:pPr>
              <w:jc w:val="right"/>
              <w:spacing w:after="0" w:line="109" w:lineRule="exact"/>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top w:val="single" w:sz="8" w:color="0000EE"/>
            </w:tcBorders>
            <w:gridSpan w:val="23"/>
            <w:vMerge w:val="restart"/>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Executive Sessions of the Board</w:t>
              </w:r>
            </w:hyperlink>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vMerge w:val="restart"/>
          </w:tcPr>
          <w:p>
            <w:pPr>
              <w:jc w:val="right"/>
              <w:ind w:right="188"/>
              <w:spacing w:after="0" w:line="142" w:lineRule="exact"/>
              <w:rPr>
                <w:sz w:val="20"/>
                <w:szCs w:val="20"/>
                <w:color w:val="auto"/>
              </w:rPr>
            </w:pPr>
            <w:r>
              <w:rPr>
                <w:rFonts w:ascii="Arial" w:cs="Arial" w:eastAsia="Arial" w:hAnsi="Arial"/>
                <w:sz w:val="14"/>
                <w:szCs w:val="14"/>
                <w:color w:val="auto"/>
              </w:rPr>
              <w:t>17</w:t>
            </w:r>
          </w:p>
        </w:tc>
        <w:tc>
          <w:tcPr>
            <w:tcW w:w="1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Borders>
              <w:bottom w:val="single" w:sz="8" w:color="0000EE"/>
            </w:tcBorders>
            <w:gridSpan w:val="2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4860" w:type="dxa"/>
            <w:vAlign w:val="bottom"/>
            <w:gridSpan w:val="30"/>
          </w:tcPr>
          <w:p>
            <w:pPr>
              <w:spacing w:after="0" w:line="122" w:lineRule="exact"/>
              <w:rPr>
                <w:rFonts w:ascii="Arial" w:cs="Arial" w:eastAsia="Arial" w:hAnsi="Arial"/>
                <w:sz w:val="14"/>
                <w:szCs w:val="14"/>
                <w:color w:val="0000EE"/>
              </w:rPr>
            </w:pPr>
            <w:hyperlink w:anchor="page80">
              <w:r>
                <w:rPr>
                  <w:rFonts w:ascii="Arial" w:cs="Arial" w:eastAsia="Arial" w:hAnsi="Arial"/>
                  <w:sz w:val="14"/>
                  <w:szCs w:val="14"/>
                  <w:color w:val="0000EE"/>
                </w:rPr>
                <w:t>General Information</w:t>
              </w:r>
            </w:hyperlink>
          </w:p>
        </w:tc>
        <w:tc>
          <w:tcPr>
            <w:tcW w:w="600" w:type="dxa"/>
            <w:vAlign w:val="bottom"/>
          </w:tcPr>
          <w:p>
            <w:pPr>
              <w:jc w:val="right"/>
              <w:spacing w:after="0" w:line="122" w:lineRule="exact"/>
              <w:rPr>
                <w:sz w:val="20"/>
                <w:szCs w:val="20"/>
                <w:color w:val="auto"/>
              </w:rPr>
            </w:pPr>
            <w:r>
              <w:rPr>
                <w:rFonts w:ascii="Arial" w:cs="Arial" w:eastAsia="Arial" w:hAnsi="Arial"/>
                <w:sz w:val="14"/>
                <w:szCs w:val="14"/>
                <w:color w:val="0075C9"/>
              </w:rPr>
              <w:t>72</w:t>
            </w:r>
          </w:p>
        </w:tc>
        <w:tc>
          <w:tcPr>
            <w:tcW w:w="0" w:type="dxa"/>
            <w:vAlign w:val="bottom"/>
          </w:tcPr>
          <w:p>
            <w:pPr>
              <w:spacing w:after="0"/>
              <w:rPr>
                <w:sz w:val="1"/>
                <w:szCs w:val="1"/>
                <w:color w:val="auto"/>
              </w:rPr>
            </w:pPr>
          </w:p>
        </w:tc>
      </w:tr>
      <w:tr>
        <w:trPr>
          <w:trHeight w:val="20"/>
        </w:trPr>
        <w:tc>
          <w:tcPr>
            <w:tcW w:w="260" w:type="dxa"/>
            <w:vAlign w:val="bottom"/>
            <w:gridSpan w:val="3"/>
          </w:tcPr>
          <w:p>
            <w:pPr>
              <w:spacing w:after="0" w:line="20" w:lineRule="exact"/>
              <w:rPr>
                <w:sz w:val="1"/>
                <w:szCs w:val="1"/>
                <w:color w:val="auto"/>
              </w:rPr>
            </w:pPr>
          </w:p>
        </w:tc>
        <w:tc>
          <w:tcPr>
            <w:tcW w:w="1600" w:type="dxa"/>
            <w:vAlign w:val="bottom"/>
            <w:gridSpan w:val="13"/>
            <w:vMerge w:val="restart"/>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Committees of the Board</w:t>
              </w:r>
            </w:hyperlink>
          </w:p>
        </w:tc>
        <w:tc>
          <w:tcPr>
            <w:tcW w:w="2800" w:type="dxa"/>
            <w:vAlign w:val="bottom"/>
            <w:gridSpan w:val="35"/>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17</w:t>
            </w:r>
          </w:p>
        </w:tc>
        <w:tc>
          <w:tcPr>
            <w:tcW w:w="1420" w:type="dxa"/>
            <w:vAlign w:val="bottom"/>
            <w:tcBorders>
              <w:bottom w:val="single" w:sz="8" w:color="0000EE"/>
            </w:tcBorders>
            <w:gridSpan w:val="8"/>
          </w:tcPr>
          <w:p>
            <w:pPr>
              <w:spacing w:after="0" w:line="20" w:lineRule="exact"/>
              <w:rPr>
                <w:sz w:val="1"/>
                <w:szCs w:val="1"/>
                <w:color w:val="auto"/>
              </w:rPr>
            </w:pPr>
          </w:p>
        </w:tc>
        <w:tc>
          <w:tcPr>
            <w:tcW w:w="404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Borders>
              <w:bottom w:val="single" w:sz="8" w:color="0000EE"/>
            </w:tcBorders>
            <w:gridSpan w:val="13"/>
            <w:vMerge w:val="continue"/>
          </w:tcPr>
          <w:p>
            <w:pPr>
              <w:spacing w:after="0"/>
              <w:rPr>
                <w:sz w:val="8"/>
                <w:szCs w:val="8"/>
                <w:color w:val="auto"/>
              </w:rPr>
            </w:pPr>
          </w:p>
        </w:tc>
        <w:tc>
          <w:tcPr>
            <w:tcW w:w="6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60" w:type="dxa"/>
            <w:vAlign w:val="bottom"/>
            <w:gridSpan w:val="3"/>
            <w:vMerge w:val="restart"/>
          </w:tcPr>
          <w:p>
            <w:pPr>
              <w:spacing w:after="0"/>
              <w:rPr>
                <w:sz w:val="8"/>
                <w:szCs w:val="8"/>
                <w:color w:val="auto"/>
              </w:rPr>
            </w:pPr>
          </w:p>
        </w:tc>
        <w:tc>
          <w:tcPr>
            <w:tcW w:w="6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540" w:type="dxa"/>
            <w:vAlign w:val="bottom"/>
            <w:gridSpan w:val="2"/>
            <w:vMerge w:val="restart"/>
          </w:tcPr>
          <w:p>
            <w:pPr>
              <w:spacing w:after="0"/>
              <w:rPr>
                <w:sz w:val="8"/>
                <w:szCs w:val="8"/>
                <w:color w:val="auto"/>
              </w:rPr>
            </w:pPr>
          </w:p>
        </w:tc>
        <w:tc>
          <w:tcPr>
            <w:tcW w:w="620" w:type="dxa"/>
            <w:vAlign w:val="bottom"/>
            <w:vMerge w:val="restart"/>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vMerge w:val="restart"/>
          </w:tcPr>
          <w:p>
            <w:pPr>
              <w:spacing w:after="0"/>
              <w:rPr>
                <w:sz w:val="8"/>
                <w:szCs w:val="8"/>
                <w:color w:val="auto"/>
              </w:rPr>
            </w:pPr>
          </w:p>
        </w:tc>
        <w:tc>
          <w:tcPr>
            <w:tcW w:w="4740" w:type="dxa"/>
            <w:vAlign w:val="bottom"/>
            <w:gridSpan w:val="29"/>
            <w:vMerge w:val="restart"/>
          </w:tcPr>
          <w:p>
            <w:pPr>
              <w:spacing w:after="0" w:line="142" w:lineRule="exact"/>
              <w:rPr>
                <w:rFonts w:ascii="Arial" w:cs="Arial" w:eastAsia="Arial" w:hAnsi="Arial"/>
                <w:sz w:val="14"/>
                <w:szCs w:val="14"/>
                <w:color w:val="0000EE"/>
              </w:rPr>
            </w:pPr>
            <w:hyperlink w:anchor="page80">
              <w:r>
                <w:rPr>
                  <w:rFonts w:ascii="Arial" w:cs="Arial" w:eastAsia="Arial" w:hAnsi="Arial"/>
                  <w:sz w:val="14"/>
                  <w:szCs w:val="14"/>
                  <w:color w:val="0000EE"/>
                </w:rPr>
                <w:t>Voting Procedures</w:t>
              </w:r>
            </w:hyperlink>
          </w:p>
        </w:tc>
        <w:tc>
          <w:tcPr>
            <w:tcW w:w="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740" w:type="dxa"/>
            <w:vAlign w:val="bottom"/>
            <w:gridSpan w:val="29"/>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40" w:type="dxa"/>
            <w:vAlign w:val="bottom"/>
          </w:tcPr>
          <w:p>
            <w:pPr>
              <w:spacing w:after="0"/>
              <w:rPr>
                <w:sz w:val="8"/>
                <w:szCs w:val="8"/>
                <w:color w:val="auto"/>
              </w:rPr>
            </w:pPr>
          </w:p>
        </w:tc>
        <w:tc>
          <w:tcPr>
            <w:tcW w:w="2260" w:type="dxa"/>
            <w:vAlign w:val="bottom"/>
            <w:tcBorders>
              <w:bottom w:val="single" w:sz="8" w:color="0000EE"/>
            </w:tcBorders>
            <w:gridSpan w:val="26"/>
          </w:tcPr>
          <w:p>
            <w:pPr>
              <w:spacing w:after="0" w:line="95" w:lineRule="exact"/>
              <w:rPr>
                <w:rFonts w:ascii="Arial" w:cs="Arial" w:eastAsia="Arial" w:hAnsi="Arial"/>
                <w:sz w:val="11"/>
                <w:szCs w:val="11"/>
                <w:color w:val="0000EE"/>
              </w:rPr>
            </w:pPr>
            <w:hyperlink w:anchor="page28">
              <w:r>
                <w:rPr>
                  <w:rFonts w:ascii="Arial" w:cs="Arial" w:eastAsia="Arial" w:hAnsi="Arial"/>
                  <w:sz w:val="11"/>
                  <w:szCs w:val="11"/>
                  <w:color w:val="0000EE"/>
                </w:rPr>
                <w:t>The Board’s Role in Risk Oversight</w:t>
              </w:r>
            </w:hyperlink>
          </w:p>
        </w:tc>
        <w:tc>
          <w:tcPr>
            <w:tcW w:w="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60" w:type="dxa"/>
            <w:vAlign w:val="bottom"/>
            <w:gridSpan w:val="3"/>
            <w:vMerge w:val="restart"/>
          </w:tcPr>
          <w:p>
            <w:pPr>
              <w:spacing w:after="0"/>
              <w:rPr>
                <w:sz w:val="8"/>
                <w:szCs w:val="8"/>
                <w:color w:val="auto"/>
              </w:rPr>
            </w:pPr>
          </w:p>
        </w:tc>
        <w:tc>
          <w:tcPr>
            <w:tcW w:w="6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540" w:type="dxa"/>
            <w:vAlign w:val="bottom"/>
            <w:gridSpan w:val="2"/>
            <w:vMerge w:val="restart"/>
          </w:tcPr>
          <w:p>
            <w:pPr>
              <w:spacing w:after="0"/>
              <w:rPr>
                <w:sz w:val="8"/>
                <w:szCs w:val="8"/>
                <w:color w:val="auto"/>
              </w:rPr>
            </w:pPr>
          </w:p>
        </w:tc>
        <w:tc>
          <w:tcPr>
            <w:tcW w:w="620" w:type="dxa"/>
            <w:vAlign w:val="bottom"/>
            <w:vMerge w:val="restart"/>
          </w:tcPr>
          <w:p>
            <w:pPr>
              <w:spacing w:after="0"/>
              <w:rPr>
                <w:sz w:val="8"/>
                <w:szCs w:val="8"/>
                <w:color w:val="auto"/>
              </w:rPr>
            </w:pPr>
          </w:p>
        </w:tc>
        <w:tc>
          <w:tcPr>
            <w:tcW w:w="1080" w:type="dxa"/>
            <w:vAlign w:val="bottom"/>
            <w:vMerge w:val="restart"/>
          </w:tcPr>
          <w:p>
            <w:pPr>
              <w:jc w:val="right"/>
              <w:ind w:right="188"/>
              <w:spacing w:after="0" w:line="142" w:lineRule="exact"/>
              <w:rPr>
                <w:sz w:val="20"/>
                <w:szCs w:val="20"/>
                <w:color w:val="auto"/>
              </w:rPr>
            </w:pPr>
            <w:r>
              <w:rPr>
                <w:rFonts w:ascii="Arial" w:cs="Arial" w:eastAsia="Arial" w:hAnsi="Arial"/>
                <w:sz w:val="14"/>
                <w:szCs w:val="14"/>
                <w:color w:val="auto"/>
              </w:rPr>
              <w:t>20</w:t>
            </w: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tcBorders>
              <w:top w:val="single" w:sz="8" w:color="0000EE"/>
              <w:bottom w:val="single" w:sz="8" w:color="0000EE"/>
            </w:tcBorders>
            <w:vMerge w:val="restart"/>
          </w:tcPr>
          <w:p>
            <w:pPr>
              <w:spacing w:after="0"/>
              <w:rPr>
                <w:sz w:val="8"/>
                <w:szCs w:val="8"/>
                <w:color w:val="auto"/>
              </w:rPr>
            </w:pPr>
          </w:p>
        </w:tc>
        <w:tc>
          <w:tcPr>
            <w:tcW w:w="1060" w:type="dxa"/>
            <w:vAlign w:val="bottom"/>
            <w:tcBorders>
              <w:top w:val="single" w:sz="8" w:color="0000EE"/>
              <w:bottom w:val="single" w:sz="8" w:color="0000EE"/>
            </w:tcBorders>
            <w:gridSpan w:val="4"/>
            <w:vMerge w:val="restart"/>
          </w:tcPr>
          <w:p>
            <w:pPr>
              <w:spacing w:after="0" w:line="135" w:lineRule="exact"/>
              <w:rPr>
                <w:rFonts w:ascii="Arial" w:cs="Arial" w:eastAsia="Arial" w:hAnsi="Arial"/>
                <w:sz w:val="14"/>
                <w:szCs w:val="14"/>
                <w:color w:val="0000EE"/>
              </w:rPr>
            </w:pPr>
            <w:hyperlink w:anchor="page80">
              <w:r>
                <w:rPr>
                  <w:rFonts w:ascii="Arial" w:cs="Arial" w:eastAsia="Arial" w:hAnsi="Arial"/>
                  <w:sz w:val="14"/>
                  <w:szCs w:val="14"/>
                  <w:color w:val="0000EE"/>
                </w:rPr>
                <w:t>Record Date</w:t>
              </w:r>
            </w:hyperlink>
          </w:p>
        </w:tc>
        <w:tc>
          <w:tcPr>
            <w:tcW w:w="3540" w:type="dxa"/>
            <w:vAlign w:val="bottom"/>
            <w:gridSpan w:val="23"/>
            <w:vMerge w:val="restart"/>
          </w:tcPr>
          <w:p>
            <w:pPr>
              <w:spacing w:after="0"/>
              <w:rPr>
                <w:sz w:val="8"/>
                <w:szCs w:val="8"/>
                <w:color w:val="auto"/>
              </w:rPr>
            </w:pPr>
          </w:p>
        </w:tc>
        <w:tc>
          <w:tcPr>
            <w:tcW w:w="60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60" w:type="dxa"/>
            <w:vAlign w:val="bottom"/>
            <w:gridSpan w:val="4"/>
            <w:vMerge w:val="continue"/>
          </w:tcPr>
          <w:p>
            <w:pPr>
              <w:spacing w:after="0" w:line="20" w:lineRule="exact"/>
              <w:rPr>
                <w:sz w:val="1"/>
                <w:szCs w:val="1"/>
                <w:color w:val="auto"/>
              </w:rPr>
            </w:pPr>
          </w:p>
        </w:tc>
        <w:tc>
          <w:tcPr>
            <w:tcW w:w="3540" w:type="dxa"/>
            <w:vAlign w:val="bottom"/>
            <w:gridSpan w:val="23"/>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3900" w:type="dxa"/>
            <w:vAlign w:val="bottom"/>
            <w:gridSpan w:val="49"/>
            <w:vMerge w:val="restart"/>
          </w:tcPr>
          <w:p>
            <w:pPr>
              <w:spacing w:after="0" w:line="115" w:lineRule="exact"/>
              <w:rPr>
                <w:rFonts w:ascii="Arial" w:cs="Arial" w:eastAsia="Arial" w:hAnsi="Arial"/>
                <w:sz w:val="13"/>
                <w:szCs w:val="13"/>
                <w:color w:val="0000EE"/>
              </w:rPr>
            </w:pPr>
            <w:hyperlink w:anchor="page28">
              <w:r>
                <w:rPr>
                  <w:rFonts w:ascii="Arial" w:cs="Arial" w:eastAsia="Arial" w:hAnsi="Arial"/>
                  <w:sz w:val="13"/>
                  <w:szCs w:val="13"/>
                  <w:color w:val="0000EE"/>
                </w:rPr>
                <w:t>Compensation Committee Interlocks and Insider Participation</w:t>
              </w:r>
            </w:hyperlink>
          </w:p>
        </w:tc>
        <w:tc>
          <w:tcPr>
            <w:tcW w:w="620" w:type="dxa"/>
            <w:vAlign w:val="bottom"/>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0" w:type="dxa"/>
            <w:vAlign w:val="bottom"/>
          </w:tcPr>
          <w:p>
            <w:pPr>
              <w:spacing w:after="0"/>
              <w:rPr>
                <w:sz w:val="8"/>
                <w:szCs w:val="8"/>
                <w:color w:val="auto"/>
              </w:rPr>
            </w:pPr>
          </w:p>
        </w:tc>
        <w:tc>
          <w:tcPr>
            <w:tcW w:w="3900" w:type="dxa"/>
            <w:vAlign w:val="bottom"/>
            <w:tcBorders>
              <w:bottom w:val="single" w:sz="8" w:color="0000EE"/>
            </w:tcBorders>
            <w:gridSpan w:val="49"/>
            <w:vMerge w:val="continue"/>
          </w:tcPr>
          <w:p>
            <w:pPr>
              <w:spacing w:after="0"/>
              <w:rPr>
                <w:sz w:val="8"/>
                <w:szCs w:val="8"/>
                <w:color w:val="auto"/>
              </w:rPr>
            </w:pPr>
          </w:p>
        </w:tc>
        <w:tc>
          <w:tcPr>
            <w:tcW w:w="620" w:type="dxa"/>
            <w:vAlign w:val="bottom"/>
            <w:vMerge w:val="restart"/>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4600" w:type="dxa"/>
            <w:vAlign w:val="bottom"/>
            <w:gridSpan w:val="27"/>
            <w:vMerge w:val="restart"/>
          </w:tcPr>
          <w:p>
            <w:pPr>
              <w:spacing w:after="0" w:line="135" w:lineRule="exact"/>
              <w:rPr>
                <w:rFonts w:ascii="Arial" w:cs="Arial" w:eastAsia="Arial" w:hAnsi="Arial"/>
                <w:sz w:val="14"/>
                <w:szCs w:val="14"/>
                <w:color w:val="0000EE"/>
              </w:rPr>
            </w:pPr>
            <w:hyperlink w:anchor="page80">
              <w:r>
                <w:rPr>
                  <w:rFonts w:ascii="Arial" w:cs="Arial" w:eastAsia="Arial" w:hAnsi="Arial"/>
                  <w:sz w:val="14"/>
                  <w:szCs w:val="14"/>
                  <w:color w:val="0000EE"/>
                </w:rPr>
                <w:t>Appointment of Proxy Holders</w:t>
              </w:r>
            </w:hyperlink>
          </w:p>
        </w:tc>
        <w:tc>
          <w:tcPr>
            <w:tcW w:w="60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0" w:type="dxa"/>
            <w:vAlign w:val="bottom"/>
            <w:gridSpan w:val="27"/>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1980" w:type="dxa"/>
            <w:vAlign w:val="bottom"/>
            <w:gridSpan w:val="21"/>
            <w:vMerge w:val="restart"/>
          </w:tcPr>
          <w:p>
            <w:pPr>
              <w:spacing w:after="0" w:line="115" w:lineRule="exact"/>
              <w:rPr>
                <w:rFonts w:ascii="Arial" w:cs="Arial" w:eastAsia="Arial" w:hAnsi="Arial"/>
                <w:sz w:val="13"/>
                <w:szCs w:val="13"/>
                <w:color w:val="0000EE"/>
              </w:rPr>
            </w:pPr>
            <w:hyperlink w:anchor="page29">
              <w:r>
                <w:rPr>
                  <w:rFonts w:ascii="Arial" w:cs="Arial" w:eastAsia="Arial" w:hAnsi="Arial"/>
                  <w:sz w:val="13"/>
                  <w:szCs w:val="13"/>
                  <w:color w:val="0000EE"/>
                </w:rPr>
                <w:t>Communications with Directors</w:t>
              </w:r>
            </w:hyperlink>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0" w:type="dxa"/>
            <w:vAlign w:val="bottom"/>
          </w:tcPr>
          <w:p>
            <w:pPr>
              <w:spacing w:after="0"/>
              <w:rPr>
                <w:sz w:val="8"/>
                <w:szCs w:val="8"/>
                <w:color w:val="auto"/>
              </w:rPr>
            </w:pPr>
          </w:p>
        </w:tc>
        <w:tc>
          <w:tcPr>
            <w:tcW w:w="1980" w:type="dxa"/>
            <w:vAlign w:val="bottom"/>
            <w:tcBorders>
              <w:bottom w:val="single" w:sz="8" w:color="0000EE"/>
            </w:tcBorders>
            <w:gridSpan w:val="21"/>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60" w:type="dxa"/>
            <w:vAlign w:val="bottom"/>
            <w:gridSpan w:val="3"/>
            <w:vMerge w:val="restart"/>
          </w:tcPr>
          <w:p>
            <w:pPr>
              <w:spacing w:after="0"/>
              <w:rPr>
                <w:sz w:val="8"/>
                <w:szCs w:val="8"/>
                <w:color w:val="auto"/>
              </w:rPr>
            </w:pPr>
          </w:p>
        </w:tc>
        <w:tc>
          <w:tcPr>
            <w:tcW w:w="6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1160" w:type="dxa"/>
            <w:vAlign w:val="bottom"/>
            <w:gridSpan w:val="3"/>
            <w:vMerge w:val="restart"/>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4600" w:type="dxa"/>
            <w:vAlign w:val="bottom"/>
            <w:gridSpan w:val="27"/>
            <w:vMerge w:val="restart"/>
          </w:tcPr>
          <w:p>
            <w:pPr>
              <w:spacing w:after="0" w:line="135" w:lineRule="exact"/>
              <w:rPr>
                <w:rFonts w:ascii="Arial" w:cs="Arial" w:eastAsia="Arial" w:hAnsi="Arial"/>
                <w:sz w:val="14"/>
                <w:szCs w:val="14"/>
                <w:color w:val="0000EE"/>
              </w:rPr>
            </w:pPr>
            <w:hyperlink w:anchor="page80">
              <w:r>
                <w:rPr>
                  <w:rFonts w:ascii="Arial" w:cs="Arial" w:eastAsia="Arial" w:hAnsi="Arial"/>
                  <w:sz w:val="14"/>
                  <w:szCs w:val="14"/>
                  <w:color w:val="0000EE"/>
                </w:rPr>
                <w:t>Quorum and Discretionary Authority</w:t>
              </w:r>
            </w:hyperlink>
          </w:p>
        </w:tc>
        <w:tc>
          <w:tcPr>
            <w:tcW w:w="60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0" w:type="dxa"/>
            <w:vAlign w:val="bottom"/>
            <w:gridSpan w:val="27"/>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3100" w:type="dxa"/>
            <w:vAlign w:val="bottom"/>
            <w:gridSpan w:val="42"/>
            <w:vMerge w:val="restart"/>
          </w:tcPr>
          <w:p>
            <w:pPr>
              <w:spacing w:after="0" w:line="115" w:lineRule="exact"/>
              <w:rPr>
                <w:rFonts w:ascii="Arial" w:cs="Arial" w:eastAsia="Arial" w:hAnsi="Arial"/>
                <w:sz w:val="13"/>
                <w:szCs w:val="13"/>
                <w:color w:val="0000EE"/>
              </w:rPr>
            </w:pPr>
            <w:hyperlink w:anchor="page29">
              <w:r>
                <w:rPr>
                  <w:rFonts w:ascii="Arial" w:cs="Arial" w:eastAsia="Arial" w:hAnsi="Arial"/>
                  <w:sz w:val="13"/>
                  <w:szCs w:val="13"/>
                  <w:color w:val="0000EE"/>
                </w:rPr>
                <w:t>Availability of Corporate Governance Documents</w:t>
              </w:r>
            </w:hyperlink>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0" w:type="dxa"/>
            <w:vAlign w:val="bottom"/>
          </w:tcPr>
          <w:p>
            <w:pPr>
              <w:spacing w:after="0"/>
              <w:rPr>
                <w:sz w:val="8"/>
                <w:szCs w:val="8"/>
                <w:color w:val="auto"/>
              </w:rPr>
            </w:pPr>
          </w:p>
        </w:tc>
        <w:tc>
          <w:tcPr>
            <w:tcW w:w="3100" w:type="dxa"/>
            <w:vAlign w:val="bottom"/>
            <w:tcBorders>
              <w:bottom w:val="single" w:sz="8" w:color="0000EE"/>
            </w:tcBorders>
            <w:gridSpan w:val="42"/>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1160" w:type="dxa"/>
            <w:vAlign w:val="bottom"/>
            <w:gridSpan w:val="3"/>
            <w:vMerge w:val="restart"/>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4600" w:type="dxa"/>
            <w:vAlign w:val="bottom"/>
            <w:gridSpan w:val="27"/>
            <w:vMerge w:val="restart"/>
          </w:tcPr>
          <w:p>
            <w:pPr>
              <w:spacing w:after="0" w:line="135" w:lineRule="exact"/>
              <w:rPr>
                <w:rFonts w:ascii="Arial" w:cs="Arial" w:eastAsia="Arial" w:hAnsi="Arial"/>
                <w:sz w:val="14"/>
                <w:szCs w:val="14"/>
                <w:color w:val="0000EE"/>
              </w:rPr>
            </w:pPr>
            <w:hyperlink w:anchor="page81">
              <w:r>
                <w:rPr>
                  <w:rFonts w:ascii="Arial" w:cs="Arial" w:eastAsia="Arial" w:hAnsi="Arial"/>
                  <w:sz w:val="14"/>
                  <w:szCs w:val="14"/>
                  <w:color w:val="0000EE"/>
                </w:rPr>
                <w:t>How to Vote Shares Registered in Your Name</w:t>
              </w:r>
            </w:hyperlink>
          </w:p>
        </w:tc>
        <w:tc>
          <w:tcPr>
            <w:tcW w:w="60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0" w:type="dxa"/>
            <w:vAlign w:val="bottom"/>
            <w:gridSpan w:val="27"/>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3020" w:type="dxa"/>
            <w:vAlign w:val="bottom"/>
            <w:tcBorders>
              <w:bottom w:val="single" w:sz="8" w:color="0000EE"/>
            </w:tcBorders>
            <w:gridSpan w:val="39"/>
          </w:tcPr>
          <w:p>
            <w:pPr>
              <w:spacing w:after="0" w:line="95" w:lineRule="exact"/>
              <w:rPr>
                <w:rFonts w:ascii="Arial" w:cs="Arial" w:eastAsia="Arial" w:hAnsi="Arial"/>
                <w:sz w:val="11"/>
                <w:szCs w:val="11"/>
                <w:color w:val="0000EE"/>
              </w:rPr>
            </w:pPr>
            <w:hyperlink w:anchor="page29">
              <w:r>
                <w:rPr>
                  <w:rFonts w:ascii="Arial" w:cs="Arial" w:eastAsia="Arial" w:hAnsi="Arial"/>
                  <w:sz w:val="11"/>
                  <w:szCs w:val="11"/>
                  <w:color w:val="0000EE"/>
                </w:rPr>
                <w:t>Certain Relationships and Related Transactions</w:t>
              </w:r>
            </w:hyperlink>
          </w:p>
        </w:tc>
        <w:tc>
          <w:tcPr>
            <w:tcW w:w="80" w:type="dxa"/>
            <w:vAlign w:val="bottom"/>
            <w:gridSpan w:val="3"/>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1160" w:type="dxa"/>
            <w:vAlign w:val="bottom"/>
            <w:gridSpan w:val="3"/>
            <w:vMerge w:val="restart"/>
          </w:tcPr>
          <w:p>
            <w:pPr>
              <w:spacing w:after="0"/>
              <w:rPr>
                <w:sz w:val="8"/>
                <w:szCs w:val="8"/>
                <w:color w:val="auto"/>
              </w:rPr>
            </w:pPr>
          </w:p>
        </w:tc>
        <w:tc>
          <w:tcPr>
            <w:tcW w:w="1080" w:type="dxa"/>
            <w:vAlign w:val="bottom"/>
            <w:vMerge w:val="restart"/>
          </w:tcPr>
          <w:p>
            <w:pPr>
              <w:jc w:val="right"/>
              <w:ind w:right="188"/>
              <w:spacing w:after="0" w:line="142" w:lineRule="exact"/>
              <w:rPr>
                <w:sz w:val="20"/>
                <w:szCs w:val="20"/>
                <w:color w:val="auto"/>
              </w:rPr>
            </w:pPr>
            <w:r>
              <w:rPr>
                <w:rFonts w:ascii="Arial" w:cs="Arial" w:eastAsia="Arial" w:hAnsi="Arial"/>
                <w:sz w:val="14"/>
                <w:szCs w:val="14"/>
                <w:color w:val="auto"/>
              </w:rPr>
              <w:t>21</w:t>
            </w: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2700" w:type="dxa"/>
            <w:vAlign w:val="bottom"/>
            <w:tcBorders>
              <w:top w:val="single" w:sz="8" w:color="0000EE"/>
              <w:bottom w:val="single" w:sz="8" w:color="0000EE"/>
            </w:tcBorders>
            <w:gridSpan w:val="18"/>
            <w:vMerge w:val="restart"/>
          </w:tcPr>
          <w:p>
            <w:pPr>
              <w:spacing w:after="0" w:line="135" w:lineRule="exact"/>
              <w:rPr>
                <w:rFonts w:ascii="Arial" w:cs="Arial" w:eastAsia="Arial" w:hAnsi="Arial"/>
                <w:sz w:val="14"/>
                <w:szCs w:val="14"/>
                <w:color w:val="0000EE"/>
              </w:rPr>
            </w:pPr>
            <w:hyperlink w:anchor="page81">
              <w:r>
                <w:rPr>
                  <w:rFonts w:ascii="Arial" w:cs="Arial" w:eastAsia="Arial" w:hAnsi="Arial"/>
                  <w:sz w:val="14"/>
                  <w:szCs w:val="14"/>
                  <w:color w:val="0000EE"/>
                </w:rPr>
                <w:t>How to Vote Shares Held in “Street Name”</w:t>
              </w:r>
            </w:hyperlink>
          </w:p>
        </w:tc>
        <w:tc>
          <w:tcPr>
            <w:tcW w:w="200" w:type="dxa"/>
            <w:vAlign w:val="bottom"/>
            <w:tcBorders>
              <w:top w:val="single" w:sz="8" w:color="0000EE"/>
              <w:bottom w:val="single" w:sz="8" w:color="0000EE"/>
            </w:tcBorders>
            <w:gridSpan w:val="2"/>
            <w:vMerge w:val="restart"/>
          </w:tcPr>
          <w:p>
            <w:pPr>
              <w:spacing w:after="0"/>
              <w:rPr>
                <w:sz w:val="8"/>
                <w:szCs w:val="8"/>
                <w:color w:val="auto"/>
              </w:rPr>
            </w:pPr>
          </w:p>
        </w:tc>
        <w:tc>
          <w:tcPr>
            <w:tcW w:w="1700" w:type="dxa"/>
            <w:vAlign w:val="bottom"/>
            <w:gridSpan w:val="7"/>
            <w:vMerge w:val="restart"/>
          </w:tcPr>
          <w:p>
            <w:pPr>
              <w:spacing w:after="0"/>
              <w:rPr>
                <w:sz w:val="8"/>
                <w:szCs w:val="8"/>
                <w:color w:val="auto"/>
              </w:rPr>
            </w:pPr>
          </w:p>
        </w:tc>
        <w:tc>
          <w:tcPr>
            <w:tcW w:w="60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700" w:type="dxa"/>
            <w:vAlign w:val="bottom"/>
            <w:tcBorders>
              <w:bottom w:val="single" w:sz="8" w:color="0000EE"/>
            </w:tcBorders>
            <w:gridSpan w:val="18"/>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700" w:type="dxa"/>
            <w:vAlign w:val="bottom"/>
            <w:gridSpan w:val="7"/>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Borders>
              <w:bottom w:val="single" w:sz="8" w:color="0000EE"/>
            </w:tcBorders>
            <w:gridSpan w:val="12"/>
          </w:tcPr>
          <w:p>
            <w:pPr>
              <w:spacing w:after="0" w:line="95" w:lineRule="exact"/>
              <w:rPr>
                <w:rFonts w:ascii="Arial" w:cs="Arial" w:eastAsia="Arial" w:hAnsi="Arial"/>
                <w:sz w:val="11"/>
                <w:szCs w:val="11"/>
                <w:color w:val="0000EE"/>
              </w:rPr>
            </w:pPr>
            <w:hyperlink w:anchor="page29">
              <w:r>
                <w:rPr>
                  <w:rFonts w:ascii="Arial" w:cs="Arial" w:eastAsia="Arial" w:hAnsi="Arial"/>
                  <w:sz w:val="11"/>
                  <w:szCs w:val="11"/>
                  <w:color w:val="0000EE"/>
                </w:rPr>
                <w:t>Policies and Procedures</w:t>
              </w:r>
            </w:hyperlink>
          </w:p>
        </w:tc>
        <w:tc>
          <w:tcPr>
            <w:tcW w:w="100" w:type="dxa"/>
            <w:vAlign w:val="bottom"/>
            <w:gridSpan w:val="2"/>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40" w:type="dxa"/>
            <w:vAlign w:val="bottom"/>
            <w:gridSpan w:val="2"/>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gridSpan w:val="6"/>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1160" w:type="dxa"/>
            <w:vAlign w:val="bottom"/>
            <w:gridSpan w:val="3"/>
            <w:vMerge w:val="restart"/>
          </w:tcPr>
          <w:p>
            <w:pPr>
              <w:spacing w:after="0"/>
              <w:rPr>
                <w:sz w:val="8"/>
                <w:szCs w:val="8"/>
                <w:color w:val="auto"/>
              </w:rPr>
            </w:pPr>
          </w:p>
        </w:tc>
        <w:tc>
          <w:tcPr>
            <w:tcW w:w="1080" w:type="dxa"/>
            <w:vAlign w:val="bottom"/>
            <w:vMerge w:val="restart"/>
          </w:tcPr>
          <w:p>
            <w:pPr>
              <w:jc w:val="right"/>
              <w:ind w:right="188"/>
              <w:spacing w:after="0" w:line="142" w:lineRule="exact"/>
              <w:rPr>
                <w:sz w:val="20"/>
                <w:szCs w:val="20"/>
                <w:color w:val="auto"/>
              </w:rPr>
            </w:pPr>
            <w:r>
              <w:rPr>
                <w:rFonts w:ascii="Arial" w:cs="Arial" w:eastAsia="Arial" w:hAnsi="Arial"/>
                <w:sz w:val="14"/>
                <w:szCs w:val="14"/>
                <w:color w:val="auto"/>
              </w:rPr>
              <w:t>21</w:t>
            </w: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4600" w:type="dxa"/>
            <w:vAlign w:val="bottom"/>
            <w:gridSpan w:val="27"/>
            <w:vMerge w:val="restart"/>
          </w:tcPr>
          <w:p>
            <w:pPr>
              <w:spacing w:after="0" w:line="135" w:lineRule="exact"/>
              <w:rPr>
                <w:rFonts w:ascii="Arial" w:cs="Arial" w:eastAsia="Arial" w:hAnsi="Arial"/>
                <w:sz w:val="14"/>
                <w:szCs w:val="14"/>
                <w:color w:val="0000EE"/>
              </w:rPr>
            </w:pPr>
            <w:hyperlink w:anchor="page82">
              <w:r>
                <w:rPr>
                  <w:rFonts w:ascii="Arial" w:cs="Arial" w:eastAsia="Arial" w:hAnsi="Arial"/>
                  <w:sz w:val="14"/>
                  <w:szCs w:val="14"/>
                  <w:color w:val="0000EE"/>
                </w:rPr>
                <w:t>Revoking or Changing a Proxy</w:t>
              </w:r>
            </w:hyperlink>
          </w:p>
        </w:tc>
        <w:tc>
          <w:tcPr>
            <w:tcW w:w="60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0" w:type="dxa"/>
            <w:vAlign w:val="bottom"/>
            <w:gridSpan w:val="27"/>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16"/>
            <w:vMerge w:val="restart"/>
          </w:tcPr>
          <w:p>
            <w:pPr>
              <w:spacing w:after="0" w:line="115" w:lineRule="exact"/>
              <w:rPr>
                <w:rFonts w:ascii="Arial" w:cs="Arial" w:eastAsia="Arial" w:hAnsi="Arial"/>
                <w:sz w:val="13"/>
                <w:szCs w:val="13"/>
                <w:color w:val="0000EE"/>
              </w:rPr>
            </w:pPr>
            <w:hyperlink w:anchor="page30">
              <w:r>
                <w:rPr>
                  <w:rFonts w:ascii="Arial" w:cs="Arial" w:eastAsia="Arial" w:hAnsi="Arial"/>
                  <w:sz w:val="13"/>
                  <w:szCs w:val="13"/>
                  <w:color w:val="0000EE"/>
                </w:rPr>
                <w:t>Related Party Transactions</w:t>
              </w:r>
            </w:hyperlink>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Borders>
              <w:bottom w:val="single" w:sz="8" w:color="0000EE"/>
            </w:tcBorders>
            <w:gridSpan w:val="16"/>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40" w:type="dxa"/>
            <w:vAlign w:val="bottom"/>
            <w:gridSpan w:val="2"/>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gridSpan w:val="6"/>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1160" w:type="dxa"/>
            <w:vAlign w:val="bottom"/>
            <w:gridSpan w:val="3"/>
            <w:vMerge w:val="restart"/>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4600" w:type="dxa"/>
            <w:vAlign w:val="bottom"/>
            <w:gridSpan w:val="27"/>
            <w:vMerge w:val="restart"/>
          </w:tcPr>
          <w:p>
            <w:pPr>
              <w:spacing w:after="0" w:line="143" w:lineRule="exact"/>
              <w:rPr>
                <w:rFonts w:ascii="Arial" w:cs="Arial" w:eastAsia="Arial" w:hAnsi="Arial"/>
                <w:sz w:val="14"/>
                <w:szCs w:val="14"/>
                <w:color w:val="0000EE"/>
              </w:rPr>
            </w:pPr>
            <w:hyperlink w:anchor="page82">
              <w:r>
                <w:rPr>
                  <w:rFonts w:ascii="Arial" w:cs="Arial" w:eastAsia="Arial" w:hAnsi="Arial"/>
                  <w:sz w:val="14"/>
                  <w:szCs w:val="14"/>
                  <w:color w:val="0000EE"/>
                </w:rPr>
                <w:t>Required Vote and Method of Counting</w:t>
              </w:r>
            </w:hyperlink>
          </w:p>
        </w:tc>
        <w:tc>
          <w:tcPr>
            <w:tcW w:w="600" w:type="dxa"/>
            <w:vAlign w:val="bottom"/>
            <w:vMerge w:val="restart"/>
          </w:tcPr>
          <w:p>
            <w:pPr>
              <w:jc w:val="right"/>
              <w:spacing w:after="0" w:line="143"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0" w:type="dxa"/>
            <w:vAlign w:val="bottom"/>
            <w:gridSpan w:val="27"/>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660" w:type="dxa"/>
            <w:vAlign w:val="bottom"/>
            <w:gridSpan w:val="51"/>
          </w:tcPr>
          <w:p>
            <w:pPr>
              <w:spacing w:after="0" w:line="122" w:lineRule="exact"/>
              <w:rPr>
                <w:rFonts w:ascii="Arial" w:cs="Arial" w:eastAsia="Arial" w:hAnsi="Arial"/>
                <w:sz w:val="14"/>
                <w:szCs w:val="14"/>
                <w:color w:val="0000EE"/>
              </w:rPr>
            </w:pPr>
            <w:hyperlink w:anchor="page31">
              <w:r>
                <w:rPr>
                  <w:rFonts w:ascii="Arial" w:cs="Arial" w:eastAsia="Arial" w:hAnsi="Arial"/>
                  <w:sz w:val="14"/>
                  <w:szCs w:val="14"/>
                  <w:color w:val="0000EE"/>
                </w:rPr>
                <w:t>Other Governance Matters</w:t>
              </w:r>
            </w:hyperlink>
          </w:p>
        </w:tc>
        <w:tc>
          <w:tcPr>
            <w:tcW w:w="1080" w:type="dxa"/>
            <w:vAlign w:val="bottom"/>
          </w:tcPr>
          <w:p>
            <w:pPr>
              <w:jc w:val="right"/>
              <w:ind w:right="188"/>
              <w:spacing w:after="0" w:line="122" w:lineRule="exact"/>
              <w:rPr>
                <w:sz w:val="20"/>
                <w:szCs w:val="20"/>
                <w:color w:val="auto"/>
              </w:rPr>
            </w:pPr>
            <w:r>
              <w:rPr>
                <w:rFonts w:ascii="Arial" w:cs="Arial" w:eastAsia="Arial" w:hAnsi="Arial"/>
                <w:sz w:val="14"/>
                <w:szCs w:val="14"/>
                <w:color w:val="0075C9"/>
              </w:rPr>
              <w:t>23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83">
              <w:r>
                <w:rPr>
                  <w:rFonts w:ascii="Arial" w:cs="Arial" w:eastAsia="Arial" w:hAnsi="Arial"/>
                  <w:sz w:val="14"/>
                  <w:szCs w:val="14"/>
                  <w:color w:val="0000EE"/>
                </w:rPr>
                <w:t>Majority Voting for Directors</w:t>
              </w:r>
            </w:hyperlink>
          </w:p>
        </w:tc>
        <w:tc>
          <w:tcPr>
            <w:tcW w:w="2120" w:type="dxa"/>
            <w:vAlign w:val="bottom"/>
            <w:gridSpan w:val="12"/>
          </w:tcPr>
          <w:p>
            <w:pPr>
              <w:spacing w:after="0"/>
              <w:rPr>
                <w:sz w:val="12"/>
                <w:szCs w:val="12"/>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1920" w:type="dxa"/>
            <w:vAlign w:val="bottom"/>
            <w:tcBorders>
              <w:bottom w:val="single" w:sz="8" w:color="0000EE"/>
            </w:tcBorders>
            <w:gridSpan w:val="17"/>
          </w:tcPr>
          <w:p>
            <w:pPr>
              <w:spacing w:after="0" w:line="20" w:lineRule="exact"/>
              <w:rPr>
                <w:sz w:val="1"/>
                <w:szCs w:val="1"/>
                <w:color w:val="auto"/>
              </w:rPr>
            </w:pPr>
          </w:p>
        </w:tc>
        <w:tc>
          <w:tcPr>
            <w:tcW w:w="5140" w:type="dxa"/>
            <w:vAlign w:val="bottom"/>
            <w:tcBorders>
              <w:right w:val="single" w:sz="8" w:color="0000EE"/>
            </w:tcBorders>
            <w:gridSpan w:val="42"/>
          </w:tcPr>
          <w:p>
            <w:pPr>
              <w:spacing w:after="0" w:line="20" w:lineRule="exact"/>
              <w:rPr>
                <w:sz w:val="1"/>
                <w:szCs w:val="1"/>
                <w:color w:val="auto"/>
              </w:rPr>
            </w:pPr>
          </w:p>
        </w:tc>
        <w:tc>
          <w:tcPr>
            <w:tcW w:w="4140" w:type="dxa"/>
            <w:vAlign w:val="bottom"/>
            <w:tcBorders>
              <w:left w:val="single" w:sz="8" w:color="0000EE"/>
            </w:tcBorders>
            <w:gridSpan w:val="2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0" w:type="dxa"/>
            <w:vAlign w:val="bottom"/>
          </w:tcPr>
          <w:p>
            <w:pPr>
              <w:spacing w:after="0"/>
              <w:rPr>
                <w:sz w:val="10"/>
                <w:szCs w:val="10"/>
                <w:color w:val="auto"/>
              </w:rPr>
            </w:pPr>
          </w:p>
        </w:tc>
        <w:tc>
          <w:tcPr>
            <w:tcW w:w="4520" w:type="dxa"/>
            <w:vAlign w:val="bottom"/>
            <w:gridSpan w:val="50"/>
          </w:tcPr>
          <w:p>
            <w:pPr>
              <w:spacing w:after="0" w:line="122" w:lineRule="exact"/>
              <w:rPr>
                <w:rFonts w:ascii="Arial" w:cs="Arial" w:eastAsia="Arial" w:hAnsi="Arial"/>
                <w:sz w:val="14"/>
                <w:szCs w:val="14"/>
                <w:color w:val="0000EE"/>
              </w:rPr>
            </w:pPr>
            <w:hyperlink w:anchor="page31">
              <w:r>
                <w:rPr>
                  <w:rFonts w:ascii="Arial" w:cs="Arial" w:eastAsia="Arial" w:hAnsi="Arial"/>
                  <w:sz w:val="14"/>
                  <w:szCs w:val="14"/>
                  <w:color w:val="0000EE"/>
                </w:rPr>
                <w:t>Shareholder Engagement</w:t>
              </w:r>
            </w:hyperlink>
          </w:p>
        </w:tc>
        <w:tc>
          <w:tcPr>
            <w:tcW w:w="1080" w:type="dxa"/>
            <w:vAlign w:val="bottom"/>
          </w:tcPr>
          <w:p>
            <w:pPr>
              <w:jc w:val="right"/>
              <w:ind w:right="188"/>
              <w:spacing w:after="0" w:line="122"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40" w:type="dxa"/>
            <w:vAlign w:val="bottom"/>
            <w:tcBorders>
              <w:bottom w:val="single" w:sz="8" w:color="0000EE"/>
            </w:tcBorders>
            <w:gridSpan w:val="22"/>
          </w:tcPr>
          <w:p>
            <w:pPr>
              <w:spacing w:after="0" w:line="109" w:lineRule="exact"/>
              <w:rPr>
                <w:rFonts w:ascii="Arial" w:cs="Arial" w:eastAsia="Arial" w:hAnsi="Arial"/>
                <w:sz w:val="12"/>
                <w:szCs w:val="12"/>
                <w:color w:val="0000EE"/>
              </w:rPr>
            </w:pPr>
            <w:hyperlink w:anchor="page83">
              <w:r>
                <w:rPr>
                  <w:rFonts w:ascii="Arial" w:cs="Arial" w:eastAsia="Arial" w:hAnsi="Arial"/>
                  <w:sz w:val="12"/>
                  <w:szCs w:val="12"/>
                  <w:color w:val="0000EE"/>
                </w:rPr>
                <w:t>Method and Cost of Soliciting and Tabulating Votes</w:t>
              </w:r>
            </w:hyperlink>
          </w:p>
        </w:tc>
        <w:tc>
          <w:tcPr>
            <w:tcW w:w="1360" w:type="dxa"/>
            <w:vAlign w:val="bottom"/>
            <w:gridSpan w:val="5"/>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Borders>
              <w:bottom w:val="single" w:sz="8" w:color="0000EE"/>
            </w:tcBorders>
            <w:gridSpan w:val="3"/>
          </w:tcPr>
          <w:p>
            <w:pPr>
              <w:spacing w:after="0" w:line="20" w:lineRule="exact"/>
              <w:rPr>
                <w:sz w:val="1"/>
                <w:szCs w:val="1"/>
                <w:color w:val="auto"/>
              </w:rPr>
            </w:pPr>
          </w:p>
        </w:tc>
        <w:tc>
          <w:tcPr>
            <w:tcW w:w="1120" w:type="dxa"/>
            <w:vAlign w:val="bottom"/>
            <w:tcBorders>
              <w:bottom w:val="single" w:sz="8" w:color="0000EE"/>
            </w:tcBorders>
            <w:gridSpan w:val="4"/>
          </w:tcPr>
          <w:p>
            <w:pPr>
              <w:spacing w:after="0" w:line="20" w:lineRule="exact"/>
              <w:rPr>
                <w:sz w:val="1"/>
                <w:szCs w:val="1"/>
                <w:color w:val="auto"/>
              </w:rPr>
            </w:pPr>
          </w:p>
        </w:tc>
        <w:tc>
          <w:tcPr>
            <w:tcW w:w="8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540" w:type="dxa"/>
            <w:vAlign w:val="bottom"/>
            <w:gridSpan w:val="17"/>
            <w:vMerge w:val="restart"/>
          </w:tcPr>
          <w:p>
            <w:pPr>
              <w:spacing w:after="0" w:line="129" w:lineRule="exact"/>
              <w:rPr>
                <w:rFonts w:ascii="Arial" w:cs="Arial" w:eastAsia="Arial" w:hAnsi="Arial"/>
                <w:sz w:val="14"/>
                <w:szCs w:val="14"/>
                <w:color w:val="0000EE"/>
              </w:rPr>
            </w:pPr>
            <w:hyperlink w:anchor="page83">
              <w:r>
                <w:rPr>
                  <w:rFonts w:ascii="Arial" w:cs="Arial" w:eastAsia="Arial" w:hAnsi="Arial"/>
                  <w:sz w:val="14"/>
                  <w:szCs w:val="14"/>
                  <w:color w:val="0000EE"/>
                </w:rPr>
                <w:t>Attending the Annual Meeting in Person</w:t>
              </w:r>
            </w:hyperlink>
          </w:p>
        </w:tc>
        <w:tc>
          <w:tcPr>
            <w:tcW w:w="34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20" w:type="dxa"/>
            <w:vAlign w:val="bottom"/>
            <w:gridSpan w:val="6"/>
            <w:vMerge w:val="restart"/>
          </w:tcPr>
          <w:p>
            <w:pPr>
              <w:spacing w:after="0" w:line="20" w:lineRule="exact"/>
              <w:rPr>
                <w:sz w:val="1"/>
                <w:szCs w:val="1"/>
                <w:color w:val="auto"/>
              </w:rPr>
            </w:pPr>
          </w:p>
        </w:tc>
        <w:tc>
          <w:tcPr>
            <w:tcW w:w="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75</w:t>
            </w:r>
          </w:p>
        </w:tc>
        <w:tc>
          <w:tcPr>
            <w:tcW w:w="0" w:type="dxa"/>
            <w:vAlign w:val="bottom"/>
          </w:tcPr>
          <w:p>
            <w:pPr>
              <w:spacing w:after="0" w:line="20" w:lineRule="exact"/>
              <w:rPr>
                <w:sz w:val="1"/>
                <w:szCs w:val="1"/>
                <w:color w:val="auto"/>
              </w:rPr>
            </w:pPr>
          </w:p>
        </w:tc>
      </w:tr>
      <w:tr>
        <w:trPr>
          <w:trHeight w:val="107"/>
        </w:trPr>
        <w:tc>
          <w:tcPr>
            <w:tcW w:w="140" w:type="dxa"/>
            <w:vAlign w:val="bottom"/>
          </w:tcPr>
          <w:p>
            <w:pPr>
              <w:spacing w:after="0"/>
              <w:rPr>
                <w:sz w:val="8"/>
                <w:szCs w:val="8"/>
                <w:color w:val="auto"/>
              </w:rPr>
            </w:pPr>
          </w:p>
        </w:tc>
        <w:tc>
          <w:tcPr>
            <w:tcW w:w="4520" w:type="dxa"/>
            <w:vAlign w:val="bottom"/>
            <w:gridSpan w:val="50"/>
          </w:tcPr>
          <w:p>
            <w:pPr>
              <w:spacing w:after="0" w:line="102" w:lineRule="exact"/>
              <w:rPr>
                <w:rFonts w:ascii="Arial" w:cs="Arial" w:eastAsia="Arial" w:hAnsi="Arial"/>
                <w:sz w:val="11"/>
                <w:szCs w:val="11"/>
                <w:color w:val="0000EE"/>
              </w:rPr>
            </w:pPr>
            <w:hyperlink w:anchor="page31">
              <w:r>
                <w:rPr>
                  <w:rFonts w:ascii="Arial" w:cs="Arial" w:eastAsia="Arial" w:hAnsi="Arial"/>
                  <w:sz w:val="11"/>
                  <w:szCs w:val="11"/>
                  <w:color w:val="0000EE"/>
                </w:rPr>
                <w:t>Sustainability and Stewardship</w:t>
              </w:r>
            </w:hyperlink>
          </w:p>
        </w:tc>
        <w:tc>
          <w:tcPr>
            <w:tcW w:w="1080" w:type="dxa"/>
            <w:vAlign w:val="bottom"/>
          </w:tcPr>
          <w:p>
            <w:pPr>
              <w:jc w:val="right"/>
              <w:ind w:right="188"/>
              <w:spacing w:after="0" w:line="102" w:lineRule="exact"/>
              <w:rPr>
                <w:sz w:val="20"/>
                <w:szCs w:val="20"/>
                <w:color w:val="auto"/>
              </w:rPr>
            </w:pPr>
            <w:r>
              <w:rPr>
                <w:rFonts w:ascii="Arial" w:cs="Arial" w:eastAsia="Arial" w:hAnsi="Arial"/>
                <w:sz w:val="11"/>
                <w:szCs w:val="11"/>
                <w:color w:val="auto"/>
              </w:rPr>
              <w:t>23</w:t>
            </w:r>
          </w:p>
        </w:tc>
        <w:tc>
          <w:tcPr>
            <w:tcW w:w="1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540" w:type="dxa"/>
            <w:vAlign w:val="bottom"/>
            <w:tcBorders>
              <w:bottom w:val="single" w:sz="8" w:color="0000EE"/>
            </w:tcBorders>
            <w:gridSpan w:val="17"/>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1620" w:type="dxa"/>
            <w:vAlign w:val="bottom"/>
            <w:gridSpan w:val="6"/>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40" w:type="dxa"/>
            <w:vAlign w:val="bottom"/>
            <w:tcBorders>
              <w:bottom w:val="single" w:sz="8" w:color="0000EE"/>
            </w:tcBorders>
            <w:gridSpan w:val="19"/>
          </w:tcPr>
          <w:p>
            <w:pPr>
              <w:spacing w:after="0" w:line="20" w:lineRule="exact"/>
              <w:rPr>
                <w:sz w:val="1"/>
                <w:szCs w:val="1"/>
                <w:color w:val="auto"/>
              </w:rPr>
            </w:pPr>
          </w:p>
        </w:tc>
        <w:tc>
          <w:tcPr>
            <w:tcW w:w="3640" w:type="dxa"/>
            <w:vAlign w:val="bottom"/>
            <w:gridSpan w:val="3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720" w:type="dxa"/>
            <w:vAlign w:val="bottom"/>
            <w:gridSpan w:val="28"/>
            <w:vMerge w:val="restart"/>
          </w:tcPr>
          <w:p>
            <w:pPr>
              <w:spacing w:after="0" w:line="142" w:lineRule="exact"/>
              <w:rPr>
                <w:rFonts w:ascii="Arial" w:cs="Arial" w:eastAsia="Arial" w:hAnsi="Arial"/>
                <w:sz w:val="14"/>
                <w:szCs w:val="14"/>
                <w:color w:val="0000EE"/>
              </w:rPr>
            </w:pPr>
            <w:hyperlink w:anchor="page84">
              <w:r>
                <w:rPr>
                  <w:rFonts w:ascii="Arial" w:cs="Arial" w:eastAsia="Arial" w:hAnsi="Arial"/>
                  <w:sz w:val="14"/>
                  <w:szCs w:val="14"/>
                  <w:color w:val="0000EE"/>
                </w:rPr>
                <w:t>Notice of Internet Availability of Proxy Materials</w:t>
              </w:r>
            </w:hyperlink>
          </w:p>
        </w:tc>
        <w:tc>
          <w:tcPr>
            <w:tcW w:w="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76</w:t>
            </w:r>
          </w:p>
        </w:tc>
        <w:tc>
          <w:tcPr>
            <w:tcW w:w="0" w:type="dxa"/>
            <w:vAlign w:val="bottom"/>
          </w:tcPr>
          <w:p>
            <w:pPr>
              <w:spacing w:after="0" w:line="20" w:lineRule="exact"/>
              <w:rPr>
                <w:sz w:val="1"/>
                <w:szCs w:val="1"/>
                <w:color w:val="auto"/>
              </w:rPr>
            </w:pPr>
          </w:p>
        </w:tc>
      </w:tr>
      <w:tr>
        <w:trPr>
          <w:trHeight w:val="102"/>
        </w:trPr>
        <w:tc>
          <w:tcPr>
            <w:tcW w:w="1740" w:type="dxa"/>
            <w:vAlign w:val="bottom"/>
            <w:gridSpan w:val="13"/>
            <w:vMerge w:val="restart"/>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Audit Committee Report</w:t>
              </w:r>
            </w:hyperlink>
          </w:p>
        </w:tc>
        <w:tc>
          <w:tcPr>
            <w:tcW w:w="2920" w:type="dxa"/>
            <w:vAlign w:val="bottom"/>
            <w:gridSpan w:val="38"/>
            <w:vMerge w:val="restart"/>
          </w:tcPr>
          <w:p>
            <w:pPr>
              <w:spacing w:after="0"/>
              <w:rPr>
                <w:sz w:val="8"/>
                <w:szCs w:val="8"/>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6"/>
                <w:szCs w:val="16"/>
                <w:color w:val="0075C9"/>
              </w:rPr>
              <w:t>25</w:t>
            </w:r>
          </w:p>
        </w:tc>
        <w:tc>
          <w:tcPr>
            <w:tcW w:w="1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720" w:type="dxa"/>
            <w:vAlign w:val="bottom"/>
            <w:gridSpan w:val="28"/>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40" w:type="dxa"/>
            <w:vAlign w:val="bottom"/>
            <w:gridSpan w:val="13"/>
            <w:vMerge w:val="continue"/>
          </w:tcPr>
          <w:p>
            <w:pPr>
              <w:spacing w:after="0" w:line="20" w:lineRule="exact"/>
              <w:rPr>
                <w:sz w:val="1"/>
                <w:szCs w:val="1"/>
                <w:color w:val="auto"/>
              </w:rPr>
            </w:pPr>
          </w:p>
        </w:tc>
        <w:tc>
          <w:tcPr>
            <w:tcW w:w="2920" w:type="dxa"/>
            <w:vAlign w:val="bottom"/>
            <w:gridSpan w:val="38"/>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740" w:type="dxa"/>
            <w:vAlign w:val="bottom"/>
            <w:tcBorders>
              <w:bottom w:val="single" w:sz="8" w:color="0000EE"/>
            </w:tcBorders>
            <w:gridSpan w:val="13"/>
            <w:vMerge w:val="continue"/>
          </w:tcPr>
          <w:p>
            <w:pPr>
              <w:spacing w:after="0"/>
              <w:rPr>
                <w:sz w:val="5"/>
                <w:szCs w:val="5"/>
                <w:color w:val="auto"/>
              </w:rPr>
            </w:pPr>
          </w:p>
        </w:tc>
        <w:tc>
          <w:tcPr>
            <w:tcW w:w="2920" w:type="dxa"/>
            <w:vAlign w:val="bottom"/>
            <w:gridSpan w:val="38"/>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720" w:type="dxa"/>
            <w:vAlign w:val="bottom"/>
            <w:gridSpan w:val="28"/>
            <w:vMerge w:val="restart"/>
          </w:tcPr>
          <w:p>
            <w:pPr>
              <w:spacing w:after="0" w:line="142" w:lineRule="exact"/>
              <w:rPr>
                <w:rFonts w:ascii="Arial" w:cs="Arial" w:eastAsia="Arial" w:hAnsi="Arial"/>
                <w:sz w:val="14"/>
                <w:szCs w:val="14"/>
                <w:color w:val="0000EE"/>
              </w:rPr>
            </w:pPr>
            <w:hyperlink w:anchor="page84">
              <w:r>
                <w:rPr>
                  <w:rFonts w:ascii="Arial" w:cs="Arial" w:eastAsia="Arial" w:hAnsi="Arial"/>
                  <w:sz w:val="14"/>
                  <w:szCs w:val="14"/>
                  <w:color w:val="0000EE"/>
                </w:rPr>
                <w:t>Stockholder Proposals and Director Nominations</w:t>
              </w:r>
            </w:hyperlink>
          </w:p>
        </w:tc>
        <w:tc>
          <w:tcPr>
            <w:tcW w:w="6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61"/>
        </w:trPr>
        <w:tc>
          <w:tcPr>
            <w:tcW w:w="2860" w:type="dxa"/>
            <w:vAlign w:val="bottom"/>
            <w:gridSpan w:val="35"/>
            <w:vMerge w:val="restart"/>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Compensation Discussion and Analysis</w:t>
              </w:r>
            </w:hyperlink>
          </w:p>
        </w:tc>
        <w:tc>
          <w:tcPr>
            <w:tcW w:w="1800" w:type="dxa"/>
            <w:vAlign w:val="bottom"/>
            <w:gridSpan w:val="16"/>
            <w:vMerge w:val="restart"/>
          </w:tcPr>
          <w:p>
            <w:pPr>
              <w:spacing w:after="0"/>
              <w:rPr>
                <w:sz w:val="5"/>
                <w:szCs w:val="5"/>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6"/>
                <w:szCs w:val="16"/>
                <w:color w:val="0075C9"/>
              </w:rPr>
              <w:t>26</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720" w:type="dxa"/>
            <w:vAlign w:val="bottom"/>
            <w:gridSpan w:val="28"/>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0000EE"/>
            </w:tcBorders>
            <w:gridSpan w:val="35"/>
            <w:vMerge w:val="continue"/>
          </w:tcPr>
          <w:p>
            <w:pPr>
              <w:spacing w:after="0"/>
              <w:rPr>
                <w:sz w:val="12"/>
                <w:szCs w:val="12"/>
                <w:color w:val="auto"/>
              </w:rPr>
            </w:pPr>
          </w:p>
        </w:tc>
        <w:tc>
          <w:tcPr>
            <w:tcW w:w="1800" w:type="dxa"/>
            <w:vAlign w:val="bottom"/>
            <w:gridSpan w:val="16"/>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12"/>
          </w:tcPr>
          <w:p>
            <w:pPr>
              <w:spacing w:after="0" w:line="115" w:lineRule="exact"/>
              <w:rPr>
                <w:rFonts w:ascii="Arial" w:cs="Arial" w:eastAsia="Arial" w:hAnsi="Arial"/>
                <w:sz w:val="13"/>
                <w:szCs w:val="13"/>
                <w:color w:val="0000EE"/>
              </w:rPr>
            </w:pPr>
            <w:hyperlink w:anchor="page84">
              <w:r>
                <w:rPr>
                  <w:rFonts w:ascii="Arial" w:cs="Arial" w:eastAsia="Arial" w:hAnsi="Arial"/>
                  <w:sz w:val="13"/>
                  <w:szCs w:val="13"/>
                  <w:color w:val="0000EE"/>
                </w:rPr>
                <w:t>Householding of Proxy Materials</w:t>
              </w:r>
            </w:hyperlink>
          </w:p>
        </w:tc>
        <w:tc>
          <w:tcPr>
            <w:tcW w:w="980" w:type="dxa"/>
            <w:vAlign w:val="bottom"/>
            <w:tcBorders>
              <w:top w:val="single" w:sz="8" w:color="0000EE"/>
            </w:tcBorders>
            <w:gridSpan w:val="10"/>
          </w:tcPr>
          <w:p>
            <w:pPr>
              <w:spacing w:after="0"/>
              <w:rPr>
                <w:sz w:val="12"/>
                <w:szCs w:val="12"/>
                <w:color w:val="auto"/>
              </w:rPr>
            </w:pPr>
          </w:p>
        </w:tc>
        <w:tc>
          <w:tcPr>
            <w:tcW w:w="1620" w:type="dxa"/>
            <w:vAlign w:val="bottom"/>
            <w:gridSpan w:val="6"/>
          </w:tcPr>
          <w:p>
            <w:pPr>
              <w:spacing w:after="0"/>
              <w:rPr>
                <w:sz w:val="12"/>
                <w:szCs w:val="12"/>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36"/>
        </w:trPr>
        <w:tc>
          <w:tcPr>
            <w:tcW w:w="140" w:type="dxa"/>
            <w:vAlign w:val="bottom"/>
          </w:tcPr>
          <w:p>
            <w:pPr>
              <w:spacing w:after="0"/>
              <w:rPr>
                <w:sz w:val="11"/>
                <w:szCs w:val="11"/>
                <w:color w:val="auto"/>
              </w:rPr>
            </w:pPr>
          </w:p>
        </w:tc>
        <w:tc>
          <w:tcPr>
            <w:tcW w:w="4520" w:type="dxa"/>
            <w:vAlign w:val="bottom"/>
            <w:gridSpan w:val="50"/>
          </w:tcPr>
          <w:p>
            <w:pPr>
              <w:spacing w:after="0" w:line="135" w:lineRule="exact"/>
              <w:rPr>
                <w:rFonts w:ascii="Arial" w:cs="Arial" w:eastAsia="Arial" w:hAnsi="Arial"/>
                <w:sz w:val="14"/>
                <w:szCs w:val="14"/>
                <w:color w:val="0000EE"/>
              </w:rPr>
            </w:pPr>
            <w:hyperlink w:anchor="page35">
              <w:r>
                <w:rPr>
                  <w:rFonts w:ascii="Arial" w:cs="Arial" w:eastAsia="Arial" w:hAnsi="Arial"/>
                  <w:sz w:val="14"/>
                  <w:szCs w:val="14"/>
                  <w:color w:val="0000EE"/>
                </w:rPr>
                <w:t>Execution on Our Strategic Priorities in 201</w:t>
              </w:r>
            </w:hyperlink>
            <w:r>
              <w:rPr>
                <w:rFonts w:ascii="Arial" w:cs="Arial" w:eastAsia="Arial" w:hAnsi="Arial"/>
                <w:sz w:val="14"/>
                <w:szCs w:val="14"/>
                <w:color w:val="000000"/>
              </w:rPr>
              <w:t>9</w:t>
            </w:r>
          </w:p>
        </w:tc>
        <w:tc>
          <w:tcPr>
            <w:tcW w:w="1080" w:type="dxa"/>
            <w:vAlign w:val="bottom"/>
          </w:tcPr>
          <w:p>
            <w:pPr>
              <w:jc w:val="right"/>
              <w:ind w:right="188"/>
              <w:spacing w:after="0" w:line="135"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20" w:type="dxa"/>
            <w:vAlign w:val="bottom"/>
            <w:gridSpan w:val="28"/>
          </w:tcPr>
          <w:p>
            <w:pPr>
              <w:spacing w:after="0" w:line="135" w:lineRule="exact"/>
              <w:rPr>
                <w:rFonts w:ascii="Arial" w:cs="Arial" w:eastAsia="Arial" w:hAnsi="Arial"/>
                <w:sz w:val="14"/>
                <w:szCs w:val="14"/>
                <w:color w:val="0000EE"/>
              </w:rPr>
            </w:pPr>
            <w:hyperlink w:anchor="page85">
              <w:r>
                <w:rPr>
                  <w:rFonts w:ascii="Arial" w:cs="Arial" w:eastAsia="Arial" w:hAnsi="Arial"/>
                  <w:sz w:val="14"/>
                  <w:szCs w:val="14"/>
                  <w:color w:val="0000EE"/>
                </w:rPr>
                <w:t>2019 Annual Report</w:t>
              </w:r>
            </w:hyperlink>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1520" w:type="dxa"/>
            <w:vAlign w:val="bottom"/>
            <w:tcBorders>
              <w:right w:val="single" w:sz="8" w:color="0000EE"/>
            </w:tcBorders>
            <w:gridSpan w:val="8"/>
          </w:tcPr>
          <w:p>
            <w:pPr>
              <w:spacing w:after="0" w:line="20" w:lineRule="exact"/>
              <w:rPr>
                <w:sz w:val="1"/>
                <w:szCs w:val="1"/>
                <w:color w:val="auto"/>
              </w:rPr>
            </w:pPr>
          </w:p>
        </w:tc>
        <w:tc>
          <w:tcPr>
            <w:tcW w:w="440" w:type="dxa"/>
            <w:vAlign w:val="bottom"/>
            <w:tcBorders>
              <w:right w:val="single" w:sz="8" w:color="0000EE"/>
            </w:tcBorders>
            <w:gridSpan w:val="10"/>
            <w:shd w:val="clear" w:color="auto" w:fill="0000EE"/>
          </w:tcPr>
          <w:p>
            <w:pPr>
              <w:spacing w:after="0" w:line="20" w:lineRule="exact"/>
              <w:rPr>
                <w:sz w:val="1"/>
                <w:szCs w:val="1"/>
                <w:color w:val="auto"/>
              </w:rPr>
            </w:pPr>
          </w:p>
        </w:tc>
        <w:tc>
          <w:tcPr>
            <w:tcW w:w="440" w:type="dxa"/>
            <w:vAlign w:val="bottom"/>
            <w:tcBorders>
              <w:right w:val="single" w:sz="8" w:color="0000EE"/>
            </w:tcBorders>
            <w:gridSpan w:val="9"/>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4440" w:type="dxa"/>
            <w:vAlign w:val="bottom"/>
            <w:tcBorders>
              <w:right w:val="single" w:sz="8" w:color="0000EE"/>
            </w:tcBorders>
            <w:gridSpan w:val="28"/>
            <w:shd w:val="clear" w:color="auto" w:fill="0000EE"/>
          </w:tcPr>
          <w:p>
            <w:pPr>
              <w:spacing w:after="0" w:line="20" w:lineRule="exact"/>
              <w:rPr>
                <w:sz w:val="1"/>
                <w:szCs w:val="1"/>
                <w:color w:val="auto"/>
              </w:rPr>
            </w:pPr>
          </w:p>
        </w:tc>
        <w:tc>
          <w:tcPr>
            <w:tcW w:w="4140" w:type="dxa"/>
            <w:vAlign w:val="bottom"/>
            <w:tcBorders>
              <w:left w:val="single" w:sz="8" w:color="0000EE"/>
            </w:tcBorders>
            <w:gridSpan w:val="2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4520" w:type="dxa"/>
            <w:vAlign w:val="bottom"/>
            <w:gridSpan w:val="50"/>
          </w:tcPr>
          <w:p>
            <w:pPr>
              <w:spacing w:after="0" w:line="129" w:lineRule="exact"/>
              <w:rPr>
                <w:rFonts w:ascii="Arial" w:cs="Arial" w:eastAsia="Arial" w:hAnsi="Arial"/>
                <w:sz w:val="14"/>
                <w:szCs w:val="14"/>
                <w:color w:val="0000EE"/>
              </w:rPr>
            </w:pPr>
            <w:hyperlink w:anchor="page36">
              <w:r>
                <w:rPr>
                  <w:rFonts w:ascii="Arial" w:cs="Arial" w:eastAsia="Arial" w:hAnsi="Arial"/>
                  <w:sz w:val="14"/>
                  <w:szCs w:val="14"/>
                  <w:color w:val="0000EE"/>
                </w:rPr>
                <w:t>Historical Perspective – Drivers of Strategic Priorities</w:t>
              </w:r>
            </w:hyperlink>
          </w:p>
        </w:tc>
        <w:tc>
          <w:tcPr>
            <w:tcW w:w="1080" w:type="dxa"/>
            <w:vAlign w:val="bottom"/>
          </w:tcPr>
          <w:p>
            <w:pPr>
              <w:jc w:val="right"/>
              <w:ind w:right="188"/>
              <w:spacing w:after="0" w:line="129" w:lineRule="exact"/>
              <w:rPr>
                <w:sz w:val="20"/>
                <w:szCs w:val="20"/>
                <w:color w:val="auto"/>
              </w:rPr>
            </w:pPr>
            <w:r>
              <w:rPr>
                <w:rFonts w:ascii="Arial" w:cs="Arial" w:eastAsia="Arial" w:hAnsi="Arial"/>
                <w:sz w:val="14"/>
                <w:szCs w:val="14"/>
                <w:color w:val="auto"/>
              </w:rPr>
              <w:t>28</w:t>
            </w:r>
          </w:p>
        </w:tc>
        <w:tc>
          <w:tcPr>
            <w:tcW w:w="4860" w:type="dxa"/>
            <w:vAlign w:val="bottom"/>
            <w:gridSpan w:val="30"/>
          </w:tcPr>
          <w:p>
            <w:pPr>
              <w:spacing w:after="0" w:line="129" w:lineRule="exact"/>
              <w:rPr>
                <w:rFonts w:ascii="Arial" w:cs="Arial" w:eastAsia="Arial" w:hAnsi="Arial"/>
                <w:sz w:val="14"/>
                <w:szCs w:val="14"/>
                <w:color w:val="0000EE"/>
              </w:rPr>
            </w:pPr>
            <w:hyperlink w:anchor="page86">
              <w:r>
                <w:rPr>
                  <w:rFonts w:ascii="Arial" w:cs="Arial" w:eastAsia="Arial" w:hAnsi="Arial"/>
                  <w:sz w:val="14"/>
                  <w:szCs w:val="14"/>
                  <w:color w:val="0000EE"/>
                </w:rPr>
                <w:t>Annex A–Reconciliation of Non-GAAP</w:t>
              </w:r>
            </w:hyperlink>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2480" w:type="dxa"/>
            <w:vAlign w:val="bottom"/>
            <w:tcBorders>
              <w:top w:val="single" w:sz="8" w:color="0000EE"/>
              <w:bottom w:val="single" w:sz="8" w:color="0000EE"/>
            </w:tcBorders>
            <w:gridSpan w:val="30"/>
          </w:tcPr>
          <w:p>
            <w:pPr>
              <w:spacing w:after="0" w:line="109" w:lineRule="exact"/>
              <w:rPr>
                <w:rFonts w:ascii="Arial" w:cs="Arial" w:eastAsia="Arial" w:hAnsi="Arial"/>
                <w:sz w:val="12"/>
                <w:szCs w:val="12"/>
                <w:color w:val="0000EE"/>
              </w:rPr>
            </w:pPr>
            <w:hyperlink w:anchor="page38">
              <w:r>
                <w:rPr>
                  <w:rFonts w:ascii="Arial" w:cs="Arial" w:eastAsia="Arial" w:hAnsi="Arial"/>
                  <w:sz w:val="12"/>
                  <w:szCs w:val="12"/>
                  <w:color w:val="0000EE"/>
                </w:rPr>
                <w:t>Aligning Pay with Stockholder Interests</w:t>
              </w:r>
            </w:hyperlink>
          </w:p>
        </w:tc>
        <w:tc>
          <w:tcPr>
            <w:tcW w:w="60" w:type="dxa"/>
            <w:vAlign w:val="bottom"/>
            <w:tcBorders>
              <w:top w:val="single" w:sz="8" w:color="0000EE"/>
              <w:bottom w:val="single" w:sz="8" w:color="0000EE"/>
            </w:tcBorders>
            <w:vMerge w:val="restart"/>
          </w:tcPr>
          <w:p>
            <w:pPr>
              <w:spacing w:after="0"/>
              <w:rPr>
                <w:sz w:val="10"/>
                <w:szCs w:val="10"/>
                <w:color w:val="auto"/>
              </w:rPr>
            </w:pPr>
          </w:p>
        </w:tc>
        <w:tc>
          <w:tcPr>
            <w:tcW w:w="60" w:type="dxa"/>
            <w:vAlign w:val="bottom"/>
            <w:tcBorders>
              <w:top w:val="single" w:sz="8" w:color="0000EE"/>
              <w:bottom w:val="single" w:sz="8" w:color="0000EE"/>
            </w:tcBorders>
            <w:vMerge w:val="restart"/>
          </w:tcPr>
          <w:p>
            <w:pPr>
              <w:spacing w:after="0"/>
              <w:rPr>
                <w:sz w:val="10"/>
                <w:szCs w:val="10"/>
                <w:color w:val="auto"/>
              </w:rPr>
            </w:pPr>
          </w:p>
        </w:tc>
        <w:tc>
          <w:tcPr>
            <w:tcW w:w="100" w:type="dxa"/>
            <w:vAlign w:val="bottom"/>
            <w:tcBorders>
              <w:top w:val="single" w:sz="8" w:color="0000EE"/>
              <w:bottom w:val="single" w:sz="8" w:color="0000EE"/>
            </w:tcBorders>
            <w:vMerge w:val="restart"/>
          </w:tcPr>
          <w:p>
            <w:pPr>
              <w:spacing w:after="0"/>
              <w:rPr>
                <w:sz w:val="10"/>
                <w:szCs w:val="10"/>
                <w:color w:val="auto"/>
              </w:rPr>
            </w:pPr>
          </w:p>
        </w:tc>
        <w:tc>
          <w:tcPr>
            <w:tcW w:w="60" w:type="dxa"/>
            <w:vAlign w:val="bottom"/>
            <w:tcBorders>
              <w:top w:val="single" w:sz="8" w:color="0000EE"/>
              <w:bottom w:val="single" w:sz="8" w:color="0000EE"/>
            </w:tcBorders>
            <w:gridSpan w:val="3"/>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340" w:type="dxa"/>
            <w:vAlign w:val="bottom"/>
            <w:tcBorders>
              <w:top w:val="single" w:sz="8" w:color="0000EE"/>
              <w:bottom w:val="single" w:sz="8" w:color="0000EE"/>
            </w:tcBorders>
            <w:gridSpan w:val="6"/>
            <w:vMerge w:val="restart"/>
          </w:tcPr>
          <w:p>
            <w:pPr>
              <w:spacing w:after="0"/>
              <w:rPr>
                <w:sz w:val="10"/>
                <w:szCs w:val="10"/>
                <w:color w:val="auto"/>
              </w:rPr>
            </w:pPr>
          </w:p>
        </w:tc>
        <w:tc>
          <w:tcPr>
            <w:tcW w:w="4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160" w:type="dxa"/>
            <w:vAlign w:val="bottom"/>
            <w:tcBorders>
              <w:top w:val="single" w:sz="8" w:color="0000EE"/>
              <w:bottom w:val="single" w:sz="8" w:color="0000EE"/>
            </w:tcBorders>
            <w:vMerge w:val="restart"/>
          </w:tcPr>
          <w:p>
            <w:pPr>
              <w:spacing w:after="0"/>
              <w:rPr>
                <w:sz w:val="10"/>
                <w:szCs w:val="10"/>
                <w:color w:val="auto"/>
              </w:rPr>
            </w:pPr>
          </w:p>
        </w:tc>
        <w:tc>
          <w:tcPr>
            <w:tcW w:w="1160" w:type="dxa"/>
            <w:vAlign w:val="bottom"/>
            <w:gridSpan w:val="3"/>
            <w:vMerge w:val="restart"/>
          </w:tcPr>
          <w:p>
            <w:pPr>
              <w:spacing w:after="0"/>
              <w:rPr>
                <w:sz w:val="10"/>
                <w:szCs w:val="10"/>
                <w:color w:val="auto"/>
              </w:rPr>
            </w:pPr>
          </w:p>
        </w:tc>
        <w:tc>
          <w:tcPr>
            <w:tcW w:w="1080" w:type="dxa"/>
            <w:vAlign w:val="bottom"/>
            <w:vMerge w:val="restart"/>
          </w:tcPr>
          <w:p>
            <w:pPr>
              <w:jc w:val="right"/>
              <w:ind w:right="188"/>
              <w:spacing w:after="0" w:line="152" w:lineRule="exact"/>
              <w:rPr>
                <w:sz w:val="20"/>
                <w:szCs w:val="20"/>
                <w:color w:val="auto"/>
              </w:rPr>
            </w:pPr>
            <w:r>
              <w:rPr>
                <w:rFonts w:ascii="Arial" w:cs="Arial" w:eastAsia="Arial" w:hAnsi="Arial"/>
                <w:sz w:val="14"/>
                <w:szCs w:val="14"/>
                <w:color w:val="auto"/>
              </w:rPr>
              <w:t>30</w:t>
            </w:r>
          </w:p>
        </w:tc>
        <w:tc>
          <w:tcPr>
            <w:tcW w:w="2780" w:type="dxa"/>
            <w:vAlign w:val="bottom"/>
            <w:tcBorders>
              <w:top w:val="single" w:sz="8" w:color="0000EE"/>
              <w:bottom w:val="single" w:sz="8" w:color="0000EE"/>
            </w:tcBorders>
            <w:gridSpan w:val="19"/>
            <w:vMerge w:val="restart"/>
          </w:tcPr>
          <w:p>
            <w:pPr>
              <w:spacing w:after="0" w:line="162" w:lineRule="exact"/>
              <w:rPr>
                <w:rFonts w:ascii="Arial" w:cs="Arial" w:eastAsia="Arial" w:hAnsi="Arial"/>
                <w:sz w:val="16"/>
                <w:szCs w:val="16"/>
                <w:color w:val="0000EE"/>
              </w:rPr>
            </w:pPr>
            <w:hyperlink w:anchor="page86">
              <w:r>
                <w:rPr>
                  <w:rFonts w:ascii="Arial" w:cs="Arial" w:eastAsia="Arial" w:hAnsi="Arial"/>
                  <w:sz w:val="16"/>
                  <w:szCs w:val="16"/>
                  <w:color w:val="0000EE"/>
                </w:rPr>
                <w:t>Measures and Other Information</w:t>
              </w:r>
            </w:hyperlink>
          </w:p>
        </w:tc>
        <w:tc>
          <w:tcPr>
            <w:tcW w:w="2080" w:type="dxa"/>
            <w:vAlign w:val="bottom"/>
            <w:gridSpan w:val="11"/>
            <w:vMerge w:val="restart"/>
          </w:tcPr>
          <w:p>
            <w:pPr>
              <w:spacing w:after="0"/>
              <w:rPr>
                <w:sz w:val="10"/>
                <w:szCs w:val="10"/>
                <w:color w:val="auto"/>
              </w:rPr>
            </w:pPr>
          </w:p>
        </w:tc>
        <w:tc>
          <w:tcPr>
            <w:tcW w:w="600" w:type="dxa"/>
            <w:vAlign w:val="bottom"/>
            <w:vMerge w:val="restart"/>
          </w:tcPr>
          <w:p>
            <w:pPr>
              <w:jc w:val="right"/>
              <w:spacing w:after="0" w:line="162" w:lineRule="exact"/>
              <w:rPr>
                <w:sz w:val="20"/>
                <w:szCs w:val="20"/>
                <w:color w:val="auto"/>
              </w:rPr>
            </w:pPr>
            <w:r>
              <w:rPr>
                <w:rFonts w:ascii="Arial" w:cs="Arial" w:eastAsia="Arial" w:hAnsi="Arial"/>
                <w:sz w:val="16"/>
                <w:szCs w:val="16"/>
                <w:color w:val="0075C9"/>
              </w:rPr>
              <w:t>A-1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780" w:type="dxa"/>
            <w:vAlign w:val="bottom"/>
            <w:gridSpan w:val="19"/>
            <w:vMerge w:val="continue"/>
          </w:tcPr>
          <w:p>
            <w:pPr>
              <w:spacing w:after="0" w:line="20" w:lineRule="exact"/>
              <w:rPr>
                <w:sz w:val="1"/>
                <w:szCs w:val="1"/>
                <w:color w:val="auto"/>
              </w:rPr>
            </w:pPr>
          </w:p>
        </w:tc>
        <w:tc>
          <w:tcPr>
            <w:tcW w:w="2080" w:type="dxa"/>
            <w:vAlign w:val="bottom"/>
            <w:gridSpan w:val="11"/>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40" w:type="dxa"/>
            <w:vAlign w:val="bottom"/>
          </w:tcPr>
          <w:p>
            <w:pPr>
              <w:spacing w:after="0"/>
              <w:rPr>
                <w:sz w:val="8"/>
                <w:szCs w:val="8"/>
                <w:color w:val="auto"/>
              </w:rPr>
            </w:pPr>
          </w:p>
        </w:tc>
        <w:tc>
          <w:tcPr>
            <w:tcW w:w="2540" w:type="dxa"/>
            <w:vAlign w:val="bottom"/>
            <w:tcBorders>
              <w:bottom w:val="single" w:sz="8" w:color="0000EE"/>
            </w:tcBorders>
            <w:gridSpan w:val="31"/>
          </w:tcPr>
          <w:p>
            <w:pPr>
              <w:spacing w:after="0" w:line="102" w:lineRule="exact"/>
              <w:rPr>
                <w:rFonts w:ascii="Arial" w:cs="Arial" w:eastAsia="Arial" w:hAnsi="Arial"/>
                <w:sz w:val="11"/>
                <w:szCs w:val="11"/>
                <w:color w:val="0000EE"/>
              </w:rPr>
            </w:pPr>
            <w:hyperlink w:anchor="page39">
              <w:r>
                <w:rPr>
                  <w:rFonts w:ascii="Arial" w:cs="Arial" w:eastAsia="Arial" w:hAnsi="Arial"/>
                  <w:sz w:val="11"/>
                  <w:szCs w:val="11"/>
                  <w:color w:val="0000EE"/>
                </w:rPr>
                <w:t>Linkage Between Pay and Performance</w:t>
              </w:r>
            </w:hyperlink>
          </w:p>
        </w:tc>
        <w:tc>
          <w:tcPr>
            <w:tcW w:w="1980" w:type="dxa"/>
            <w:vAlign w:val="bottom"/>
            <w:gridSpan w:val="19"/>
          </w:tcPr>
          <w:p>
            <w:pPr>
              <w:spacing w:after="0"/>
              <w:rPr>
                <w:sz w:val="8"/>
                <w:szCs w:val="8"/>
                <w:color w:val="auto"/>
              </w:rPr>
            </w:pPr>
          </w:p>
        </w:tc>
        <w:tc>
          <w:tcPr>
            <w:tcW w:w="1080" w:type="dxa"/>
            <w:vAlign w:val="bottom"/>
          </w:tcPr>
          <w:p>
            <w:pPr>
              <w:jc w:val="right"/>
              <w:ind w:right="188"/>
              <w:spacing w:after="0" w:line="102" w:lineRule="exact"/>
              <w:rPr>
                <w:sz w:val="20"/>
                <w:szCs w:val="20"/>
                <w:color w:val="auto"/>
              </w:rPr>
            </w:pPr>
            <w:r>
              <w:rPr>
                <w:rFonts w:ascii="Arial" w:cs="Arial" w:eastAsia="Arial" w:hAnsi="Arial"/>
                <w:sz w:val="11"/>
                <w:szCs w:val="11"/>
                <w:color w:val="auto"/>
              </w:rPr>
              <w:t>31</w:t>
            </w:r>
          </w:p>
        </w:tc>
        <w:tc>
          <w:tcPr>
            <w:tcW w:w="1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540" w:type="dxa"/>
            <w:vAlign w:val="bottom"/>
            <w:tcBorders>
              <w:bottom w:val="single" w:sz="8" w:color="0000EE"/>
            </w:tcBorders>
            <w:gridSpan w:val="11"/>
          </w:tcPr>
          <w:p>
            <w:pPr>
              <w:spacing w:after="0" w:line="142" w:lineRule="exact"/>
              <w:rPr>
                <w:rFonts w:ascii="Arial" w:cs="Arial" w:eastAsia="Arial" w:hAnsi="Arial"/>
                <w:sz w:val="14"/>
                <w:szCs w:val="14"/>
                <w:color w:val="0000EE"/>
              </w:rPr>
            </w:pPr>
            <w:hyperlink w:anchor="page40">
              <w:r>
                <w:rPr>
                  <w:rFonts w:ascii="Arial" w:cs="Arial" w:eastAsia="Arial" w:hAnsi="Arial"/>
                  <w:sz w:val="14"/>
                  <w:szCs w:val="14"/>
                  <w:color w:val="0000EE"/>
                </w:rPr>
                <w:t>Realizable Pay Analysis</w:t>
              </w:r>
            </w:hyperlink>
          </w:p>
        </w:tc>
        <w:tc>
          <w:tcPr>
            <w:tcW w:w="2980" w:type="dxa"/>
            <w:vAlign w:val="bottom"/>
            <w:gridSpan w:val="39"/>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520" w:type="dxa"/>
            <w:vAlign w:val="bottom"/>
            <w:gridSpan w:val="50"/>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Stockholder Outreach</w:t>
              </w:r>
            </w:hyperlink>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right w:val="single" w:sz="8" w:color="0000EE"/>
            </w:tcBorders>
            <w:gridSpan w:val="8"/>
          </w:tcPr>
          <w:p>
            <w:pPr>
              <w:spacing w:after="0" w:line="20" w:lineRule="exact"/>
              <w:rPr>
                <w:sz w:val="1"/>
                <w:szCs w:val="1"/>
                <w:color w:val="auto"/>
              </w:rPr>
            </w:pPr>
          </w:p>
        </w:tc>
        <w:tc>
          <w:tcPr>
            <w:tcW w:w="3140" w:type="dxa"/>
            <w:vAlign w:val="bottom"/>
            <w:gridSpan w:val="43"/>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33</w:t>
            </w:r>
          </w:p>
        </w:tc>
        <w:tc>
          <w:tcPr>
            <w:tcW w:w="546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3160" w:type="dxa"/>
            <w:vAlign w:val="bottom"/>
            <w:tcBorders>
              <w:bottom w:val="single" w:sz="8" w:color="0000EE"/>
            </w:tcBorders>
            <w:gridSpan w:val="44"/>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Stockholder Approval of Executive Compensation</w:t>
              </w:r>
            </w:hyperlink>
          </w:p>
        </w:tc>
        <w:tc>
          <w:tcPr>
            <w:tcW w:w="1360" w:type="dxa"/>
            <w:vAlign w:val="bottom"/>
            <w:gridSpan w:val="6"/>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520" w:type="dxa"/>
            <w:vAlign w:val="bottom"/>
            <w:gridSpan w:val="50"/>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Elements of Our Compensation Program</w:t>
              </w:r>
            </w:hyperlink>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700" w:type="dxa"/>
            <w:vAlign w:val="bottom"/>
            <w:tcBorders>
              <w:top w:val="single" w:sz="8" w:color="0000EE"/>
              <w:bottom w:val="single" w:sz="8" w:color="0000EE"/>
            </w:tcBorders>
            <w:gridSpan w:val="15"/>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Compensation Philosophy</w:t>
              </w:r>
            </w:hyperlink>
          </w:p>
        </w:tc>
        <w:tc>
          <w:tcPr>
            <w:tcW w:w="780" w:type="dxa"/>
            <w:vAlign w:val="bottom"/>
            <w:tcBorders>
              <w:top w:val="single" w:sz="8" w:color="0000EE"/>
            </w:tcBorders>
            <w:gridSpan w:val="15"/>
          </w:tcPr>
          <w:p>
            <w:pPr>
              <w:spacing w:after="0"/>
              <w:rPr>
                <w:sz w:val="12"/>
                <w:szCs w:val="12"/>
                <w:color w:val="auto"/>
              </w:rPr>
            </w:pPr>
          </w:p>
        </w:tc>
        <w:tc>
          <w:tcPr>
            <w:tcW w:w="1920" w:type="dxa"/>
            <w:vAlign w:val="bottom"/>
            <w:gridSpan w:val="18"/>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48"/>
          </w:tcPr>
          <w:p>
            <w:pPr>
              <w:spacing w:after="0" w:line="142" w:lineRule="exact"/>
              <w:rPr>
                <w:rFonts w:ascii="Arial" w:cs="Arial" w:eastAsia="Arial" w:hAnsi="Arial"/>
                <w:sz w:val="14"/>
                <w:szCs w:val="14"/>
                <w:color w:val="0000EE"/>
              </w:rPr>
            </w:pPr>
            <w:hyperlink w:anchor="page42">
              <w:r>
                <w:rPr>
                  <w:rFonts w:ascii="Arial" w:cs="Arial" w:eastAsia="Arial" w:hAnsi="Arial"/>
                  <w:sz w:val="14"/>
                  <w:szCs w:val="14"/>
                  <w:color w:val="0000EE"/>
                </w:rPr>
                <w:t>Compensation Program Best Practices</w:t>
              </w:r>
            </w:hyperlink>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Borders>
              <w:top w:val="single" w:sz="8" w:color="0000EE"/>
            </w:tcBorders>
            <w:gridSpan w:val="30"/>
          </w:tcPr>
          <w:p>
            <w:pPr>
              <w:spacing w:after="0" w:line="142" w:lineRule="exact"/>
              <w:rPr>
                <w:rFonts w:ascii="Arial" w:cs="Arial" w:eastAsia="Arial" w:hAnsi="Arial"/>
                <w:sz w:val="14"/>
                <w:szCs w:val="14"/>
                <w:color w:val="0000EE"/>
              </w:rPr>
            </w:pPr>
            <w:hyperlink w:anchor="page43">
              <w:r>
                <w:rPr>
                  <w:rFonts w:ascii="Arial" w:cs="Arial" w:eastAsia="Arial" w:hAnsi="Arial"/>
                  <w:sz w:val="14"/>
                  <w:szCs w:val="14"/>
                  <w:color w:val="0000EE"/>
                </w:rPr>
                <w:t>Compensation Peer Group Selection</w:t>
              </w:r>
            </w:hyperlink>
          </w:p>
        </w:tc>
        <w:tc>
          <w:tcPr>
            <w:tcW w:w="1920" w:type="dxa"/>
            <w:vAlign w:val="bottom"/>
            <w:gridSpan w:val="18"/>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Borders>
              <w:top w:val="single" w:sz="8" w:color="0000EE"/>
            </w:tcBorders>
            <w:gridSpan w:val="28"/>
          </w:tcPr>
          <w:p>
            <w:pPr>
              <w:spacing w:after="0" w:line="142" w:lineRule="exact"/>
              <w:rPr>
                <w:rFonts w:ascii="Arial" w:cs="Arial" w:eastAsia="Arial" w:hAnsi="Arial"/>
                <w:sz w:val="14"/>
                <w:szCs w:val="14"/>
                <w:color w:val="0000EE"/>
              </w:rPr>
            </w:pPr>
            <w:hyperlink w:anchor="page46">
              <w:r>
                <w:rPr>
                  <w:rFonts w:ascii="Arial" w:cs="Arial" w:eastAsia="Arial" w:hAnsi="Arial"/>
                  <w:sz w:val="14"/>
                  <w:szCs w:val="14"/>
                  <w:color w:val="0000EE"/>
                </w:rPr>
                <w:t>2019 Compensation Program</w:t>
              </w:r>
            </w:hyperlink>
          </w:p>
        </w:tc>
        <w:tc>
          <w:tcPr>
            <w:tcW w:w="2040" w:type="dxa"/>
            <w:vAlign w:val="bottom"/>
            <w:gridSpan w:val="20"/>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Borders>
              <w:right w:val="single" w:sz="8" w:color="0000EE"/>
            </w:tcBorders>
            <w:gridSpan w:val="8"/>
          </w:tcPr>
          <w:p>
            <w:pPr>
              <w:spacing w:after="0" w:line="20" w:lineRule="exact"/>
              <w:rPr>
                <w:sz w:val="1"/>
                <w:szCs w:val="1"/>
                <w:color w:val="auto"/>
              </w:rPr>
            </w:pPr>
          </w:p>
        </w:tc>
        <w:tc>
          <w:tcPr>
            <w:tcW w:w="3140" w:type="dxa"/>
            <w:vAlign w:val="bottom"/>
            <w:gridSpan w:val="43"/>
            <w:shd w:val="clear" w:color="auto" w:fill="0000EE"/>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50</w:t>
            </w:r>
          </w:p>
        </w:tc>
        <w:tc>
          <w:tcPr>
            <w:tcW w:w="546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48"/>
          </w:tcPr>
          <w:p>
            <w:pPr>
              <w:spacing w:after="0" w:line="142" w:lineRule="exact"/>
              <w:rPr>
                <w:rFonts w:ascii="Arial" w:cs="Arial" w:eastAsia="Arial" w:hAnsi="Arial"/>
                <w:sz w:val="14"/>
                <w:szCs w:val="14"/>
                <w:color w:val="0000EE"/>
              </w:rPr>
            </w:pPr>
            <w:hyperlink w:anchor="page58">
              <w:r>
                <w:rPr>
                  <w:rFonts w:ascii="Arial" w:cs="Arial" w:eastAsia="Arial" w:hAnsi="Arial"/>
                  <w:sz w:val="14"/>
                  <w:szCs w:val="14"/>
                  <w:color w:val="0000EE"/>
                </w:rPr>
                <w:t>2020 Compensation Program</w:t>
              </w:r>
            </w:hyperlink>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4520" w:type="dxa"/>
            <w:vAlign w:val="bottom"/>
            <w:gridSpan w:val="50"/>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Our Executive Compensation Process</w:t>
              </w:r>
            </w:hyperlink>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300" w:type="dxa"/>
            <w:vAlign w:val="bottom"/>
            <w:tcBorders>
              <w:top w:val="single" w:sz="8" w:color="0000EE"/>
            </w:tcBorders>
            <w:gridSpan w:val="27"/>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Role of Compensation Committee</w:t>
              </w:r>
            </w:hyperlink>
          </w:p>
        </w:tc>
        <w:tc>
          <w:tcPr>
            <w:tcW w:w="2100" w:type="dxa"/>
            <w:vAlign w:val="bottom"/>
            <w:gridSpan w:val="21"/>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Borders>
              <w:top w:val="single" w:sz="8" w:color="0000EE"/>
            </w:tcBorders>
            <w:gridSpan w:val="25"/>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Role of Management</w:t>
              </w:r>
            </w:hyperlink>
          </w:p>
        </w:tc>
        <w:tc>
          <w:tcPr>
            <w:tcW w:w="2240" w:type="dxa"/>
            <w:vAlign w:val="bottom"/>
            <w:gridSpan w:val="23"/>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48"/>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Role of Independent Compensation Consultants</w:t>
              </w:r>
            </w:hyperlink>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Borders>
              <w:top w:val="single" w:sz="8" w:color="0000EE"/>
              <w:bottom w:val="single" w:sz="8" w:color="0000EE"/>
            </w:tcBorders>
            <w:gridSpan w:val="16"/>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Use of Compensation Data</w:t>
              </w:r>
            </w:hyperlink>
          </w:p>
        </w:tc>
        <w:tc>
          <w:tcPr>
            <w:tcW w:w="1320" w:type="dxa"/>
            <w:vAlign w:val="bottom"/>
            <w:tcBorders>
              <w:top w:val="single" w:sz="8" w:color="0000EE"/>
            </w:tcBorders>
            <w:gridSpan w:val="27"/>
          </w:tcPr>
          <w:p>
            <w:pPr>
              <w:spacing w:after="0"/>
              <w:rPr>
                <w:sz w:val="12"/>
                <w:szCs w:val="12"/>
                <w:color w:val="auto"/>
              </w:rPr>
            </w:pPr>
          </w:p>
        </w:tc>
        <w:tc>
          <w:tcPr>
            <w:tcW w:w="1340" w:type="dxa"/>
            <w:vAlign w:val="bottom"/>
            <w:gridSpan w:val="5"/>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48"/>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Key Compensation Policies and Practices</w:t>
              </w:r>
            </w:hyperlink>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gridSpan w:val="34"/>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Stock Ownership Guidelines</w:t>
              </w:r>
            </w:hyperlink>
          </w:p>
        </w:tc>
        <w:tc>
          <w:tcPr>
            <w:tcW w:w="1740" w:type="dxa"/>
            <w:vAlign w:val="bottom"/>
            <w:gridSpan w:val="13"/>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0000EE"/>
              <w:bottom w:val="single" w:sz="8" w:color="0000EE"/>
            </w:tcBorders>
            <w:gridSpan w:val="4"/>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Clawback Policy</w:t>
              </w:r>
            </w:hyperlink>
          </w:p>
        </w:tc>
        <w:tc>
          <w:tcPr>
            <w:tcW w:w="680" w:type="dxa"/>
            <w:vAlign w:val="bottom"/>
            <w:tcBorders>
              <w:top w:val="single" w:sz="8" w:color="0000EE"/>
            </w:tcBorders>
            <w:gridSpan w:val="16"/>
          </w:tcPr>
          <w:p>
            <w:pPr>
              <w:spacing w:after="0"/>
              <w:rPr>
                <w:sz w:val="12"/>
                <w:szCs w:val="12"/>
                <w:color w:val="auto"/>
              </w:rPr>
            </w:pPr>
          </w:p>
        </w:tc>
        <w:tc>
          <w:tcPr>
            <w:tcW w:w="2460" w:type="dxa"/>
            <w:vAlign w:val="bottom"/>
            <w:gridSpan w:val="27"/>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Borders>
              <w:bottom w:val="single" w:sz="8" w:color="0000EE"/>
            </w:tcBorders>
            <w:gridSpan w:val="30"/>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Anti-Hedging and Anti-Pledging Policy</w:t>
              </w:r>
            </w:hyperlink>
          </w:p>
        </w:tc>
        <w:tc>
          <w:tcPr>
            <w:tcW w:w="1820" w:type="dxa"/>
            <w:vAlign w:val="bottom"/>
            <w:gridSpan w:val="17"/>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60" w:type="dxa"/>
            <w:vAlign w:val="bottom"/>
            <w:gridSpan w:val="47"/>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Compensation Risk Management</w:t>
              </w:r>
            </w:hyperlink>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Borders>
              <w:top w:val="single" w:sz="8" w:color="0000EE"/>
            </w:tcBorders>
            <w:gridSpan w:val="25"/>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Tax Considerations</w:t>
              </w:r>
            </w:hyperlink>
          </w:p>
        </w:tc>
        <w:tc>
          <w:tcPr>
            <w:tcW w:w="2140" w:type="dxa"/>
            <w:vAlign w:val="bottom"/>
            <w:gridSpan w:val="22"/>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gridSpan w:val="4"/>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gridSpan w:val="51"/>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Compensation Committee Report</w:t>
              </w:r>
            </w:hyperlink>
          </w:p>
        </w:tc>
        <w:tc>
          <w:tcPr>
            <w:tcW w:w="1080" w:type="dxa"/>
            <w:vAlign w:val="bottom"/>
          </w:tcPr>
          <w:p>
            <w:pPr>
              <w:jc w:val="right"/>
              <w:ind w:right="188"/>
              <w:spacing w:after="0"/>
              <w:rPr>
                <w:sz w:val="20"/>
                <w:szCs w:val="20"/>
                <w:color w:val="auto"/>
              </w:rPr>
            </w:pPr>
            <w:r>
              <w:rPr>
                <w:rFonts w:ascii="Arial" w:cs="Arial" w:eastAsia="Arial" w:hAnsi="Arial"/>
                <w:sz w:val="16"/>
                <w:szCs w:val="16"/>
                <w:color w:val="0075C9"/>
              </w:rPr>
              <w:t>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0000EE"/>
              <w:bottom w:val="single" w:sz="8" w:color="0000EE"/>
            </w:tcBorders>
            <w:gridSpan w:val="25"/>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Executive Compensation Tables</w:t>
              </w:r>
            </w:hyperlink>
          </w:p>
        </w:tc>
        <w:tc>
          <w:tcPr>
            <w:tcW w:w="80" w:type="dxa"/>
            <w:vAlign w:val="bottom"/>
            <w:tcBorders>
              <w:top w:val="single" w:sz="8" w:color="0000EE"/>
            </w:tcBorders>
            <w:gridSpan w:val="2"/>
          </w:tcPr>
          <w:p>
            <w:pPr>
              <w:spacing w:after="0"/>
              <w:rPr>
                <w:sz w:val="18"/>
                <w:szCs w:val="18"/>
                <w:color w:val="auto"/>
              </w:rPr>
            </w:pPr>
          </w:p>
        </w:tc>
        <w:tc>
          <w:tcPr>
            <w:tcW w:w="2260" w:type="dxa"/>
            <w:vAlign w:val="bottom"/>
            <w:gridSpan w:val="24"/>
          </w:tcPr>
          <w:p>
            <w:pPr>
              <w:spacing w:after="0"/>
              <w:rPr>
                <w:sz w:val="18"/>
                <w:szCs w:val="18"/>
                <w:color w:val="auto"/>
              </w:rPr>
            </w:pPr>
          </w:p>
        </w:tc>
        <w:tc>
          <w:tcPr>
            <w:tcW w:w="1080" w:type="dxa"/>
            <w:vAlign w:val="bottom"/>
          </w:tcPr>
          <w:p>
            <w:pPr>
              <w:jc w:val="right"/>
              <w:ind w:right="188"/>
              <w:spacing w:after="0"/>
              <w:rPr>
                <w:sz w:val="20"/>
                <w:szCs w:val="20"/>
                <w:color w:val="auto"/>
              </w:rPr>
            </w:pPr>
            <w:r>
              <w:rPr>
                <w:rFonts w:ascii="Arial" w:cs="Arial" w:eastAsia="Arial" w:hAnsi="Arial"/>
                <w:sz w:val="16"/>
                <w:szCs w:val="16"/>
                <w:color w:val="0075C9"/>
              </w:rPr>
              <w:t>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520" w:type="dxa"/>
            <w:vAlign w:val="bottom"/>
            <w:gridSpan w:val="50"/>
          </w:tcPr>
          <w:p>
            <w:pPr>
              <w:spacing w:after="0" w:line="155" w:lineRule="exact"/>
              <w:rPr>
                <w:rFonts w:ascii="Arial" w:cs="Arial" w:eastAsia="Arial" w:hAnsi="Arial"/>
                <w:sz w:val="14"/>
                <w:szCs w:val="14"/>
                <w:color w:val="0000EE"/>
              </w:rPr>
            </w:pPr>
            <w:hyperlink w:anchor="page65">
              <w:r>
                <w:rPr>
                  <w:rFonts w:ascii="Arial" w:cs="Arial" w:eastAsia="Arial" w:hAnsi="Arial"/>
                  <w:sz w:val="14"/>
                  <w:szCs w:val="14"/>
                  <w:color w:val="0000EE"/>
                </w:rPr>
                <w:t>Summary Compensation Table</w:t>
              </w:r>
            </w:hyperlink>
          </w:p>
        </w:tc>
        <w:tc>
          <w:tcPr>
            <w:tcW w:w="108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960" w:type="dxa"/>
            <w:vAlign w:val="bottom"/>
            <w:tcBorders>
              <w:top w:val="single" w:sz="8" w:color="0000EE"/>
            </w:tcBorders>
            <w:gridSpan w:val="20"/>
          </w:tcPr>
          <w:p>
            <w:pPr>
              <w:spacing w:after="0" w:line="142" w:lineRule="exact"/>
              <w:rPr>
                <w:rFonts w:ascii="Arial" w:cs="Arial" w:eastAsia="Arial" w:hAnsi="Arial"/>
                <w:sz w:val="14"/>
                <w:szCs w:val="14"/>
                <w:color w:val="0000EE"/>
              </w:rPr>
            </w:pPr>
            <w:hyperlink w:anchor="page67">
              <w:r>
                <w:rPr>
                  <w:rFonts w:ascii="Arial" w:cs="Arial" w:eastAsia="Arial" w:hAnsi="Arial"/>
                  <w:sz w:val="14"/>
                  <w:szCs w:val="14"/>
                  <w:color w:val="0000EE"/>
                </w:rPr>
                <w:t>Grants of Plan-Based Awards</w:t>
              </w:r>
            </w:hyperlink>
          </w:p>
        </w:tc>
        <w:tc>
          <w:tcPr>
            <w:tcW w:w="2560" w:type="dxa"/>
            <w:vAlign w:val="bottom"/>
            <w:gridSpan w:val="30"/>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59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80" w:type="dxa"/>
            <w:vAlign w:val="bottom"/>
            <w:gridSpan w:val="19"/>
            <w:shd w:val="clear" w:color="auto" w:fill="0000EE"/>
          </w:tcPr>
          <w:p>
            <w:pPr>
              <w:spacing w:after="0" w:line="20" w:lineRule="exact"/>
              <w:rPr>
                <w:sz w:val="1"/>
                <w:szCs w:val="1"/>
                <w:color w:val="auto"/>
              </w:rPr>
            </w:pPr>
          </w:p>
        </w:tc>
        <w:tc>
          <w:tcPr>
            <w:tcW w:w="880" w:type="dxa"/>
            <w:vAlign w:val="bottom"/>
            <w:gridSpan w:val="17"/>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3200" w:type="dxa"/>
            <w:vAlign w:val="bottom"/>
            <w:tcBorders>
              <w:bottom w:val="single" w:sz="8" w:color="0000EE"/>
            </w:tcBorders>
            <w:gridSpan w:val="46"/>
          </w:tcPr>
          <w:p>
            <w:pPr>
              <w:spacing w:after="0" w:line="142" w:lineRule="exact"/>
              <w:rPr>
                <w:rFonts w:ascii="Arial" w:cs="Arial" w:eastAsia="Arial" w:hAnsi="Arial"/>
                <w:sz w:val="14"/>
                <w:szCs w:val="14"/>
                <w:color w:val="0000EE"/>
              </w:rPr>
            </w:pPr>
            <w:hyperlink w:anchor="page69">
              <w:r>
                <w:rPr>
                  <w:rFonts w:ascii="Arial" w:cs="Arial" w:eastAsia="Arial" w:hAnsi="Arial"/>
                  <w:sz w:val="14"/>
                  <w:szCs w:val="14"/>
                  <w:color w:val="0000EE"/>
                </w:rPr>
                <w:t>Outstanding Equity Awards at December 31, 2019</w:t>
              </w:r>
            </w:hyperlink>
          </w:p>
        </w:tc>
        <w:tc>
          <w:tcPr>
            <w:tcW w:w="1320" w:type="dxa"/>
            <w:vAlign w:val="bottom"/>
            <w:gridSpan w:val="4"/>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760" w:type="dxa"/>
            <w:vAlign w:val="bottom"/>
            <w:tcBorders>
              <w:bottom w:val="single" w:sz="8" w:color="0000EE"/>
            </w:tcBorders>
            <w:gridSpan w:val="36"/>
          </w:tcPr>
          <w:p>
            <w:pPr>
              <w:spacing w:after="0" w:line="142" w:lineRule="exact"/>
              <w:rPr>
                <w:rFonts w:ascii="Arial" w:cs="Arial" w:eastAsia="Arial" w:hAnsi="Arial"/>
                <w:sz w:val="14"/>
                <w:szCs w:val="14"/>
                <w:color w:val="0000EE"/>
              </w:rPr>
            </w:pPr>
            <w:hyperlink w:anchor="page70">
              <w:r>
                <w:rPr>
                  <w:rFonts w:ascii="Arial" w:cs="Arial" w:eastAsia="Arial" w:hAnsi="Arial"/>
                  <w:sz w:val="14"/>
                  <w:szCs w:val="14"/>
                  <w:color w:val="0000EE"/>
                </w:rPr>
                <w:t>Option Exercises and Stock Vested in 2019</w:t>
              </w:r>
            </w:hyperlink>
          </w:p>
        </w:tc>
        <w:tc>
          <w:tcPr>
            <w:tcW w:w="1760" w:type="dxa"/>
            <w:vAlign w:val="bottom"/>
            <w:gridSpan w:val="14"/>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62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3120" w:type="dxa"/>
            <w:vAlign w:val="bottom"/>
            <w:tcBorders>
              <w:bottom w:val="single" w:sz="8" w:color="0000EE"/>
            </w:tcBorders>
            <w:gridSpan w:val="43"/>
          </w:tcPr>
          <w:p>
            <w:pPr>
              <w:spacing w:after="0" w:line="142" w:lineRule="exact"/>
              <w:rPr>
                <w:rFonts w:ascii="Arial" w:cs="Arial" w:eastAsia="Arial" w:hAnsi="Arial"/>
                <w:sz w:val="14"/>
                <w:szCs w:val="14"/>
                <w:color w:val="0000EE"/>
              </w:rPr>
            </w:pPr>
            <w:hyperlink w:anchor="page71">
              <w:r>
                <w:rPr>
                  <w:rFonts w:ascii="Arial" w:cs="Arial" w:eastAsia="Arial" w:hAnsi="Arial"/>
                  <w:sz w:val="14"/>
                  <w:szCs w:val="14"/>
                  <w:color w:val="0000EE"/>
                </w:rPr>
                <w:t>2019 Nonqualified Deferred Compensation Table</w:t>
              </w:r>
            </w:hyperlink>
          </w:p>
        </w:tc>
        <w:tc>
          <w:tcPr>
            <w:tcW w:w="1400" w:type="dxa"/>
            <w:vAlign w:val="bottom"/>
            <w:gridSpan w:val="7"/>
          </w:tcPr>
          <w:p>
            <w:pPr>
              <w:spacing w:after="0"/>
              <w:rPr>
                <w:sz w:val="12"/>
                <w:szCs w:val="12"/>
                <w:color w:val="auto"/>
              </w:rPr>
            </w:pPr>
          </w:p>
        </w:tc>
        <w:tc>
          <w:tcPr>
            <w:tcW w:w="108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 w:name="page9"/>
    <w:bookmarkEnd w:id="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Proxy Statement Summary</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2020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0075C9"/>
        </w:rPr>
        <w:t>2020 Annual Meeting of Stockholders</w:t>
      </w:r>
    </w:p>
    <w:p>
      <w:pPr>
        <w:sectPr>
          <w:pgSz w:w="11900" w:h="16838" w:orient="portrait"/>
          <w:cols w:equalWidth="0" w:num="1">
            <w:col w:w="11260"/>
          </w:cols>
          <w:pgMar w:left="320" w:top="387" w:right="31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0075C9"/>
        </w:rPr>
        <w:t>Date: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6, 2020</w:t>
      </w:r>
    </w:p>
    <w:p>
      <w:pPr>
        <w:spacing w:after="0" w:line="117" w:lineRule="exact"/>
        <w:rPr>
          <w:sz w:val="20"/>
          <w:szCs w:val="20"/>
          <w:color w:val="auto"/>
        </w:rPr>
      </w:pPr>
    </w:p>
    <w:p>
      <w:pPr>
        <w:sectPr>
          <w:pgSz w:w="11900" w:h="16838" w:orient="portrait"/>
          <w:cols w:equalWidth="0" w:num="2">
            <w:col w:w="1020" w:space="720"/>
            <w:col w:w="9520"/>
          </w:cols>
          <w:pgMar w:left="320" w:top="387" w:right="319" w:bottom="1440" w:gutter="0" w:footer="0" w:header="0"/>
          <w:type w:val="continuous"/>
        </w:sectPr>
      </w:pPr>
    </w:p>
    <w:p>
      <w:pPr>
        <w:spacing w:after="0"/>
        <w:rPr>
          <w:sz w:val="20"/>
          <w:szCs w:val="20"/>
          <w:color w:val="auto"/>
        </w:rPr>
      </w:pPr>
      <w:r>
        <w:rPr>
          <w:rFonts w:ascii="Arial" w:cs="Arial" w:eastAsia="Arial" w:hAnsi="Arial"/>
          <w:sz w:val="18"/>
          <w:szCs w:val="18"/>
          <w:color w:val="0075C9"/>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11:00 a.m., local time</w:t>
      </w:r>
    </w:p>
    <w:p>
      <w:pPr>
        <w:spacing w:after="0" w:line="113" w:lineRule="exact"/>
        <w:rPr>
          <w:sz w:val="20"/>
          <w:szCs w:val="20"/>
          <w:color w:val="auto"/>
        </w:rPr>
      </w:pPr>
    </w:p>
    <w:p>
      <w:pPr>
        <w:sectPr>
          <w:pgSz w:w="11900" w:h="16838" w:orient="portrait"/>
          <w:cols w:equalWidth="0" w:num="2">
            <w:col w:w="1020" w:space="720"/>
            <w:col w:w="9520"/>
          </w:cols>
          <w:pgMar w:left="320" w:top="387" w:right="31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0075C9"/>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Bakersfield Marriott at the Convention Center</w:t>
      </w:r>
    </w:p>
    <w:p>
      <w:pPr>
        <w:spacing w:after="0"/>
        <w:rPr>
          <w:sz w:val="20"/>
          <w:szCs w:val="20"/>
          <w:color w:val="auto"/>
        </w:rPr>
      </w:pPr>
      <w:r>
        <w:rPr>
          <w:rFonts w:ascii="Arial" w:cs="Arial" w:eastAsia="Arial" w:hAnsi="Arial"/>
          <w:sz w:val="17"/>
          <w:szCs w:val="17"/>
          <w:color w:val="auto"/>
        </w:rPr>
        <w:t>801 Truxtun Avenue, Bakersfield, California 93301</w:t>
      </w:r>
    </w:p>
    <w:p>
      <w:pPr>
        <w:spacing w:after="0" w:line="169" w:lineRule="exact"/>
        <w:rPr>
          <w:sz w:val="20"/>
          <w:szCs w:val="20"/>
          <w:color w:val="auto"/>
        </w:rPr>
      </w:pPr>
    </w:p>
    <w:p>
      <w:pPr>
        <w:sectPr>
          <w:pgSz w:w="11900" w:h="16838" w:orient="portrait"/>
          <w:cols w:equalWidth="0" w:num="2">
            <w:col w:w="1020" w:space="720"/>
            <w:col w:w="9520"/>
          </w:cols>
          <w:pgMar w:left="320" w:top="387" w:right="319" w:bottom="1440" w:gutter="0" w:footer="0" w:header="0"/>
          <w:type w:val="continuous"/>
        </w:sectPr>
      </w:pPr>
    </w:p>
    <w:p>
      <w:pPr>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9, 2020</w:t>
      </w:r>
    </w:p>
    <w:p>
      <w:pPr>
        <w:spacing w:after="0" w:line="200" w:lineRule="exact"/>
        <w:rPr>
          <w:sz w:val="20"/>
          <w:szCs w:val="20"/>
          <w:color w:val="auto"/>
        </w:rPr>
      </w:pPr>
    </w:p>
    <w:p>
      <w:pPr>
        <w:sectPr>
          <w:pgSz w:w="11900" w:h="16838" w:orient="portrait"/>
          <w:cols w:equalWidth="0" w:num="2">
            <w:col w:w="1060" w:space="680"/>
            <w:col w:w="9520"/>
          </w:cols>
          <w:pgMar w:left="320" w:top="387" w:right="319" w:bottom="1440" w:gutter="0" w:footer="0" w:header="0"/>
          <w:type w:val="continuous"/>
        </w:sectPr>
      </w:pPr>
    </w:p>
    <w:p>
      <w:pPr>
        <w:spacing w:after="0" w:line="3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We intend to hold the Annual Meeting in person. However, we are actively monitoring the coronavirus (COVID-19); we are sensitive to the public health and travel concerns our stockholders may have and the protocols that federal, state, and local governments may impose. In the event it is not possible or advisable to hold the Annual Meeting in person, we will announce alternative arrangements for the meeting as promptly as practicable, which may include holding the meeting partially or solely by means of remote communication. Please monitor our Annual Meeting website at http://www.astproxyportal.com/ast/20758/ for updated information. If you are planning to attend our meeting, please check the website ten days prior to the meeting date. As always, we encourage you to vote your shares prior to the Annual Meeting.</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0075C9"/>
        </w:rPr>
        <w:t>Agenda and the Board’s Recommendation on Voting Matters</w:t>
      </w:r>
    </w:p>
    <w:p>
      <w:pPr>
        <w:spacing w:after="0" w:line="10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ind w:left="380"/>
              <w:spacing w:after="0"/>
              <w:rPr>
                <w:sz w:val="20"/>
                <w:szCs w:val="20"/>
                <w:color w:val="auto"/>
              </w:rPr>
            </w:pPr>
            <w:r>
              <w:rPr>
                <w:rFonts w:ascii="Arial" w:cs="Arial" w:eastAsia="Arial" w:hAnsi="Arial"/>
                <w:sz w:val="16"/>
                <w:szCs w:val="16"/>
                <w:b w:val="1"/>
                <w:bCs w:val="1"/>
                <w:color w:val="0075C9"/>
              </w:rPr>
              <w:t>Agenda</w:t>
            </w:r>
          </w:p>
        </w:tc>
        <w:tc>
          <w:tcPr>
            <w:tcW w:w="14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075C9"/>
              </w:rPr>
              <w:t>Board’s</w:t>
            </w:r>
          </w:p>
        </w:tc>
      </w:tr>
      <w:tr>
        <w:trPr>
          <w:trHeight w:val="207"/>
        </w:trPr>
        <w:tc>
          <w:tcPr>
            <w:tcW w:w="1160" w:type="dxa"/>
            <w:vAlign w:val="bottom"/>
            <w:tcBorders>
              <w:bottom w:val="single" w:sz="8" w:color="0075C9"/>
            </w:tcBorders>
          </w:tcPr>
          <w:p>
            <w:pPr>
              <w:ind w:left="520"/>
              <w:spacing w:after="0"/>
              <w:rPr>
                <w:sz w:val="20"/>
                <w:szCs w:val="20"/>
                <w:color w:val="auto"/>
              </w:rPr>
            </w:pPr>
            <w:r>
              <w:rPr>
                <w:rFonts w:ascii="Arial" w:cs="Arial" w:eastAsia="Arial" w:hAnsi="Arial"/>
                <w:sz w:val="16"/>
                <w:szCs w:val="16"/>
                <w:b w:val="1"/>
                <w:bCs w:val="1"/>
                <w:color w:val="0075C9"/>
              </w:rPr>
              <w:t>Item</w:t>
            </w:r>
          </w:p>
        </w:tc>
        <w:tc>
          <w:tcPr>
            <w:tcW w:w="1420" w:type="dxa"/>
            <w:vAlign w:val="bottom"/>
            <w:tcBorders>
              <w:bottom w:val="single" w:sz="8" w:color="0075C9"/>
            </w:tcBorders>
          </w:tcPr>
          <w:p>
            <w:pPr>
              <w:spacing w:after="0"/>
              <w:rPr>
                <w:sz w:val="18"/>
                <w:szCs w:val="18"/>
                <w:color w:val="auto"/>
              </w:rPr>
            </w:pPr>
          </w:p>
        </w:tc>
        <w:tc>
          <w:tcPr>
            <w:tcW w:w="6800" w:type="dxa"/>
            <w:vAlign w:val="bottom"/>
            <w:tcBorders>
              <w:bottom w:val="single" w:sz="8" w:color="0075C9"/>
            </w:tcBorders>
            <w:gridSpan w:val="2"/>
          </w:tcPr>
          <w:p>
            <w:pPr>
              <w:ind w:left="3040"/>
              <w:spacing w:after="0"/>
              <w:rPr>
                <w:sz w:val="20"/>
                <w:szCs w:val="20"/>
                <w:color w:val="auto"/>
              </w:rPr>
            </w:pPr>
            <w:r>
              <w:rPr>
                <w:rFonts w:ascii="Arial" w:cs="Arial" w:eastAsia="Arial" w:hAnsi="Arial"/>
                <w:sz w:val="16"/>
                <w:szCs w:val="16"/>
                <w:b w:val="1"/>
                <w:bCs w:val="1"/>
                <w:color w:val="0075C9"/>
              </w:rPr>
              <w:t>Description</w:t>
            </w:r>
          </w:p>
        </w:tc>
        <w:tc>
          <w:tcPr>
            <w:tcW w:w="18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b w:val="1"/>
                <w:bCs w:val="1"/>
                <w:color w:val="0075C9"/>
              </w:rPr>
              <w:t>Recommendation</w:t>
            </w:r>
          </w:p>
        </w:tc>
      </w:tr>
      <w:tr>
        <w:trPr>
          <w:trHeight w:val="290"/>
        </w:trPr>
        <w:tc>
          <w:tcPr>
            <w:tcW w:w="1160" w:type="dxa"/>
            <w:vAlign w:val="bottom"/>
          </w:tcPr>
          <w:p>
            <w:pPr>
              <w:ind w:left="500"/>
              <w:spacing w:after="0"/>
              <w:rPr>
                <w:sz w:val="20"/>
                <w:szCs w:val="20"/>
                <w:color w:val="auto"/>
              </w:rPr>
            </w:pPr>
            <w:r>
              <w:rPr>
                <w:rFonts w:ascii="Arial" w:cs="Arial" w:eastAsia="Arial" w:hAnsi="Arial"/>
                <w:sz w:val="18"/>
                <w:szCs w:val="18"/>
                <w:color w:val="auto"/>
              </w:rPr>
              <w:t>1.</w:t>
            </w:r>
          </w:p>
        </w:tc>
        <w:tc>
          <w:tcPr>
            <w:tcW w:w="1420" w:type="dxa"/>
            <w:vAlign w:val="bottom"/>
          </w:tcPr>
          <w:p>
            <w:pPr>
              <w:ind w:left="220"/>
              <w:spacing w:after="0"/>
              <w:rPr>
                <w:sz w:val="20"/>
                <w:szCs w:val="20"/>
                <w:color w:val="auto"/>
              </w:rPr>
            </w:pPr>
            <w:r>
              <w:rPr>
                <w:rFonts w:ascii="Arial" w:cs="Arial" w:eastAsia="Arial" w:hAnsi="Arial"/>
                <w:sz w:val="18"/>
                <w:szCs w:val="18"/>
                <w:color w:val="auto"/>
              </w:rPr>
              <w:t>Proposal 1</w:t>
            </w:r>
          </w:p>
        </w:tc>
        <w:tc>
          <w:tcPr>
            <w:tcW w:w="6800" w:type="dxa"/>
            <w:vAlign w:val="bottom"/>
            <w:gridSpan w:val="2"/>
          </w:tcPr>
          <w:p>
            <w:pPr>
              <w:ind w:left="360"/>
              <w:spacing w:after="0"/>
              <w:rPr>
                <w:sz w:val="20"/>
                <w:szCs w:val="20"/>
                <w:color w:val="auto"/>
              </w:rPr>
            </w:pPr>
            <w:r>
              <w:rPr>
                <w:rFonts w:ascii="Arial" w:cs="Arial" w:eastAsia="Arial" w:hAnsi="Arial"/>
                <w:sz w:val="18"/>
                <w:szCs w:val="18"/>
                <w:color w:val="auto"/>
              </w:rPr>
              <w:t>Election of the nine director nominees named in this proxy statement each for</w:t>
            </w:r>
          </w:p>
        </w:tc>
        <w:tc>
          <w:tcPr>
            <w:tcW w:w="188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9"/>
              </w:rPr>
              <w:t>FOR</w:t>
            </w:r>
          </w:p>
        </w:tc>
      </w:tr>
      <w:tr>
        <w:trPr>
          <w:trHeight w:val="217"/>
        </w:trPr>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0" w:type="dxa"/>
            <w:vAlign w:val="bottom"/>
            <w:gridSpan w:val="2"/>
          </w:tcPr>
          <w:p>
            <w:pPr>
              <w:ind w:left="360"/>
              <w:spacing w:after="0"/>
              <w:rPr>
                <w:sz w:val="20"/>
                <w:szCs w:val="20"/>
                <w:color w:val="auto"/>
              </w:rPr>
            </w:pPr>
            <w:r>
              <w:rPr>
                <w:rFonts w:ascii="Arial" w:cs="Arial" w:eastAsia="Arial" w:hAnsi="Arial"/>
                <w:sz w:val="18"/>
                <w:szCs w:val="18"/>
                <w:color w:val="auto"/>
              </w:rPr>
              <w:t>a one-year term</w:t>
            </w:r>
          </w:p>
        </w:tc>
        <w:tc>
          <w:tcPr>
            <w:tcW w:w="1880" w:type="dxa"/>
            <w:vAlign w:val="bottom"/>
            <w:shd w:val="clear" w:color="auto" w:fill="EAEAEA"/>
          </w:tcPr>
          <w:p>
            <w:pPr>
              <w:spacing w:after="0"/>
              <w:rPr>
                <w:sz w:val="18"/>
                <w:szCs w:val="18"/>
                <w:color w:val="auto"/>
              </w:rPr>
            </w:pPr>
          </w:p>
        </w:tc>
      </w:tr>
      <w:tr>
        <w:trPr>
          <w:trHeight w:val="68"/>
        </w:trPr>
        <w:tc>
          <w:tcPr>
            <w:tcW w:w="1160" w:type="dxa"/>
            <w:vAlign w:val="bottom"/>
            <w:tcBorders>
              <w:bottom w:val="single" w:sz="8" w:color="EBEBEC"/>
            </w:tcBorders>
          </w:tcPr>
          <w:p>
            <w:pPr>
              <w:spacing w:after="0"/>
              <w:rPr>
                <w:sz w:val="5"/>
                <w:szCs w:val="5"/>
                <w:color w:val="auto"/>
              </w:rPr>
            </w:pPr>
          </w:p>
        </w:tc>
        <w:tc>
          <w:tcPr>
            <w:tcW w:w="1420" w:type="dxa"/>
            <w:vAlign w:val="bottom"/>
            <w:tcBorders>
              <w:bottom w:val="single" w:sz="8" w:color="EBEBEC"/>
            </w:tcBorders>
          </w:tcPr>
          <w:p>
            <w:pPr>
              <w:spacing w:after="0"/>
              <w:rPr>
                <w:sz w:val="5"/>
                <w:szCs w:val="5"/>
                <w:color w:val="auto"/>
              </w:rPr>
            </w:pPr>
          </w:p>
        </w:tc>
        <w:tc>
          <w:tcPr>
            <w:tcW w:w="6740" w:type="dxa"/>
            <w:vAlign w:val="bottom"/>
            <w:tcBorders>
              <w:bottom w:val="single" w:sz="8" w:color="EBEBEC"/>
            </w:tcBorders>
          </w:tcPr>
          <w:p>
            <w:pPr>
              <w:spacing w:after="0"/>
              <w:rPr>
                <w:sz w:val="5"/>
                <w:szCs w:val="5"/>
                <w:color w:val="auto"/>
              </w:rPr>
            </w:pPr>
          </w:p>
        </w:tc>
        <w:tc>
          <w:tcPr>
            <w:tcW w:w="60" w:type="dxa"/>
            <w:vAlign w:val="bottom"/>
          </w:tcPr>
          <w:p>
            <w:pPr>
              <w:spacing w:after="0"/>
              <w:rPr>
                <w:sz w:val="5"/>
                <w:szCs w:val="5"/>
                <w:color w:val="auto"/>
              </w:rPr>
            </w:pPr>
          </w:p>
        </w:tc>
        <w:tc>
          <w:tcPr>
            <w:tcW w:w="1880" w:type="dxa"/>
            <w:vAlign w:val="bottom"/>
            <w:tcBorders>
              <w:bottom w:val="single" w:sz="8" w:color="EAEAEA"/>
            </w:tcBorders>
            <w:shd w:val="clear" w:color="auto" w:fill="EAEAEA"/>
          </w:tcPr>
          <w:p>
            <w:pPr>
              <w:spacing w:after="0"/>
              <w:rPr>
                <w:sz w:val="5"/>
                <w:szCs w:val="5"/>
                <w:color w:val="auto"/>
              </w:rPr>
            </w:pPr>
          </w:p>
        </w:tc>
      </w:tr>
      <w:tr>
        <w:trPr>
          <w:trHeight w:val="290"/>
        </w:trPr>
        <w:tc>
          <w:tcPr>
            <w:tcW w:w="1160" w:type="dxa"/>
            <w:vAlign w:val="bottom"/>
          </w:tcPr>
          <w:p>
            <w:pPr>
              <w:ind w:left="500"/>
              <w:spacing w:after="0"/>
              <w:rPr>
                <w:sz w:val="20"/>
                <w:szCs w:val="20"/>
                <w:color w:val="auto"/>
              </w:rPr>
            </w:pPr>
            <w:r>
              <w:rPr>
                <w:rFonts w:ascii="Arial" w:cs="Arial" w:eastAsia="Arial" w:hAnsi="Arial"/>
                <w:sz w:val="18"/>
                <w:szCs w:val="18"/>
                <w:color w:val="auto"/>
              </w:rPr>
              <w:t>2.</w:t>
            </w:r>
          </w:p>
        </w:tc>
        <w:tc>
          <w:tcPr>
            <w:tcW w:w="1420" w:type="dxa"/>
            <w:vAlign w:val="bottom"/>
          </w:tcPr>
          <w:p>
            <w:pPr>
              <w:ind w:left="220"/>
              <w:spacing w:after="0"/>
              <w:rPr>
                <w:sz w:val="20"/>
                <w:szCs w:val="20"/>
                <w:color w:val="auto"/>
              </w:rPr>
            </w:pPr>
            <w:r>
              <w:rPr>
                <w:rFonts w:ascii="Arial" w:cs="Arial" w:eastAsia="Arial" w:hAnsi="Arial"/>
                <w:sz w:val="18"/>
                <w:szCs w:val="18"/>
                <w:color w:val="auto"/>
              </w:rPr>
              <w:t>Proposal 2</w:t>
            </w:r>
          </w:p>
        </w:tc>
        <w:tc>
          <w:tcPr>
            <w:tcW w:w="6800" w:type="dxa"/>
            <w:vAlign w:val="bottom"/>
            <w:gridSpan w:val="2"/>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c>
          <w:tcPr>
            <w:tcW w:w="188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9"/>
              </w:rPr>
              <w:t>FOR</w:t>
            </w:r>
          </w:p>
        </w:tc>
      </w:tr>
      <w:tr>
        <w:trPr>
          <w:trHeight w:val="217"/>
        </w:trPr>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0" w:type="dxa"/>
            <w:vAlign w:val="bottom"/>
            <w:gridSpan w:val="2"/>
          </w:tcPr>
          <w:p>
            <w:pPr>
              <w:ind w:left="360"/>
              <w:spacing w:after="0"/>
              <w:rPr>
                <w:sz w:val="20"/>
                <w:szCs w:val="20"/>
                <w:color w:val="auto"/>
              </w:rPr>
            </w:pPr>
            <w:r>
              <w:rPr>
                <w:rFonts w:ascii="Arial" w:cs="Arial" w:eastAsia="Arial" w:hAnsi="Arial"/>
                <w:sz w:val="18"/>
                <w:szCs w:val="18"/>
                <w:color w:val="auto"/>
              </w:rPr>
              <w:t>public accounting firm for fiscal 2020</w:t>
            </w:r>
          </w:p>
        </w:tc>
        <w:tc>
          <w:tcPr>
            <w:tcW w:w="1880" w:type="dxa"/>
            <w:vAlign w:val="bottom"/>
            <w:shd w:val="clear" w:color="auto" w:fill="EAEAEA"/>
          </w:tcPr>
          <w:p>
            <w:pPr>
              <w:spacing w:after="0"/>
              <w:rPr>
                <w:sz w:val="18"/>
                <w:szCs w:val="18"/>
                <w:color w:val="auto"/>
              </w:rPr>
            </w:pPr>
          </w:p>
        </w:tc>
      </w:tr>
      <w:tr>
        <w:trPr>
          <w:trHeight w:val="67"/>
        </w:trPr>
        <w:tc>
          <w:tcPr>
            <w:tcW w:w="1160" w:type="dxa"/>
            <w:vAlign w:val="bottom"/>
            <w:tcBorders>
              <w:bottom w:val="single" w:sz="8" w:color="EBEBEC"/>
            </w:tcBorders>
          </w:tcPr>
          <w:p>
            <w:pPr>
              <w:spacing w:after="0"/>
              <w:rPr>
                <w:sz w:val="5"/>
                <w:szCs w:val="5"/>
                <w:color w:val="auto"/>
              </w:rPr>
            </w:pPr>
          </w:p>
        </w:tc>
        <w:tc>
          <w:tcPr>
            <w:tcW w:w="1420" w:type="dxa"/>
            <w:vAlign w:val="bottom"/>
            <w:tcBorders>
              <w:bottom w:val="single" w:sz="8" w:color="EBEBEC"/>
            </w:tcBorders>
          </w:tcPr>
          <w:p>
            <w:pPr>
              <w:spacing w:after="0"/>
              <w:rPr>
                <w:sz w:val="5"/>
                <w:szCs w:val="5"/>
                <w:color w:val="auto"/>
              </w:rPr>
            </w:pPr>
          </w:p>
        </w:tc>
        <w:tc>
          <w:tcPr>
            <w:tcW w:w="6740" w:type="dxa"/>
            <w:vAlign w:val="bottom"/>
            <w:tcBorders>
              <w:bottom w:val="single" w:sz="8" w:color="EBEBEC"/>
            </w:tcBorders>
          </w:tcPr>
          <w:p>
            <w:pPr>
              <w:spacing w:after="0"/>
              <w:rPr>
                <w:sz w:val="5"/>
                <w:szCs w:val="5"/>
                <w:color w:val="auto"/>
              </w:rPr>
            </w:pPr>
          </w:p>
        </w:tc>
        <w:tc>
          <w:tcPr>
            <w:tcW w:w="60" w:type="dxa"/>
            <w:vAlign w:val="bottom"/>
          </w:tcPr>
          <w:p>
            <w:pPr>
              <w:spacing w:after="0"/>
              <w:rPr>
                <w:sz w:val="5"/>
                <w:szCs w:val="5"/>
                <w:color w:val="auto"/>
              </w:rPr>
            </w:pPr>
          </w:p>
        </w:tc>
        <w:tc>
          <w:tcPr>
            <w:tcW w:w="1880" w:type="dxa"/>
            <w:vAlign w:val="bottom"/>
            <w:tcBorders>
              <w:bottom w:val="single" w:sz="8" w:color="EAEAEA"/>
            </w:tcBorders>
            <w:shd w:val="clear" w:color="auto" w:fill="EAEAEA"/>
          </w:tcPr>
          <w:p>
            <w:pPr>
              <w:spacing w:after="0"/>
              <w:rPr>
                <w:sz w:val="5"/>
                <w:szCs w:val="5"/>
                <w:color w:val="auto"/>
              </w:rPr>
            </w:pPr>
          </w:p>
        </w:tc>
      </w:tr>
      <w:tr>
        <w:trPr>
          <w:trHeight w:val="304"/>
        </w:trPr>
        <w:tc>
          <w:tcPr>
            <w:tcW w:w="1160" w:type="dxa"/>
            <w:vAlign w:val="bottom"/>
          </w:tcPr>
          <w:p>
            <w:pPr>
              <w:ind w:left="500"/>
              <w:spacing w:after="0"/>
              <w:rPr>
                <w:sz w:val="20"/>
                <w:szCs w:val="20"/>
                <w:color w:val="auto"/>
              </w:rPr>
            </w:pPr>
            <w:r>
              <w:rPr>
                <w:rFonts w:ascii="Arial" w:cs="Arial" w:eastAsia="Arial" w:hAnsi="Arial"/>
                <w:sz w:val="18"/>
                <w:szCs w:val="18"/>
                <w:color w:val="auto"/>
              </w:rPr>
              <w:t>3.</w:t>
            </w:r>
          </w:p>
        </w:tc>
        <w:tc>
          <w:tcPr>
            <w:tcW w:w="1420" w:type="dxa"/>
            <w:vAlign w:val="bottom"/>
          </w:tcPr>
          <w:p>
            <w:pPr>
              <w:ind w:left="220"/>
              <w:spacing w:after="0"/>
              <w:rPr>
                <w:sz w:val="20"/>
                <w:szCs w:val="20"/>
                <w:color w:val="auto"/>
              </w:rPr>
            </w:pPr>
            <w:r>
              <w:rPr>
                <w:rFonts w:ascii="Arial" w:cs="Arial" w:eastAsia="Arial" w:hAnsi="Arial"/>
                <w:sz w:val="18"/>
                <w:szCs w:val="18"/>
                <w:color w:val="auto"/>
              </w:rPr>
              <w:t>Proposal 3</w:t>
            </w:r>
          </w:p>
        </w:tc>
        <w:tc>
          <w:tcPr>
            <w:tcW w:w="6800" w:type="dxa"/>
            <w:vAlign w:val="bottom"/>
            <w:gridSpan w:val="2"/>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c>
          <w:tcPr>
            <w:tcW w:w="188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9"/>
              </w:rPr>
              <w:t>FOR</w:t>
            </w:r>
          </w:p>
        </w:tc>
      </w:tr>
      <w:tr>
        <w:trPr>
          <w:trHeight w:val="108"/>
        </w:trPr>
        <w:tc>
          <w:tcPr>
            <w:tcW w:w="1160" w:type="dxa"/>
            <w:vAlign w:val="bottom"/>
            <w:tcBorders>
              <w:bottom w:val="single" w:sz="8" w:color="EBEBEC"/>
            </w:tcBorders>
          </w:tcPr>
          <w:p>
            <w:pPr>
              <w:spacing w:after="0"/>
              <w:rPr>
                <w:sz w:val="9"/>
                <w:szCs w:val="9"/>
                <w:color w:val="auto"/>
              </w:rPr>
            </w:pPr>
          </w:p>
        </w:tc>
        <w:tc>
          <w:tcPr>
            <w:tcW w:w="1420" w:type="dxa"/>
            <w:vAlign w:val="bottom"/>
            <w:tcBorders>
              <w:bottom w:val="single" w:sz="8" w:color="EBEBEC"/>
            </w:tcBorders>
          </w:tcPr>
          <w:p>
            <w:pPr>
              <w:spacing w:after="0"/>
              <w:rPr>
                <w:sz w:val="9"/>
                <w:szCs w:val="9"/>
                <w:color w:val="auto"/>
              </w:rPr>
            </w:pPr>
          </w:p>
        </w:tc>
        <w:tc>
          <w:tcPr>
            <w:tcW w:w="6740" w:type="dxa"/>
            <w:vAlign w:val="bottom"/>
            <w:tcBorders>
              <w:bottom w:val="single" w:sz="8" w:color="EBEBEC"/>
            </w:tcBorders>
          </w:tcPr>
          <w:p>
            <w:pPr>
              <w:spacing w:after="0"/>
              <w:rPr>
                <w:sz w:val="9"/>
                <w:szCs w:val="9"/>
                <w:color w:val="auto"/>
              </w:rPr>
            </w:pPr>
          </w:p>
        </w:tc>
        <w:tc>
          <w:tcPr>
            <w:tcW w:w="60" w:type="dxa"/>
            <w:vAlign w:val="bottom"/>
          </w:tcPr>
          <w:p>
            <w:pPr>
              <w:spacing w:after="0"/>
              <w:rPr>
                <w:sz w:val="9"/>
                <w:szCs w:val="9"/>
                <w:color w:val="auto"/>
              </w:rPr>
            </w:pPr>
          </w:p>
        </w:tc>
        <w:tc>
          <w:tcPr>
            <w:tcW w:w="1880" w:type="dxa"/>
            <w:vAlign w:val="bottom"/>
            <w:shd w:val="clear" w:color="auto" w:fill="EAEAEA"/>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-281940</wp:posOffset>
            </wp:positionV>
            <wp:extent cx="1200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-659130</wp:posOffset>
            </wp:positionV>
            <wp:extent cx="1200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22"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197" w:lineRule="exact"/>
        <w:rPr>
          <w:sz w:val="20"/>
          <w:szCs w:val="20"/>
          <w:color w:val="auto"/>
        </w:rPr>
      </w:pPr>
    </w:p>
    <w:p>
      <w:pPr>
        <w:jc w:val="right"/>
        <w:ind w:right="20"/>
        <w:spacing w:after="0"/>
        <w:tabs>
          <w:tab w:leader="none" w:pos="1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type w:val="continuous"/>
        </w:sectPr>
      </w:pPr>
    </w:p>
    <w:bookmarkStart w:id="9" w:name="page10"/>
    <w:bookmarkEnd w:id="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Directors</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Board of Directors is comprised of nine independent directors, including our Chairman, plus our President and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xml:space="preserve"> ”). The following table provides summary information about each director and whether the Board of Directors considers each director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independence standards. We have adopted majority voting with respect to the uncontested election of directors to the Board of Directors. See “Required Vote and Method of Counting– Majority Voting for Directors”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0075C9"/>
              </w:rPr>
              <w:t>Director</w:t>
            </w:r>
          </w:p>
        </w:tc>
        <w:tc>
          <w:tcPr>
            <w:tcW w:w="1160" w:type="dxa"/>
            <w:vAlign w:val="bottom"/>
            <w:tcBorders>
              <w:bottom w:val="single" w:sz="8" w:color="auto"/>
            </w:tcBorders>
            <w:shd w:val="clear" w:color="auto" w:fill="0075C9"/>
          </w:tcPr>
          <w:p>
            <w:pPr>
              <w:spacing w:after="0"/>
              <w:rPr>
                <w:sz w:val="13"/>
                <w:szCs w:val="13"/>
                <w:color w:val="auto"/>
              </w:rPr>
            </w:pPr>
          </w:p>
        </w:tc>
        <w:tc>
          <w:tcPr>
            <w:tcW w:w="2320" w:type="dxa"/>
            <w:vAlign w:val="bottom"/>
            <w:tcBorders>
              <w:bottom w:val="single" w:sz="8" w:color="auto"/>
            </w:tcBorders>
            <w:gridSpan w:val="2"/>
            <w:shd w:val="clear" w:color="auto" w:fill="0075C9"/>
          </w:tcPr>
          <w:p>
            <w:pPr>
              <w:ind w:left="800"/>
              <w:spacing w:after="0"/>
              <w:rPr>
                <w:sz w:val="20"/>
                <w:szCs w:val="20"/>
                <w:color w:val="auto"/>
              </w:rPr>
            </w:pPr>
            <w:r>
              <w:rPr>
                <w:rFonts w:ascii="Arial" w:cs="Arial" w:eastAsia="Arial" w:hAnsi="Arial"/>
                <w:sz w:val="13"/>
                <w:szCs w:val="13"/>
                <w:b w:val="1"/>
                <w:bCs w:val="1"/>
                <w:color w:val="FFFFFF"/>
              </w:rPr>
              <w:t>Committees</w:t>
            </w:r>
          </w:p>
        </w:tc>
        <w:tc>
          <w:tcPr>
            <w:tcW w:w="1160" w:type="dxa"/>
            <w:vAlign w:val="bottom"/>
            <w:tcBorders>
              <w:bottom w:val="single" w:sz="8" w:color="auto"/>
            </w:tcBorders>
            <w:shd w:val="clear" w:color="auto" w:fill="0075C9"/>
          </w:tcPr>
          <w:p>
            <w:pPr>
              <w:spacing w:after="0"/>
              <w:rPr>
                <w:sz w:val="13"/>
                <w:szCs w:val="13"/>
                <w:color w:val="auto"/>
              </w:rPr>
            </w:pPr>
          </w:p>
        </w:tc>
      </w:tr>
      <w:tr>
        <w:trPr>
          <w:trHeight w:val="142"/>
        </w:trPr>
        <w:tc>
          <w:tcPr>
            <w:tcW w:w="1560" w:type="dxa"/>
            <w:vAlign w:val="bottom"/>
            <w:tcBorders>
              <w:bottom w:val="single" w:sz="8" w:color="0075C9"/>
            </w:tcBorders>
          </w:tcPr>
          <w:p>
            <w:pPr>
              <w:spacing w:after="0" w:line="142" w:lineRule="exact"/>
              <w:rPr>
                <w:sz w:val="20"/>
                <w:szCs w:val="20"/>
                <w:color w:val="auto"/>
              </w:rPr>
            </w:pPr>
            <w:r>
              <w:rPr>
                <w:rFonts w:ascii="Arial" w:cs="Arial" w:eastAsia="Arial" w:hAnsi="Arial"/>
                <w:sz w:val="13"/>
                <w:szCs w:val="13"/>
                <w:b w:val="1"/>
                <w:bCs w:val="1"/>
                <w:color w:val="0075C9"/>
              </w:rPr>
              <w:t>Director</w:t>
            </w:r>
          </w:p>
        </w:tc>
        <w:tc>
          <w:tcPr>
            <w:tcW w:w="360" w:type="dxa"/>
            <w:vAlign w:val="bottom"/>
            <w:tcBorders>
              <w:bottom w:val="single" w:sz="8" w:color="0075C9"/>
            </w:tcBorders>
          </w:tcPr>
          <w:p>
            <w:pPr>
              <w:spacing w:after="0"/>
              <w:rPr>
                <w:sz w:val="12"/>
                <w:szCs w:val="12"/>
                <w:color w:val="auto"/>
              </w:rPr>
            </w:pPr>
          </w:p>
        </w:tc>
        <w:tc>
          <w:tcPr>
            <w:tcW w:w="2120" w:type="dxa"/>
            <w:vAlign w:val="bottom"/>
            <w:tcBorders>
              <w:bottom w:val="single" w:sz="8" w:color="0075C9"/>
            </w:tcBorders>
          </w:tcPr>
          <w:p>
            <w:pPr>
              <w:ind w:left="760"/>
              <w:spacing w:after="0" w:line="142" w:lineRule="exact"/>
              <w:rPr>
                <w:sz w:val="20"/>
                <w:szCs w:val="20"/>
                <w:color w:val="auto"/>
              </w:rPr>
            </w:pPr>
            <w:r>
              <w:rPr>
                <w:rFonts w:ascii="Arial" w:cs="Arial" w:eastAsia="Arial" w:hAnsi="Arial"/>
                <w:sz w:val="13"/>
                <w:szCs w:val="13"/>
                <w:b w:val="1"/>
                <w:bCs w:val="1"/>
                <w:color w:val="0075C9"/>
              </w:rPr>
              <w:t>Positions</w:t>
            </w:r>
          </w:p>
        </w:tc>
        <w:tc>
          <w:tcPr>
            <w:tcW w:w="620" w:type="dxa"/>
            <w:vAlign w:val="bottom"/>
            <w:tcBorders>
              <w:bottom w:val="single" w:sz="8" w:color="0075C9"/>
            </w:tcBorders>
          </w:tcPr>
          <w:p>
            <w:pPr>
              <w:jc w:val="center"/>
              <w:spacing w:after="0" w:line="142" w:lineRule="exact"/>
              <w:rPr>
                <w:sz w:val="20"/>
                <w:szCs w:val="20"/>
                <w:color w:val="auto"/>
              </w:rPr>
            </w:pPr>
            <w:r>
              <w:rPr>
                <w:rFonts w:ascii="Arial" w:cs="Arial" w:eastAsia="Arial" w:hAnsi="Arial"/>
                <w:sz w:val="13"/>
                <w:szCs w:val="13"/>
                <w:b w:val="1"/>
                <w:bCs w:val="1"/>
                <w:color w:val="0075C9"/>
                <w:w w:val="97"/>
              </w:rPr>
              <w:t>Age</w:t>
            </w:r>
          </w:p>
        </w:tc>
        <w:tc>
          <w:tcPr>
            <w:tcW w:w="1140" w:type="dxa"/>
            <w:vAlign w:val="bottom"/>
            <w:tcBorders>
              <w:bottom w:val="single" w:sz="8" w:color="0075C9"/>
            </w:tcBorders>
          </w:tcPr>
          <w:p>
            <w:pPr>
              <w:jc w:val="center"/>
              <w:spacing w:after="0" w:line="142" w:lineRule="exact"/>
              <w:rPr>
                <w:sz w:val="20"/>
                <w:szCs w:val="20"/>
                <w:color w:val="auto"/>
              </w:rPr>
            </w:pPr>
            <w:r>
              <w:rPr>
                <w:rFonts w:ascii="Arial" w:cs="Arial" w:eastAsia="Arial" w:hAnsi="Arial"/>
                <w:sz w:val="13"/>
                <w:szCs w:val="13"/>
                <w:b w:val="1"/>
                <w:bCs w:val="1"/>
                <w:color w:val="0075C9"/>
                <w:w w:val="98"/>
              </w:rPr>
              <w:t>Independent</w:t>
            </w:r>
          </w:p>
        </w:tc>
        <w:tc>
          <w:tcPr>
            <w:tcW w:w="800" w:type="dxa"/>
            <w:vAlign w:val="bottom"/>
            <w:tcBorders>
              <w:bottom w:val="single" w:sz="8" w:color="0075C9"/>
            </w:tcBorders>
          </w:tcPr>
          <w:p>
            <w:pPr>
              <w:jc w:val="center"/>
              <w:spacing w:after="0" w:line="142" w:lineRule="exact"/>
              <w:rPr>
                <w:sz w:val="20"/>
                <w:szCs w:val="20"/>
                <w:color w:val="auto"/>
              </w:rPr>
            </w:pPr>
            <w:r>
              <w:rPr>
                <w:rFonts w:ascii="Arial" w:cs="Arial" w:eastAsia="Arial" w:hAnsi="Arial"/>
                <w:sz w:val="13"/>
                <w:szCs w:val="13"/>
                <w:b w:val="1"/>
                <w:bCs w:val="1"/>
                <w:color w:val="0075C9"/>
                <w:w w:val="97"/>
              </w:rPr>
              <w:t>Since</w:t>
            </w:r>
          </w:p>
        </w:tc>
        <w:tc>
          <w:tcPr>
            <w:tcW w:w="1160" w:type="dxa"/>
            <w:vAlign w:val="bottom"/>
            <w:tcBorders>
              <w:bottom w:val="single" w:sz="8" w:color="0075C9"/>
            </w:tcBorders>
          </w:tcPr>
          <w:p>
            <w:pPr>
              <w:jc w:val="center"/>
              <w:spacing w:after="0" w:line="142" w:lineRule="exact"/>
              <w:rPr>
                <w:sz w:val="20"/>
                <w:szCs w:val="20"/>
                <w:color w:val="auto"/>
              </w:rPr>
            </w:pPr>
            <w:r>
              <w:rPr>
                <w:rFonts w:ascii="Arial" w:cs="Arial" w:eastAsia="Arial" w:hAnsi="Arial"/>
                <w:sz w:val="13"/>
                <w:szCs w:val="13"/>
                <w:b w:val="1"/>
                <w:bCs w:val="1"/>
                <w:color w:val="0075C9"/>
              </w:rPr>
              <w:t>Audit</w:t>
            </w:r>
          </w:p>
        </w:tc>
        <w:tc>
          <w:tcPr>
            <w:tcW w:w="1160" w:type="dxa"/>
            <w:vAlign w:val="bottom"/>
            <w:tcBorders>
              <w:bottom w:val="single" w:sz="8" w:color="0075C9"/>
            </w:tcBorders>
          </w:tcPr>
          <w:p>
            <w:pPr>
              <w:jc w:val="center"/>
              <w:spacing w:after="0" w:line="142" w:lineRule="exact"/>
              <w:rPr>
                <w:sz w:val="20"/>
                <w:szCs w:val="20"/>
                <w:color w:val="auto"/>
              </w:rPr>
            </w:pPr>
            <w:r>
              <w:rPr>
                <w:rFonts w:ascii="Arial" w:cs="Arial" w:eastAsia="Arial" w:hAnsi="Arial"/>
                <w:sz w:val="13"/>
                <w:szCs w:val="13"/>
                <w:b w:val="1"/>
                <w:bCs w:val="1"/>
                <w:color w:val="0075C9"/>
                <w:w w:val="95"/>
              </w:rPr>
              <w:t>Compensation</w:t>
            </w:r>
          </w:p>
        </w:tc>
        <w:tc>
          <w:tcPr>
            <w:tcW w:w="1160" w:type="dxa"/>
            <w:vAlign w:val="bottom"/>
            <w:tcBorders>
              <w:bottom w:val="single" w:sz="8" w:color="0075C9"/>
            </w:tcBorders>
          </w:tcPr>
          <w:p>
            <w:pPr>
              <w:jc w:val="center"/>
              <w:spacing w:after="0" w:line="142" w:lineRule="exact"/>
              <w:rPr>
                <w:sz w:val="20"/>
                <w:szCs w:val="20"/>
                <w:color w:val="auto"/>
              </w:rPr>
            </w:pPr>
            <w:r>
              <w:rPr>
                <w:rFonts w:ascii="Arial" w:cs="Arial" w:eastAsia="Arial" w:hAnsi="Arial"/>
                <w:sz w:val="13"/>
                <w:szCs w:val="13"/>
                <w:b w:val="1"/>
                <w:bCs w:val="1"/>
                <w:color w:val="0075C9"/>
                <w:w w:val="96"/>
              </w:rPr>
              <w:t>Sustainability</w:t>
            </w:r>
          </w:p>
        </w:tc>
        <w:tc>
          <w:tcPr>
            <w:tcW w:w="1160" w:type="dxa"/>
            <w:vAlign w:val="bottom"/>
            <w:tcBorders>
              <w:bottom w:val="single" w:sz="8" w:color="0075C9"/>
            </w:tcBorders>
          </w:tcPr>
          <w:p>
            <w:pPr>
              <w:jc w:val="center"/>
              <w:spacing w:after="0" w:line="142" w:lineRule="exact"/>
              <w:rPr>
                <w:sz w:val="20"/>
                <w:szCs w:val="20"/>
                <w:color w:val="auto"/>
              </w:rPr>
            </w:pPr>
            <w:r>
              <w:rPr>
                <w:rFonts w:ascii="Arial" w:cs="Arial" w:eastAsia="Arial" w:hAnsi="Arial"/>
                <w:sz w:val="13"/>
                <w:szCs w:val="13"/>
                <w:b w:val="1"/>
                <w:bCs w:val="1"/>
                <w:color w:val="0075C9"/>
                <w:w w:val="98"/>
              </w:rPr>
              <w:t>Governance</w:t>
            </w:r>
          </w:p>
        </w:tc>
      </w:tr>
      <w:tr>
        <w:trPr>
          <w:trHeight w:val="155"/>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William E. Albrecht</w:t>
            </w:r>
          </w:p>
        </w:tc>
        <w:tc>
          <w:tcPr>
            <w:tcW w:w="360" w:type="dxa"/>
            <w:vAlign w:val="bottom"/>
            <w:shd w:val="clear" w:color="auto" w:fill="EBEBEC"/>
          </w:tcPr>
          <w:p>
            <w:pPr>
              <w:spacing w:after="0"/>
              <w:rPr>
                <w:sz w:val="13"/>
                <w:szCs w:val="13"/>
                <w:color w:val="auto"/>
              </w:rPr>
            </w:pPr>
          </w:p>
        </w:tc>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Chairman</w:t>
            </w: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68</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2014</w:t>
            </w:r>
          </w:p>
        </w:tc>
        <w:tc>
          <w:tcPr>
            <w:tcW w:w="1160" w:type="dxa"/>
            <w:vAlign w:val="bottom"/>
            <w:shd w:val="clear" w:color="auto" w:fill="EBEBEC"/>
          </w:tcPr>
          <w:p>
            <w:pPr>
              <w:spacing w:after="0"/>
              <w:rPr>
                <w:sz w:val="13"/>
                <w:szCs w:val="13"/>
                <w:color w:val="auto"/>
              </w:rPr>
            </w:pPr>
          </w:p>
        </w:tc>
        <w:tc>
          <w:tcPr>
            <w:tcW w:w="1160" w:type="dxa"/>
            <w:vAlign w:val="bottom"/>
            <w:shd w:val="clear" w:color="auto" w:fill="EBEBEC"/>
          </w:tcPr>
          <w:p>
            <w:pPr>
              <w:spacing w:after="0"/>
              <w:rPr>
                <w:sz w:val="13"/>
                <w:szCs w:val="13"/>
                <w:color w:val="auto"/>
              </w:rPr>
            </w:pPr>
          </w:p>
        </w:tc>
        <w:tc>
          <w:tcPr>
            <w:tcW w:w="1160" w:type="dxa"/>
            <w:vAlign w:val="bottom"/>
            <w:shd w:val="clear" w:color="auto" w:fill="EBEBEC"/>
          </w:tcPr>
          <w:p>
            <w:pPr>
              <w:spacing w:after="0"/>
              <w:rPr>
                <w:sz w:val="13"/>
                <w:szCs w:val="13"/>
                <w:color w:val="auto"/>
              </w:rPr>
            </w:pPr>
          </w:p>
        </w:tc>
        <w:tc>
          <w:tcPr>
            <w:tcW w:w="1160" w:type="dxa"/>
            <w:vAlign w:val="bottom"/>
            <w:shd w:val="clear" w:color="auto" w:fill="EBEBEC"/>
          </w:tcPr>
          <w:p>
            <w:pPr>
              <w:spacing w:after="0"/>
              <w:rPr>
                <w:sz w:val="13"/>
                <w:szCs w:val="13"/>
                <w:color w:val="auto"/>
              </w:rPr>
            </w:pPr>
          </w:p>
        </w:tc>
      </w:tr>
      <w:tr>
        <w:trPr>
          <w:trHeight w:val="176"/>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Justin A. Gannon</w:t>
            </w:r>
          </w:p>
        </w:tc>
        <w:tc>
          <w:tcPr>
            <w:tcW w:w="360" w:type="dxa"/>
            <w:vAlign w:val="bottom"/>
            <w:shd w:val="clear" w:color="auto" w:fill="EBEBEC"/>
          </w:tcPr>
          <w:p>
            <w:pPr>
              <w:spacing w:after="0"/>
              <w:rPr>
                <w:sz w:val="15"/>
                <w:szCs w:val="15"/>
                <w:color w:val="auto"/>
              </w:rPr>
            </w:pPr>
          </w:p>
        </w:tc>
        <w:tc>
          <w:tcPr>
            <w:tcW w:w="212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70</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2014</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spacing w:after="0"/>
              <w:rPr>
                <w:sz w:val="15"/>
                <w:szCs w:val="15"/>
                <w:color w:val="auto"/>
              </w:rPr>
            </w:pPr>
          </w:p>
        </w:tc>
      </w:tr>
      <w:tr>
        <w:trPr>
          <w:trHeight w:val="175"/>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Harold M. Korell *</w:t>
            </w:r>
          </w:p>
        </w:tc>
        <w:tc>
          <w:tcPr>
            <w:tcW w:w="360" w:type="dxa"/>
            <w:vAlign w:val="bottom"/>
            <w:shd w:val="clear" w:color="auto" w:fill="EBEBEC"/>
          </w:tcPr>
          <w:p>
            <w:pPr>
              <w:spacing w:after="0"/>
              <w:rPr>
                <w:sz w:val="15"/>
                <w:szCs w:val="15"/>
                <w:color w:val="auto"/>
              </w:rPr>
            </w:pPr>
          </w:p>
        </w:tc>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Lead Independent Director</w:t>
            </w: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75</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2014</w:t>
            </w: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r>
      <w:tr>
        <w:trPr>
          <w:trHeight w:val="176"/>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Harry T. McMahon</w:t>
            </w:r>
          </w:p>
        </w:tc>
        <w:tc>
          <w:tcPr>
            <w:tcW w:w="360" w:type="dxa"/>
            <w:vAlign w:val="bottom"/>
            <w:shd w:val="clear" w:color="auto" w:fill="EBEBEC"/>
          </w:tcPr>
          <w:p>
            <w:pPr>
              <w:spacing w:after="0"/>
              <w:rPr>
                <w:sz w:val="15"/>
                <w:szCs w:val="15"/>
                <w:color w:val="auto"/>
              </w:rPr>
            </w:pPr>
          </w:p>
        </w:tc>
        <w:tc>
          <w:tcPr>
            <w:tcW w:w="212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66</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2017</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spacing w:after="0"/>
              <w:rPr>
                <w:sz w:val="15"/>
                <w:szCs w:val="15"/>
                <w:color w:val="auto"/>
              </w:rPr>
            </w:pPr>
          </w:p>
        </w:tc>
      </w:tr>
      <w:tr>
        <w:trPr>
          <w:trHeight w:val="175"/>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Richard W. Moncrief</w:t>
            </w:r>
          </w:p>
        </w:tc>
        <w:tc>
          <w:tcPr>
            <w:tcW w:w="360" w:type="dxa"/>
            <w:vAlign w:val="bottom"/>
            <w:shd w:val="clear" w:color="auto" w:fill="EBEBEC"/>
          </w:tcPr>
          <w:p>
            <w:pPr>
              <w:spacing w:after="0"/>
              <w:rPr>
                <w:sz w:val="15"/>
                <w:szCs w:val="15"/>
                <w:color w:val="auto"/>
              </w:rPr>
            </w:pPr>
          </w:p>
        </w:tc>
        <w:tc>
          <w:tcPr>
            <w:tcW w:w="212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77</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2014</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60" w:type="dxa"/>
            <w:vAlign w:val="bottom"/>
            <w:shd w:val="clear" w:color="auto" w:fill="EBEBEC"/>
          </w:tcPr>
          <w:p>
            <w:pPr>
              <w:spacing w:after="0"/>
              <w:rPr>
                <w:sz w:val="15"/>
                <w:szCs w:val="15"/>
                <w:color w:val="auto"/>
              </w:rPr>
            </w:pPr>
          </w:p>
        </w:tc>
      </w:tr>
      <w:tr>
        <w:trPr>
          <w:trHeight w:val="176"/>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Avedick B. Poladian</w:t>
            </w:r>
          </w:p>
        </w:tc>
        <w:tc>
          <w:tcPr>
            <w:tcW w:w="360" w:type="dxa"/>
            <w:vAlign w:val="bottom"/>
            <w:shd w:val="clear" w:color="auto" w:fill="EBEBEC"/>
          </w:tcPr>
          <w:p>
            <w:pPr>
              <w:spacing w:after="0"/>
              <w:rPr>
                <w:sz w:val="15"/>
                <w:szCs w:val="15"/>
                <w:color w:val="auto"/>
              </w:rPr>
            </w:pPr>
          </w:p>
        </w:tc>
        <w:tc>
          <w:tcPr>
            <w:tcW w:w="212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68</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2014</w:t>
            </w: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r>
      <w:tr>
        <w:trPr>
          <w:trHeight w:val="176"/>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Anita M. Powers</w:t>
            </w:r>
          </w:p>
        </w:tc>
        <w:tc>
          <w:tcPr>
            <w:tcW w:w="360" w:type="dxa"/>
            <w:vAlign w:val="bottom"/>
            <w:shd w:val="clear" w:color="auto" w:fill="EBEBEC"/>
          </w:tcPr>
          <w:p>
            <w:pPr>
              <w:spacing w:after="0"/>
              <w:rPr>
                <w:sz w:val="15"/>
                <w:szCs w:val="15"/>
                <w:color w:val="auto"/>
              </w:rPr>
            </w:pPr>
          </w:p>
        </w:tc>
        <w:tc>
          <w:tcPr>
            <w:tcW w:w="212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64</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2017</w:t>
            </w: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5"/>
                <w:szCs w:val="15"/>
                <w:color w:val="auto"/>
              </w:rPr>
            </w:pPr>
          </w:p>
        </w:tc>
      </w:tr>
      <w:tr>
        <w:trPr>
          <w:trHeight w:val="175"/>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Laurie A. Siegel</w:t>
            </w:r>
          </w:p>
        </w:tc>
        <w:tc>
          <w:tcPr>
            <w:tcW w:w="360" w:type="dxa"/>
            <w:vAlign w:val="bottom"/>
            <w:shd w:val="clear" w:color="auto" w:fill="EBEBEC"/>
          </w:tcPr>
          <w:p>
            <w:pPr>
              <w:spacing w:after="0"/>
              <w:rPr>
                <w:sz w:val="15"/>
                <w:szCs w:val="15"/>
                <w:color w:val="auto"/>
              </w:rPr>
            </w:pPr>
          </w:p>
        </w:tc>
        <w:tc>
          <w:tcPr>
            <w:tcW w:w="212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64</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2018</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5"/>
                <w:szCs w:val="15"/>
                <w:color w:val="auto"/>
              </w:rPr>
            </w:pPr>
          </w:p>
        </w:tc>
        <w:tc>
          <w:tcPr>
            <w:tcW w:w="1160" w:type="dxa"/>
            <w:vAlign w:val="bottom"/>
            <w:shd w:val="clear" w:color="auto" w:fill="EBEBEC"/>
          </w:tcPr>
          <w:p>
            <w:pPr>
              <w:spacing w:after="0"/>
              <w:rPr>
                <w:sz w:val="15"/>
                <w:szCs w:val="15"/>
                <w:color w:val="auto"/>
              </w:rPr>
            </w:pPr>
          </w:p>
        </w:tc>
      </w:tr>
      <w:tr>
        <w:trPr>
          <w:trHeight w:val="188"/>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Robert V. Sinnott</w:t>
            </w:r>
          </w:p>
        </w:tc>
        <w:tc>
          <w:tcPr>
            <w:tcW w:w="360" w:type="dxa"/>
            <w:vAlign w:val="bottom"/>
            <w:shd w:val="clear" w:color="auto" w:fill="EBEBEC"/>
          </w:tcPr>
          <w:p>
            <w:pPr>
              <w:spacing w:after="0"/>
              <w:rPr>
                <w:sz w:val="16"/>
                <w:szCs w:val="16"/>
                <w:color w:val="auto"/>
              </w:rPr>
            </w:pPr>
          </w:p>
        </w:tc>
        <w:tc>
          <w:tcPr>
            <w:tcW w:w="2120" w:type="dxa"/>
            <w:vAlign w:val="bottom"/>
            <w:shd w:val="clear" w:color="auto" w:fill="EBEBEC"/>
          </w:tcPr>
          <w:p>
            <w:pPr>
              <w:spacing w:after="0"/>
              <w:rPr>
                <w:sz w:val="16"/>
                <w:szCs w:val="16"/>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70</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2014</w:t>
            </w:r>
          </w:p>
        </w:tc>
        <w:tc>
          <w:tcPr>
            <w:tcW w:w="116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r>
      <w:tr>
        <w:trPr>
          <w:trHeight w:val="163"/>
        </w:trPr>
        <w:tc>
          <w:tcPr>
            <w:tcW w:w="1560" w:type="dxa"/>
            <w:vAlign w:val="bottom"/>
            <w:shd w:val="clear" w:color="auto" w:fill="EBEBEC"/>
          </w:tcPr>
          <w:p>
            <w:pPr>
              <w:spacing w:after="0"/>
              <w:rPr>
                <w:sz w:val="20"/>
                <w:szCs w:val="20"/>
                <w:color w:val="auto"/>
              </w:rPr>
            </w:pPr>
            <w:r>
              <w:rPr>
                <w:rFonts w:ascii="Arial" w:cs="Arial" w:eastAsia="Arial" w:hAnsi="Arial"/>
                <w:sz w:val="13"/>
                <w:szCs w:val="13"/>
                <w:color w:val="auto"/>
              </w:rPr>
              <w:t>Todd A. Stevens</w:t>
            </w:r>
          </w:p>
        </w:tc>
        <w:tc>
          <w:tcPr>
            <w:tcW w:w="360" w:type="dxa"/>
            <w:vAlign w:val="bottom"/>
            <w:shd w:val="clear" w:color="auto" w:fill="EBEBEC"/>
          </w:tcPr>
          <w:p>
            <w:pPr>
              <w:spacing w:after="0"/>
              <w:rPr>
                <w:sz w:val="14"/>
                <w:szCs w:val="14"/>
                <w:color w:val="auto"/>
              </w:rPr>
            </w:pPr>
          </w:p>
        </w:tc>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President &amp; CEO</w:t>
            </w:r>
          </w:p>
        </w:tc>
        <w:tc>
          <w:tcPr>
            <w:tcW w:w="6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53</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8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2014</w:t>
            </w:r>
          </w:p>
        </w:tc>
        <w:tc>
          <w:tcPr>
            <w:tcW w:w="1160" w:type="dxa"/>
            <w:vAlign w:val="bottom"/>
            <w:shd w:val="clear" w:color="auto" w:fill="EBEBEC"/>
          </w:tcPr>
          <w:p>
            <w:pPr>
              <w:spacing w:after="0"/>
              <w:rPr>
                <w:sz w:val="14"/>
                <w:szCs w:val="14"/>
                <w:color w:val="auto"/>
              </w:rPr>
            </w:pPr>
          </w:p>
        </w:tc>
        <w:tc>
          <w:tcPr>
            <w:tcW w:w="1160" w:type="dxa"/>
            <w:vAlign w:val="bottom"/>
            <w:shd w:val="clear" w:color="auto" w:fill="EBEBEC"/>
          </w:tcPr>
          <w:p>
            <w:pPr>
              <w:spacing w:after="0"/>
              <w:rPr>
                <w:sz w:val="14"/>
                <w:szCs w:val="14"/>
                <w:color w:val="auto"/>
              </w:rPr>
            </w:pPr>
          </w:p>
        </w:tc>
        <w:tc>
          <w:tcPr>
            <w:tcW w:w="1160" w:type="dxa"/>
            <w:vAlign w:val="bottom"/>
            <w:shd w:val="clear" w:color="auto" w:fill="EBEBEC"/>
          </w:tcPr>
          <w:p>
            <w:pPr>
              <w:spacing w:after="0"/>
              <w:rPr>
                <w:sz w:val="14"/>
                <w:szCs w:val="14"/>
                <w:color w:val="auto"/>
              </w:rPr>
            </w:pPr>
          </w:p>
        </w:tc>
        <w:tc>
          <w:tcPr>
            <w:tcW w:w="116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 Mr. Korell is not standing for reelection, and his term will expire at the 2020 Annual Meeting.</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0075C9"/>
        </w:rPr>
        <w:t>Corporate Governance Highlights</w:t>
      </w:r>
    </w:p>
    <w:p>
      <w:pPr>
        <w:spacing w:after="0" w:line="82" w:lineRule="exact"/>
        <w:rPr>
          <w:sz w:val="20"/>
          <w:szCs w:val="20"/>
          <w:color w:val="auto"/>
        </w:rPr>
      </w:pPr>
    </w:p>
    <w:p>
      <w:pPr>
        <w:ind w:left="620" w:right="76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Majority vote standard. </w:t>
      </w:r>
      <w:r>
        <w:rPr>
          <w:rFonts w:ascii="Arial" w:cs="Arial" w:eastAsia="Arial" w:hAnsi="Arial"/>
          <w:sz w:val="18"/>
          <w:szCs w:val="18"/>
          <w:color w:val="auto"/>
        </w:rPr>
        <w:t>Our Bylaws provide that each director must be elected by a majority of votes cast, not a plurality, in</w:t>
      </w:r>
      <w:r>
        <w:rPr>
          <w:rFonts w:ascii="Arial" w:cs="Arial" w:eastAsia="Arial" w:hAnsi="Arial"/>
          <w:sz w:val="18"/>
          <w:szCs w:val="18"/>
          <w:b w:val="1"/>
          <w:bCs w:val="1"/>
          <w:color w:val="auto"/>
        </w:rPr>
        <w:t xml:space="preserve"> </w:t>
      </w:r>
      <w:r>
        <w:rPr>
          <w:rFonts w:ascii="Arial" w:cs="Arial" w:eastAsia="Arial" w:hAnsi="Arial"/>
          <w:sz w:val="18"/>
          <w:szCs w:val="18"/>
          <w:color w:val="auto"/>
        </w:rPr>
        <w:t>uncontested elections.</w:t>
      </w:r>
    </w:p>
    <w:p>
      <w:pPr>
        <w:spacing w:after="0" w:line="45" w:lineRule="exact"/>
        <w:rPr>
          <w:rFonts w:ascii="MS PGothic" w:cs="MS PGothic" w:eastAsia="MS PGothic" w:hAnsi="MS PGothic"/>
          <w:sz w:val="18"/>
          <w:szCs w:val="18"/>
          <w:color w:val="0075C9"/>
        </w:rPr>
      </w:pPr>
    </w:p>
    <w:p>
      <w:pPr>
        <w:ind w:left="620" w:right="46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The Board expanded our Insider Trading Policy to specifically address the hedging or</w:t>
      </w:r>
      <w:r>
        <w:rPr>
          <w:rFonts w:ascii="Arial" w:cs="Arial" w:eastAsia="Arial" w:hAnsi="Arial"/>
          <w:sz w:val="18"/>
          <w:szCs w:val="18"/>
          <w:b w:val="1"/>
          <w:bCs w:val="1"/>
          <w:color w:val="auto"/>
        </w:rPr>
        <w:t xml:space="preserve"> </w:t>
      </w:r>
      <w:r>
        <w:rPr>
          <w:rFonts w:ascii="Arial" w:cs="Arial" w:eastAsia="Arial" w:hAnsi="Arial"/>
          <w:sz w:val="18"/>
          <w:szCs w:val="18"/>
          <w:color w:val="auto"/>
        </w:rPr>
        <w:t>pledging of our securities.</w:t>
      </w:r>
    </w:p>
    <w:p>
      <w:pPr>
        <w:spacing w:after="0" w:line="45" w:lineRule="exact"/>
        <w:rPr>
          <w:rFonts w:ascii="MS PGothic" w:cs="MS PGothic" w:eastAsia="MS PGothic" w:hAnsi="MS PGothic"/>
          <w:sz w:val="18"/>
          <w:szCs w:val="18"/>
          <w:color w:val="0075C9"/>
        </w:rPr>
      </w:pPr>
    </w:p>
    <w:p>
      <w:pPr>
        <w:ind w:left="620" w:right="14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The Board implemented a policy to restrict directors who are currently sitting CEOs of public companies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more than two other public company boards without approval, subject to a related company analysis, as applicable.</w:t>
      </w:r>
    </w:p>
    <w:p>
      <w:pPr>
        <w:spacing w:after="0" w:line="45" w:lineRule="exact"/>
        <w:rPr>
          <w:rFonts w:ascii="MS PGothic" w:cs="MS PGothic" w:eastAsia="MS PGothic" w:hAnsi="MS PGothic"/>
          <w:sz w:val="18"/>
          <w:szCs w:val="18"/>
          <w:color w:val="0075C9"/>
        </w:rPr>
      </w:pPr>
    </w:p>
    <w:p>
      <w:pPr>
        <w:ind w:left="620" w:right="18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The Board adopted a comprehensive, standalone policy that covers cash, equity, equity-based and other awards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incentive compensation programs.</w:t>
      </w:r>
    </w:p>
    <w:p>
      <w:pPr>
        <w:spacing w:after="0" w:line="45" w:lineRule="exact"/>
        <w:rPr>
          <w:rFonts w:ascii="MS PGothic" w:cs="MS PGothic" w:eastAsia="MS PGothic" w:hAnsi="MS PGothic"/>
          <w:sz w:val="18"/>
          <w:szCs w:val="18"/>
          <w:color w:val="0075C9"/>
        </w:rPr>
      </w:pPr>
    </w:p>
    <w:p>
      <w:pPr>
        <w:ind w:left="620" w:hanging="410"/>
        <w:spacing w:after="0"/>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117" w:lineRule="exact"/>
        <w:rPr>
          <w:rFonts w:ascii="MS PGothic" w:cs="MS PGothic" w:eastAsia="MS PGothic" w:hAnsi="MS PGothic"/>
          <w:sz w:val="18"/>
          <w:szCs w:val="18"/>
          <w:color w:val="0075C9"/>
        </w:rPr>
      </w:pPr>
    </w:p>
    <w:p>
      <w:pPr>
        <w:ind w:left="620" w:hanging="410"/>
        <w:spacing w:after="0"/>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Separate Chairman of the Board and CEO.</w:t>
      </w:r>
    </w:p>
    <w:p>
      <w:pPr>
        <w:spacing w:after="0" w:line="117" w:lineRule="exact"/>
        <w:rPr>
          <w:rFonts w:ascii="MS PGothic" w:cs="MS PGothic" w:eastAsia="MS PGothic" w:hAnsi="MS PGothic"/>
          <w:sz w:val="18"/>
          <w:szCs w:val="18"/>
          <w:color w:val="0075C9"/>
        </w:rPr>
      </w:pPr>
    </w:p>
    <w:p>
      <w:pPr>
        <w:ind w:left="620" w:right="24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9 out of 10 Board members are independent. </w:t>
      </w:r>
      <w:r>
        <w:rPr>
          <w:rFonts w:ascii="Arial" w:cs="Arial" w:eastAsia="Arial" w:hAnsi="Arial"/>
          <w:sz w:val="18"/>
          <w:szCs w:val="18"/>
          <w:color w:val="auto"/>
        </w:rPr>
        <w:t>The Board has determined 9 out of 10 Board members are independent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NYSE listing standards.</w:t>
      </w:r>
    </w:p>
    <w:p>
      <w:pPr>
        <w:spacing w:after="0" w:line="45" w:lineRule="exact"/>
        <w:rPr>
          <w:rFonts w:ascii="MS PGothic" w:cs="MS PGothic" w:eastAsia="MS PGothic" w:hAnsi="MS PGothic"/>
          <w:sz w:val="18"/>
          <w:szCs w:val="18"/>
          <w:color w:val="0075C9"/>
        </w:rPr>
      </w:pPr>
    </w:p>
    <w:p>
      <w:pPr>
        <w:ind w:left="620" w:right="4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Each standing committee is made up of independent directors. Each standing committee operates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 written charter that has been approved by the Board and is available to stockholders.</w:t>
      </w:r>
    </w:p>
    <w:p>
      <w:pPr>
        <w:spacing w:after="0" w:line="45" w:lineRule="exact"/>
        <w:rPr>
          <w:rFonts w:ascii="MS PGothic" w:cs="MS PGothic" w:eastAsia="MS PGothic" w:hAnsi="MS PGothic"/>
          <w:sz w:val="18"/>
          <w:szCs w:val="18"/>
          <w:color w:val="0075C9"/>
        </w:rPr>
      </w:pPr>
    </w:p>
    <w:p>
      <w:pPr>
        <w:ind w:left="620" w:hanging="410"/>
        <w:spacing w:after="0"/>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Each committee has the authority to retain independent advisors.</w:t>
      </w:r>
    </w:p>
    <w:p>
      <w:pPr>
        <w:spacing w:after="0" w:line="117" w:lineRule="exact"/>
        <w:rPr>
          <w:rFonts w:ascii="MS PGothic" w:cs="MS PGothic" w:eastAsia="MS PGothic" w:hAnsi="MS PGothic"/>
          <w:sz w:val="18"/>
          <w:szCs w:val="18"/>
          <w:color w:val="0075C9"/>
        </w:rPr>
      </w:pPr>
    </w:p>
    <w:p>
      <w:pPr>
        <w:ind w:left="620" w:right="14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2019, the independent directors held executive sessions on the day of</w:t>
      </w:r>
      <w:r>
        <w:rPr>
          <w:rFonts w:ascii="Arial" w:cs="Arial" w:eastAsia="Arial" w:hAnsi="Arial"/>
          <w:sz w:val="18"/>
          <w:szCs w:val="18"/>
          <w:b w:val="1"/>
          <w:bCs w:val="1"/>
          <w:color w:val="auto"/>
        </w:rPr>
        <w:t xml:space="preserve"> </w:t>
      </w:r>
      <w:r>
        <w:rPr>
          <w:rFonts w:ascii="Arial" w:cs="Arial" w:eastAsia="Arial" w:hAnsi="Arial"/>
          <w:sz w:val="18"/>
          <w:szCs w:val="18"/>
          <w:color w:val="auto"/>
        </w:rPr>
        <w:t>all regularly scheduled Board meetings.</w:t>
      </w:r>
    </w:p>
    <w:p>
      <w:pPr>
        <w:spacing w:after="0" w:line="45" w:lineRule="exact"/>
        <w:rPr>
          <w:rFonts w:ascii="MS PGothic" w:cs="MS PGothic" w:eastAsia="MS PGothic" w:hAnsi="MS PGothic"/>
          <w:sz w:val="18"/>
          <w:szCs w:val="18"/>
          <w:color w:val="0075C9"/>
        </w:rPr>
      </w:pPr>
    </w:p>
    <w:p>
      <w:pPr>
        <w:ind w:left="620" w:hanging="410"/>
        <w:spacing w:after="0"/>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No stockholder rights plan (“poison pill”) in effect.</w:t>
      </w:r>
    </w:p>
    <w:p>
      <w:pPr>
        <w:spacing w:after="0" w:line="117" w:lineRule="exact"/>
        <w:rPr>
          <w:rFonts w:ascii="MS PGothic" w:cs="MS PGothic" w:eastAsia="MS PGothic" w:hAnsi="MS PGothic"/>
          <w:sz w:val="18"/>
          <w:szCs w:val="18"/>
          <w:color w:val="0075C9"/>
        </w:rPr>
      </w:pPr>
    </w:p>
    <w:p>
      <w:pPr>
        <w:ind w:left="620" w:right="96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 of its performance.</w:t>
      </w:r>
    </w:p>
    <w:p>
      <w:pPr>
        <w:spacing w:after="0" w:line="45" w:lineRule="exact"/>
        <w:rPr>
          <w:rFonts w:ascii="MS PGothic" w:cs="MS PGothic" w:eastAsia="MS PGothic" w:hAnsi="MS PGothic"/>
          <w:sz w:val="18"/>
          <w:szCs w:val="18"/>
          <w:color w:val="0075C9"/>
        </w:rPr>
      </w:pPr>
    </w:p>
    <w:p>
      <w:pPr>
        <w:ind w:left="620" w:right="520" w:hanging="410"/>
        <w:spacing w:after="0" w:line="271" w:lineRule="auto"/>
        <w:tabs>
          <w:tab w:leader="none" w:pos="62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periodically reviews succession planning for the CEO.</w:t>
      </w:r>
    </w:p>
    <w:p>
      <w:pPr>
        <w:spacing w:after="0" w:line="17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0" w:name="page11"/>
    <w:bookmarkEnd w:id="1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Business Performance Highlights</w:t>
      </w:r>
    </w:p>
    <w:p>
      <w:pPr>
        <w:spacing w:after="0" w:line="104"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In 2019, our management team delivered significant accomplishments against our strategic priorities which the Compensation Committee considered as part of its review of management’s performance for compensation purposes.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80" w:type="dxa"/>
            <w:vAlign w:val="bottom"/>
          </w:tcPr>
          <w:p>
            <w:pPr>
              <w:ind w:left="120"/>
              <w:spacing w:after="0"/>
              <w:rPr>
                <w:sz w:val="20"/>
                <w:szCs w:val="20"/>
                <w:color w:val="auto"/>
              </w:rPr>
            </w:pPr>
            <w:r>
              <w:rPr>
                <w:rFonts w:ascii="Arial" w:cs="Arial" w:eastAsia="Arial" w:hAnsi="Arial"/>
                <w:sz w:val="18"/>
                <w:szCs w:val="18"/>
                <w:b w:val="1"/>
                <w:bCs w:val="1"/>
                <w:color w:val="0075C9"/>
              </w:rPr>
              <w:t>2019 Strategic Priorities</w:t>
            </w:r>
          </w:p>
        </w:tc>
        <w:tc>
          <w:tcPr>
            <w:tcW w:w="7960" w:type="dxa"/>
            <w:vAlign w:val="bottom"/>
          </w:tcPr>
          <w:p>
            <w:pPr>
              <w:ind w:left="2360"/>
              <w:spacing w:after="0"/>
              <w:rPr>
                <w:sz w:val="20"/>
                <w:szCs w:val="20"/>
                <w:color w:val="auto"/>
              </w:rPr>
            </w:pPr>
            <w:r>
              <w:rPr>
                <w:rFonts w:ascii="Arial" w:cs="Arial" w:eastAsia="Arial" w:hAnsi="Arial"/>
                <w:sz w:val="18"/>
                <w:szCs w:val="18"/>
                <w:b w:val="1"/>
                <w:bCs w:val="1"/>
                <w:color w:val="0075C9"/>
              </w:rPr>
              <w:t>Performance on Strategic Priorities</w:t>
            </w:r>
          </w:p>
        </w:tc>
        <w:tc>
          <w:tcPr>
            <w:tcW w:w="0" w:type="dxa"/>
            <w:vAlign w:val="bottom"/>
          </w:tcPr>
          <w:p>
            <w:pPr>
              <w:spacing w:after="0"/>
              <w:rPr>
                <w:sz w:val="1"/>
                <w:szCs w:val="1"/>
                <w:color w:val="auto"/>
              </w:rPr>
            </w:pPr>
          </w:p>
        </w:tc>
      </w:tr>
      <w:tr>
        <w:trPr>
          <w:trHeight w:val="41"/>
        </w:trPr>
        <w:tc>
          <w:tcPr>
            <w:tcW w:w="3280" w:type="dxa"/>
            <w:vAlign w:val="bottom"/>
            <w:tcBorders>
              <w:bottom w:val="single" w:sz="8" w:color="0075C9"/>
            </w:tcBorders>
          </w:tcPr>
          <w:p>
            <w:pPr>
              <w:spacing w:after="0"/>
              <w:rPr>
                <w:sz w:val="3"/>
                <w:szCs w:val="3"/>
                <w:color w:val="auto"/>
              </w:rPr>
            </w:pPr>
          </w:p>
        </w:tc>
        <w:tc>
          <w:tcPr>
            <w:tcW w:w="796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384"/>
        </w:trPr>
        <w:tc>
          <w:tcPr>
            <w:tcW w:w="3280" w:type="dxa"/>
            <w:vAlign w:val="bottom"/>
          </w:tcPr>
          <w:p>
            <w:pPr>
              <w:spacing w:after="0"/>
              <w:rPr>
                <w:sz w:val="24"/>
                <w:szCs w:val="24"/>
                <w:color w:val="auto"/>
              </w:rPr>
            </w:pPr>
          </w:p>
        </w:tc>
        <w:tc>
          <w:tcPr>
            <w:tcW w:w="7960" w:type="dxa"/>
            <w:vAlign w:val="bottom"/>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Invested $612 million, including over $200 million of development joint venture (“JV”)</w:t>
            </w: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7960" w:type="dxa"/>
            <w:vAlign w:val="bottom"/>
          </w:tcPr>
          <w:p>
            <w:pPr>
              <w:ind w:left="700"/>
              <w:spacing w:after="0" w:line="200" w:lineRule="exact"/>
              <w:rPr>
                <w:sz w:val="20"/>
                <w:szCs w:val="20"/>
                <w:color w:val="auto"/>
              </w:rPr>
            </w:pPr>
            <w:r>
              <w:rPr>
                <w:rFonts w:ascii="Arial" w:cs="Arial" w:eastAsia="Arial" w:hAnsi="Arial"/>
                <w:sz w:val="18"/>
                <w:szCs w:val="18"/>
                <w:color w:val="auto"/>
              </w:rPr>
              <w:t>capital, to strategically maximize future resource expansion and enhance free cash</w:t>
            </w:r>
          </w:p>
        </w:tc>
        <w:tc>
          <w:tcPr>
            <w:tcW w:w="0" w:type="dxa"/>
            <w:vAlign w:val="bottom"/>
          </w:tcPr>
          <w:p>
            <w:pPr>
              <w:spacing w:after="0"/>
              <w:rPr>
                <w:sz w:val="1"/>
                <w:szCs w:val="1"/>
                <w:color w:val="auto"/>
              </w:rPr>
            </w:pPr>
          </w:p>
        </w:tc>
      </w:tr>
      <w:tr>
        <w:trPr>
          <w:trHeight w:val="219"/>
        </w:trPr>
        <w:tc>
          <w:tcPr>
            <w:tcW w:w="3280" w:type="dxa"/>
            <w:vAlign w:val="bottom"/>
          </w:tcPr>
          <w:p>
            <w:pPr>
              <w:spacing w:after="0"/>
              <w:rPr>
                <w:sz w:val="19"/>
                <w:szCs w:val="19"/>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flow generation. Our 2019 capital program provided VCIs</w:t>
            </w:r>
            <w:r>
              <w:rPr>
                <w:rFonts w:ascii="Arial" w:cs="Arial" w:eastAsia="Arial" w:hAnsi="Arial"/>
                <w:sz w:val="15"/>
                <w:szCs w:val="15"/>
                <w:color w:val="auto"/>
              </w:rPr>
              <w:t>(1)</w:t>
            </w:r>
            <w:r>
              <w:rPr>
                <w:rFonts w:ascii="Arial" w:cs="Arial" w:eastAsia="Arial" w:hAnsi="Arial"/>
                <w:sz w:val="18"/>
                <w:szCs w:val="18"/>
                <w:color w:val="auto"/>
              </w:rPr>
              <w:t xml:space="preserve"> above our 1.3 threshold.</w:t>
            </w:r>
          </w:p>
        </w:tc>
        <w:tc>
          <w:tcPr>
            <w:tcW w:w="0" w:type="dxa"/>
            <w:vAlign w:val="bottom"/>
          </w:tcPr>
          <w:p>
            <w:pPr>
              <w:spacing w:after="0"/>
              <w:rPr>
                <w:sz w:val="1"/>
                <w:szCs w:val="1"/>
                <w:color w:val="auto"/>
              </w:rPr>
            </w:pPr>
          </w:p>
        </w:tc>
      </w:tr>
      <w:tr>
        <w:trPr>
          <w:trHeight w:val="261"/>
        </w:trPr>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0081C6"/>
              </w:rPr>
              <w:t>Use our Value Creation Index</w:t>
            </w:r>
          </w:p>
        </w:tc>
        <w:tc>
          <w:tcPr>
            <w:tcW w:w="7960" w:type="dxa"/>
            <w:vAlign w:val="bottom"/>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Replaced over 111%</w:t>
            </w:r>
            <w:r>
              <w:rPr>
                <w:rFonts w:ascii="Arial" w:cs="Arial" w:eastAsia="Arial" w:hAnsi="Arial"/>
                <w:sz w:val="15"/>
                <w:szCs w:val="15"/>
                <w:color w:val="000000"/>
              </w:rPr>
              <w:t>(2)</w:t>
            </w:r>
            <w:r>
              <w:rPr>
                <w:rFonts w:ascii="Arial" w:cs="Arial" w:eastAsia="Arial" w:hAnsi="Arial"/>
                <w:sz w:val="18"/>
                <w:szCs w:val="18"/>
                <w:b w:val="1"/>
                <w:bCs w:val="1"/>
                <w:color w:val="0081C6"/>
              </w:rPr>
              <w:t xml:space="preserve"> </w:t>
            </w:r>
            <w:r>
              <w:rPr>
                <w:rFonts w:ascii="Arial" w:cs="Arial" w:eastAsia="Arial" w:hAnsi="Arial"/>
                <w:sz w:val="18"/>
                <w:szCs w:val="18"/>
                <w:color w:val="000000"/>
              </w:rPr>
              <w:t>of reserves with an organic finding and development (“F&amp;D”)</w:t>
            </w:r>
          </w:p>
        </w:tc>
        <w:tc>
          <w:tcPr>
            <w:tcW w:w="0" w:type="dxa"/>
            <w:vAlign w:val="bottom"/>
          </w:tcPr>
          <w:p>
            <w:pPr>
              <w:spacing w:after="0"/>
              <w:rPr>
                <w:sz w:val="1"/>
                <w:szCs w:val="1"/>
                <w:color w:val="auto"/>
              </w:rPr>
            </w:pPr>
          </w:p>
        </w:tc>
      </w:tr>
      <w:tr>
        <w:trPr>
          <w:trHeight w:val="216"/>
        </w:trPr>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0081C6"/>
              </w:rPr>
              <w:t>(“VCI”)</w:t>
            </w:r>
            <w:r>
              <w:rPr>
                <w:rFonts w:ascii="Arial" w:cs="Arial" w:eastAsia="Arial" w:hAnsi="Arial"/>
                <w:sz w:val="15"/>
                <w:szCs w:val="15"/>
                <w:b w:val="1"/>
                <w:bCs w:val="1"/>
                <w:color w:val="0081C6"/>
              </w:rPr>
              <w:t>(1)</w:t>
            </w:r>
            <w:r>
              <w:rPr>
                <w:rFonts w:ascii="Arial" w:cs="Arial" w:eastAsia="Arial" w:hAnsi="Arial"/>
                <w:sz w:val="18"/>
                <w:szCs w:val="18"/>
                <w:b w:val="1"/>
                <w:bCs w:val="1"/>
                <w:color w:val="0081C6"/>
              </w:rPr>
              <w:t xml:space="preserve"> metric to maintain</w:t>
            </w:r>
          </w:p>
        </w:tc>
        <w:tc>
          <w:tcPr>
            <w:tcW w:w="7960" w:type="dxa"/>
            <w:vAlign w:val="bottom"/>
          </w:tcPr>
          <w:p>
            <w:pPr>
              <w:ind w:left="700"/>
              <w:spacing w:after="0"/>
              <w:rPr>
                <w:sz w:val="20"/>
                <w:szCs w:val="20"/>
                <w:color w:val="auto"/>
              </w:rPr>
            </w:pPr>
            <w:r>
              <w:rPr>
                <w:rFonts w:ascii="Arial" w:cs="Arial" w:eastAsia="Arial" w:hAnsi="Arial"/>
                <w:sz w:val="18"/>
                <w:szCs w:val="18"/>
                <w:color w:val="auto"/>
              </w:rPr>
              <w:t>cost of $8.75</w:t>
            </w:r>
            <w:r>
              <w:rPr>
                <w:rFonts w:ascii="Arial" w:cs="Arial" w:eastAsia="Arial" w:hAnsi="Arial"/>
                <w:sz w:val="15"/>
                <w:szCs w:val="15"/>
                <w:color w:val="auto"/>
              </w:rPr>
              <w:t>(2)</w:t>
            </w:r>
            <w:r>
              <w:rPr>
                <w:rFonts w:ascii="Arial" w:cs="Arial" w:eastAsia="Arial" w:hAnsi="Arial"/>
                <w:sz w:val="18"/>
                <w:szCs w:val="18"/>
                <w:color w:val="auto"/>
              </w:rPr>
              <w:t xml:space="preserve"> per BOE.</w:t>
            </w:r>
          </w:p>
        </w:tc>
        <w:tc>
          <w:tcPr>
            <w:tcW w:w="0" w:type="dxa"/>
            <w:vAlign w:val="bottom"/>
          </w:tcPr>
          <w:p>
            <w:pPr>
              <w:spacing w:after="0"/>
              <w:rPr>
                <w:sz w:val="1"/>
                <w:szCs w:val="1"/>
                <w:color w:val="auto"/>
              </w:rPr>
            </w:pP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b w:val="1"/>
                <w:bCs w:val="1"/>
                <w:color w:val="0081C6"/>
              </w:rPr>
              <w:t>disciplined, consistent and</w:t>
            </w:r>
          </w:p>
        </w:tc>
        <w:tc>
          <w:tcPr>
            <w:tcW w:w="7960" w:type="dxa"/>
            <w:vAlign w:val="bottom"/>
            <w:vMerge w:val="restart"/>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Following our acquisition of the remaining interests in our flagship Elk Hills asset in</w:t>
            </w:r>
          </w:p>
        </w:tc>
        <w:tc>
          <w:tcPr>
            <w:tcW w:w="0" w:type="dxa"/>
            <w:vAlign w:val="bottom"/>
          </w:tcPr>
          <w:p>
            <w:pPr>
              <w:spacing w:after="0"/>
              <w:rPr>
                <w:sz w:val="1"/>
                <w:szCs w:val="1"/>
                <w:color w:val="auto"/>
              </w:rPr>
            </w:pPr>
          </w:p>
        </w:tc>
      </w:tr>
      <w:tr>
        <w:trPr>
          <w:trHeight w:val="117"/>
        </w:trPr>
        <w:tc>
          <w:tcPr>
            <w:tcW w:w="32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0081C6"/>
              </w:rPr>
              <w:t>effective capital allocation</w:t>
            </w: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vMerge w:val="continue"/>
          </w:tcPr>
          <w:p>
            <w:pPr>
              <w:spacing w:after="0"/>
              <w:rPr>
                <w:sz w:val="10"/>
                <w:szCs w:val="10"/>
                <w:color w:val="auto"/>
              </w:rPr>
            </w:pPr>
          </w:p>
        </w:tc>
        <w:tc>
          <w:tcPr>
            <w:tcW w:w="7960" w:type="dxa"/>
            <w:vAlign w:val="bottom"/>
            <w:vMerge w:val="restart"/>
          </w:tcPr>
          <w:p>
            <w:pPr>
              <w:ind w:left="700"/>
              <w:spacing w:after="0" w:line="202" w:lineRule="exact"/>
              <w:rPr>
                <w:sz w:val="20"/>
                <w:szCs w:val="20"/>
                <w:color w:val="auto"/>
              </w:rPr>
            </w:pPr>
            <w:r>
              <w:rPr>
                <w:rFonts w:ascii="Arial" w:cs="Arial" w:eastAsia="Arial" w:hAnsi="Arial"/>
                <w:sz w:val="18"/>
                <w:szCs w:val="18"/>
                <w:color w:val="auto"/>
              </w:rPr>
              <w:t>2018, CRC entered into a development JV with Alpine Energy Capital, LLC (“Alpine”)</w:t>
            </w:r>
          </w:p>
        </w:tc>
        <w:tc>
          <w:tcPr>
            <w:tcW w:w="0" w:type="dxa"/>
            <w:vAlign w:val="bottom"/>
          </w:tcPr>
          <w:p>
            <w:pPr>
              <w:spacing w:after="0"/>
              <w:rPr>
                <w:sz w:val="1"/>
                <w:szCs w:val="1"/>
                <w:color w:val="auto"/>
              </w:rPr>
            </w:pPr>
          </w:p>
        </w:tc>
      </w:tr>
      <w:tr>
        <w:trPr>
          <w:trHeight w:val="80"/>
        </w:trPr>
        <w:tc>
          <w:tcPr>
            <w:tcW w:w="3280" w:type="dxa"/>
            <w:vAlign w:val="bottom"/>
          </w:tcPr>
          <w:p>
            <w:pPr>
              <w:spacing w:after="0"/>
              <w:rPr>
                <w:sz w:val="6"/>
                <w:szCs w:val="6"/>
                <w:color w:val="auto"/>
              </w:rPr>
            </w:pPr>
          </w:p>
        </w:tc>
        <w:tc>
          <w:tcPr>
            <w:tcW w:w="7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7960" w:type="dxa"/>
            <w:vAlign w:val="bottom"/>
          </w:tcPr>
          <w:p>
            <w:pPr>
              <w:ind w:left="700"/>
              <w:spacing w:after="0" w:line="202" w:lineRule="exact"/>
              <w:rPr>
                <w:sz w:val="20"/>
                <w:szCs w:val="20"/>
                <w:color w:val="auto"/>
              </w:rPr>
            </w:pPr>
            <w:r>
              <w:rPr>
                <w:rFonts w:ascii="Arial" w:cs="Arial" w:eastAsia="Arial" w:hAnsi="Arial"/>
                <w:sz w:val="18"/>
                <w:szCs w:val="18"/>
                <w:color w:val="auto"/>
              </w:rPr>
              <w:t>to bring reserves and cash flow forward which allowed us to strategically manage our</w:t>
            </w: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7960" w:type="dxa"/>
            <w:vAlign w:val="bottom"/>
          </w:tcPr>
          <w:p>
            <w:pPr>
              <w:ind w:left="700"/>
              <w:spacing w:after="0" w:line="200" w:lineRule="exact"/>
              <w:rPr>
                <w:sz w:val="20"/>
                <w:szCs w:val="20"/>
                <w:color w:val="auto"/>
              </w:rPr>
            </w:pPr>
            <w:r>
              <w:rPr>
                <w:rFonts w:ascii="Arial" w:cs="Arial" w:eastAsia="Arial" w:hAnsi="Arial"/>
                <w:sz w:val="18"/>
                <w:szCs w:val="18"/>
                <w:color w:val="auto"/>
              </w:rPr>
              <w:t>internal capital allocation while supporting the delivery of $269 million of free cash flow,</w:t>
            </w:r>
          </w:p>
        </w:tc>
        <w:tc>
          <w:tcPr>
            <w:tcW w:w="0" w:type="dxa"/>
            <w:vAlign w:val="bottom"/>
          </w:tcPr>
          <w:p>
            <w:pPr>
              <w:spacing w:after="0"/>
              <w:rPr>
                <w:sz w:val="1"/>
                <w:szCs w:val="1"/>
                <w:color w:val="auto"/>
              </w:rPr>
            </w:pPr>
          </w:p>
        </w:tc>
      </w:tr>
      <w:tr>
        <w:trPr>
          <w:trHeight w:val="219"/>
        </w:trPr>
        <w:tc>
          <w:tcPr>
            <w:tcW w:w="3280" w:type="dxa"/>
            <w:vAlign w:val="bottom"/>
          </w:tcPr>
          <w:p>
            <w:pPr>
              <w:spacing w:after="0"/>
              <w:rPr>
                <w:sz w:val="19"/>
                <w:szCs w:val="19"/>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after internally funded capital.</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949599"/>
            </w:tcBorders>
          </w:tcPr>
          <w:p>
            <w:pPr>
              <w:spacing w:after="0"/>
              <w:rPr>
                <w:sz w:val="15"/>
                <w:szCs w:val="15"/>
                <w:color w:val="auto"/>
              </w:rPr>
            </w:pPr>
          </w:p>
        </w:tc>
        <w:tc>
          <w:tcPr>
            <w:tcW w:w="7960" w:type="dxa"/>
            <w:vAlign w:val="bottom"/>
            <w:tcBorders>
              <w:bottom w:val="single" w:sz="8" w:color="949599"/>
            </w:tcBorders>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280" w:type="dxa"/>
            <w:vAlign w:val="bottom"/>
          </w:tcPr>
          <w:p>
            <w:pPr>
              <w:spacing w:after="0"/>
              <w:rPr>
                <w:sz w:val="24"/>
                <w:szCs w:val="24"/>
                <w:color w:val="auto"/>
              </w:rPr>
            </w:pPr>
          </w:p>
        </w:tc>
        <w:tc>
          <w:tcPr>
            <w:tcW w:w="7960" w:type="dxa"/>
            <w:vAlign w:val="bottom"/>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Annual adjusted EBITDAX margin</w:t>
            </w:r>
            <w:r>
              <w:rPr>
                <w:rFonts w:ascii="Arial" w:cs="Arial" w:eastAsia="Arial" w:hAnsi="Arial"/>
                <w:sz w:val="15"/>
                <w:szCs w:val="15"/>
                <w:color w:val="000000"/>
              </w:rPr>
              <w:t>(4)</w:t>
            </w:r>
            <w:r>
              <w:rPr>
                <w:rFonts w:ascii="Arial" w:cs="Arial" w:eastAsia="Arial" w:hAnsi="Arial"/>
                <w:sz w:val="18"/>
                <w:szCs w:val="18"/>
                <w:b w:val="1"/>
                <w:bCs w:val="1"/>
                <w:color w:val="0081C6"/>
              </w:rPr>
              <w:t xml:space="preserve"> </w:t>
            </w:r>
            <w:r>
              <w:rPr>
                <w:rFonts w:ascii="Arial" w:cs="Arial" w:eastAsia="Arial" w:hAnsi="Arial"/>
                <w:sz w:val="18"/>
                <w:szCs w:val="18"/>
                <w:color w:val="000000"/>
              </w:rPr>
              <w:t>increased for the third year in a row while production</w:t>
            </w:r>
          </w:p>
        </w:tc>
        <w:tc>
          <w:tcPr>
            <w:tcW w:w="0" w:type="dxa"/>
            <w:vAlign w:val="bottom"/>
          </w:tcPr>
          <w:p>
            <w:pPr>
              <w:spacing w:after="0"/>
              <w:rPr>
                <w:sz w:val="1"/>
                <w:szCs w:val="1"/>
                <w:color w:val="auto"/>
              </w:rPr>
            </w:pPr>
          </w:p>
        </w:tc>
      </w:tr>
      <w:tr>
        <w:trPr>
          <w:trHeight w:val="217"/>
        </w:trPr>
        <w:tc>
          <w:tcPr>
            <w:tcW w:w="3280" w:type="dxa"/>
            <w:vAlign w:val="bottom"/>
            <w:vMerge w:val="restart"/>
          </w:tcPr>
          <w:p>
            <w:pPr>
              <w:jc w:val="center"/>
              <w:spacing w:after="0"/>
              <w:rPr>
                <w:sz w:val="20"/>
                <w:szCs w:val="20"/>
                <w:color w:val="auto"/>
              </w:rPr>
            </w:pPr>
            <w:r>
              <w:rPr>
                <w:rFonts w:ascii="Arial" w:cs="Arial" w:eastAsia="Arial" w:hAnsi="Arial"/>
                <w:sz w:val="18"/>
                <w:szCs w:val="18"/>
                <w:b w:val="1"/>
                <w:bCs w:val="1"/>
                <w:color w:val="0081C6"/>
              </w:rPr>
              <w:t>Optimize operations to further</w:t>
            </w:r>
          </w:p>
        </w:tc>
        <w:tc>
          <w:tcPr>
            <w:tcW w:w="7960" w:type="dxa"/>
            <w:vAlign w:val="bottom"/>
          </w:tcPr>
          <w:p>
            <w:pPr>
              <w:ind w:left="700"/>
              <w:spacing w:after="0"/>
              <w:rPr>
                <w:sz w:val="20"/>
                <w:szCs w:val="20"/>
                <w:color w:val="auto"/>
              </w:rPr>
            </w:pPr>
            <w:r>
              <w:rPr>
                <w:rFonts w:ascii="Arial" w:cs="Arial" w:eastAsia="Arial" w:hAnsi="Arial"/>
                <w:sz w:val="18"/>
                <w:szCs w:val="18"/>
                <w:color w:val="auto"/>
              </w:rPr>
              <w:t>costs decreased from 2018.</w:t>
            </w: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7960" w:type="dxa"/>
            <w:vAlign w:val="bottom"/>
            <w:vMerge w:val="restart"/>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Transitioned to a new organizational structure lowering overhead costs and reducing</w:t>
            </w:r>
          </w:p>
        </w:tc>
        <w:tc>
          <w:tcPr>
            <w:tcW w:w="0" w:type="dxa"/>
            <w:vAlign w:val="bottom"/>
          </w:tcPr>
          <w:p>
            <w:pPr>
              <w:spacing w:after="0"/>
              <w:rPr>
                <w:sz w:val="1"/>
                <w:szCs w:val="1"/>
                <w:color w:val="auto"/>
              </w:rPr>
            </w:pPr>
          </w:p>
        </w:tc>
      </w:tr>
      <w:tr>
        <w:trPr>
          <w:trHeight w:val="143"/>
        </w:trPr>
        <w:tc>
          <w:tcPr>
            <w:tcW w:w="32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0081C6"/>
              </w:rPr>
              <w:t>enhance margins through</w:t>
            </w:r>
          </w:p>
        </w:tc>
        <w:tc>
          <w:tcPr>
            <w:tcW w:w="7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280" w:type="dxa"/>
            <w:vAlign w:val="bottom"/>
            <w:vMerge w:val="continue"/>
          </w:tcPr>
          <w:p>
            <w:pPr>
              <w:spacing w:after="0"/>
              <w:rPr>
                <w:sz w:val="6"/>
                <w:szCs w:val="6"/>
                <w:color w:val="auto"/>
              </w:rPr>
            </w:pPr>
          </w:p>
        </w:tc>
        <w:tc>
          <w:tcPr>
            <w:tcW w:w="7960" w:type="dxa"/>
            <w:vAlign w:val="bottom"/>
            <w:vMerge w:val="restart"/>
          </w:tcPr>
          <w:p>
            <w:pPr>
              <w:ind w:left="700"/>
              <w:spacing w:after="0"/>
              <w:rPr>
                <w:sz w:val="20"/>
                <w:szCs w:val="20"/>
                <w:color w:val="auto"/>
              </w:rPr>
            </w:pPr>
            <w:r>
              <w:rPr>
                <w:rFonts w:ascii="Arial" w:cs="Arial" w:eastAsia="Arial" w:hAnsi="Arial"/>
                <w:sz w:val="18"/>
                <w:szCs w:val="18"/>
                <w:color w:val="auto"/>
              </w:rPr>
              <w:t>headcount, leading to lower cash costs and improved operating margins.</w:t>
            </w:r>
          </w:p>
        </w:tc>
        <w:tc>
          <w:tcPr>
            <w:tcW w:w="0" w:type="dxa"/>
            <w:vAlign w:val="bottom"/>
          </w:tcPr>
          <w:p>
            <w:pPr>
              <w:spacing w:after="0"/>
              <w:rPr>
                <w:sz w:val="1"/>
                <w:szCs w:val="1"/>
                <w:color w:val="auto"/>
              </w:rPr>
            </w:pPr>
          </w:p>
        </w:tc>
      </w:tr>
      <w:tr>
        <w:trPr>
          <w:trHeight w:val="144"/>
        </w:trPr>
        <w:tc>
          <w:tcPr>
            <w:tcW w:w="32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0081C6"/>
              </w:rPr>
              <w:t>efficiencies, technology and</w:t>
            </w:r>
          </w:p>
        </w:tc>
        <w:tc>
          <w:tcPr>
            <w:tcW w:w="7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280" w:type="dxa"/>
            <w:vAlign w:val="bottom"/>
            <w:vMerge w:val="continue"/>
          </w:tcPr>
          <w:p>
            <w:pPr>
              <w:spacing w:after="0"/>
              <w:rPr>
                <w:sz w:val="6"/>
                <w:szCs w:val="6"/>
                <w:color w:val="auto"/>
              </w:rPr>
            </w:pPr>
          </w:p>
        </w:tc>
        <w:tc>
          <w:tcPr>
            <w:tcW w:w="7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0081C6"/>
              </w:rPr>
              <w:t>organizational synergies</w:t>
            </w:r>
          </w:p>
        </w:tc>
        <w:tc>
          <w:tcPr>
            <w:tcW w:w="7960" w:type="dxa"/>
            <w:vAlign w:val="bottom"/>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Consolidated Bakersfield area employees into CRC Plaza in line with our “One CRC”</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7960" w:type="dxa"/>
            <w:vAlign w:val="bottom"/>
          </w:tcPr>
          <w:p>
            <w:pPr>
              <w:ind w:left="700"/>
              <w:spacing w:after="0" w:line="202" w:lineRule="exact"/>
              <w:rPr>
                <w:sz w:val="20"/>
                <w:szCs w:val="20"/>
                <w:color w:val="auto"/>
              </w:rPr>
            </w:pPr>
            <w:r>
              <w:rPr>
                <w:rFonts w:ascii="Arial" w:cs="Arial" w:eastAsia="Arial" w:hAnsi="Arial"/>
                <w:sz w:val="18"/>
                <w:szCs w:val="18"/>
                <w:color w:val="auto"/>
              </w:rPr>
              <w:t>approach, increasing employee communication and cross functional synergies while</w:t>
            </w:r>
          </w:p>
        </w:tc>
        <w:tc>
          <w:tcPr>
            <w:tcW w:w="0" w:type="dxa"/>
            <w:vAlign w:val="bottom"/>
          </w:tcPr>
          <w:p>
            <w:pPr>
              <w:spacing w:after="0"/>
              <w:rPr>
                <w:sz w:val="1"/>
                <w:szCs w:val="1"/>
                <w:color w:val="auto"/>
              </w:rPr>
            </w:pPr>
          </w:p>
        </w:tc>
      </w:tr>
      <w:tr>
        <w:trPr>
          <w:trHeight w:val="217"/>
        </w:trPr>
        <w:tc>
          <w:tcPr>
            <w:tcW w:w="328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lowering our overall lease and maintenance costs.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-2845435</wp:posOffset>
            </wp:positionV>
            <wp:extent cx="7132320" cy="44405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pacing w:after="0" w:line="335" w:lineRule="exact"/>
        <w:rPr>
          <w:sz w:val="20"/>
          <w:szCs w:val="20"/>
          <w:color w:val="auto"/>
        </w:rPr>
      </w:pPr>
    </w:p>
    <w:p>
      <w:pPr>
        <w:ind w:left="3640"/>
        <w:spacing w:after="0"/>
        <w:tabs>
          <w:tab w:leader="none" w:pos="394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Reduced leverage ratio</w:t>
      </w:r>
      <w:r>
        <w:rPr>
          <w:rFonts w:ascii="Arial" w:cs="Arial" w:eastAsia="Arial" w:hAnsi="Arial"/>
          <w:sz w:val="15"/>
          <w:szCs w:val="15"/>
          <w:color w:val="auto"/>
        </w:rPr>
        <w:t>(5)</w:t>
      </w:r>
      <w:r>
        <w:rPr>
          <w:rFonts w:ascii="Arial" w:cs="Arial" w:eastAsia="Arial" w:hAnsi="Arial"/>
          <w:sz w:val="18"/>
          <w:szCs w:val="18"/>
          <w:color w:val="auto"/>
        </w:rPr>
        <w:t xml:space="preserve"> from 4.7x at year-end 2018 to 4.3x at year-end 2019.</w:t>
      </w:r>
    </w:p>
    <w:p>
      <w:pPr>
        <w:spacing w:after="0" w:line="104" w:lineRule="exact"/>
        <w:rPr>
          <w:sz w:val="20"/>
          <w:szCs w:val="20"/>
          <w:color w:val="auto"/>
        </w:rPr>
      </w:pPr>
    </w:p>
    <w:p>
      <w:pPr>
        <w:jc w:val="both"/>
        <w:ind w:left="3960" w:right="180" w:hanging="349"/>
        <w:spacing w:after="0" w:line="213" w:lineRule="auto"/>
        <w:tabs>
          <w:tab w:leader="none" w:pos="394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Opportunistically repurchased $252 million in face value of Second Lien debt in 2019, at an average discount of 38 percent, bringing total Second Lien debt repurchases to approximately $435 million of face value, as of December 31, 2019.</w:t>
      </w:r>
    </w:p>
    <w:p>
      <w:pPr>
        <w:ind w:left="280"/>
        <w:spacing w:after="0" w:line="216" w:lineRule="auto"/>
        <w:rPr>
          <w:sz w:val="20"/>
          <w:szCs w:val="20"/>
          <w:color w:val="auto"/>
        </w:rPr>
      </w:pPr>
      <w:r>
        <w:rPr>
          <w:rFonts w:ascii="Arial" w:cs="Arial" w:eastAsia="Arial" w:hAnsi="Arial"/>
          <w:sz w:val="18"/>
          <w:szCs w:val="18"/>
          <w:b w:val="1"/>
          <w:bCs w:val="1"/>
          <w:color w:val="0081C6"/>
        </w:rPr>
        <w:t>Strengthen our balance sheet</w:t>
      </w:r>
    </w:p>
    <w:p>
      <w:pPr>
        <w:jc w:val="both"/>
        <w:ind w:left="3960" w:right="180" w:hanging="349"/>
        <w:spacing w:after="0" w:line="246" w:lineRule="auto"/>
        <w:tabs>
          <w:tab w:leader="none" w:pos="394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Monetized a 50% working interest in portions of our Lost Hills field to reduce debt and improve our credit position.</w:t>
      </w:r>
    </w:p>
    <w:p>
      <w:pPr>
        <w:spacing w:after="0" w:line="67" w:lineRule="exact"/>
        <w:rPr>
          <w:sz w:val="20"/>
          <w:szCs w:val="20"/>
          <w:color w:val="auto"/>
        </w:rPr>
      </w:pPr>
    </w:p>
    <w:p>
      <w:pPr>
        <w:ind w:left="3960" w:right="680" w:hanging="349"/>
        <w:spacing w:after="0" w:line="246" w:lineRule="auto"/>
        <w:tabs>
          <w:tab w:leader="none" w:pos="394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Secured a credit agreement amendment to provide additional future flexibility in connection with potential royalty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1" w:name="page12"/>
    <w:bookmarkEnd w:id="1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189" w:lineRule="exact"/>
        <w:rPr>
          <w:sz w:val="20"/>
          <w:szCs w:val="20"/>
          <w:color w:val="auto"/>
        </w:rPr>
      </w:pPr>
    </w:p>
    <w:p>
      <w:pPr>
        <w:ind w:left="120"/>
        <w:spacing w:after="0"/>
        <w:tabs>
          <w:tab w:leader="none" w:pos="5620" w:val="left"/>
        </w:tabs>
        <w:rPr>
          <w:sz w:val="20"/>
          <w:szCs w:val="20"/>
          <w:color w:val="auto"/>
        </w:rPr>
      </w:pPr>
      <w:r>
        <w:rPr>
          <w:rFonts w:ascii="Arial" w:cs="Arial" w:eastAsia="Arial" w:hAnsi="Arial"/>
          <w:sz w:val="18"/>
          <w:szCs w:val="18"/>
          <w:b w:val="1"/>
          <w:bCs w:val="1"/>
          <w:color w:val="0075C9"/>
        </w:rPr>
        <w:t>2019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2966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96608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60"/>
        <w:spacing w:after="0" w:line="262" w:lineRule="auto"/>
        <w:rPr>
          <w:sz w:val="20"/>
          <w:szCs w:val="20"/>
          <w:color w:val="auto"/>
        </w:rPr>
      </w:pPr>
      <w:r>
        <w:rPr>
          <w:rFonts w:ascii="Arial" w:cs="Arial" w:eastAsia="Arial" w:hAnsi="Arial"/>
          <w:sz w:val="18"/>
          <w:szCs w:val="18"/>
          <w:b w:val="1"/>
          <w:bCs w:val="1"/>
          <w:color w:val="0081C6"/>
        </w:rPr>
        <w:t>Promote workplace diversity and maintain exceptional global sector leading safety, environmental and sustainability practices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346" w:right="100" w:hanging="346"/>
        <w:spacing w:after="0" w:line="238" w:lineRule="auto"/>
        <w:tabs>
          <w:tab w:leader="none" w:pos="309" w:val="left"/>
        </w:tabs>
        <w:numPr>
          <w:ilvl w:val="0"/>
          <w:numId w:val="6"/>
        </w:numPr>
        <w:rPr>
          <w:rFonts w:ascii="Arial" w:cs="Arial" w:eastAsia="Arial" w:hAnsi="Arial"/>
          <w:sz w:val="18"/>
          <w:szCs w:val="18"/>
          <w:b w:val="1"/>
          <w:bCs w:val="1"/>
          <w:color w:val="0081C6"/>
        </w:rPr>
      </w:pPr>
      <w:r>
        <w:rPr>
          <w:rFonts w:ascii="Arial" w:cs="Arial" w:eastAsia="Arial" w:hAnsi="Arial"/>
          <w:sz w:val="18"/>
          <w:szCs w:val="18"/>
          <w:color w:val="auto"/>
        </w:rPr>
        <w:t>Achieved record safety performance in our operations with zero recordable employee workplace injuries and received 22 National Safety Council awards. Our 2019 injury and illness incidence rate (IIR) of 0.34 per 200,000 employee and contractor hours set a new CRC record and was 62% better than the crude oil and natural gas extraction sector’s average of 0.9 for 2018.</w:t>
      </w:r>
    </w:p>
    <w:p>
      <w:pPr>
        <w:spacing w:after="0" w:line="94" w:lineRule="exact"/>
        <w:rPr>
          <w:rFonts w:ascii="Arial" w:cs="Arial" w:eastAsia="Arial" w:hAnsi="Arial"/>
          <w:sz w:val="18"/>
          <w:szCs w:val="18"/>
          <w:b w:val="1"/>
          <w:bCs w:val="1"/>
          <w:color w:val="0081C6"/>
        </w:rPr>
      </w:pPr>
    </w:p>
    <w:p>
      <w:pPr>
        <w:ind w:left="346" w:right="440" w:hanging="346"/>
        <w:spacing w:after="0" w:line="246" w:lineRule="auto"/>
        <w:tabs>
          <w:tab w:leader="none" w:pos="309" w:val="left"/>
        </w:tabs>
        <w:numPr>
          <w:ilvl w:val="0"/>
          <w:numId w:val="6"/>
        </w:numPr>
        <w:rPr>
          <w:rFonts w:ascii="Arial" w:cs="Arial" w:eastAsia="Arial" w:hAnsi="Arial"/>
          <w:sz w:val="18"/>
          <w:szCs w:val="18"/>
          <w:b w:val="1"/>
          <w:bCs w:val="1"/>
          <w:color w:val="0081C6"/>
        </w:rPr>
      </w:pPr>
      <w:r>
        <w:rPr>
          <w:rFonts w:ascii="Arial" w:cs="Arial" w:eastAsia="Arial" w:hAnsi="Arial"/>
          <w:sz w:val="18"/>
          <w:szCs w:val="18"/>
          <w:color w:val="auto"/>
        </w:rPr>
        <w:t>Attained CDP’s highest 2019 climate disclosure ranking among all U.S. oil and gas companies with an A-, tying for first with one other U.S.-based E&amp;P.</w:t>
      </w:r>
    </w:p>
    <w:p>
      <w:pPr>
        <w:spacing w:after="0" w:line="88" w:lineRule="exact"/>
        <w:rPr>
          <w:rFonts w:ascii="Arial" w:cs="Arial" w:eastAsia="Arial" w:hAnsi="Arial"/>
          <w:sz w:val="18"/>
          <w:szCs w:val="18"/>
          <w:b w:val="1"/>
          <w:bCs w:val="1"/>
          <w:color w:val="0081C6"/>
        </w:rPr>
      </w:pPr>
    </w:p>
    <w:p>
      <w:pPr>
        <w:ind w:left="346" w:right="460" w:hanging="346"/>
        <w:spacing w:after="0" w:line="246" w:lineRule="auto"/>
        <w:tabs>
          <w:tab w:leader="none" w:pos="319" w:val="left"/>
        </w:tabs>
        <w:numPr>
          <w:ilvl w:val="0"/>
          <w:numId w:val="6"/>
        </w:numPr>
        <w:rPr>
          <w:rFonts w:ascii="Arial" w:cs="Arial" w:eastAsia="Arial" w:hAnsi="Arial"/>
          <w:sz w:val="18"/>
          <w:szCs w:val="18"/>
          <w:b w:val="1"/>
          <w:bCs w:val="1"/>
          <w:color w:val="0081C6"/>
        </w:rPr>
      </w:pPr>
      <w:r>
        <w:rPr>
          <w:rFonts w:ascii="Arial" w:cs="Arial" w:eastAsia="Arial" w:hAnsi="Arial"/>
          <w:sz w:val="18"/>
          <w:szCs w:val="18"/>
          <w:color w:val="auto"/>
        </w:rPr>
        <w:t>Supplied a CRC record 5.35 billion gallons of reclaimed water to agricultural water districts, upholding our important role as a net water supplier in California.</w:t>
      </w:r>
    </w:p>
    <w:p>
      <w:pPr>
        <w:spacing w:after="0" w:line="88" w:lineRule="exact"/>
        <w:rPr>
          <w:rFonts w:ascii="Arial" w:cs="Arial" w:eastAsia="Arial" w:hAnsi="Arial"/>
          <w:sz w:val="18"/>
          <w:szCs w:val="18"/>
          <w:b w:val="1"/>
          <w:bCs w:val="1"/>
          <w:color w:val="0081C6"/>
        </w:rPr>
      </w:pPr>
    </w:p>
    <w:p>
      <w:pPr>
        <w:ind w:left="346" w:right="40" w:hanging="346"/>
        <w:spacing w:after="0" w:line="238" w:lineRule="auto"/>
        <w:tabs>
          <w:tab w:leader="none" w:pos="309" w:val="left"/>
        </w:tabs>
        <w:numPr>
          <w:ilvl w:val="0"/>
          <w:numId w:val="6"/>
        </w:numPr>
        <w:rPr>
          <w:rFonts w:ascii="Arial" w:cs="Arial" w:eastAsia="Arial" w:hAnsi="Arial"/>
          <w:sz w:val="18"/>
          <w:szCs w:val="18"/>
          <w:b w:val="1"/>
          <w:bCs w:val="1"/>
          <w:color w:val="0081C6"/>
        </w:rPr>
      </w:pPr>
      <w:r>
        <w:rPr>
          <w:rFonts w:ascii="Arial" w:cs="Arial" w:eastAsia="Arial" w:hAnsi="Arial"/>
          <w:sz w:val="18"/>
          <w:szCs w:val="18"/>
          <w:color w:val="auto"/>
        </w:rPr>
        <w:t>Achieved our 2019 quantitative health, safety and environmental (“HSE”) metrics and continued to advance specific projects that position us to meet our 2030 Sustainability Goals, including surpassing our 2030 methane emission reduction goal and making significant progress on water recycling, renewables integration and carbon capture and sequestration goals.</w:t>
      </w:r>
    </w:p>
    <w:p>
      <w:pPr>
        <w:spacing w:after="0" w:line="94" w:lineRule="exact"/>
        <w:rPr>
          <w:rFonts w:ascii="Arial" w:cs="Arial" w:eastAsia="Arial" w:hAnsi="Arial"/>
          <w:sz w:val="18"/>
          <w:szCs w:val="18"/>
          <w:b w:val="1"/>
          <w:bCs w:val="1"/>
          <w:color w:val="0081C6"/>
        </w:rPr>
      </w:pPr>
    </w:p>
    <w:p>
      <w:pPr>
        <w:ind w:left="346" w:right="380" w:hanging="346"/>
        <w:spacing w:after="0" w:line="238" w:lineRule="auto"/>
        <w:tabs>
          <w:tab w:leader="none" w:pos="319" w:val="left"/>
        </w:tabs>
        <w:numPr>
          <w:ilvl w:val="0"/>
          <w:numId w:val="6"/>
        </w:numPr>
        <w:rPr>
          <w:rFonts w:ascii="Arial" w:cs="Arial" w:eastAsia="Arial" w:hAnsi="Arial"/>
          <w:sz w:val="18"/>
          <w:szCs w:val="18"/>
          <w:b w:val="1"/>
          <w:bCs w:val="1"/>
          <w:color w:val="0081C6"/>
        </w:rPr>
      </w:pPr>
      <w:r>
        <w:rPr>
          <w:rFonts w:ascii="Arial" w:cs="Arial" w:eastAsia="Arial" w:hAnsi="Arial"/>
          <w:sz w:val="18"/>
          <w:szCs w:val="18"/>
          <w:color w:val="auto"/>
        </w:rPr>
        <w:t>Launched CRC’s Intrepid Women’s Leadership Program to promote women’s professional development and leadership. Sponsored a variety of scholarship, internship and training programs and developed targeted programs to diversify and expand our current workforce and future candidates, including students from disadvantaged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111760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514"/>
            <w:col w:w="7606"/>
          </w:cols>
          <w:pgMar w:left="320" w:top="387" w:right="339" w:bottom="1440" w:gutter="0" w:footer="0" w:header="0"/>
          <w:type w:val="continuous"/>
        </w:sectPr>
      </w:pPr>
    </w:p>
    <w:p>
      <w:pPr>
        <w:spacing w:after="0" w:line="237" w:lineRule="exact"/>
        <w:rPr>
          <w:sz w:val="20"/>
          <w:szCs w:val="20"/>
          <w:color w:val="auto"/>
        </w:rPr>
      </w:pPr>
    </w:p>
    <w:p>
      <w:pPr>
        <w:ind w:left="340" w:right="140" w:hanging="332"/>
        <w:spacing w:after="0" w:line="258" w:lineRule="auto"/>
        <w:tabs>
          <w:tab w:leader="none" w:pos="340" w:val="left"/>
        </w:tabs>
        <w:numPr>
          <w:ilvl w:val="0"/>
          <w:numId w:val="7"/>
        </w:numPr>
        <w:rPr>
          <w:rFonts w:ascii="Arial" w:cs="Arial" w:eastAsia="Arial" w:hAnsi="Arial"/>
          <w:sz w:val="14"/>
          <w:szCs w:val="14"/>
          <w:color w:val="2E2E2E"/>
        </w:rPr>
      </w:pPr>
      <w:r>
        <w:rPr>
          <w:rFonts w:ascii="Arial" w:cs="Arial" w:eastAsia="Arial" w:hAnsi="Arial"/>
          <w:sz w:val="14"/>
          <w:szCs w:val="14"/>
          <w:color w:val="2E2E2E"/>
        </w:rPr>
        <w:t>We use a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85" w:lineRule="exact"/>
        <w:rPr>
          <w:rFonts w:ascii="Arial" w:cs="Arial" w:eastAsia="Arial" w:hAnsi="Arial"/>
          <w:sz w:val="14"/>
          <w:szCs w:val="14"/>
          <w:color w:val="2E2E2E"/>
        </w:rPr>
      </w:pPr>
    </w:p>
    <w:p>
      <w:pPr>
        <w:ind w:left="340" w:hanging="332"/>
        <w:spacing w:after="0"/>
        <w:tabs>
          <w:tab w:leader="none" w:pos="340" w:val="left"/>
        </w:tabs>
        <w:numPr>
          <w:ilvl w:val="0"/>
          <w:numId w:val="7"/>
        </w:numPr>
        <w:rPr>
          <w:rFonts w:ascii="Arial" w:cs="Arial" w:eastAsia="Arial" w:hAnsi="Arial"/>
          <w:sz w:val="14"/>
          <w:szCs w:val="14"/>
          <w:color w:val="2E2E2E"/>
        </w:rPr>
      </w:pPr>
      <w:r>
        <w:rPr>
          <w:rFonts w:ascii="Arial" w:cs="Arial" w:eastAsia="Arial" w:hAnsi="Arial"/>
          <w:sz w:val="14"/>
          <w:szCs w:val="14"/>
          <w:color w:val="2E2E2E"/>
        </w:rPr>
        <w:t>See Annex A for CRC’s calculation of the non-GAAP measures of reserve replacement ratio and F&amp;D costs.</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7"/>
        </w:numPr>
        <w:rPr>
          <w:rFonts w:ascii="Arial" w:cs="Arial" w:eastAsia="Arial" w:hAnsi="Arial"/>
          <w:sz w:val="14"/>
          <w:szCs w:val="14"/>
          <w:color w:val="2E2E2E"/>
        </w:rPr>
      </w:pPr>
      <w:r>
        <w:rPr>
          <w:rFonts w:ascii="Arial" w:cs="Arial" w:eastAsia="Arial" w:hAnsi="Arial"/>
          <w:sz w:val="14"/>
          <w:szCs w:val="14"/>
          <w:color w:val="2E2E2E"/>
        </w:rPr>
        <w:t>See Annex A for how CRC calculates the non-GAAP measure of free cash flow, after internally funded capital.</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7"/>
        </w:numPr>
        <w:rPr>
          <w:rFonts w:ascii="Arial" w:cs="Arial" w:eastAsia="Arial" w:hAnsi="Arial"/>
          <w:sz w:val="14"/>
          <w:szCs w:val="14"/>
          <w:color w:val="2E2E2E"/>
        </w:rPr>
      </w:pPr>
      <w:r>
        <w:rPr>
          <w:rFonts w:ascii="Arial" w:cs="Arial" w:eastAsia="Arial" w:hAnsi="Arial"/>
          <w:sz w:val="14"/>
          <w:szCs w:val="14"/>
          <w:color w:val="2E2E2E"/>
        </w:rPr>
        <w:t>See Annex A for CRC’s calculation of the non-GAAP measure of adjusted EBITDAX and adjusted EBITDAX margin.</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CRC calculated the leverage ratio by dividing the face value of its total long-term debt by the last twelve months adjusted EBITDAX.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Highlights</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CRC’s stock price performance in 2019 continued to be very volatile, ending the year at depressed levels, driven in large part by the highly leveraged balance sheet our management team inherited from Occidental Petroleum Corporation (“</w:t>
      </w:r>
      <w:r>
        <w:rPr>
          <w:rFonts w:ascii="Arial" w:cs="Arial" w:eastAsia="Arial" w:hAnsi="Arial"/>
          <w:sz w:val="18"/>
          <w:szCs w:val="18"/>
          <w:b w:val="1"/>
          <w:bCs w:val="1"/>
          <w:color w:val="auto"/>
        </w:rPr>
        <w:t>Occidental</w:t>
      </w:r>
      <w:r>
        <w:rPr>
          <w:rFonts w:ascii="Arial" w:cs="Arial" w:eastAsia="Arial" w:hAnsi="Arial"/>
          <w:sz w:val="18"/>
          <w:szCs w:val="18"/>
          <w:color w:val="auto"/>
        </w:rPr>
        <w:t>”) at our Spin-off from Occidental (the “</w:t>
      </w:r>
      <w:r>
        <w:rPr>
          <w:rFonts w:ascii="Arial" w:cs="Arial" w:eastAsia="Arial" w:hAnsi="Arial"/>
          <w:sz w:val="18"/>
          <w:szCs w:val="18"/>
          <w:b w:val="1"/>
          <w:bCs w:val="1"/>
          <w:color w:val="auto"/>
        </w:rPr>
        <w:t>Spin-off</w:t>
      </w:r>
      <w:r>
        <w:rPr>
          <w:rFonts w:ascii="Arial" w:cs="Arial" w:eastAsia="Arial" w:hAnsi="Arial"/>
          <w:sz w:val="18"/>
          <w:szCs w:val="18"/>
          <w:color w:val="auto"/>
        </w:rPr>
        <w:t>”), and the performance continued to impact the realizable compensation for our named executive officers. For 2019, our Compensation Committee continued the alignment of the long-term compensation to stockholder returns by granting entirely share-based long-term incentive awards.</w:t>
      </w:r>
    </w:p>
    <w:p>
      <w:pPr>
        <w:spacing w:after="0" w:line="20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2" w:name="page13"/>
    <w:bookmarkEnd w:id="1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2019 Compensation Actions</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the first quarter of 2019, based on feedback received from stockholder outreach, the Compensation Committee took the following actions:</w:t>
      </w:r>
    </w:p>
    <w:p>
      <w:pPr>
        <w:spacing w:after="0" w:line="90" w:lineRule="exact"/>
        <w:rPr>
          <w:sz w:val="20"/>
          <w:szCs w:val="20"/>
          <w:color w:val="auto"/>
        </w:rPr>
      </w:pPr>
    </w:p>
    <w:p>
      <w:pPr>
        <w:ind w:left="580" w:hanging="343"/>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the number of metrics under the annual incentive awards to provide greater focus on key objectives.</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 the performance targets under the annual incentive awards at more rigorous levels than the prior year.</w:t>
      </w:r>
    </w:p>
    <w:p>
      <w:pPr>
        <w:spacing w:after="0" w:line="117" w:lineRule="exact"/>
        <w:rPr>
          <w:rFonts w:ascii="Arial" w:cs="Arial" w:eastAsia="Arial" w:hAnsi="Arial"/>
          <w:sz w:val="18"/>
          <w:szCs w:val="18"/>
          <w:color w:val="auto"/>
        </w:rPr>
      </w:pPr>
    </w:p>
    <w:p>
      <w:pPr>
        <w:ind w:left="580" w:right="280" w:hanging="343"/>
        <w:spacing w:after="0" w:line="246"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Changed the performance criteria under the long-term performance-based award to be based 50% on the three-year average VCI and 50% on three-year relative total shareholder return (“TSR”).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Practices</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well designed, incorporating best practices, and is governed by an engaged Compensation Committee. Our annual incentive awards and long- term incentive plans are performance-based and are intended to align with the long-term best interests of stockholders and retain our highly experienced, high-performing management team.</w:t>
      </w:r>
    </w:p>
    <w:p>
      <w:pPr>
        <w:spacing w:after="0" w:line="200" w:lineRule="exact"/>
        <w:rPr>
          <w:sz w:val="20"/>
          <w:szCs w:val="20"/>
          <w:color w:val="auto"/>
        </w:rPr>
      </w:pPr>
    </w:p>
    <w:p>
      <w:pPr>
        <w:spacing w:after="0" w:line="20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280035</wp:posOffset>
            </wp:positionV>
            <wp:extent cx="5572125" cy="382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212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3" w:name="page14"/>
    <w:bookmarkEnd w:id="13"/>
    <w:p>
      <w:pPr>
        <w:ind w:left="78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ind w:left="8280"/>
        <w:spacing w:after="0"/>
        <w:rPr>
          <w:sz w:val="20"/>
          <w:szCs w:val="20"/>
          <w:color w:val="auto"/>
        </w:rPr>
      </w:pPr>
      <w:r>
        <w:rPr>
          <w:rFonts w:ascii="Arial" w:cs="Arial" w:eastAsia="Arial" w:hAnsi="Arial"/>
          <w:sz w:val="14"/>
          <w:szCs w:val="14"/>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5572125" cy="2099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212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180"/>
        <w:spacing w:after="0"/>
        <w:tabs>
          <w:tab w:leader="none" w:pos="100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87" w:right="339" w:bottom="1440" w:gutter="0" w:footer="0" w:header="0"/>
        </w:sectPr>
      </w:pPr>
    </w:p>
    <w:bookmarkStart w:id="14" w:name="page15"/>
    <w:bookmarkEnd w:id="1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0075C9"/>
        </w:rPr>
        <w:t>Our Board of Directors</w:t>
      </w:r>
    </w:p>
    <w:p>
      <w:pPr>
        <w:spacing w:after="0" w:line="17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Board of Directors has nominated nine directors for election at the 2020 Annual Meeting. All of our nominees currently serve as CRC directors. Each nominee has agreed to serve another term, if elected.</w:t>
      </w:r>
    </w:p>
    <w:p>
      <w:pPr>
        <w:spacing w:after="0" w:line="15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After serving on our Board since our Spin-off, Mr. Korell will not be standing for reelection to the Board of Directors this year. This decision is not due to any disagreement with the Company on any matters relating to the Company’s operations, policies or practices. As a result, Mr. Korell’s term will expire at the 2020 Annual Meeting, at which time the size of the Board of Directors will be reduced from ten to nine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Board exhibits an effective mix of diversity, perspective,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109220</wp:posOffset>
            </wp:positionV>
            <wp:extent cx="4406265" cy="1859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0626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Set forth below is a chart that summarizes the core competencies of our Board, and biographical information regarding each of our directors as well as the specific experience, qualifications, attributes and skills that led to the conclusion that such individual should serve as director. There are no family relationships between any of our directors and executive officers. In addition, there are no arrangements or understandings between any of our executive officers or directors and any other person pursuant to which any person was selected as a director or an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Skills and Qualifications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4860" w:type="dxa"/>
            <w:vAlign w:val="bottom"/>
            <w:tcBorders>
              <w:top w:val="single" w:sz="8" w:color="0075C9"/>
            </w:tcBorders>
          </w:tcPr>
          <w:p>
            <w:pPr>
              <w:ind w:left="900"/>
              <w:spacing w:after="0"/>
              <w:rPr>
                <w:sz w:val="20"/>
                <w:szCs w:val="20"/>
                <w:color w:val="auto"/>
              </w:rPr>
            </w:pPr>
            <w:r>
              <w:rPr>
                <w:rFonts w:ascii="Arial" w:cs="Arial" w:eastAsia="Arial" w:hAnsi="Arial"/>
                <w:sz w:val="18"/>
                <w:szCs w:val="18"/>
                <w:color w:val="auto"/>
              </w:rPr>
              <w:t>CEO Experience</w:t>
            </w:r>
          </w:p>
        </w:tc>
        <w:tc>
          <w:tcPr>
            <w:tcW w:w="1460" w:type="dxa"/>
            <w:vAlign w:val="bottom"/>
            <w:tcBorders>
              <w:top w:val="single" w:sz="8" w:color="0075C9"/>
            </w:tcBorders>
          </w:tcPr>
          <w:p>
            <w:pPr>
              <w:ind w:left="1100"/>
              <w:spacing w:after="0"/>
              <w:rPr>
                <w:sz w:val="20"/>
                <w:szCs w:val="20"/>
                <w:color w:val="auto"/>
              </w:rPr>
            </w:pPr>
            <w:r>
              <w:rPr>
                <w:rFonts w:ascii="Arial" w:cs="Arial" w:eastAsia="Arial" w:hAnsi="Arial"/>
                <w:sz w:val="18"/>
                <w:szCs w:val="18"/>
                <w:color w:val="7F7F7F"/>
              </w:rPr>
              <w:t>●</w:t>
            </w:r>
          </w:p>
        </w:tc>
        <w:tc>
          <w:tcPr>
            <w:tcW w:w="620" w:type="dxa"/>
            <w:vAlign w:val="bottom"/>
            <w:tcBorders>
              <w:top w:val="single" w:sz="8" w:color="0075C9"/>
            </w:tcBorders>
          </w:tcPr>
          <w:p>
            <w:pPr>
              <w:ind w:left="260"/>
              <w:spacing w:after="0"/>
              <w:rPr>
                <w:sz w:val="20"/>
                <w:szCs w:val="20"/>
                <w:color w:val="auto"/>
              </w:rPr>
            </w:pPr>
            <w:r>
              <w:rPr>
                <w:rFonts w:ascii="Arial" w:cs="Arial" w:eastAsia="Arial" w:hAnsi="Arial"/>
                <w:sz w:val="18"/>
                <w:szCs w:val="18"/>
                <w:color w:val="7F7F7F"/>
              </w:rPr>
              <w:t>●</w:t>
            </w:r>
          </w:p>
        </w:tc>
        <w:tc>
          <w:tcPr>
            <w:tcW w:w="620" w:type="dxa"/>
            <w:vAlign w:val="bottom"/>
            <w:tcBorders>
              <w:top w:val="single" w:sz="8" w:color="0075C9"/>
            </w:tcBorders>
          </w:tcPr>
          <w:p>
            <w:pPr>
              <w:ind w:left="260"/>
              <w:spacing w:after="0"/>
              <w:rPr>
                <w:sz w:val="20"/>
                <w:szCs w:val="20"/>
                <w:color w:val="auto"/>
              </w:rPr>
            </w:pPr>
            <w:r>
              <w:rPr>
                <w:rFonts w:ascii="Arial" w:cs="Arial" w:eastAsia="Arial" w:hAnsi="Arial"/>
                <w:sz w:val="18"/>
                <w:szCs w:val="18"/>
                <w:color w:val="7F7F7F"/>
              </w:rPr>
              <w:t>●</w:t>
            </w:r>
          </w:p>
        </w:tc>
        <w:tc>
          <w:tcPr>
            <w:tcW w:w="620" w:type="dxa"/>
            <w:vAlign w:val="bottom"/>
            <w:tcBorders>
              <w:top w:val="single" w:sz="8" w:color="0075C9"/>
            </w:tcBorders>
          </w:tcPr>
          <w:p>
            <w:pPr>
              <w:ind w:left="260"/>
              <w:spacing w:after="0"/>
              <w:rPr>
                <w:sz w:val="20"/>
                <w:szCs w:val="20"/>
                <w:color w:val="auto"/>
              </w:rPr>
            </w:pPr>
            <w:r>
              <w:rPr>
                <w:rFonts w:ascii="Arial" w:cs="Arial" w:eastAsia="Arial" w:hAnsi="Arial"/>
                <w:sz w:val="18"/>
                <w:szCs w:val="18"/>
                <w:color w:val="7F7F7F"/>
              </w:rPr>
              <w:t>●</w:t>
            </w:r>
          </w:p>
        </w:tc>
        <w:tc>
          <w:tcPr>
            <w:tcW w:w="620" w:type="dxa"/>
            <w:vAlign w:val="bottom"/>
            <w:tcBorders>
              <w:top w:val="single" w:sz="8" w:color="0075C9"/>
            </w:tcBorders>
          </w:tcPr>
          <w:p>
            <w:pPr>
              <w:spacing w:after="0"/>
              <w:rPr>
                <w:sz w:val="24"/>
                <w:szCs w:val="24"/>
                <w:color w:val="auto"/>
              </w:rPr>
            </w:pPr>
          </w:p>
        </w:tc>
        <w:tc>
          <w:tcPr>
            <w:tcW w:w="620" w:type="dxa"/>
            <w:vAlign w:val="bottom"/>
            <w:tcBorders>
              <w:top w:val="single" w:sz="8" w:color="0075C9"/>
            </w:tcBorders>
          </w:tcPr>
          <w:p>
            <w:pPr>
              <w:spacing w:after="0"/>
              <w:rPr>
                <w:sz w:val="24"/>
                <w:szCs w:val="24"/>
                <w:color w:val="auto"/>
              </w:rPr>
            </w:pPr>
          </w:p>
        </w:tc>
        <w:tc>
          <w:tcPr>
            <w:tcW w:w="760" w:type="dxa"/>
            <w:vAlign w:val="bottom"/>
            <w:tcBorders>
              <w:top w:val="single" w:sz="8" w:color="0075C9"/>
            </w:tcBorders>
          </w:tcPr>
          <w:p>
            <w:pPr>
              <w:spacing w:after="0"/>
              <w:rPr>
                <w:sz w:val="24"/>
                <w:szCs w:val="24"/>
                <w:color w:val="auto"/>
              </w:rPr>
            </w:pPr>
          </w:p>
        </w:tc>
        <w:tc>
          <w:tcPr>
            <w:tcW w:w="80" w:type="dxa"/>
            <w:vAlign w:val="bottom"/>
            <w:tcBorders>
              <w:top w:val="single" w:sz="8" w:color="0075C9"/>
            </w:tcBorders>
          </w:tcPr>
          <w:p>
            <w:pPr>
              <w:spacing w:after="0"/>
              <w:rPr>
                <w:sz w:val="24"/>
                <w:szCs w:val="24"/>
                <w:color w:val="auto"/>
              </w:rPr>
            </w:pPr>
          </w:p>
        </w:tc>
        <w:tc>
          <w:tcPr>
            <w:tcW w:w="980" w:type="dxa"/>
            <w:vAlign w:val="bottom"/>
            <w:tcBorders>
              <w:top w:val="single" w:sz="8" w:color="0075C9"/>
            </w:tcBorders>
            <w:shd w:val="clear" w:color="auto" w:fill="EAEAEA"/>
          </w:tcPr>
          <w:p>
            <w:pPr>
              <w:ind w:left="220"/>
              <w:spacing w:after="0"/>
              <w:rPr>
                <w:sz w:val="20"/>
                <w:szCs w:val="20"/>
                <w:color w:val="auto"/>
              </w:rPr>
            </w:pPr>
            <w:r>
              <w:rPr>
                <w:rFonts w:ascii="Arial" w:cs="Arial" w:eastAsia="Arial" w:hAnsi="Arial"/>
                <w:sz w:val="18"/>
                <w:szCs w:val="18"/>
                <w:color w:val="0075C9"/>
              </w:rPr>
              <w:t>4 of 10</w:t>
            </w:r>
          </w:p>
        </w:tc>
      </w:tr>
      <w:tr>
        <w:trPr>
          <w:trHeight w:val="148"/>
        </w:trPr>
        <w:tc>
          <w:tcPr>
            <w:tcW w:w="4860" w:type="dxa"/>
            <w:vAlign w:val="bottom"/>
            <w:tcBorders>
              <w:bottom w:val="single" w:sz="8" w:color="EAEAEA"/>
            </w:tcBorders>
          </w:tcPr>
          <w:p>
            <w:pPr>
              <w:spacing w:after="0"/>
              <w:rPr>
                <w:sz w:val="12"/>
                <w:szCs w:val="12"/>
                <w:color w:val="auto"/>
              </w:rPr>
            </w:pPr>
          </w:p>
        </w:tc>
        <w:tc>
          <w:tcPr>
            <w:tcW w:w="146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760" w:type="dxa"/>
            <w:vAlign w:val="bottom"/>
            <w:tcBorders>
              <w:bottom w:val="single" w:sz="8" w:color="EAEAEA"/>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EAEAEA"/>
            </w:tcBorders>
            <w:shd w:val="clear" w:color="auto" w:fill="EAEAEA"/>
          </w:tcPr>
          <w:p>
            <w:pPr>
              <w:spacing w:after="0"/>
              <w:rPr>
                <w:sz w:val="12"/>
                <w:szCs w:val="12"/>
                <w:color w:val="auto"/>
              </w:rPr>
            </w:pPr>
          </w:p>
        </w:tc>
      </w:tr>
      <w:tr>
        <w:trPr>
          <w:trHeight w:val="358"/>
        </w:trPr>
        <w:tc>
          <w:tcPr>
            <w:tcW w:w="4860" w:type="dxa"/>
            <w:vAlign w:val="bottom"/>
          </w:tcPr>
          <w:p>
            <w:pPr>
              <w:ind w:left="900"/>
              <w:spacing w:after="0"/>
              <w:rPr>
                <w:sz w:val="20"/>
                <w:szCs w:val="20"/>
                <w:color w:val="auto"/>
              </w:rPr>
            </w:pPr>
            <w:r>
              <w:rPr>
                <w:rFonts w:ascii="Arial" w:cs="Arial" w:eastAsia="Arial" w:hAnsi="Arial"/>
                <w:sz w:val="18"/>
                <w:szCs w:val="18"/>
                <w:color w:val="auto"/>
              </w:rPr>
              <w:t>Corporate Governance Expertise</w:t>
            </w:r>
          </w:p>
        </w:tc>
        <w:tc>
          <w:tcPr>
            <w:tcW w:w="1460" w:type="dxa"/>
            <w:vAlign w:val="bottom"/>
          </w:tcPr>
          <w:p>
            <w:pPr>
              <w:ind w:left="110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7F7F7F"/>
              </w:rPr>
              <w:t>●</w:t>
            </w:r>
          </w:p>
        </w:tc>
        <w:tc>
          <w:tcPr>
            <w:tcW w:w="98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7 of 10</w:t>
            </w:r>
          </w:p>
        </w:tc>
      </w:tr>
      <w:tr>
        <w:trPr>
          <w:trHeight w:val="148"/>
        </w:trPr>
        <w:tc>
          <w:tcPr>
            <w:tcW w:w="4860" w:type="dxa"/>
            <w:vAlign w:val="bottom"/>
            <w:tcBorders>
              <w:bottom w:val="single" w:sz="8" w:color="EAEAEA"/>
            </w:tcBorders>
          </w:tcPr>
          <w:p>
            <w:pPr>
              <w:spacing w:after="0"/>
              <w:rPr>
                <w:sz w:val="12"/>
                <w:szCs w:val="12"/>
                <w:color w:val="auto"/>
              </w:rPr>
            </w:pPr>
          </w:p>
        </w:tc>
        <w:tc>
          <w:tcPr>
            <w:tcW w:w="146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760" w:type="dxa"/>
            <w:vAlign w:val="bottom"/>
            <w:tcBorders>
              <w:bottom w:val="single" w:sz="8" w:color="EAEAEA"/>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EAEAEA"/>
            </w:tcBorders>
            <w:shd w:val="clear" w:color="auto" w:fill="EAEAEA"/>
          </w:tcPr>
          <w:p>
            <w:pPr>
              <w:spacing w:after="0"/>
              <w:rPr>
                <w:sz w:val="12"/>
                <w:szCs w:val="12"/>
                <w:color w:val="auto"/>
              </w:rPr>
            </w:pPr>
          </w:p>
        </w:tc>
      </w:tr>
      <w:tr>
        <w:trPr>
          <w:trHeight w:val="345"/>
        </w:trPr>
        <w:tc>
          <w:tcPr>
            <w:tcW w:w="4860" w:type="dxa"/>
            <w:vAlign w:val="bottom"/>
          </w:tcPr>
          <w:p>
            <w:pPr>
              <w:ind w:left="900"/>
              <w:spacing w:after="0"/>
              <w:rPr>
                <w:sz w:val="20"/>
                <w:szCs w:val="20"/>
                <w:color w:val="auto"/>
              </w:rPr>
            </w:pPr>
            <w:r>
              <w:rPr>
                <w:rFonts w:ascii="Arial" w:cs="Arial" w:eastAsia="Arial" w:hAnsi="Arial"/>
                <w:sz w:val="18"/>
                <w:szCs w:val="18"/>
                <w:color w:val="auto"/>
              </w:rPr>
              <w:t>Engineering/Geological Background</w:t>
            </w:r>
          </w:p>
        </w:tc>
        <w:tc>
          <w:tcPr>
            <w:tcW w:w="1460" w:type="dxa"/>
            <w:vAlign w:val="bottom"/>
          </w:tcPr>
          <w:p>
            <w:pPr>
              <w:ind w:left="110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5 of 10</w:t>
            </w:r>
          </w:p>
        </w:tc>
      </w:tr>
      <w:tr>
        <w:trPr>
          <w:trHeight w:val="135"/>
        </w:trPr>
        <w:tc>
          <w:tcPr>
            <w:tcW w:w="4860" w:type="dxa"/>
            <w:vAlign w:val="bottom"/>
            <w:tcBorders>
              <w:bottom w:val="single" w:sz="8" w:color="EAEAEA"/>
            </w:tcBorders>
          </w:tcPr>
          <w:p>
            <w:pPr>
              <w:spacing w:after="0"/>
              <w:rPr>
                <w:sz w:val="11"/>
                <w:szCs w:val="11"/>
                <w:color w:val="auto"/>
              </w:rPr>
            </w:pPr>
          </w:p>
        </w:tc>
        <w:tc>
          <w:tcPr>
            <w:tcW w:w="146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760" w:type="dxa"/>
            <w:vAlign w:val="bottom"/>
            <w:tcBorders>
              <w:bottom w:val="single" w:sz="8" w:color="EAEAEA"/>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EAEAEA"/>
            </w:tcBorders>
            <w:shd w:val="clear" w:color="auto" w:fill="EAEAEA"/>
          </w:tcPr>
          <w:p>
            <w:pPr>
              <w:spacing w:after="0"/>
              <w:rPr>
                <w:sz w:val="11"/>
                <w:szCs w:val="11"/>
                <w:color w:val="auto"/>
              </w:rPr>
            </w:pPr>
          </w:p>
        </w:tc>
      </w:tr>
      <w:tr>
        <w:trPr>
          <w:trHeight w:val="331"/>
        </w:trPr>
        <w:tc>
          <w:tcPr>
            <w:tcW w:w="4860" w:type="dxa"/>
            <w:vAlign w:val="bottom"/>
          </w:tcPr>
          <w:p>
            <w:pPr>
              <w:ind w:left="900"/>
              <w:spacing w:after="0"/>
              <w:rPr>
                <w:sz w:val="20"/>
                <w:szCs w:val="20"/>
                <w:color w:val="auto"/>
              </w:rPr>
            </w:pPr>
            <w:r>
              <w:rPr>
                <w:rFonts w:ascii="Arial" w:cs="Arial" w:eastAsia="Arial" w:hAnsi="Arial"/>
                <w:sz w:val="18"/>
                <w:szCs w:val="18"/>
                <w:color w:val="auto"/>
              </w:rPr>
              <w:t>Financial/Capital Markets Expertise</w:t>
            </w:r>
          </w:p>
        </w:tc>
        <w:tc>
          <w:tcPr>
            <w:tcW w:w="1460" w:type="dxa"/>
            <w:vAlign w:val="bottom"/>
          </w:tcPr>
          <w:p>
            <w:pPr>
              <w:ind w:left="110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5 of 10</w:t>
            </w:r>
          </w:p>
        </w:tc>
      </w:tr>
      <w:tr>
        <w:trPr>
          <w:trHeight w:val="121"/>
        </w:trPr>
        <w:tc>
          <w:tcPr>
            <w:tcW w:w="4860" w:type="dxa"/>
            <w:vAlign w:val="bottom"/>
            <w:tcBorders>
              <w:bottom w:val="single" w:sz="8" w:color="EAEAEA"/>
            </w:tcBorders>
          </w:tcPr>
          <w:p>
            <w:pPr>
              <w:spacing w:after="0"/>
              <w:rPr>
                <w:sz w:val="10"/>
                <w:szCs w:val="10"/>
                <w:color w:val="auto"/>
              </w:rPr>
            </w:pPr>
          </w:p>
        </w:tc>
        <w:tc>
          <w:tcPr>
            <w:tcW w:w="146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760" w:type="dxa"/>
            <w:vAlign w:val="bottom"/>
            <w:tcBorders>
              <w:bottom w:val="single" w:sz="8" w:color="EAEAEA"/>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bottom w:val="single" w:sz="8" w:color="EAEAEA"/>
            </w:tcBorders>
            <w:shd w:val="clear" w:color="auto" w:fill="EAEAEA"/>
          </w:tcPr>
          <w:p>
            <w:pPr>
              <w:spacing w:after="0"/>
              <w:rPr>
                <w:sz w:val="10"/>
                <w:szCs w:val="10"/>
                <w:color w:val="auto"/>
              </w:rPr>
            </w:pPr>
          </w:p>
        </w:tc>
      </w:tr>
      <w:tr>
        <w:trPr>
          <w:trHeight w:val="372"/>
        </w:trPr>
        <w:tc>
          <w:tcPr>
            <w:tcW w:w="4860" w:type="dxa"/>
            <w:vAlign w:val="bottom"/>
          </w:tcPr>
          <w:p>
            <w:pPr>
              <w:ind w:left="900"/>
              <w:spacing w:after="0"/>
              <w:rPr>
                <w:sz w:val="20"/>
                <w:szCs w:val="20"/>
                <w:color w:val="auto"/>
              </w:rPr>
            </w:pPr>
            <w:r>
              <w:rPr>
                <w:rFonts w:ascii="Arial" w:cs="Arial" w:eastAsia="Arial" w:hAnsi="Arial"/>
                <w:sz w:val="18"/>
                <w:szCs w:val="18"/>
                <w:color w:val="auto"/>
              </w:rPr>
              <w:t>Oil and Gas Industry Experience</w:t>
            </w:r>
          </w:p>
        </w:tc>
        <w:tc>
          <w:tcPr>
            <w:tcW w:w="1460" w:type="dxa"/>
            <w:vAlign w:val="bottom"/>
          </w:tcPr>
          <w:p>
            <w:pPr>
              <w:ind w:left="110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7F7F7F"/>
              </w:rPr>
              <w:t>●</w:t>
            </w:r>
          </w:p>
        </w:tc>
        <w:tc>
          <w:tcPr>
            <w:tcW w:w="98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7 of 10</w:t>
            </w:r>
          </w:p>
        </w:tc>
      </w:tr>
      <w:tr>
        <w:trPr>
          <w:trHeight w:val="162"/>
        </w:trPr>
        <w:tc>
          <w:tcPr>
            <w:tcW w:w="4860" w:type="dxa"/>
            <w:vAlign w:val="bottom"/>
            <w:tcBorders>
              <w:bottom w:val="single" w:sz="8" w:color="EAEAEA"/>
            </w:tcBorders>
          </w:tcPr>
          <w:p>
            <w:pPr>
              <w:spacing w:after="0"/>
              <w:rPr>
                <w:sz w:val="14"/>
                <w:szCs w:val="14"/>
                <w:color w:val="auto"/>
              </w:rPr>
            </w:pPr>
          </w:p>
        </w:tc>
        <w:tc>
          <w:tcPr>
            <w:tcW w:w="146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760" w:type="dxa"/>
            <w:vAlign w:val="bottom"/>
            <w:tcBorders>
              <w:bottom w:val="single" w:sz="8" w:color="EAEAEA"/>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EAEAEA"/>
            </w:tcBorders>
            <w:shd w:val="clear" w:color="auto" w:fill="EAEAEA"/>
          </w:tcPr>
          <w:p>
            <w:pPr>
              <w:spacing w:after="0"/>
              <w:rPr>
                <w:sz w:val="14"/>
                <w:szCs w:val="14"/>
                <w:color w:val="auto"/>
              </w:rPr>
            </w:pPr>
          </w:p>
        </w:tc>
      </w:tr>
      <w:tr>
        <w:trPr>
          <w:trHeight w:val="358"/>
        </w:trPr>
        <w:tc>
          <w:tcPr>
            <w:tcW w:w="4860" w:type="dxa"/>
            <w:vAlign w:val="bottom"/>
          </w:tcPr>
          <w:p>
            <w:pPr>
              <w:ind w:left="900"/>
              <w:spacing w:after="0"/>
              <w:rPr>
                <w:sz w:val="20"/>
                <w:szCs w:val="20"/>
                <w:color w:val="auto"/>
              </w:rPr>
            </w:pPr>
            <w:r>
              <w:rPr>
                <w:rFonts w:ascii="Arial" w:cs="Arial" w:eastAsia="Arial" w:hAnsi="Arial"/>
                <w:sz w:val="18"/>
                <w:szCs w:val="18"/>
                <w:color w:val="auto"/>
              </w:rPr>
              <w:t>Risk Management Expertise</w:t>
            </w:r>
          </w:p>
        </w:tc>
        <w:tc>
          <w:tcPr>
            <w:tcW w:w="1460" w:type="dxa"/>
            <w:vAlign w:val="bottom"/>
          </w:tcPr>
          <w:p>
            <w:pPr>
              <w:ind w:left="110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5 of 10</w:t>
            </w:r>
          </w:p>
        </w:tc>
      </w:tr>
      <w:tr>
        <w:trPr>
          <w:trHeight w:val="229"/>
        </w:trPr>
        <w:tc>
          <w:tcPr>
            <w:tcW w:w="4860" w:type="dxa"/>
            <w:vAlign w:val="bottom"/>
            <w:tcBorders>
              <w:bottom w:val="single" w:sz="8" w:color="0075C9"/>
            </w:tcBorders>
          </w:tcPr>
          <w:p>
            <w:pPr>
              <w:spacing w:after="0"/>
              <w:rPr>
                <w:sz w:val="19"/>
                <w:szCs w:val="19"/>
                <w:color w:val="auto"/>
              </w:rPr>
            </w:pPr>
          </w:p>
        </w:tc>
        <w:tc>
          <w:tcPr>
            <w:tcW w:w="146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760" w:type="dxa"/>
            <w:vAlign w:val="bottom"/>
            <w:tcBorders>
              <w:bottom w:val="single" w:sz="8" w:color="0075C9"/>
            </w:tcBorders>
          </w:tcPr>
          <w:p>
            <w:pPr>
              <w:spacing w:after="0"/>
              <w:rPr>
                <w:sz w:val="19"/>
                <w:szCs w:val="19"/>
                <w:color w:val="auto"/>
              </w:rPr>
            </w:pPr>
          </w:p>
        </w:tc>
        <w:tc>
          <w:tcPr>
            <w:tcW w:w="80" w:type="dxa"/>
            <w:vAlign w:val="bottom"/>
            <w:tcBorders>
              <w:bottom w:val="single" w:sz="8" w:color="0075C9"/>
            </w:tcBorders>
          </w:tcPr>
          <w:p>
            <w:pPr>
              <w:spacing w:after="0"/>
              <w:rPr>
                <w:sz w:val="19"/>
                <w:szCs w:val="19"/>
                <w:color w:val="auto"/>
              </w:rPr>
            </w:pPr>
          </w:p>
        </w:tc>
        <w:tc>
          <w:tcPr>
            <w:tcW w:w="980" w:type="dxa"/>
            <w:vAlign w:val="bottom"/>
            <w:tcBorders>
              <w:bottom w:val="single" w:sz="8" w:color="0075C9"/>
            </w:tcBorders>
            <w:shd w:val="clear" w:color="auto" w:fill="EAEAEA"/>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-393700</wp:posOffset>
            </wp:positionV>
            <wp:extent cx="6686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-745490</wp:posOffset>
            </wp:positionV>
            <wp:extent cx="668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-1045210</wp:posOffset>
            </wp:positionV>
            <wp:extent cx="6686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-1362075</wp:posOffset>
            </wp:positionV>
            <wp:extent cx="6686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-1696720</wp:posOffset>
            </wp:positionV>
            <wp:extent cx="668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-1988185</wp:posOffset>
            </wp:positionV>
            <wp:extent cx="282575"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575" cy="25717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-1654175</wp:posOffset>
            </wp:positionV>
            <wp:extent cx="257175"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-1319530</wp:posOffset>
            </wp:positionV>
            <wp:extent cx="248285"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8285" cy="24003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-1002665</wp:posOffset>
            </wp:positionV>
            <wp:extent cx="20574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5740" cy="22288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-702310</wp:posOffset>
            </wp:positionV>
            <wp:extent cx="13716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27432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-351155</wp:posOffset>
            </wp:positionV>
            <wp:extent cx="248285"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8285" cy="257175"/>
                    </a:xfrm>
                    <a:prstGeom prst="rect">
                      <a:avLst/>
                    </a:prstGeom>
                    <a:noFill/>
                  </pic:spPr>
                </pic:pic>
              </a:graphicData>
            </a:graphic>
          </wp:anchor>
        </w:drawing>
      </w:r>
    </w:p>
    <w:p>
      <w:pPr>
        <w:spacing w:after="0" w:line="19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5" w:name="page16"/>
    <w:bookmarkEnd w:id="15"/>
    <w:p>
      <w:pPr>
        <w:ind w:left="89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102" w:lineRule="exact"/>
        <w:rPr>
          <w:sz w:val="20"/>
          <w:szCs w:val="20"/>
          <w:color w:val="auto"/>
        </w:rPr>
      </w:pPr>
    </w:p>
    <w:p>
      <w:pPr>
        <w:ind w:left="81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452120</wp:posOffset>
            </wp:positionV>
            <wp:extent cx="3549015" cy="131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49015" cy="1311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1311275" cy="131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0075C9"/>
        </w:rPr>
        <w:t>William E. Albrecht</w:t>
      </w:r>
    </w:p>
    <w:p>
      <w:pPr>
        <w:spacing w:after="0" w:line="133" w:lineRule="exact"/>
        <w:rPr>
          <w:sz w:val="20"/>
          <w:szCs w:val="20"/>
          <w:color w:val="auto"/>
        </w:rPr>
      </w:pPr>
    </w:p>
    <w:p>
      <w:pPr>
        <w:ind w:left="3420"/>
        <w:spacing w:after="0"/>
        <w:rPr>
          <w:sz w:val="20"/>
          <w:szCs w:val="20"/>
          <w:color w:val="auto"/>
        </w:rPr>
      </w:pPr>
      <w:r>
        <w:rPr>
          <w:rFonts w:ascii="Arial" w:cs="Arial" w:eastAsia="Arial" w:hAnsi="Arial"/>
          <w:sz w:val="18"/>
          <w:szCs w:val="18"/>
          <w:color w:val="0075C9"/>
        </w:rPr>
        <w:t>Chairman</w:t>
      </w:r>
    </w:p>
    <w:p>
      <w:pPr>
        <w:ind w:left="3420"/>
        <w:spacing w:after="0" w:line="234" w:lineRule="auto"/>
        <w:rPr>
          <w:sz w:val="20"/>
          <w:szCs w:val="20"/>
          <w:color w:val="auto"/>
        </w:rPr>
      </w:pPr>
      <w:r>
        <w:rPr>
          <w:rFonts w:ascii="Arial" w:cs="Arial" w:eastAsia="Arial" w:hAnsi="Arial"/>
          <w:sz w:val="18"/>
          <w:szCs w:val="18"/>
          <w:color w:val="0075C9"/>
        </w:rPr>
        <w:t>Director since: 2014</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0075C9"/>
        </w:rPr>
        <w:t>Age: 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9" w:hanging="169"/>
        <w:spacing w:after="0"/>
        <w:tabs>
          <w:tab w:leader="none" w:pos="169" w:val="left"/>
        </w:tabs>
        <w:numPr>
          <w:ilvl w:val="0"/>
          <w:numId w:val="9"/>
        </w:numPr>
        <w:rPr>
          <w:rFonts w:ascii="Arial" w:cs="Arial" w:eastAsia="Arial" w:hAnsi="Arial"/>
          <w:sz w:val="18"/>
          <w:szCs w:val="18"/>
          <w:color w:val="FFFFFF"/>
        </w:rPr>
      </w:pPr>
      <w:r>
        <w:rPr>
          <w:rFonts w:ascii="Arial" w:cs="Arial" w:eastAsia="Arial" w:hAnsi="Arial"/>
          <w:sz w:val="18"/>
          <w:szCs w:val="18"/>
          <w:color w:val="FFFFFF"/>
        </w:rPr>
        <w:t>Former VP at Occidental</w:t>
      </w:r>
    </w:p>
    <w:p>
      <w:pPr>
        <w:ind w:left="169" w:hanging="169"/>
        <w:spacing w:after="0"/>
        <w:tabs>
          <w:tab w:leader="none" w:pos="169" w:val="left"/>
        </w:tabs>
        <w:numPr>
          <w:ilvl w:val="0"/>
          <w:numId w:val="9"/>
        </w:numPr>
        <w:rPr>
          <w:rFonts w:ascii="Arial" w:cs="Arial" w:eastAsia="Arial" w:hAnsi="Arial"/>
          <w:sz w:val="17"/>
          <w:szCs w:val="17"/>
          <w:color w:val="FFFFFF"/>
        </w:rPr>
      </w:pPr>
      <w:r>
        <w:rPr>
          <w:rFonts w:ascii="Arial" w:cs="Arial" w:eastAsia="Arial" w:hAnsi="Arial"/>
          <w:sz w:val="17"/>
          <w:szCs w:val="17"/>
          <w:color w:val="FFFFFF"/>
        </w:rPr>
        <w:t>39+ years’ experience in domestic oil and gas</w:t>
      </w:r>
    </w:p>
    <w:p>
      <w:pPr>
        <w:spacing w:after="0" w:line="7" w:lineRule="exact"/>
        <w:rPr>
          <w:rFonts w:ascii="Arial" w:cs="Arial" w:eastAsia="Arial" w:hAnsi="Arial"/>
          <w:sz w:val="17"/>
          <w:szCs w:val="17"/>
          <w:color w:val="FFFFFF"/>
        </w:rPr>
      </w:pPr>
    </w:p>
    <w:p>
      <w:pPr>
        <w:ind w:left="149" w:right="1900" w:hanging="149"/>
        <w:spacing w:after="0" w:line="246" w:lineRule="auto"/>
        <w:tabs>
          <w:tab w:leader="none" w:pos="162" w:val="left"/>
        </w:tabs>
        <w:numPr>
          <w:ilvl w:val="0"/>
          <w:numId w:val="9"/>
        </w:numPr>
        <w:rPr>
          <w:rFonts w:ascii="Arial" w:cs="Arial" w:eastAsia="Arial" w:hAnsi="Arial"/>
          <w:sz w:val="18"/>
          <w:szCs w:val="18"/>
          <w:color w:val="FFFFFF"/>
        </w:rPr>
      </w:pPr>
      <w:r>
        <w:rPr>
          <w:rFonts w:ascii="Arial" w:cs="Arial" w:eastAsia="Arial" w:hAnsi="Arial"/>
          <w:sz w:val="18"/>
          <w:szCs w:val="18"/>
          <w:color w:val="FFFFFF"/>
        </w:rPr>
        <w:t>Director of Halliburton Co., Valaris plc and Laredo Petroleum, Inc.</w:t>
      </w:r>
    </w:p>
    <w:p>
      <w:pPr>
        <w:spacing w:after="0" w:line="200" w:lineRule="exact"/>
        <w:rPr>
          <w:sz w:val="20"/>
          <w:szCs w:val="20"/>
          <w:color w:val="auto"/>
        </w:rPr>
      </w:pPr>
    </w:p>
    <w:p>
      <w:pPr>
        <w:sectPr>
          <w:pgSz w:w="11900" w:h="16838" w:orient="portrait"/>
          <w:cols w:equalWidth="0" w:num="2">
            <w:col w:w="5111" w:space="720"/>
            <w:col w:w="5409"/>
          </w:cols>
          <w:pgMar w:left="320" w:top="3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Mr. Albrecht has served on the Board of Directors of CRC since 2014. He was appointed as Chairman of the Board in 2016. He served</w:t>
      </w:r>
    </w:p>
    <w:p>
      <w:pPr>
        <w:ind w:right="20"/>
        <w:spacing w:after="0" w:line="236" w:lineRule="auto"/>
        <w:rPr>
          <w:sz w:val="20"/>
          <w:szCs w:val="20"/>
          <w:color w:val="auto"/>
        </w:rPr>
      </w:pPr>
      <w:r>
        <w:rPr>
          <w:rFonts w:ascii="Arial" w:cs="Arial" w:eastAsia="Arial" w:hAnsi="Arial"/>
          <w:sz w:val="18"/>
          <w:szCs w:val="18"/>
          <w:color w:val="auto"/>
        </w:rPr>
        <w:t>as Executive Chairman of the Board of Directors from 2014 to 2016. Mr. Albrecht served as Vice President of Occidental from 2008 to 2014 and as President, Oxy Oil &amp; Gas, Americas from 2012 to 2014. Mr. Albrecht also served as President—Oxy Oil &amp; Gas, USA from 2008 to 2012. During his tenure with Occidental, Mr. Albrecht had managerial oversight over its upstream assets. Mr. Albrecht has more than 40 years of experience in the domestic oil and gas industry, having previously served as an executive officer for domestic energy producer EOG Resources, and as a petroleum engineer for Tenneco Oil Company. Since 2015, Mr. Albrecht has served on the board of directors of Valaris plc (formerly the Rowan Companies, plc), an international offshore drilling contractor providing jackups and drill ships for the offshore drilling industry. Mr. Albrecht is a member of its Compensation Committee and Nominating, Governance and Sustainability Committee, and is its Lead Independent Director. Since 2016, Mr. Albrecht has served on the board of directors of Halliburton Co. and is a member of its Compensation Committee and Health, Safety and Environment Committee. Since February 2020, Mr. Albrecht has served on the board of directors of Laredo Petroleum, Inc. and is a member of its Compensation Committee and its Nominating and Corporate Governance Committee. Mr. Albrecht holds a Master of Science degree from the University of Southern California and a Bachelor of Science degree from the United States Military Academy. Mr. Albrecht is a National Association of Corporate Directors (“</w:t>
      </w:r>
      <w:r>
        <w:rPr>
          <w:rFonts w:ascii="Arial" w:cs="Arial" w:eastAsia="Arial" w:hAnsi="Arial"/>
          <w:sz w:val="18"/>
          <w:szCs w:val="18"/>
          <w:b w:val="1"/>
          <w:bCs w:val="1"/>
          <w:i w:val="1"/>
          <w:iCs w:val="1"/>
          <w:color w:val="auto"/>
        </w:rPr>
        <w:t>NACD</w:t>
      </w:r>
      <w:r>
        <w:rPr>
          <w:rFonts w:ascii="Arial" w:cs="Arial" w:eastAsia="Arial" w:hAnsi="Arial"/>
          <w:sz w:val="18"/>
          <w:szCs w:val="18"/>
          <w:color w:val="auto"/>
        </w:rPr>
        <w:t>”) Board Leadership Fellow, and has completed NACD’s comprehensive program of study for directors and corporate governance professionals.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Mr. Albrecht brings extensive managerial and operational experience in the upstream domestic and international energy business to the Board of Directors. He also has a deep knowledge of our assets that gives the Board a valuable perspective on the specific strengths and challenges associated with our operations. Mr. Albrecht brings broad experience in proactively engaging with regulatory agencies, communities, and other stakeholders that makes him a valuable member of our Board of Directors.</w:t>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6" w:name="page17"/>
    <w:bookmarkEnd w:id="1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1311275" cy="131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3420" w:type="dxa"/>
        <w:tblCellMar>
          <w:top w:w="0" w:type="dxa"/>
          <w:left w:w="0" w:type="dxa"/>
          <w:bottom w:w="0" w:type="dxa"/>
          <w:right w:w="0" w:type="dxa"/>
        </w:tblCellMar>
      </w:tblPr>
      <w:tr>
        <w:trPr>
          <w:trHeight w:val="756"/>
        </w:trPr>
        <w:tc>
          <w:tcPr>
            <w:tcW w:w="2220" w:type="dxa"/>
            <w:vAlign w:val="bottom"/>
          </w:tcPr>
          <w:p>
            <w:pPr>
              <w:spacing w:after="0"/>
              <w:rPr>
                <w:sz w:val="20"/>
                <w:szCs w:val="20"/>
                <w:color w:val="auto"/>
              </w:rPr>
            </w:pPr>
            <w:r>
              <w:rPr>
                <w:rFonts w:ascii="Arial" w:cs="Arial" w:eastAsia="Arial" w:hAnsi="Arial"/>
                <w:sz w:val="18"/>
                <w:szCs w:val="18"/>
                <w:b w:val="1"/>
                <w:bCs w:val="1"/>
                <w:color w:val="0075C9"/>
              </w:rPr>
              <w:t>Justin A. Gannon</w:t>
            </w:r>
          </w:p>
        </w:tc>
        <w:tc>
          <w:tcPr>
            <w:tcW w:w="30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2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Former executive at Grant Thornton</w:t>
            </w:r>
          </w:p>
        </w:tc>
        <w:tc>
          <w:tcPr>
            <w:tcW w:w="0" w:type="dxa"/>
            <w:vAlign w:val="bottom"/>
          </w:tcPr>
          <w:p>
            <w:pPr>
              <w:spacing w:after="0"/>
              <w:rPr>
                <w:sz w:val="1"/>
                <w:szCs w:val="1"/>
                <w:color w:val="auto"/>
              </w:rPr>
            </w:pPr>
          </w:p>
        </w:tc>
      </w:tr>
      <w:tr>
        <w:trPr>
          <w:trHeight w:val="81"/>
        </w:trPr>
        <w:tc>
          <w:tcPr>
            <w:tcW w:w="2220" w:type="dxa"/>
            <w:vAlign w:val="bottom"/>
            <w:vMerge w:val="continue"/>
          </w:tcPr>
          <w:p>
            <w:pPr>
              <w:spacing w:after="0"/>
              <w:rPr>
                <w:sz w:val="7"/>
                <w:szCs w:val="7"/>
                <w:color w:val="auto"/>
              </w:rPr>
            </w:pPr>
          </w:p>
        </w:tc>
        <w:tc>
          <w:tcPr>
            <w:tcW w:w="5600" w:type="dxa"/>
            <w:vAlign w:val="bottom"/>
            <w:gridSpan w:val="2"/>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 Audit Partner at Arthur Andersen for 21 years</w:t>
            </w:r>
          </w:p>
        </w:tc>
        <w:tc>
          <w:tcPr>
            <w:tcW w:w="0" w:type="dxa"/>
            <w:vAlign w:val="bottom"/>
          </w:tcPr>
          <w:p>
            <w:pPr>
              <w:spacing w:after="0"/>
              <w:rPr>
                <w:sz w:val="1"/>
                <w:szCs w:val="1"/>
                <w:color w:val="auto"/>
              </w:rPr>
            </w:pPr>
          </w:p>
        </w:tc>
      </w:tr>
      <w:tr>
        <w:trPr>
          <w:trHeight w:val="122"/>
        </w:trPr>
        <w:tc>
          <w:tcPr>
            <w:tcW w:w="2220" w:type="dxa"/>
            <w:vAlign w:val="bottom"/>
            <w:vMerge w:val="restart"/>
          </w:tcPr>
          <w:p>
            <w:pPr>
              <w:spacing w:after="0"/>
              <w:rPr>
                <w:sz w:val="20"/>
                <w:szCs w:val="20"/>
                <w:color w:val="auto"/>
              </w:rPr>
            </w:pPr>
            <w:r>
              <w:rPr>
                <w:rFonts w:ascii="Arial" w:cs="Arial" w:eastAsia="Arial" w:hAnsi="Arial"/>
                <w:sz w:val="18"/>
                <w:szCs w:val="18"/>
                <w:color w:val="0075C9"/>
              </w:rPr>
              <w:t>Age: 70</w:t>
            </w:r>
          </w:p>
        </w:tc>
        <w:tc>
          <w:tcPr>
            <w:tcW w:w="5600" w:type="dxa"/>
            <w:vAlign w:val="bottom"/>
            <w:gridSpan w:val="2"/>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CrossAmerica Partners</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300" w:type="dxa"/>
            <w:vAlign w:val="bottom"/>
            <w:vMerge w:val="continue"/>
            <w:shd w:val="clear" w:color="auto" w:fill="0075C9"/>
          </w:tcPr>
          <w:p>
            <w:pPr>
              <w:spacing w:after="0"/>
              <w:rPr>
                <w:sz w:val="10"/>
                <w:szCs w:val="10"/>
                <w:color w:val="auto"/>
              </w:rPr>
            </w:pPr>
          </w:p>
        </w:tc>
        <w:tc>
          <w:tcPr>
            <w:tcW w:w="530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675"/>
        </w:trPr>
        <w:tc>
          <w:tcPr>
            <w:tcW w:w="222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80" w:hanging="223"/>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Chairman of the Audit Committee</w:t>
      </w:r>
    </w:p>
    <w:p>
      <w:pPr>
        <w:ind w:left="280" w:hanging="223"/>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Mr. Gannon has served on the Board of Directors of CRC since 2014. Since 2013, Mr. Gannon has acted as an independent consultant and private investor. From 2003 to 2013, Mr. Gannon served in various roles at Grant Thornton LLP, an independent audit, tax and advisory firm, including as National Leader of Merger and Acquisition Development from 2011 to 2013, Central Region Managing Partner from 2010 to 2011, Office Managing Partner in Houston, Texas from 2007 to 2011 and Office Managing Partner in Kansas City, Missouri from 2004 to 2007. From 1971 to 2002, Mr. Gannon worked at Arthur Andersen LLP, including as an Audit Partner for 21 years. Mr. Gannon is also a Director, Chairman of the Audit Committee and Member of the Conflicts Committee of the general partner of CrossAmerica Partners LP, a publicly-traded master limited partnership engaged in motor fuels distribution. He served as a member of the board of directors and as audit committee chairman for Vantage Energy Acquisition Company from April 2017 until its liquidation in April 2019. Mr. Gannon is a former chairman of the Board of Directors of American Red Cross chapters in the Tulsa, Oklahoma and San Antonio, Texas areas. He received a Bachelor of Science degree in Accounting from Loyola Marymount University and is a Certified Public Accountant in Texas (active) and California (inactive).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Mr. Gannon’s more than four decades in financial accounting practice and his private investment experience give him deep insight into financial analysis and management. His experience is especially valuable to the Board because of the extent to which his clients were involved in oil and gas upstream exploration and production. His financial acumen enables Mr. Gannon to guide the Board in its fiscal and strategic oversight of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486"/>
        </w:trPr>
        <w:tc>
          <w:tcPr>
            <w:tcW w:w="5600" w:type="dxa"/>
            <w:vAlign w:val="bottom"/>
          </w:tcPr>
          <w:p>
            <w:pPr>
              <w:ind w:left="3360"/>
              <w:spacing w:after="0"/>
              <w:rPr>
                <w:sz w:val="20"/>
                <w:szCs w:val="20"/>
                <w:color w:val="auto"/>
              </w:rPr>
            </w:pPr>
            <w:r>
              <w:rPr>
                <w:rFonts w:ascii="Arial" w:cs="Arial" w:eastAsia="Arial" w:hAnsi="Arial"/>
                <w:sz w:val="18"/>
                <w:szCs w:val="18"/>
                <w:b w:val="1"/>
                <w:bCs w:val="1"/>
                <w:color w:val="0075C9"/>
              </w:rPr>
              <w:t>Harold M. Korell</w:t>
            </w:r>
          </w:p>
        </w:tc>
        <w:tc>
          <w:tcPr>
            <w:tcW w:w="55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600" w:type="dxa"/>
            <w:vAlign w:val="bottom"/>
          </w:tcPr>
          <w:p>
            <w:pPr>
              <w:ind w:left="3360"/>
              <w:spacing w:after="0"/>
              <w:rPr>
                <w:sz w:val="20"/>
                <w:szCs w:val="20"/>
                <w:color w:val="auto"/>
              </w:rPr>
            </w:pPr>
            <w:r>
              <w:rPr>
                <w:rFonts w:ascii="Arial" w:cs="Arial" w:eastAsia="Arial" w:hAnsi="Arial"/>
                <w:sz w:val="18"/>
                <w:szCs w:val="18"/>
                <w:color w:val="0075C9"/>
              </w:rPr>
              <w:t>Lead Independent</w:t>
            </w:r>
          </w:p>
        </w:tc>
        <w:tc>
          <w:tcPr>
            <w:tcW w:w="55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3360"/>
              <w:spacing w:after="0" w:line="203" w:lineRule="exact"/>
              <w:rPr>
                <w:sz w:val="20"/>
                <w:szCs w:val="20"/>
                <w:color w:val="auto"/>
              </w:rPr>
            </w:pPr>
            <w:r>
              <w:rPr>
                <w:rFonts w:ascii="Arial" w:cs="Arial" w:eastAsia="Arial" w:hAnsi="Arial"/>
                <w:sz w:val="18"/>
                <w:szCs w:val="18"/>
                <w:color w:val="0075C9"/>
              </w:rPr>
              <w:t>Director</w:t>
            </w:r>
          </w:p>
        </w:tc>
        <w:tc>
          <w:tcPr>
            <w:tcW w:w="5580" w:type="dxa"/>
            <w:vAlign w:val="bottom"/>
            <w:shd w:val="clear" w:color="auto" w:fill="0075C9"/>
          </w:tcPr>
          <w:p>
            <w:pPr>
              <w:ind w:left="180"/>
              <w:spacing w:after="0" w:line="203" w:lineRule="exact"/>
              <w:rPr>
                <w:sz w:val="20"/>
                <w:szCs w:val="20"/>
                <w:color w:val="auto"/>
              </w:rPr>
            </w:pPr>
            <w:r>
              <w:rPr>
                <w:rFonts w:ascii="Arial" w:cs="Arial" w:eastAsia="Arial" w:hAnsi="Arial"/>
                <w:sz w:val="18"/>
                <w:szCs w:val="18"/>
                <w:color w:val="FFFFFF"/>
              </w:rPr>
              <w:t>• Former Chairman of Southwestern Energy Company</w:t>
            </w:r>
          </w:p>
        </w:tc>
        <w:tc>
          <w:tcPr>
            <w:tcW w:w="0" w:type="dxa"/>
            <w:vAlign w:val="bottom"/>
          </w:tcPr>
          <w:p>
            <w:pPr>
              <w:spacing w:after="0"/>
              <w:rPr>
                <w:sz w:val="1"/>
                <w:szCs w:val="1"/>
                <w:color w:val="auto"/>
              </w:rPr>
            </w:pPr>
          </w:p>
        </w:tc>
      </w:tr>
      <w:tr>
        <w:trPr>
          <w:trHeight w:val="203"/>
        </w:trPr>
        <w:tc>
          <w:tcPr>
            <w:tcW w:w="5600" w:type="dxa"/>
            <w:vAlign w:val="bottom"/>
          </w:tcPr>
          <w:p>
            <w:pPr>
              <w:ind w:left="3360"/>
              <w:spacing w:after="0" w:line="202" w:lineRule="exact"/>
              <w:rPr>
                <w:sz w:val="20"/>
                <w:szCs w:val="20"/>
                <w:color w:val="auto"/>
              </w:rPr>
            </w:pPr>
            <w:r>
              <w:rPr>
                <w:rFonts w:ascii="Arial" w:cs="Arial" w:eastAsia="Arial" w:hAnsi="Arial"/>
                <w:sz w:val="18"/>
                <w:szCs w:val="18"/>
                <w:color w:val="0075C9"/>
              </w:rPr>
              <w:t>Director since: 2014</w:t>
            </w:r>
          </w:p>
        </w:tc>
        <w:tc>
          <w:tcPr>
            <w:tcW w:w="558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 Former CEO of Southwestern Energy Company</w:t>
            </w:r>
          </w:p>
        </w:tc>
        <w:tc>
          <w:tcPr>
            <w:tcW w:w="0" w:type="dxa"/>
            <w:vAlign w:val="bottom"/>
          </w:tcPr>
          <w:p>
            <w:pPr>
              <w:spacing w:after="0"/>
              <w:rPr>
                <w:sz w:val="1"/>
                <w:szCs w:val="1"/>
                <w:color w:val="auto"/>
              </w:rPr>
            </w:pPr>
          </w:p>
        </w:tc>
      </w:tr>
      <w:tr>
        <w:trPr>
          <w:trHeight w:val="217"/>
        </w:trPr>
        <w:tc>
          <w:tcPr>
            <w:tcW w:w="5600" w:type="dxa"/>
            <w:vAlign w:val="bottom"/>
          </w:tcPr>
          <w:p>
            <w:pPr>
              <w:ind w:left="3360"/>
              <w:spacing w:after="0"/>
              <w:rPr>
                <w:sz w:val="20"/>
                <w:szCs w:val="20"/>
                <w:color w:val="auto"/>
              </w:rPr>
            </w:pPr>
            <w:r>
              <w:rPr>
                <w:rFonts w:ascii="Arial" w:cs="Arial" w:eastAsia="Arial" w:hAnsi="Arial"/>
                <w:sz w:val="18"/>
                <w:szCs w:val="18"/>
                <w:color w:val="0075C9"/>
              </w:rPr>
              <w:t>Age: 75</w:t>
            </w:r>
          </w:p>
        </w:tc>
        <w:tc>
          <w:tcPr>
            <w:tcW w:w="5580" w:type="dxa"/>
            <w:vAlign w:val="bottom"/>
            <w:shd w:val="clear" w:color="auto" w:fill="0075C9"/>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600" w:type="dxa"/>
            <w:vAlign w:val="bottom"/>
          </w:tcPr>
          <w:p>
            <w:pPr>
              <w:ind w:left="3360"/>
              <w:spacing w:after="0"/>
              <w:rPr>
                <w:sz w:val="20"/>
                <w:szCs w:val="20"/>
                <w:color w:val="auto"/>
              </w:rPr>
            </w:pPr>
            <w:r>
              <w:rPr>
                <w:rFonts w:ascii="Arial" w:cs="Arial" w:eastAsia="Arial" w:hAnsi="Arial"/>
                <w:sz w:val="18"/>
                <w:szCs w:val="18"/>
                <w:b w:val="1"/>
                <w:bCs w:val="1"/>
                <w:color w:val="0075C9"/>
              </w:rPr>
              <w:t>Not Standing for</w:t>
            </w:r>
          </w:p>
        </w:tc>
        <w:tc>
          <w:tcPr>
            <w:tcW w:w="5580" w:type="dxa"/>
            <w:vAlign w:val="bottom"/>
            <w:shd w:val="clear" w:color="auto" w:fill="0075C9"/>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600" w:type="dxa"/>
            <w:vAlign w:val="bottom"/>
          </w:tcPr>
          <w:p>
            <w:pPr>
              <w:ind w:left="3360"/>
              <w:spacing w:after="0"/>
              <w:rPr>
                <w:sz w:val="20"/>
                <w:szCs w:val="20"/>
                <w:color w:val="auto"/>
              </w:rPr>
            </w:pPr>
            <w:r>
              <w:rPr>
                <w:rFonts w:ascii="Arial" w:cs="Arial" w:eastAsia="Arial" w:hAnsi="Arial"/>
                <w:sz w:val="18"/>
                <w:szCs w:val="18"/>
                <w:b w:val="1"/>
                <w:bCs w:val="1"/>
                <w:color w:val="0075C9"/>
              </w:rPr>
              <w:t>Reelection</w:t>
            </w:r>
          </w:p>
        </w:tc>
        <w:tc>
          <w:tcPr>
            <w:tcW w:w="5580" w:type="dxa"/>
            <w:vAlign w:val="bottom"/>
            <w:shd w:val="clear" w:color="auto" w:fill="0075C9"/>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Arial" w:cs="Arial" w:eastAsia="Arial" w:hAnsi="Arial"/>
                <w:sz w:val="18"/>
                <w:szCs w:val="18"/>
                <w:color w:val="auto"/>
              </w:rPr>
              <w:t>•  Member of the Nominating and Governance Committee</w:t>
            </w:r>
          </w:p>
        </w:tc>
        <w:tc>
          <w:tcPr>
            <w:tcW w:w="5580" w:type="dxa"/>
            <w:vAlign w:val="bottom"/>
            <w:shd w:val="clear" w:color="auto" w:fill="0075C9"/>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5600" w:type="dxa"/>
            <w:vAlign w:val="bottom"/>
            <w:vMerge w:val="continue"/>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  Member of the Sustainability Committee</w:t>
            </w:r>
          </w:p>
        </w:tc>
        <w:tc>
          <w:tcPr>
            <w:tcW w:w="5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-1653540</wp:posOffset>
            </wp:positionV>
            <wp:extent cx="1320165" cy="131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20165" cy="1311275"/>
                    </a:xfrm>
                    <a:prstGeom prst="rect">
                      <a:avLst/>
                    </a:prstGeom>
                    <a:noFill/>
                  </pic:spPr>
                </pic:pic>
              </a:graphicData>
            </a:graphic>
          </wp:anchor>
        </w:drawing>
      </w:r>
    </w:p>
    <w:p>
      <w:pPr>
        <w:spacing w:after="0" w:line="18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Mr. Korell has served on the Board of Directors of CRC and as Lead Independent Director since 2014. From 2002 through 2014, Mr. Korell served as the Chairman of the Board of Southwestern Energy Company, an independent energy company engaged in natural gas and oil exploration, development and production. From</w:t>
      </w:r>
    </w:p>
    <w:p>
      <w:pPr>
        <w:spacing w:after="0" w:line="20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2009 to 2010, he served as Southwestern’s Executive Chairman and, from 1999 to 2009, as its Chief Executive Officer. From 1997 to 2009, Mr. Korell served in various other roles at Southwestern, including President and Executive Vice President and Chief Operating Officer. Prior to his tenure at Southwestern, Mr. Korell was Senior Vice President—Operations of American Exploration Company, Executive Vice President of McCormick Resources, held various technical and managerial positions during his 17 years with Tenneco Oil Company, including Vice President of Production, and held various positions with Mobil Corporation. He is a member of the Society of Petroleum Engineers and, through 2010, served as a Board Member for the Independent Petroleum Association of America and the American Exploration &amp; Production Council and as a Board Member and Executive Committee Member for America’s Natural Gas Alliance. He also serves on the Board of Governors at the Colorado School of Mines and is a Trustee Emeritus at the Baylor College of Medicine. Mr. Korell holds a degree in Chemical and Petroleum Refining Engineering from the Colorado School of Mines.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Mr. Korell’s experience over five decades in the oil and gas industry gives him a broad understanding of the upstream oil and gas business as well as the midstream and public utility businesses. Mr. Korell’s leadership during a time of dramatic expansion for his company provides valuable insights into strategic and operational, corporate and governance matters. In addition, Mr. Korell provides a deep understanding of our assets due to his involvement with a number of them early in his career that lend specific knowledge and understanding to Board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342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Harry T. McMahon</w:t>
            </w: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Former Executive Vice Chairman for Bank of</w:t>
            </w:r>
          </w:p>
        </w:tc>
        <w:tc>
          <w:tcPr>
            <w:tcW w:w="0" w:type="dxa"/>
            <w:vAlign w:val="bottom"/>
          </w:tcPr>
          <w:p>
            <w:pPr>
              <w:spacing w:after="0"/>
              <w:rPr>
                <w:sz w:val="1"/>
                <w:szCs w:val="1"/>
                <w:color w:val="auto"/>
              </w:rPr>
            </w:pPr>
          </w:p>
        </w:tc>
      </w:tr>
      <w:tr>
        <w:trPr>
          <w:trHeight w:val="67"/>
        </w:trPr>
        <w:tc>
          <w:tcPr>
            <w:tcW w:w="2240" w:type="dxa"/>
            <w:vAlign w:val="bottom"/>
          </w:tcPr>
          <w:p>
            <w:pPr>
              <w:spacing w:after="0"/>
              <w:rPr>
                <w:sz w:val="5"/>
                <w:szCs w:val="5"/>
                <w:color w:val="auto"/>
              </w:rPr>
            </w:pPr>
          </w:p>
        </w:tc>
        <w:tc>
          <w:tcPr>
            <w:tcW w:w="280" w:type="dxa"/>
            <w:vAlign w:val="bottom"/>
            <w:vMerge w:val="continue"/>
            <w:shd w:val="clear" w:color="auto" w:fill="0075C9"/>
          </w:tcPr>
          <w:p>
            <w:pPr>
              <w:spacing w:after="0"/>
              <w:rPr>
                <w:sz w:val="5"/>
                <w:szCs w:val="5"/>
                <w:color w:val="auto"/>
              </w:rPr>
            </w:pPr>
          </w:p>
        </w:tc>
        <w:tc>
          <w:tcPr>
            <w:tcW w:w="5300" w:type="dxa"/>
            <w:vAlign w:val="bottom"/>
            <w:vMerge w:val="continue"/>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Director since: 2017</w:t>
            </w:r>
          </w:p>
        </w:tc>
        <w:tc>
          <w:tcPr>
            <w:tcW w:w="280" w:type="dxa"/>
            <w:vAlign w:val="bottom"/>
            <w:shd w:val="clear" w:color="auto" w:fill="0075C9"/>
          </w:tcPr>
          <w:p>
            <w:pPr>
              <w:spacing w:after="0"/>
              <w:rPr>
                <w:sz w:val="17"/>
                <w:szCs w:val="17"/>
                <w:color w:val="auto"/>
              </w:rPr>
            </w:pPr>
          </w:p>
        </w:tc>
        <w:tc>
          <w:tcPr>
            <w:tcW w:w="5300" w:type="dxa"/>
            <w:vAlign w:val="bottom"/>
            <w:shd w:val="clear" w:color="auto" w:fill="0075C9"/>
          </w:tcPr>
          <w:p>
            <w:pPr>
              <w:ind w:left="80"/>
              <w:spacing w:after="0" w:line="202" w:lineRule="exact"/>
              <w:rPr>
                <w:sz w:val="20"/>
                <w:szCs w:val="20"/>
                <w:color w:val="auto"/>
              </w:rPr>
            </w:pPr>
            <w:r>
              <w:rPr>
                <w:rFonts w:ascii="Arial" w:cs="Arial" w:eastAsia="Arial" w:hAnsi="Arial"/>
                <w:sz w:val="18"/>
                <w:szCs w:val="18"/>
                <w:color w:val="FFFFFF"/>
              </w:rPr>
              <w:t>America Merrill Lynch</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Age: 66</w:t>
            </w:r>
          </w:p>
        </w:tc>
        <w:tc>
          <w:tcPr>
            <w:tcW w:w="5580" w:type="dxa"/>
            <w:vAlign w:val="bottom"/>
            <w:gridSpan w:val="2"/>
            <w:shd w:val="clear" w:color="auto" w:fill="0075C9"/>
          </w:tcPr>
          <w:p>
            <w:pPr>
              <w:ind w:left="180"/>
              <w:spacing w:after="0" w:line="202" w:lineRule="exact"/>
              <w:rPr>
                <w:sz w:val="20"/>
                <w:szCs w:val="20"/>
                <w:color w:val="auto"/>
              </w:rPr>
            </w:pPr>
            <w:r>
              <w:rPr>
                <w:rFonts w:ascii="Arial" w:cs="Arial" w:eastAsia="Arial" w:hAnsi="Arial"/>
                <w:sz w:val="18"/>
                <w:szCs w:val="18"/>
                <w:color w:val="FFFFFF"/>
              </w:rPr>
              <w:t>• Senior Advisor to G100 Network</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Director of Parsons Corporation</w:t>
            </w:r>
          </w:p>
        </w:tc>
        <w:tc>
          <w:tcPr>
            <w:tcW w:w="0" w:type="dxa"/>
            <w:vAlign w:val="bottom"/>
          </w:tcPr>
          <w:p>
            <w:pPr>
              <w:spacing w:after="0"/>
              <w:rPr>
                <w:sz w:val="1"/>
                <w:szCs w:val="1"/>
                <w:color w:val="auto"/>
              </w:rPr>
            </w:pPr>
          </w:p>
        </w:tc>
      </w:tr>
      <w:tr>
        <w:trPr>
          <w:trHeight w:val="621"/>
        </w:trPr>
        <w:tc>
          <w:tcPr>
            <w:tcW w:w="224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-1310640</wp:posOffset>
            </wp:positionV>
            <wp:extent cx="1320165" cy="131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0165" cy="1311275"/>
                    </a:xfrm>
                    <a:prstGeom prst="rect">
                      <a:avLst/>
                    </a:prstGeom>
                    <a:noFill/>
                  </pic:spPr>
                </pic:pic>
              </a:graphicData>
            </a:graphic>
          </wp:anchor>
        </w:drawing>
      </w:r>
    </w:p>
    <w:p>
      <w:pPr>
        <w:spacing w:after="0" w:line="96" w:lineRule="exact"/>
        <w:rPr>
          <w:sz w:val="20"/>
          <w:szCs w:val="20"/>
          <w:color w:val="auto"/>
        </w:rPr>
      </w:pPr>
    </w:p>
    <w:p>
      <w:pPr>
        <w:ind w:left="260" w:hanging="206"/>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80" w:hanging="223"/>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Compensation Committee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McMahon has served on the Board of Directors of CRC since 2017. Since 2015 he has been a Senior Advisor to the G100 Network, a Leadership Advisory Consortium focused on CEO and Board Development. From 1983 to 2015, Mr. McMahon served in various positions for Bank of America Merrill Lynch including, most recently, as Executive Vice Chairman (the firm's first following the merger of Merrill Lynch and Bank of America). His other roles included service as Vice Chairman and Co-Head of Global Corporate Finance of Merrill Lynch and over 25 years running Investment Banking for the firm's Western Region. During his career Mr. McMahon advised on more than 400 transactions. Mr. McMahon is a director of Parsons Corporation, a digitally enabled solutions provider and a global leader in many diversified markets with a focus on security, defense and infrastructure, and is a member of its Audit and Compensation committees. Mr. McMahon also serves as a trustee of Claremont McKenna College. Mr. McMahon received a Master of Business Administration degree from the University of Chicago Booth School of Business and a Bachelor of Arts degree in Economics from Claremont McKenna College.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McMahon's over three decades of investment banking experience provides the Board with deep insight into financial structuring matters and fashioning innovative strategic solutions. His senior managerial roles, including as Executive Vice Chairman of one of the nation's largest banks and as Senior Advisor to the G100 Network, also give him valuable perspectives on maintaining ties between boards and management.</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420" w:type="dxa"/>
        <w:tblCellMar>
          <w:top w:w="0" w:type="dxa"/>
          <w:left w:w="0" w:type="dxa"/>
          <w:bottom w:w="0" w:type="dxa"/>
          <w:right w:w="0" w:type="dxa"/>
        </w:tblCellMar>
      </w:tblPr>
      <w:tr>
        <w:trPr>
          <w:trHeight w:val="756"/>
        </w:trPr>
        <w:tc>
          <w:tcPr>
            <w:tcW w:w="2220" w:type="dxa"/>
            <w:vAlign w:val="bottom"/>
          </w:tcPr>
          <w:p>
            <w:pPr>
              <w:spacing w:after="0"/>
              <w:rPr>
                <w:sz w:val="20"/>
                <w:szCs w:val="20"/>
                <w:color w:val="auto"/>
              </w:rPr>
            </w:pPr>
            <w:r>
              <w:rPr>
                <w:rFonts w:ascii="Arial" w:cs="Arial" w:eastAsia="Arial" w:hAnsi="Arial"/>
                <w:sz w:val="18"/>
                <w:szCs w:val="18"/>
                <w:b w:val="1"/>
                <w:bCs w:val="1"/>
                <w:color w:val="0075C9"/>
              </w:rPr>
              <w:t>Richard W. Moncrief</w:t>
            </w:r>
          </w:p>
        </w:tc>
        <w:tc>
          <w:tcPr>
            <w:tcW w:w="30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r>
      <w:tr>
        <w:trPr>
          <w:trHeight w:val="269"/>
        </w:trPr>
        <w:tc>
          <w:tcPr>
            <w:tcW w:w="2220" w:type="dxa"/>
            <w:vAlign w:val="bottom"/>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CEO of Moncrief Oil International</w:t>
            </w:r>
          </w:p>
        </w:tc>
      </w:tr>
      <w:tr>
        <w:trPr>
          <w:trHeight w:val="244"/>
        </w:trPr>
        <w:tc>
          <w:tcPr>
            <w:tcW w:w="2220" w:type="dxa"/>
            <w:vAlign w:val="bottom"/>
          </w:tcPr>
          <w:p>
            <w:pPr>
              <w:spacing w:after="0"/>
              <w:rPr>
                <w:sz w:val="20"/>
                <w:szCs w:val="20"/>
                <w:color w:val="auto"/>
              </w:rPr>
            </w:pPr>
            <w:r>
              <w:rPr>
                <w:rFonts w:ascii="Arial" w:cs="Arial" w:eastAsia="Arial" w:hAnsi="Arial"/>
                <w:sz w:val="18"/>
                <w:szCs w:val="18"/>
                <w:color w:val="0075C9"/>
              </w:rPr>
              <w:t>Age: 77</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Extensive experience in the upstream oil and gas industry</w:t>
            </w:r>
          </w:p>
        </w:tc>
      </w:tr>
      <w:tr>
        <w:trPr>
          <w:trHeight w:val="797"/>
        </w:trPr>
        <w:tc>
          <w:tcPr>
            <w:tcW w:w="222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-1310640</wp:posOffset>
            </wp:positionV>
            <wp:extent cx="1311275" cy="131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96" w:lineRule="exact"/>
        <w:rPr>
          <w:sz w:val="20"/>
          <w:szCs w:val="20"/>
          <w:color w:val="auto"/>
        </w:rPr>
      </w:pPr>
    </w:p>
    <w:p>
      <w:pPr>
        <w:ind w:left="260" w:hanging="206"/>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Chairman of the Sustainability Committee</w:t>
      </w:r>
    </w:p>
    <w:p>
      <w:pPr>
        <w:ind w:left="260" w:hanging="206"/>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Mr. Moncrief has served on the Board of Directors of CRC since 2014. Mr. Moncrief has been a principal in Moncrief Oil International, Inc., an oil and gas exploration and production company with headquarters in Fort Worth, Texas, since founding the company in 1970. He currently serves as its Chief Executive Officer. Moncrief Oil participates in U.S. and international oil and gas exploration and production. Mr. Moncrief also serves on the boards of trustees for the Amon Carter Museum and the University of Texas Development Board. He holds a Bachelor of Science degree in Petroleum Engineering and is a Distinguished Graduate of the School of Engineering of the University of Texas.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Moncrief’s extensive experience as the head of a large private upstream oil and gas exploration company allows him to bring an in-depth understanding of key industry issues to the Board of Directors. His leadership experience at Moncrief Oil provides him with strategic and management insights from which CRC benefits. Mr. Moncrief offers entrepreneurial expertise forged over years in the business of oil and gas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420" w:type="dxa"/>
        <w:tblCellMar>
          <w:top w:w="0" w:type="dxa"/>
          <w:left w:w="0" w:type="dxa"/>
          <w:bottom w:w="0" w:type="dxa"/>
          <w:right w:w="0" w:type="dxa"/>
        </w:tblCellMar>
      </w:tblPr>
      <w:tr>
        <w:trPr>
          <w:trHeight w:val="743"/>
        </w:trPr>
        <w:tc>
          <w:tcPr>
            <w:tcW w:w="2240" w:type="dxa"/>
            <w:vAlign w:val="bottom"/>
          </w:tcPr>
          <w:p>
            <w:pPr>
              <w:spacing w:after="0"/>
              <w:rPr>
                <w:sz w:val="20"/>
                <w:szCs w:val="20"/>
                <w:color w:val="auto"/>
              </w:rPr>
            </w:pPr>
            <w:r>
              <w:rPr>
                <w:rFonts w:ascii="Arial" w:cs="Arial" w:eastAsia="Arial" w:hAnsi="Arial"/>
                <w:sz w:val="18"/>
                <w:szCs w:val="18"/>
                <w:b w:val="1"/>
                <w:bCs w:val="1"/>
                <w:color w:val="0075C9"/>
              </w:rPr>
              <w:t>Avedick B. Poladian</w:t>
            </w:r>
          </w:p>
        </w:tc>
        <w:tc>
          <w:tcPr>
            <w:tcW w:w="5580" w:type="dxa"/>
            <w:vAlign w:val="bottom"/>
            <w:gridSpan w:val="2"/>
            <w:vMerge w:val="restart"/>
            <w:shd w:val="clear" w:color="auto" w:fill="0075C9"/>
          </w:tcPr>
          <w:p>
            <w:pPr>
              <w:ind w:left="180"/>
              <w:spacing w:after="0"/>
              <w:rPr>
                <w:sz w:val="20"/>
                <w:szCs w:val="20"/>
                <w:color w:val="auto"/>
              </w:rPr>
            </w:pPr>
            <w:r>
              <w:rPr>
                <w:rFonts w:ascii="Arial" w:cs="Arial" w:eastAsia="Arial" w:hAnsi="Arial"/>
                <w:sz w:val="18"/>
                <w:szCs w:val="18"/>
                <w:color w:val="FFFFFF"/>
              </w:rPr>
              <w:t>• Former COO and EVP of Lowe Enterprises</w:t>
            </w:r>
          </w:p>
        </w:tc>
        <w:tc>
          <w:tcPr>
            <w:tcW w:w="0" w:type="dxa"/>
            <w:vAlign w:val="bottom"/>
          </w:tcPr>
          <w:p>
            <w:pPr>
              <w:spacing w:after="0"/>
              <w:rPr>
                <w:sz w:val="1"/>
                <w:szCs w:val="1"/>
                <w:color w:val="auto"/>
              </w:rPr>
            </w:pPr>
          </w:p>
        </w:tc>
      </w:tr>
      <w:tr>
        <w:trPr>
          <w:trHeight w:val="175"/>
        </w:trPr>
        <w:tc>
          <w:tcPr>
            <w:tcW w:w="224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5580" w:type="dxa"/>
            <w:vAlign w:val="bottom"/>
            <w:gridSpan w:val="2"/>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40" w:type="dxa"/>
            <w:vAlign w:val="bottom"/>
            <w:vMerge w:val="continue"/>
          </w:tcPr>
          <w:p>
            <w:pPr>
              <w:spacing w:after="0"/>
              <w:rPr>
                <w:sz w:val="10"/>
                <w:szCs w:val="10"/>
                <w:color w:val="auto"/>
              </w:rPr>
            </w:pPr>
          </w:p>
        </w:tc>
        <w:tc>
          <w:tcPr>
            <w:tcW w:w="28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300" w:type="dxa"/>
            <w:vAlign w:val="bottom"/>
            <w:vMerge w:val="restart"/>
            <w:shd w:val="clear" w:color="auto" w:fill="0075C9"/>
          </w:tcPr>
          <w:p>
            <w:pPr>
              <w:ind w:left="60"/>
              <w:spacing w:after="0" w:line="202" w:lineRule="exact"/>
              <w:rPr>
                <w:sz w:val="20"/>
                <w:szCs w:val="20"/>
                <w:color w:val="auto"/>
              </w:rPr>
            </w:pPr>
            <w:r>
              <w:rPr>
                <w:rFonts w:ascii="Arial" w:cs="Arial" w:eastAsia="Arial" w:hAnsi="Arial"/>
                <w:sz w:val="18"/>
                <w:szCs w:val="18"/>
                <w:color w:val="FFFFFF"/>
              </w:rPr>
              <w:t>Former Partner at Arthur Andersen</w:t>
            </w:r>
          </w:p>
        </w:tc>
        <w:tc>
          <w:tcPr>
            <w:tcW w:w="0" w:type="dxa"/>
            <w:vAlign w:val="bottom"/>
          </w:tcPr>
          <w:p>
            <w:pPr>
              <w:spacing w:after="0"/>
              <w:rPr>
                <w:sz w:val="1"/>
                <w:szCs w:val="1"/>
                <w:color w:val="auto"/>
              </w:rPr>
            </w:pPr>
          </w:p>
        </w:tc>
      </w:tr>
      <w:tr>
        <w:trPr>
          <w:trHeight w:val="81"/>
        </w:trPr>
        <w:tc>
          <w:tcPr>
            <w:tcW w:w="2240" w:type="dxa"/>
            <w:vAlign w:val="bottom"/>
            <w:vMerge w:val="restart"/>
          </w:tcPr>
          <w:p>
            <w:pPr>
              <w:spacing w:after="0"/>
              <w:rPr>
                <w:sz w:val="20"/>
                <w:szCs w:val="20"/>
                <w:color w:val="auto"/>
              </w:rPr>
            </w:pPr>
            <w:r>
              <w:rPr>
                <w:rFonts w:ascii="Arial" w:cs="Arial" w:eastAsia="Arial" w:hAnsi="Arial"/>
                <w:sz w:val="18"/>
                <w:szCs w:val="18"/>
                <w:color w:val="0075C9"/>
              </w:rPr>
              <w:t>Age: 68</w:t>
            </w:r>
          </w:p>
        </w:tc>
        <w:tc>
          <w:tcPr>
            <w:tcW w:w="280" w:type="dxa"/>
            <w:vAlign w:val="bottom"/>
            <w:vMerge w:val="continue"/>
            <w:shd w:val="clear" w:color="auto" w:fill="0075C9"/>
          </w:tcPr>
          <w:p>
            <w:pPr>
              <w:spacing w:after="0"/>
              <w:rPr>
                <w:sz w:val="7"/>
                <w:szCs w:val="7"/>
                <w:color w:val="auto"/>
              </w:rPr>
            </w:pPr>
          </w:p>
        </w:tc>
        <w:tc>
          <w:tcPr>
            <w:tcW w:w="53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40" w:type="dxa"/>
            <w:vAlign w:val="bottom"/>
            <w:vMerge w:val="continue"/>
          </w:tcPr>
          <w:p>
            <w:pPr>
              <w:spacing w:after="0"/>
              <w:rPr>
                <w:sz w:val="11"/>
                <w:szCs w:val="11"/>
                <w:color w:val="auto"/>
              </w:rPr>
            </w:pP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Director of Occidental and Public Storage</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280" w:type="dxa"/>
            <w:vAlign w:val="bottom"/>
            <w:vMerge w:val="continue"/>
            <w:shd w:val="clear" w:color="auto" w:fill="0075C9"/>
          </w:tcPr>
          <w:p>
            <w:pPr>
              <w:spacing w:after="0"/>
              <w:rPr>
                <w:sz w:val="7"/>
                <w:szCs w:val="7"/>
                <w:color w:val="auto"/>
              </w:rPr>
            </w:pPr>
          </w:p>
        </w:tc>
        <w:tc>
          <w:tcPr>
            <w:tcW w:w="53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15"/>
        </w:trPr>
        <w:tc>
          <w:tcPr>
            <w:tcW w:w="224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-1302385</wp:posOffset>
            </wp:positionV>
            <wp:extent cx="1311275" cy="130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1275" cy="1303020"/>
                    </a:xfrm>
                    <a:prstGeom prst="rect">
                      <a:avLst/>
                    </a:prstGeom>
                    <a:noFill/>
                  </pic:spPr>
                </pic:pic>
              </a:graphicData>
            </a:graphic>
          </wp:anchor>
        </w:drawing>
      </w:r>
    </w:p>
    <w:p>
      <w:pPr>
        <w:spacing w:after="0" w:line="96" w:lineRule="exact"/>
        <w:rPr>
          <w:sz w:val="20"/>
          <w:szCs w:val="20"/>
          <w:color w:val="auto"/>
        </w:rPr>
      </w:pPr>
    </w:p>
    <w:p>
      <w:pPr>
        <w:ind w:left="260" w:hanging="206"/>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06"/>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Mr. Poladian has served on the Board of Directors of CRC since 2014. From 2006 to 2016, Mr. Poladian served as Executive Vice President and Chief Operating Officer of Lowe Enterprises, Inc., a diversified national real estate company active in commercial, residential and hospitality property investment, management and development. Mr. Poladian previously served as Executive Vice President, Chief Financial Officer and Chief Administrative Officer for Lowe from 2003 to 2006. Mr. Poladian was with Arthur Andersen LLP from 1974 to 2002, most recently as a Partner, and is a Certified Public Accountant (inactive). He is a past member of the Young Presidents Organization, the Chief Executive Organization, the California Society of CPAs and the American Institute of CPAs. Mr. Poladian is a director emeritus of the YMCA of Metropolitan Los Angeles, a member of the Board of Councilors of the USC Sol Price School of Policy, a member of the Board of Advisors of the Ronald Reagan UCLA Medical Center, and a former Trustee of Loyola Marymount</w:t>
      </w: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University. He serves as a director and on the Audit Committees of funds managed by Western Asset Management Funds. He is also a member of the Board of Trustees of Public Storage where he is the Chair of the Audit Committee and a member of the Nominating and Corporate Governance Committee. Mr. Poladian also serves as a director of Occidental Petroleum Corporation where he is a member of the Corporate Governance and Nominating Committee and Chair of the Audit Committee. He previously served as a director of California Pizza Kitchen.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Mr. Poladian’s service in a senior management position at one of the world’s largest accounting firms, combined with his experience as Chief Operating Officer and Chief Financial Officer of a diversified real estate company, gives Mr. Poladian deep knowledge of key business issues, including personnel and asset utilization. He also provides insight into all aspects of fiscal management. Through his work on the boards of various entities, Mr. Poladian has garnered valuable insight into our business and corporate governance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311275" cy="131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420" w:type="dxa"/>
        <w:tblCellMar>
          <w:top w:w="0" w:type="dxa"/>
          <w:left w:w="0" w:type="dxa"/>
          <w:bottom w:w="0" w:type="dxa"/>
          <w:right w:w="0" w:type="dxa"/>
        </w:tblCellMar>
      </w:tblPr>
      <w:tr>
        <w:trPr>
          <w:trHeight w:val="756"/>
        </w:trPr>
        <w:tc>
          <w:tcPr>
            <w:tcW w:w="2220" w:type="dxa"/>
            <w:vAlign w:val="bottom"/>
          </w:tcPr>
          <w:p>
            <w:pPr>
              <w:spacing w:after="0"/>
              <w:rPr>
                <w:sz w:val="20"/>
                <w:szCs w:val="20"/>
                <w:color w:val="auto"/>
              </w:rPr>
            </w:pPr>
            <w:r>
              <w:rPr>
                <w:rFonts w:ascii="Arial" w:cs="Arial" w:eastAsia="Arial" w:hAnsi="Arial"/>
                <w:sz w:val="18"/>
                <w:szCs w:val="18"/>
                <w:b w:val="1"/>
                <w:bCs w:val="1"/>
                <w:color w:val="0075C9"/>
              </w:rPr>
              <w:t>Anita M. Powers</w:t>
            </w: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Former EVP Worldwide Exploration of Occidental</w:t>
            </w:r>
          </w:p>
        </w:tc>
        <w:tc>
          <w:tcPr>
            <w:tcW w:w="0" w:type="dxa"/>
            <w:vAlign w:val="bottom"/>
          </w:tcPr>
          <w:p>
            <w:pPr>
              <w:spacing w:after="0"/>
              <w:rPr>
                <w:sz w:val="1"/>
                <w:szCs w:val="1"/>
                <w:color w:val="auto"/>
              </w:rPr>
            </w:pPr>
          </w:p>
        </w:tc>
      </w:tr>
      <w:tr>
        <w:trPr>
          <w:trHeight w:val="67"/>
        </w:trPr>
        <w:tc>
          <w:tcPr>
            <w:tcW w:w="2220" w:type="dxa"/>
            <w:vAlign w:val="bottom"/>
          </w:tcPr>
          <w:p>
            <w:pPr>
              <w:spacing w:after="0"/>
              <w:rPr>
                <w:sz w:val="5"/>
                <w:szCs w:val="5"/>
                <w:color w:val="auto"/>
              </w:rPr>
            </w:pPr>
          </w:p>
        </w:tc>
        <w:tc>
          <w:tcPr>
            <w:tcW w:w="280" w:type="dxa"/>
            <w:vAlign w:val="bottom"/>
            <w:vMerge w:val="continue"/>
            <w:shd w:val="clear" w:color="auto" w:fill="0075C9"/>
          </w:tcPr>
          <w:p>
            <w:pPr>
              <w:spacing w:after="0"/>
              <w:rPr>
                <w:sz w:val="5"/>
                <w:szCs w:val="5"/>
                <w:color w:val="auto"/>
              </w:rPr>
            </w:pPr>
          </w:p>
        </w:tc>
        <w:tc>
          <w:tcPr>
            <w:tcW w:w="5320" w:type="dxa"/>
            <w:vAlign w:val="bottom"/>
            <w:vMerge w:val="continue"/>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0075C9"/>
              </w:rPr>
              <w:t>Director since: 2017</w:t>
            </w:r>
          </w:p>
        </w:tc>
        <w:tc>
          <w:tcPr>
            <w:tcW w:w="280" w:type="dxa"/>
            <w:vAlign w:val="bottom"/>
            <w:shd w:val="clear" w:color="auto" w:fill="0075C9"/>
          </w:tcPr>
          <w:p>
            <w:pPr>
              <w:spacing w:after="0"/>
              <w:rPr>
                <w:sz w:val="17"/>
                <w:szCs w:val="17"/>
                <w:color w:val="auto"/>
              </w:rPr>
            </w:pPr>
          </w:p>
        </w:tc>
        <w:tc>
          <w:tcPr>
            <w:tcW w:w="532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Oil and Gas</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0075C9"/>
              </w:rPr>
              <w:t>Age: 64</w:t>
            </w:r>
          </w:p>
        </w:tc>
        <w:tc>
          <w:tcPr>
            <w:tcW w:w="28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202" w:lineRule="exact"/>
              <w:rPr>
                <w:sz w:val="20"/>
                <w:szCs w:val="20"/>
                <w:color w:val="auto"/>
              </w:rPr>
            </w:pPr>
            <w:r>
              <w:rPr>
                <w:rFonts w:ascii="Arial" w:cs="Arial" w:eastAsia="Arial" w:hAnsi="Arial"/>
                <w:sz w:val="18"/>
                <w:szCs w:val="18"/>
                <w:color w:val="FFFFFF"/>
              </w:rPr>
              <w:t>Director of EQT Corporation</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Senior Geoscientist</w:t>
            </w:r>
          </w:p>
        </w:tc>
        <w:tc>
          <w:tcPr>
            <w:tcW w:w="0" w:type="dxa"/>
            <w:vAlign w:val="bottom"/>
          </w:tcPr>
          <w:p>
            <w:pPr>
              <w:spacing w:after="0"/>
              <w:rPr>
                <w:sz w:val="1"/>
                <w:szCs w:val="1"/>
                <w:color w:val="auto"/>
              </w:rPr>
            </w:pPr>
          </w:p>
        </w:tc>
      </w:tr>
      <w:tr>
        <w:trPr>
          <w:trHeight w:val="621"/>
        </w:trPr>
        <w:tc>
          <w:tcPr>
            <w:tcW w:w="222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Sustainability Committee</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Ms. Powers was appointed to the Board of Directors in 2017. Ms. Powers retired from Occidental Petroleum Corporation in January 2017 after more than 30 years of service at Occidental. Prior to her retirement, Ms. Powers served since 2009 as Executive Vice President of Worldwide Exploration for Occidental Oil and Gas Corporation and as Vice President of parent Occidental Petroleum Corporation. From 2006 to 2009, Ms. Powers served as Vice President of Worldwide Exploration. Prior to 2006, Ms. Powers served as Director of Worldwide Geoscience, Vice President of Exploration in Colombia and Chief Exploration Geologist for Worldwide Exploration. Ms. Powers serves as a director of EQT Corporation. Ms. Powers holds a Bachelor of Science degree in Geology with high honors from Texas A&amp;M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Ms. Powers brings over 36 years of experience in the oil and gas industry to CRC’s Board. Her expertise as a senior geoscientist working in hydrocarbon provinces around the world and, in particular, her knowledge of California’s geology greatly benefits CRC’s Board. The Board also benefits from her perspective gained from many years of executive management in the industry.</w:t>
      </w: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1311275" cy="131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3420" w:type="dxa"/>
        <w:tblCellMar>
          <w:top w:w="0" w:type="dxa"/>
          <w:left w:w="0" w:type="dxa"/>
          <w:bottom w:w="0" w:type="dxa"/>
          <w:right w:w="0" w:type="dxa"/>
        </w:tblCellMar>
      </w:tblPr>
      <w:tr>
        <w:trPr>
          <w:trHeight w:val="756"/>
        </w:trPr>
        <w:tc>
          <w:tcPr>
            <w:tcW w:w="2220" w:type="dxa"/>
            <w:vAlign w:val="bottom"/>
          </w:tcPr>
          <w:p>
            <w:pPr>
              <w:spacing w:after="0"/>
              <w:rPr>
                <w:sz w:val="20"/>
                <w:szCs w:val="20"/>
                <w:color w:val="auto"/>
              </w:rPr>
            </w:pPr>
            <w:r>
              <w:rPr>
                <w:rFonts w:ascii="Arial" w:cs="Arial" w:eastAsia="Arial" w:hAnsi="Arial"/>
                <w:sz w:val="18"/>
                <w:szCs w:val="18"/>
                <w:b w:val="1"/>
                <w:bCs w:val="1"/>
                <w:color w:val="0075C9"/>
              </w:rPr>
              <w:t>Laurie A. Siegel</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President of LAS Advisory Services</w:t>
            </w:r>
          </w:p>
        </w:tc>
        <w:tc>
          <w:tcPr>
            <w:tcW w:w="0" w:type="dxa"/>
            <w:vAlign w:val="bottom"/>
          </w:tcPr>
          <w:p>
            <w:pPr>
              <w:spacing w:after="0"/>
              <w:rPr>
                <w:sz w:val="1"/>
                <w:szCs w:val="1"/>
                <w:color w:val="auto"/>
              </w:rPr>
            </w:pPr>
          </w:p>
        </w:tc>
      </w:tr>
      <w:tr>
        <w:trPr>
          <w:trHeight w:val="175"/>
        </w:trPr>
        <w:tc>
          <w:tcPr>
            <w:tcW w:w="2220" w:type="dxa"/>
            <w:vAlign w:val="bottom"/>
            <w:vMerge w:val="restart"/>
          </w:tcPr>
          <w:p>
            <w:pPr>
              <w:spacing w:after="0"/>
              <w:rPr>
                <w:sz w:val="20"/>
                <w:szCs w:val="20"/>
                <w:color w:val="auto"/>
              </w:rPr>
            </w:pPr>
            <w:r>
              <w:rPr>
                <w:rFonts w:ascii="Arial" w:cs="Arial" w:eastAsia="Arial" w:hAnsi="Arial"/>
                <w:sz w:val="18"/>
                <w:szCs w:val="18"/>
                <w:color w:val="0075C9"/>
              </w:rPr>
              <w:t>Director since: 2018</w:t>
            </w:r>
          </w:p>
        </w:tc>
        <w:tc>
          <w:tcPr>
            <w:tcW w:w="300" w:type="dxa"/>
            <w:vAlign w:val="bottom"/>
            <w:vMerge w:val="continue"/>
            <w:shd w:val="clear" w:color="auto" w:fill="0075C9"/>
          </w:tcPr>
          <w:p>
            <w:pPr>
              <w:spacing w:after="0"/>
              <w:rPr>
                <w:sz w:val="15"/>
                <w:szCs w:val="15"/>
                <w:color w:val="auto"/>
              </w:rPr>
            </w:pPr>
          </w:p>
        </w:tc>
        <w:tc>
          <w:tcPr>
            <w:tcW w:w="5300" w:type="dxa"/>
            <w:vAlign w:val="bottom"/>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20" w:type="dxa"/>
            <w:vAlign w:val="bottom"/>
            <w:vMerge w:val="continue"/>
          </w:tcPr>
          <w:p>
            <w:pPr>
              <w:spacing w:after="0"/>
              <w:rPr>
                <w:sz w:val="10"/>
                <w:szCs w:val="10"/>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300" w:type="dxa"/>
            <w:vAlign w:val="bottom"/>
            <w:vMerge w:val="restart"/>
            <w:shd w:val="clear" w:color="auto" w:fill="0075C9"/>
          </w:tcPr>
          <w:p>
            <w:pPr>
              <w:ind w:left="40"/>
              <w:spacing w:after="0" w:line="202" w:lineRule="exact"/>
              <w:rPr>
                <w:sz w:val="20"/>
                <w:szCs w:val="20"/>
                <w:color w:val="auto"/>
              </w:rPr>
            </w:pPr>
            <w:r>
              <w:rPr>
                <w:rFonts w:ascii="Arial" w:cs="Arial" w:eastAsia="Arial" w:hAnsi="Arial"/>
                <w:sz w:val="18"/>
                <w:szCs w:val="18"/>
                <w:color w:val="FFFFFF"/>
              </w:rPr>
              <w:t>Former Senior VP of Tyco International Ltd.</w:t>
            </w:r>
          </w:p>
        </w:tc>
        <w:tc>
          <w:tcPr>
            <w:tcW w:w="0" w:type="dxa"/>
            <w:vAlign w:val="bottom"/>
          </w:tcPr>
          <w:p>
            <w:pPr>
              <w:spacing w:after="0"/>
              <w:rPr>
                <w:sz w:val="1"/>
                <w:szCs w:val="1"/>
                <w:color w:val="auto"/>
              </w:rPr>
            </w:pPr>
          </w:p>
        </w:tc>
      </w:tr>
      <w:tr>
        <w:trPr>
          <w:trHeight w:val="81"/>
        </w:trPr>
        <w:tc>
          <w:tcPr>
            <w:tcW w:w="2220" w:type="dxa"/>
            <w:vAlign w:val="bottom"/>
            <w:vMerge w:val="restart"/>
          </w:tcPr>
          <w:p>
            <w:pPr>
              <w:spacing w:after="0"/>
              <w:rPr>
                <w:sz w:val="20"/>
                <w:szCs w:val="20"/>
                <w:color w:val="auto"/>
              </w:rPr>
            </w:pPr>
            <w:r>
              <w:rPr>
                <w:rFonts w:ascii="Arial" w:cs="Arial" w:eastAsia="Arial" w:hAnsi="Arial"/>
                <w:sz w:val="18"/>
                <w:szCs w:val="18"/>
                <w:color w:val="0075C9"/>
              </w:rPr>
              <w:t>Age: 64</w:t>
            </w:r>
          </w:p>
        </w:tc>
        <w:tc>
          <w:tcPr>
            <w:tcW w:w="300" w:type="dxa"/>
            <w:vAlign w:val="bottom"/>
            <w:vMerge w:val="continue"/>
            <w:shd w:val="clear" w:color="auto" w:fill="0075C9"/>
          </w:tcPr>
          <w:p>
            <w:pPr>
              <w:spacing w:after="0"/>
              <w:rPr>
                <w:sz w:val="7"/>
                <w:szCs w:val="7"/>
                <w:color w:val="auto"/>
              </w:rPr>
            </w:pPr>
          </w:p>
        </w:tc>
        <w:tc>
          <w:tcPr>
            <w:tcW w:w="53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2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Program Chair of the G100 Talent Consortium</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3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15"/>
        </w:trPr>
        <w:tc>
          <w:tcPr>
            <w:tcW w:w="222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80" w:hanging="223"/>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80" w:hanging="223"/>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 of Directors appointed Ms. Siegel as a director effective as of August 21, 2018. Ms. Siegel is the President of LAS Advisory Services, a firm providing advice to organizations on issues related to talent management, succession planning, organizational capability and culture. From 2003 to 2012, Ms. Siegel served as Senior Vice President of Human Resources and Internal Communications of Tyco International Ltd., a diversified manufacturing and service company. Ms. Siegel had responsibility for rebuilding the leadership team, executing a strategy to restore the confidence of the company's employees and building an HR function with deep expertise in global human resource practices. From 1994 to 2002, she held various positions with Honeywell International Inc., including Vice President of Human Resources — Specialty Materials and was a principal at Strategic Compensation Associates. Ms. Siegel is currently Program Chair of the G100 Talent Consortium. Ms. Siegel is a director and compensation committee chair of the board of directors of CenturyLink, Inc., a broadband, telecommunications and data hosting company, and FactSet Research Systems Inc., a multinational financial data and software company. She is also a director of private company Scoop Technologies. From 2015 to 2019, she served as a director and compensation committee chair of Volt Information Sciences, a provider of global infrastructure solutions in technology, information services and staffing acquisition. Ms. Siegel has an MBA and a Master’s degree in City and Regional Planning, both from Harvard University, and a Bachelor’s degree from the University of Michigan.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2700"/>
        <w:spacing w:after="0" w:line="234" w:lineRule="auto"/>
        <w:rPr>
          <w:sz w:val="20"/>
          <w:szCs w:val="20"/>
          <w:color w:val="auto"/>
        </w:rPr>
      </w:pPr>
      <w:r>
        <w:rPr>
          <w:rFonts w:ascii="Arial" w:cs="Arial" w:eastAsia="Arial" w:hAnsi="Arial"/>
          <w:sz w:val="18"/>
          <w:szCs w:val="18"/>
          <w:color w:val="auto"/>
        </w:rPr>
        <w:t>Ms. Siegel brings to our Board substantial experience as a human resources executive with large global enterprises as well as substantial public company board experience. Her background provides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Board with unique insight into various issues including talent management, succession planning, executive compensation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1311275" cy="131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420" w:type="dxa"/>
        <w:tblCellMar>
          <w:top w:w="0" w:type="dxa"/>
          <w:left w:w="0" w:type="dxa"/>
          <w:bottom w:w="0" w:type="dxa"/>
          <w:right w:w="0" w:type="dxa"/>
        </w:tblCellMar>
      </w:tblPr>
      <w:tr>
        <w:trPr>
          <w:trHeight w:val="756"/>
        </w:trPr>
        <w:tc>
          <w:tcPr>
            <w:tcW w:w="2220" w:type="dxa"/>
            <w:vAlign w:val="bottom"/>
          </w:tcPr>
          <w:p>
            <w:pPr>
              <w:spacing w:after="0"/>
              <w:rPr>
                <w:sz w:val="20"/>
                <w:szCs w:val="20"/>
                <w:color w:val="auto"/>
              </w:rPr>
            </w:pPr>
            <w:r>
              <w:rPr>
                <w:rFonts w:ascii="Arial" w:cs="Arial" w:eastAsia="Arial" w:hAnsi="Arial"/>
                <w:sz w:val="18"/>
                <w:szCs w:val="18"/>
                <w:b w:val="1"/>
                <w:bCs w:val="1"/>
                <w:color w:val="0075C9"/>
              </w:rPr>
              <w:t>Robert V. Sinnott</w:t>
            </w:r>
          </w:p>
        </w:tc>
        <w:tc>
          <w:tcPr>
            <w:tcW w:w="30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r>
      <w:tr>
        <w:trPr>
          <w:trHeight w:val="296"/>
        </w:trPr>
        <w:tc>
          <w:tcPr>
            <w:tcW w:w="2220" w:type="dxa"/>
            <w:vAlign w:val="bottom"/>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Co-Chairman of Kayne Anderson Capital</w:t>
            </w:r>
          </w:p>
        </w:tc>
      </w:tr>
      <w:tr>
        <w:trPr>
          <w:trHeight w:val="244"/>
        </w:trPr>
        <w:tc>
          <w:tcPr>
            <w:tcW w:w="2220" w:type="dxa"/>
            <w:vAlign w:val="bottom"/>
          </w:tcPr>
          <w:p>
            <w:pPr>
              <w:spacing w:after="0"/>
              <w:rPr>
                <w:sz w:val="20"/>
                <w:szCs w:val="20"/>
                <w:color w:val="auto"/>
              </w:rPr>
            </w:pPr>
            <w:r>
              <w:rPr>
                <w:rFonts w:ascii="Arial" w:cs="Arial" w:eastAsia="Arial" w:hAnsi="Arial"/>
                <w:sz w:val="18"/>
                <w:szCs w:val="18"/>
                <w:color w:val="0075C9"/>
              </w:rPr>
              <w:t>Age: 70</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Director of PAA GP Holdings</w:t>
            </w:r>
          </w:p>
        </w:tc>
      </w:tr>
      <w:tr>
        <w:trPr>
          <w:trHeight w:val="769"/>
        </w:trPr>
        <w:tc>
          <w:tcPr>
            <w:tcW w:w="222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r>
    </w:tbl>
    <w:p>
      <w:pPr>
        <w:spacing w:after="0" w:line="121"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Chairman of the Nominating and Governance Committee</w:t>
      </w:r>
    </w:p>
    <w:p>
      <w:pPr>
        <w:spacing w:after="0" w:line="21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Mr. Sinnott was appointed to the Board of Directors of CRC in 2014. Mr. Sinnott is Co-Chairman of Kayne Anderson Capital Advisors, L.P., an investment management firm. From 2010 until 2016, he served there as President, Chief Executive Officer and Chief Investment Officer. He also served as a Managing Director there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from 1992 to 1996 and as its Senior Managing Director from 1996 until assuming the role of Chief Executive Officer in 2010. He is also President of Kayne Anderson Investment Management, Inc., the general partner of Kayne Anderson Capital Advisors, L.P. Mr. Sinnott served as a director of Kayne Anderson Energy Development Company from 2006 through 2013. He was Vice President and Senior Securities Officer of the Investment Banking Division of Citibank from 1986 to 1992 and previously held positions with United Energy Resources, a pipeline company, and Bank of America in its oil and gas finance department. Since 1998, Mr. Sinnott has served on the board of PAA GP Holdings LLC and its predecessor entities and currently serves as chairman of its compensation committee. Mr. Sinnott received a Bachelor of Arts degree from the University of Virginia and a Masters of Business Administration from Harvard University.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the Co-Chairman of a California-based investment company investing in energy and other areas, Mr. Sinnott brings extensive insight into the oil and gas and financial industries to the CRC Board of Directors. His experience analyzing industry players and managing a multi-billion dollar investment enterprise allows him to provide insight on a broad variety of matters affecting the oil and gas industry generally and the company specifically. He brings deep understanding of and insight into strategic alternatives, industry trends, deal structures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311275" cy="131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420" w:type="dxa"/>
        <w:tblCellMar>
          <w:top w:w="0" w:type="dxa"/>
          <w:left w:w="0" w:type="dxa"/>
          <w:bottom w:w="0" w:type="dxa"/>
          <w:right w:w="0" w:type="dxa"/>
        </w:tblCellMar>
      </w:tblPr>
      <w:tr>
        <w:trPr>
          <w:trHeight w:val="702"/>
        </w:trPr>
        <w:tc>
          <w:tcPr>
            <w:tcW w:w="2240" w:type="dxa"/>
            <w:vAlign w:val="bottom"/>
          </w:tcPr>
          <w:p>
            <w:pPr>
              <w:spacing w:after="0"/>
              <w:rPr>
                <w:sz w:val="20"/>
                <w:szCs w:val="20"/>
                <w:color w:val="auto"/>
              </w:rPr>
            </w:pPr>
            <w:r>
              <w:rPr>
                <w:rFonts w:ascii="Arial" w:cs="Arial" w:eastAsia="Arial" w:hAnsi="Arial"/>
                <w:sz w:val="18"/>
                <w:szCs w:val="18"/>
                <w:b w:val="1"/>
                <w:bCs w:val="1"/>
                <w:color w:val="0075C9"/>
              </w:rPr>
              <w:t>Todd A. Stevens</w:t>
            </w:r>
          </w:p>
        </w:tc>
        <w:tc>
          <w:tcPr>
            <w:tcW w:w="55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40" w:type="dxa"/>
            <w:vAlign w:val="bottom"/>
            <w:vMerge w:val="restart"/>
          </w:tcPr>
          <w:p>
            <w:pPr>
              <w:spacing w:after="0"/>
              <w:rPr>
                <w:sz w:val="20"/>
                <w:szCs w:val="20"/>
                <w:color w:val="auto"/>
              </w:rPr>
            </w:pPr>
            <w:r>
              <w:rPr>
                <w:rFonts w:ascii="Arial" w:cs="Arial" w:eastAsia="Arial" w:hAnsi="Arial"/>
                <w:sz w:val="18"/>
                <w:szCs w:val="18"/>
                <w:color w:val="0075C9"/>
              </w:rPr>
              <w:t>President &amp; CEO</w:t>
            </w:r>
          </w:p>
        </w:tc>
        <w:tc>
          <w:tcPr>
            <w:tcW w:w="55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 Former VP Corporate Development at Occidental</w:t>
            </w:r>
          </w:p>
        </w:tc>
        <w:tc>
          <w:tcPr>
            <w:tcW w:w="0" w:type="dxa"/>
            <w:vAlign w:val="bottom"/>
          </w:tcPr>
          <w:p>
            <w:pPr>
              <w:spacing w:after="0"/>
              <w:rPr>
                <w:sz w:val="1"/>
                <w:szCs w:val="1"/>
                <w:color w:val="auto"/>
              </w:rPr>
            </w:pPr>
          </w:p>
        </w:tc>
      </w:tr>
      <w:tr>
        <w:trPr>
          <w:trHeight w:val="68"/>
        </w:trPr>
        <w:tc>
          <w:tcPr>
            <w:tcW w:w="2240" w:type="dxa"/>
            <w:vAlign w:val="bottom"/>
            <w:vMerge w:val="continue"/>
          </w:tcPr>
          <w:p>
            <w:pPr>
              <w:spacing w:after="0"/>
              <w:rPr>
                <w:sz w:val="5"/>
                <w:szCs w:val="5"/>
                <w:color w:val="auto"/>
              </w:rPr>
            </w:pPr>
          </w:p>
        </w:tc>
        <w:tc>
          <w:tcPr>
            <w:tcW w:w="558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 Former VP California Operations and VP of Acquisitions and</w:t>
            </w:r>
          </w:p>
        </w:tc>
        <w:tc>
          <w:tcPr>
            <w:tcW w:w="0" w:type="dxa"/>
            <w:vAlign w:val="bottom"/>
          </w:tcPr>
          <w:p>
            <w:pPr>
              <w:spacing w:after="0"/>
              <w:rPr>
                <w:sz w:val="1"/>
                <w:szCs w:val="1"/>
                <w:color w:val="auto"/>
              </w:rPr>
            </w:pPr>
          </w:p>
        </w:tc>
      </w:tr>
      <w:tr>
        <w:trPr>
          <w:trHeight w:val="135"/>
        </w:trPr>
        <w:tc>
          <w:tcPr>
            <w:tcW w:w="224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 since: 2014</w:t>
            </w:r>
          </w:p>
        </w:tc>
        <w:tc>
          <w:tcPr>
            <w:tcW w:w="558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240" w:type="dxa"/>
            <w:vAlign w:val="bottom"/>
            <w:vMerge w:val="continue"/>
          </w:tcPr>
          <w:p>
            <w:pPr>
              <w:spacing w:after="0"/>
              <w:rPr>
                <w:sz w:val="5"/>
                <w:szCs w:val="5"/>
                <w:color w:val="auto"/>
              </w:rPr>
            </w:pPr>
          </w:p>
        </w:tc>
        <w:tc>
          <w:tcPr>
            <w:tcW w:w="5580" w:type="dxa"/>
            <w:vAlign w:val="bottom"/>
            <w:vMerge w:val="restart"/>
            <w:shd w:val="clear" w:color="auto" w:fill="0075C9"/>
          </w:tcPr>
          <w:p>
            <w:pPr>
              <w:ind w:left="360"/>
              <w:spacing w:after="0"/>
              <w:rPr>
                <w:sz w:val="20"/>
                <w:szCs w:val="20"/>
                <w:color w:val="auto"/>
              </w:rPr>
            </w:pPr>
            <w:r>
              <w:rPr>
                <w:rFonts w:ascii="Arial" w:cs="Arial" w:eastAsia="Arial" w:hAnsi="Arial"/>
                <w:sz w:val="18"/>
                <w:szCs w:val="18"/>
                <w:color w:val="FFFFFF"/>
              </w:rPr>
              <w:t>Finance at Occidental</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8"/>
                <w:szCs w:val="18"/>
                <w:color w:val="0075C9"/>
              </w:rPr>
              <w:t>Age: 53</w:t>
            </w:r>
          </w:p>
        </w:tc>
        <w:tc>
          <w:tcPr>
            <w:tcW w:w="5580" w:type="dxa"/>
            <w:vAlign w:val="bottom"/>
            <w:vMerge w:val="continue"/>
            <w:shd w:val="clear" w:color="auto" w:fill="0075C9"/>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vMerge w:val="continue"/>
          </w:tcPr>
          <w:p>
            <w:pPr>
              <w:spacing w:after="0"/>
              <w:rPr>
                <w:sz w:val="5"/>
                <w:szCs w:val="5"/>
                <w:color w:val="auto"/>
              </w:rPr>
            </w:pPr>
          </w:p>
        </w:tc>
        <w:tc>
          <w:tcPr>
            <w:tcW w:w="5580" w:type="dxa"/>
            <w:vAlign w:val="bottom"/>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2240" w:type="dxa"/>
            <w:vAlign w:val="bottom"/>
          </w:tcPr>
          <w:p>
            <w:pPr>
              <w:spacing w:after="0"/>
              <w:rPr>
                <w:sz w:val="24"/>
                <w:szCs w:val="24"/>
                <w:color w:val="auto"/>
              </w:rPr>
            </w:pPr>
          </w:p>
        </w:tc>
        <w:tc>
          <w:tcPr>
            <w:tcW w:w="55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Mr. Stevens was appointed President, Chief Executive Officer and a Director of CRC in 2014. Mr. Stevens served as Vice President— Corporate Development of Occidental from 2012 to 2014, as Vice President—California Operations, Oxy Oil &amp; Gas from 2008 to 2012, and as Vice President—Acquisitions and Corporate Finance of Occidental from 2004 to 2012. He also serves on the board of directors of the Western States Petroleum Association. Mr. Stevens holds a Master of Business Administration degree from the University of Southern California and a Bachelor of Science degree from the United States Military Academy.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Board of Directors benefits from Mr. Stevens’ deep knowledge of the oil and gas industry and his expertise in strategically evaluating and valuing oil and gas assets that is derived from years of buying and integrating exploration and production assets, many of which we currently own. Mr. Stevens also brings specific insight into the Company’s operations from his significant managerial experience as an executive at Occidental, including his strong experience in allocating capital and managing Occidental’s and our assets. Mr. Stevens’ extensive experience dealing with California’s regulatory environment, agencies and political landscape and his ability to forge strong ties within the state have proven a valuable asset to the Company.</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Board Refreshment and Evaluation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4" w:lineRule="exact"/>
        <w:rPr>
          <w:sz w:val="20"/>
          <w:szCs w:val="20"/>
          <w:color w:val="auto"/>
        </w:rPr>
      </w:pPr>
    </w:p>
    <w:p>
      <w:pPr>
        <w:ind w:left="580" w:hanging="34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familiarity with the Company and its industry; and</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 For its last vacancy, the Board of Directors appointed Ms. Siegel as a director, which further diversified the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and the Chairman of the Board discusses the results of these written surveys with the individual directors. In addition, the Chairman shares the results of the surveys and interviews with the full Board for consideration with respect to director nominees, and Board and committee structure, composition and effectiveness.</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90" w:lineRule="exact"/>
        <w:rPr>
          <w:sz w:val="20"/>
          <w:szCs w:val="20"/>
          <w:color w:val="auto"/>
        </w:rPr>
      </w:pPr>
    </w:p>
    <w:p>
      <w:pPr>
        <w:ind w:left="580" w:hanging="34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left="1080" w:hanging="223"/>
        <w:spacing w:after="0" w:line="253"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75C9"/>
        </w:rPr>
        <w:t>Director Independence Determinations</w:t>
      </w:r>
    </w:p>
    <w:p>
      <w:pPr>
        <w:spacing w:after="0" w:line="104" w:lineRule="exact"/>
        <w:rPr>
          <w:sz w:val="20"/>
          <w:szCs w:val="20"/>
          <w:color w:val="auto"/>
        </w:rPr>
      </w:pPr>
    </w:p>
    <w:p>
      <w:pPr>
        <w:ind w:right="6300"/>
        <w:spacing w:after="0" w:line="251" w:lineRule="auto"/>
        <w:rPr>
          <w:sz w:val="20"/>
          <w:szCs w:val="20"/>
          <w:color w:val="auto"/>
        </w:rPr>
      </w:pPr>
      <w:r>
        <w:rPr>
          <w:rFonts w:ascii="Arial" w:cs="Arial" w:eastAsia="Arial" w:hAnsi="Arial"/>
          <w:sz w:val="18"/>
          <w:szCs w:val="18"/>
          <w:color w:val="auto"/>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among other things, that the director not be our employee and not have engaged in various types of business dealings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-1304925</wp:posOffset>
            </wp:positionV>
            <wp:extent cx="2202815" cy="19970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0281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(including his or her immediate family) and us, including those relationships described under “Related Party Transactions” below, as well as each director’s relationships with charitable organizations, to assess director independence as defined in the listing standards of the NYSE. Based on this evaluation, the Board of Directors has determined that Messrs. Albrecht, Gannon, Korell, McMahon, Moncrief, Poladian and Sinnott and Mses. Powers and Siegel are independent directors as that term is defined in the listing standards of the NYSE.</w:t>
      </w:r>
    </w:p>
    <w:p>
      <w:pPr>
        <w:spacing w:after="0" w:line="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Mr. Stevens, the President and Chief Executive Officer, is not considered by the Board of Directors to be an independent director because of his current employment with CRC.</w:t>
      </w:r>
    </w:p>
    <w:p>
      <w:pPr>
        <w:spacing w:after="0" w:line="19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Board Leadership Structure and Committees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Board of Directors’ leadership structure separates the CEO and Chairman of the Board positions. Mr. Stevens currently serves as our President and CEO, and Mr. Albrecht serves as our non-executive Chairman.</w:t>
      </w:r>
    </w:p>
    <w:p>
      <w:pPr>
        <w:spacing w:after="0" w:line="19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Chairman positions. The Board of Directors has found that this structure enables the CEO to focus on operation of the Company’s business, while the Chairman focuses on leading the Board of Directors in its oversight role.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Mr. Korell has served as Lead Independent Director since December 2014. The responsibilities of the Lead Independent Director include acting as chair at meetings of the Board of Directors when the Chairman is not present, and preparing the agenda and presiding over executive sessions of the non-management directors of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2019, the Board of Directors held five meetings, and each of the standing committees held the number of meetings included in the description of the committees set forth below. Each director attended at least 75% of the meetings of the Board of Directors and the committees on which he or she served that occurred during such directors’ terms in 2019.</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All of our directors attended the annual meeting in May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Board of Directors intends to hold regularly scheduled meetings of independent directors in executive session without management present in conjunction with each regular board meeting. In addition to these regularly scheduled meetings, executive sessions may be called upon the request of any independent director. In 2019, the Board of Directors held executive sessions on the day of all of the regularly scheduled board meetings.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The membership and purposes of each of the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34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-125095</wp:posOffset>
            </wp:positionV>
            <wp:extent cx="7132320" cy="3103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103245"/>
                    </a:xfrm>
                    <a:prstGeom prst="rect">
                      <a:avLst/>
                    </a:prstGeom>
                    <a:noFill/>
                  </pic:spPr>
                </pic:pic>
              </a:graphicData>
            </a:graphic>
          </wp:anchor>
        </w:drawing>
      </w:r>
    </w:p>
    <w:p>
      <w:pPr>
        <w:sectPr>
          <w:pgSz w:w="11900" w:h="16838" w:orient="portrait"/>
          <w:cols w:equalWidth="0" w:num="1">
            <w:col w:w="10200"/>
          </w:cols>
          <w:pgMar w:left="1360" w:top="387" w:right="339" w:bottom="1440" w:gutter="0" w:footer="0" w:header="0"/>
        </w:sectPr>
      </w:pPr>
    </w:p>
    <w:p>
      <w:pPr>
        <w:spacing w:after="0" w:line="32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Justin A. Gannon,</w:t>
      </w:r>
    </w:p>
    <w:p>
      <w:pPr>
        <w:spacing w:after="0" w:line="1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Harry T. McMahon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Richard W. Moncrief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Laurie A. Siegel</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firms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Board of Directors determined that all of the members of the Audit Committee are financially literate and have accounting or financial management expertise, each as required by the applicable NYSE listing standards. The Board of Directors also determined that Mr. Gannon qualifies as an audit committee financial expert under the applicable rules of the Securities Exchange Act of 1934, as amended.</w:t>
      </w:r>
    </w:p>
    <w:p>
      <w:pPr>
        <w:spacing w:after="0" w:line="260" w:lineRule="exact"/>
        <w:rPr>
          <w:sz w:val="20"/>
          <w:szCs w:val="20"/>
          <w:color w:val="auto"/>
        </w:rPr>
      </w:pPr>
    </w:p>
    <w:p>
      <w:pPr>
        <w:sectPr>
          <w:pgSz w:w="11900" w:h="16838" w:orient="portrait"/>
          <w:cols w:equalWidth="0" w:num="2">
            <w:col w:w="1900" w:space="720"/>
            <w:col w:w="7580"/>
          </w:cols>
          <w:pgMar w:left="1360" w:top="3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5 Meetings Held in 2019</w:t>
      </w:r>
    </w:p>
    <w:p>
      <w:pPr>
        <w:sectPr>
          <w:pgSz w:w="11900" w:h="16838" w:orient="portrait"/>
          <w:cols w:equalWidth="0" w:num="1">
            <w:col w:w="10200"/>
          </w:cols>
          <w:pgMar w:left="1360" w:top="3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Justin A. Gannon</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Harry T. McMahon,</w:t>
      </w:r>
    </w:p>
    <w:p>
      <w:pPr>
        <w:spacing w:after="0" w:line="1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Avedick B. Poladian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Laurie A. Siegel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-125095</wp:posOffset>
            </wp:positionV>
            <wp:extent cx="7132320" cy="3206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241"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w:t>
      </w:r>
    </w:p>
    <w:p>
      <w:pPr>
        <w:spacing w:after="0" w:line="1672" w:lineRule="exact"/>
        <w:rPr>
          <w:sz w:val="20"/>
          <w:szCs w:val="20"/>
          <w:color w:val="auto"/>
        </w:rPr>
      </w:pPr>
    </w:p>
    <w:p>
      <w:pPr>
        <w:sectPr>
          <w:pgSz w:w="11900" w:h="16838" w:orient="portrait"/>
          <w:cols w:equalWidth="0" w:num="2">
            <w:col w:w="1900" w:space="720"/>
            <w:col w:w="7580"/>
          </w:cols>
          <w:pgMar w:left="1360" w:top="3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4 Meetings Held in 2019</w:t>
      </w: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66040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00"/>
          </w:cols>
          <w:pgMar w:left="1360" w:top="387" w:right="339" w:bottom="1440" w:gutter="0" w:footer="0" w:header="0"/>
          <w:type w:val="continuous"/>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34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-125095</wp:posOffset>
            </wp:positionV>
            <wp:extent cx="7132320" cy="2459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459990"/>
                    </a:xfrm>
                    <a:prstGeom prst="rect">
                      <a:avLst/>
                    </a:prstGeom>
                    <a:noFill/>
                  </pic:spPr>
                </pic:pic>
              </a:graphicData>
            </a:graphic>
          </wp:anchor>
        </w:drawing>
      </w:r>
    </w:p>
    <w:p>
      <w:pPr>
        <w:sectPr>
          <w:pgSz w:w="11900" w:h="16838" w:orient="portrait"/>
          <w:cols w:equalWidth="0" w:num="1">
            <w:col w:w="10240"/>
          </w:cols>
          <w:pgMar w:left="1320" w:top="387"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Harold M. Korell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shd w:val="clear" w:color="auto" w:fill="7CAADA"/>
        </w:rPr>
        <w:t>Avedick B. Poladian</w:t>
      </w:r>
    </w:p>
    <w:p>
      <w:pPr>
        <w:spacing w:after="0" w:line="200" w:lineRule="exact"/>
        <w:rPr>
          <w:sz w:val="20"/>
          <w:szCs w:val="20"/>
          <w:color w:val="auto"/>
        </w:rPr>
      </w:pPr>
    </w:p>
    <w:p>
      <w:pPr>
        <w:spacing w:after="0" w:line="37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shd w:val="clear" w:color="auto" w:fill="7CAADA"/>
        </w:rPr>
        <w:t>Robert V. Sinnott,</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non-employee or outside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314" w:lineRule="exact"/>
        <w:rPr>
          <w:sz w:val="20"/>
          <w:szCs w:val="20"/>
          <w:color w:val="auto"/>
        </w:rPr>
      </w:pPr>
    </w:p>
    <w:p>
      <w:pPr>
        <w:sectPr>
          <w:pgSz w:w="11900" w:h="16838" w:orient="portrait"/>
          <w:cols w:equalWidth="0" w:num="2">
            <w:col w:w="1940" w:space="720"/>
            <w:col w:w="7580"/>
          </w:cols>
          <w:pgMar w:left="1320" w:top="387" w:right="339" w:bottom="1440" w:gutter="0" w:footer="0" w:header="0"/>
          <w:type w:val="continuous"/>
        </w:sectPr>
      </w:pPr>
    </w:p>
    <w:p>
      <w:pPr>
        <w:spacing w:after="0" w:line="38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4 Meetings Held in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FFFFFF"/>
        </w:rPr>
        <w:t>Sustainability – Health, Safety, Environment and Community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-117475</wp:posOffset>
            </wp:positionV>
            <wp:extent cx="7132320" cy="22631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263140"/>
                    </a:xfrm>
                    <a:prstGeom prst="rect">
                      <a:avLst/>
                    </a:prstGeom>
                    <a:noFill/>
                  </pic:spPr>
                </pic:pic>
              </a:graphicData>
            </a:graphic>
          </wp:anchor>
        </w:drawing>
      </w:r>
    </w:p>
    <w:p>
      <w:pPr>
        <w:sectPr>
          <w:pgSz w:w="11900" w:h="16838" w:orient="portrait"/>
          <w:cols w:equalWidth="0" w:num="1">
            <w:col w:w="10240"/>
          </w:cols>
          <w:pgMar w:left="1320" w:top="387"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Harold M. Korell</w:t>
      </w:r>
    </w:p>
    <w:p>
      <w:pPr>
        <w:spacing w:after="0" w:line="200" w:lineRule="exact"/>
        <w:rPr>
          <w:sz w:val="20"/>
          <w:szCs w:val="20"/>
          <w:color w:val="auto"/>
        </w:rPr>
      </w:pPr>
    </w:p>
    <w:p>
      <w:pPr>
        <w:spacing w:after="0" w:line="363"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Richard W. Moncrief,</w:t>
      </w:r>
    </w:p>
    <w:p>
      <w:pPr>
        <w:spacing w:after="0" w:line="2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Anita M. Powers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Our Sustainability – Health, Safety, Environment and Community Committee (“Sustainability Committee”) is composed entirely of independent directors. The committee reviews and discusses with management the status of strategies, objectives, issues, laws and regulations regarding sustainability; health, safety and environment (“HSE”); and community engagement. It also reviews our policies and programs designed to (i) ensure compliance with applicable HSE laws and regulations, (ii) promote sustainability and conservation of natural resources and (iii) engage proactively with communities. The committee periodically reports to the Board of Directors with respect to sustainability, HSE and community engagement pertaining to the Company.</w:t>
      </w:r>
    </w:p>
    <w:p>
      <w:pPr>
        <w:spacing w:after="0" w:line="537" w:lineRule="exact"/>
        <w:rPr>
          <w:sz w:val="20"/>
          <w:szCs w:val="20"/>
          <w:color w:val="auto"/>
        </w:rPr>
      </w:pPr>
    </w:p>
    <w:p>
      <w:pPr>
        <w:sectPr>
          <w:pgSz w:w="11900" w:h="16838" w:orient="portrait"/>
          <w:cols w:equalWidth="0" w:num="2">
            <w:col w:w="1920" w:space="720"/>
            <w:col w:w="7600"/>
          </w:cols>
          <w:pgMar w:left="1320" w:top="387" w:right="339" w:bottom="1440" w:gutter="0" w:footer="0" w:header="0"/>
          <w:type w:val="continuous"/>
        </w:sect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4 Meetings Held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66040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40"/>
          </w:cols>
          <w:pgMar w:left="1320" w:top="387" w:right="339" w:bottom="1440" w:gutter="0" w:footer="0" w:header="0"/>
          <w:type w:val="continuous"/>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0075C9"/>
        </w:rPr>
        <w:t>The Board’s Role in Risk Oversight</w:t>
      </w:r>
    </w:p>
    <w:p>
      <w:pPr>
        <w:ind w:right="40"/>
        <w:spacing w:after="0" w:line="246" w:lineRule="auto"/>
        <w:rPr>
          <w:sz w:val="20"/>
          <w:szCs w:val="20"/>
          <w:color w:val="auto"/>
        </w:rPr>
      </w:pPr>
      <w:r>
        <w:rPr>
          <w:rFonts w:ascii="Arial" w:cs="Arial" w:eastAsia="Arial" w:hAnsi="Arial"/>
          <w:sz w:val="18"/>
          <w:szCs w:val="18"/>
          <w:color w:val="auto"/>
        </w:rPr>
        <w:t>Our Company’s management is responsible for the day-to-day management of risks to the Company. The Board of Directors has broad oversight responsibility for our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151130</wp:posOffset>
            </wp:positionV>
            <wp:extent cx="5117465" cy="4585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17465" cy="458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Committee Interlocks and Insider Participation</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No member of our Compensation Committee is now, or at any time since the beginning of 2019 has been, employed by or served as an officer of CRC or any of its subsidiaries or had any business relationship requiring disclosure with CRC or any of its subsidiaries. None of our executive officers is now, or at any time has been, since the beginning of 2019, a member of the compensation committee or board of directors of another entity one of whose executive officers has been a member of our Board of Directors or Compensation Committee.</w:t>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8" w:name="page29"/>
    <w:bookmarkEnd w:id="2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216535</wp:posOffset>
            </wp:positionH>
            <wp:positionV relativeFrom="page">
              <wp:posOffset>226060</wp:posOffset>
            </wp:positionV>
            <wp:extent cx="7123430" cy="197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2343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Communications with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to any committee of our board, or to any director in particular, should be sent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2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9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If any stockholder or third party has a complaint or concern regarding accounting, internal controls over financial reporting or audit matters at CRC, they should send their complaint in writing to Mr. Gannon, the Chairman of the Audit Committee, at the address listed above.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0075C9"/>
        </w:rPr>
        <w:t>Availability of Corporate Governance Documents</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Health, Safety and Environmental Committees. Each of these documents is available on our website (</w:t>
      </w:r>
      <w:r>
        <w:rPr>
          <w:rFonts w:ascii="Arial" w:cs="Arial" w:eastAsia="Arial" w:hAnsi="Arial"/>
          <w:sz w:val="18"/>
          <w:szCs w:val="18"/>
          <w:i w:val="1"/>
          <w:iCs w:val="1"/>
          <w:color w:val="auto"/>
        </w:rPr>
        <w:t>www.crc.com</w:t>
      </w:r>
      <w:r>
        <w:rPr>
          <w:rFonts w:ascii="Arial" w:cs="Arial" w:eastAsia="Arial" w:hAnsi="Arial"/>
          <w:sz w:val="18"/>
          <w:szCs w:val="18"/>
          <w:color w:val="auto"/>
        </w:rPr>
        <w:t>), and stockholders may obtain a printed copy, free of charge, by sending a written request to California Resources Corporation, Attention: Corporate Secretary, 27200 Tourney Road, Suite 200, Santa Clarita, California 91355. We will also promptly post on our website any material amendments to these documents and any waivers from the Business Ethics Policy for our directors and principal executive, financial and accounting officers.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0075C9"/>
        </w:rPr>
        <w:t>Certain Relationships and Related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9" w:name="page30"/>
    <w:bookmarkEnd w:id="2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216535</wp:posOffset>
            </wp:positionH>
            <wp:positionV relativeFrom="page">
              <wp:posOffset>226060</wp:posOffset>
            </wp:positionV>
            <wp:extent cx="7123430" cy="197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343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7" w:lineRule="exact"/>
        <w:rPr>
          <w:sz w:val="20"/>
          <w:szCs w:val="20"/>
          <w:color w:val="auto"/>
        </w:rPr>
      </w:pPr>
    </w:p>
    <w:p>
      <w:pPr>
        <w:ind w:left="580" w:hanging="34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7" w:lineRule="exact"/>
        <w:rPr>
          <w:rFonts w:ascii="Arial" w:cs="Arial" w:eastAsia="Arial" w:hAnsi="Arial"/>
          <w:sz w:val="18"/>
          <w:szCs w:val="18"/>
          <w:color w:val="auto"/>
        </w:rPr>
      </w:pPr>
    </w:p>
    <w:p>
      <w:pPr>
        <w:ind w:left="580" w:right="640" w:hanging="343"/>
        <w:spacing w:after="0" w:line="261"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89" w:lineRule="exact"/>
        <w:rPr>
          <w:rFonts w:ascii="Arial" w:cs="Arial" w:eastAsia="Arial" w:hAnsi="Arial"/>
          <w:sz w:val="18"/>
          <w:szCs w:val="18"/>
          <w:color w:val="auto"/>
        </w:rPr>
      </w:pPr>
    </w:p>
    <w:p>
      <w:pPr>
        <w:ind w:left="580" w:hanging="34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This section discusses transactions and relationships with related persons since the beginning of our most recently completed fiscal year.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Marketing Transactions</w:t>
      </w:r>
    </w:p>
    <w:p>
      <w:pPr>
        <w:spacing w:after="0" w:line="11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sell and purchase products with subsidiaries of Plains All American Pipeline, L.P. (“</w:t>
      </w:r>
      <w:r>
        <w:rPr>
          <w:rFonts w:ascii="Arial" w:cs="Arial" w:eastAsia="Arial" w:hAnsi="Arial"/>
          <w:sz w:val="18"/>
          <w:szCs w:val="18"/>
          <w:b w:val="1"/>
          <w:bCs w:val="1"/>
          <w:i w:val="1"/>
          <w:iCs w:val="1"/>
          <w:color w:val="auto"/>
        </w:rPr>
        <w:t>Plains</w:t>
      </w:r>
      <w:r>
        <w:rPr>
          <w:rFonts w:ascii="Arial" w:cs="Arial" w:eastAsia="Arial" w:hAnsi="Arial"/>
          <w:sz w:val="18"/>
          <w:szCs w:val="18"/>
          <w:color w:val="auto"/>
        </w:rPr>
        <w:t>”). Funds managed by Kayne Anderson Capital Advisors L.P., of which Mr. Sinnott serves as co-chairman, and affiliates (“</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own approximately 7.35% of the general partner of Plains, approximately 1.36% of the limited partner units of Plains and an additional approximately 3.59% general partner interest in Plains GP Holdings, L.P. (the public portion of the general partner). Mr. Sinnott serves as a director for the general partner of Plains. For the year ended December 31, 2019, transactions with Plains accounted for approximately $241 million of our oil and gas sales.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Transactions with Related Persons, Promoters and Certain Control Persons</w:t>
      </w:r>
    </w:p>
    <w:p>
      <w:pPr>
        <w:spacing w:after="0" w:line="11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Certain funds controlled by Kayne Anderson Investment Management, Inc. (“</w:t>
      </w:r>
      <w:r>
        <w:rPr>
          <w:rFonts w:ascii="Arial" w:cs="Arial" w:eastAsia="Arial" w:hAnsi="Arial"/>
          <w:sz w:val="18"/>
          <w:szCs w:val="18"/>
          <w:b w:val="1"/>
          <w:bCs w:val="1"/>
          <w:i w:val="1"/>
          <w:iCs w:val="1"/>
          <w:color w:val="auto"/>
        </w:rPr>
        <w:t>Kayne Anderson Investment</w:t>
      </w:r>
      <w:r>
        <w:rPr>
          <w:rFonts w:ascii="Arial" w:cs="Arial" w:eastAsia="Arial" w:hAnsi="Arial"/>
          <w:sz w:val="18"/>
          <w:szCs w:val="18"/>
          <w:color w:val="auto"/>
        </w:rPr>
        <w:t>”), of which Mr. Sinnott serves as President, purchased in 2016, and during 2019 continued to hold up to approximately $18.5 million in aggregate principal amount of our 8% secured second lien notes due 2022, but sold its remaining interest in May 2019 and did not reacquire an interest in the notes thereafter. Mr. Sinnott did not participate in Kayne Anderson’s decision-making process with respect to these transactions.</w:t>
      </w: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0" w:name="page31"/>
    <w:bookmarkEnd w:id="3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216535</wp:posOffset>
            </wp:positionH>
            <wp:positionV relativeFrom="page">
              <wp:posOffset>226060</wp:posOffset>
            </wp:positionV>
            <wp:extent cx="7123430" cy="1974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343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Other Governance Matters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Other Governance Matters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0075C9"/>
        </w:rPr>
        <w:t>Shareholder Engagement</w:t>
      </w:r>
    </w:p>
    <w:p>
      <w:pPr>
        <w:spacing w:after="0" w:line="104"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In 2019, we reached out to our largest shareholders, including those who held in aggregate over half of our total outstanding shares, for meetings on corporate governance issues. In the meetings that were arranged, we discussed recent governance changes, board refreshment and diversity practices, and compensation philosophy. We also asked about broader trends and practices on corporate governance for Board feedback and consideration.</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At the 2018 and 2019 annual meetings, the Board submitted proposals to amend the Company’s certificate of incorporation to reduce the current supermajority vote thresholds to majority votes. These proposals only received votes for approval from approximately 42% in 2018 and 43% in 2019 of the total outstanding shares, which were short of the 75% required approval threshold. We received feedback from our shareholder engagement meetings that it is reasonable to suspend our efforts to pass these proposals until our shareholder composition changes to more institutional ownership to make such passage more likely, so the Board has not included these proposals in this 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075C9"/>
        </w:rPr>
        <w:t>Sustainability and Stewardship</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2017, we consulted with our workforce, state and community leaders, sustainability professionals and labor and non-profit groups about ways to expand our annual HSE metrics and enhance our life-of-field planning process. As a result of this dialogue, in 2017 we adopted four 2030 Sustainability Goals – for water recycling, integration of renewable energy into our operations, methane emission reduction and carbon capture and sequestration – which advance the State of California’s 2030 goals and aid in our life-of-field planning. We issued a Sustainability Report describing the goals that year, in addition to our annual water management summary. The report noted that the Sustainability Goals are subject to liquidity, funding and permitting and are measured against a 2013 baseline, the year before our launch as an independent company and also a baseline year for certain state goals.</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2018, we adopted specific quantitative targets for the Sustainability Goals, and our 2018 Sustainability Report described those targets, the specific projects and teams assigned to each goal and our progress toward attaining the goals. We provide updates at least annually on our progress, which in 2018 and 2019 was specifically tied to the review of individual performance of Company executives. The specific 2030 targets and our progress are detailed on our website Sustainability page (</w:t>
      </w:r>
      <w:r>
        <w:rPr>
          <w:rFonts w:ascii="Arial" w:cs="Arial" w:eastAsia="Arial" w:hAnsi="Arial"/>
          <w:sz w:val="18"/>
          <w:szCs w:val="18"/>
          <w:i w:val="1"/>
          <w:iCs w:val="1"/>
          <w:color w:val="auto"/>
        </w:rPr>
        <w:t>www.crc.com/sustainability</w:t>
      </w:r>
      <w:r>
        <w:rPr>
          <w:rFonts w:ascii="Arial" w:cs="Arial" w:eastAsia="Arial" w:hAnsi="Arial"/>
          <w:sz w:val="18"/>
          <w:szCs w:val="18"/>
          <w:color w:val="auto"/>
        </w:rPr>
        <w:t>) and the latest Sustainability Report which is hosted on the Sustainability page. Our 2030 targets against a 2013 baseline are summarized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Water Goal </w:t>
      </w:r>
      <w:r>
        <w:rPr>
          <w:rFonts w:ascii="Arial" w:cs="Arial" w:eastAsia="Arial" w:hAnsi="Arial"/>
          <w:sz w:val="18"/>
          <w:szCs w:val="18"/>
          <w:color w:val="auto"/>
        </w:rPr>
        <w:t>-- Increase volume of recycled produced water by 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Renewables Goal </w:t>
      </w:r>
      <w:r>
        <w:rPr>
          <w:rFonts w:ascii="Arial" w:cs="Arial" w:eastAsia="Arial" w:hAnsi="Arial"/>
          <w:sz w:val="18"/>
          <w:szCs w:val="18"/>
          <w:color w:val="auto"/>
        </w:rPr>
        <w:t>-- Integrate renewables into oil and gas operations by adding 10 MW from renewable 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Methane Goal </w:t>
      </w:r>
      <w:r>
        <w:rPr>
          <w:rFonts w:ascii="Arial" w:cs="Arial" w:eastAsia="Arial" w:hAnsi="Arial"/>
          <w:sz w:val="18"/>
          <w:szCs w:val="18"/>
          <w:color w:val="auto"/>
        </w:rPr>
        <w:t>-- Reduce methane emissions by 50%.</w:t>
      </w:r>
    </w:p>
    <w:p>
      <w:pPr>
        <w:spacing w:after="0" w:line="22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 xml:space="preserve">Carbon Goal </w:t>
      </w:r>
      <w:r>
        <w:rPr>
          <w:rFonts w:ascii="Arial" w:cs="Arial" w:eastAsia="Arial" w:hAnsi="Arial"/>
          <w:sz w:val="18"/>
          <w:szCs w:val="18"/>
          <w:color w:val="auto"/>
        </w:rPr>
        <w:t>-- Design and permit a carbon capture and sequestration system at Elk Hills by 2030 that would, if permitted, funded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installed, reduce GHG emissions by 30%.</w:t>
      </w:r>
    </w:p>
    <w:p>
      <w:pPr>
        <w:spacing w:after="0" w:line="17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1" w:name="page32"/>
    <w:bookmarkEnd w:id="31"/>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216535</wp:posOffset>
            </wp:positionH>
            <wp:positionV relativeFrom="page">
              <wp:posOffset>226060</wp:posOffset>
            </wp:positionV>
            <wp:extent cx="712343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343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Other Governance Matters</w:t>
      </w:r>
    </w:p>
    <w:p>
      <w:pPr>
        <w:spacing w:after="0" w:line="200" w:lineRule="exact"/>
        <w:rPr>
          <w:sz w:val="20"/>
          <w:szCs w:val="20"/>
          <w:color w:val="auto"/>
        </w:rPr>
      </w:pPr>
    </w:p>
    <w:p>
      <w:pPr>
        <w:spacing w:after="0" w:line="2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2019, the Board updated the name and scope of the Sustainability Committee to underscore our commitments to serve as a responsible steward of California’s natural resources, to integrate sustainability, HSE and community engagement into our life-of-field planning and to advance California’s long-term goals. Importantly, by helping to safely and responsibly increase local production of oil, natural gas and electricity, we also:</w:t>
      </w:r>
    </w:p>
    <w:p>
      <w:pPr>
        <w:spacing w:after="0" w:line="96" w:lineRule="exact"/>
        <w:rPr>
          <w:sz w:val="20"/>
          <w:szCs w:val="20"/>
          <w:color w:val="auto"/>
        </w:rPr>
      </w:pPr>
    </w:p>
    <w:p>
      <w:pPr>
        <w:ind w:left="580" w:hanging="343"/>
        <w:spacing w:after="0"/>
        <w:tabs>
          <w:tab w:leader="none" w:pos="58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sustain careers for working Californians from diverse backgrounds, including union workers who build and maintain our facilities;</w:t>
      </w:r>
    </w:p>
    <w:p>
      <w:pPr>
        <w:spacing w:after="0" w:line="117" w:lineRule="exact"/>
        <w:rPr>
          <w:rFonts w:ascii="MS PGothic" w:cs="MS PGothic" w:eastAsia="MS PGothic" w:hAnsi="MS PGothic"/>
          <w:sz w:val="18"/>
          <w:szCs w:val="18"/>
          <w:color w:val="auto"/>
        </w:rPr>
      </w:pPr>
    </w:p>
    <w:p>
      <w:pPr>
        <w:ind w:left="580" w:hanging="343"/>
        <w:spacing w:after="0"/>
        <w:tabs>
          <w:tab w:leader="none" w:pos="58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generate government revenues that fund essential public services;</w:t>
      </w:r>
    </w:p>
    <w:p>
      <w:pPr>
        <w:spacing w:after="0" w:line="117" w:lineRule="exact"/>
        <w:rPr>
          <w:rFonts w:ascii="MS PGothic" w:cs="MS PGothic" w:eastAsia="MS PGothic" w:hAnsi="MS PGothic"/>
          <w:sz w:val="18"/>
          <w:szCs w:val="18"/>
          <w:color w:val="auto"/>
        </w:rPr>
      </w:pPr>
    </w:p>
    <w:p>
      <w:pPr>
        <w:ind w:left="580" w:hanging="343"/>
        <w:spacing w:after="0"/>
        <w:tabs>
          <w:tab w:leader="none" w:pos="58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make our energy supply more secure, affordable and reliable for Californians;</w:t>
      </w:r>
    </w:p>
    <w:p>
      <w:pPr>
        <w:spacing w:after="0" w:line="117" w:lineRule="exact"/>
        <w:rPr>
          <w:rFonts w:ascii="MS PGothic" w:cs="MS PGothic" w:eastAsia="MS PGothic" w:hAnsi="MS PGothic"/>
          <w:sz w:val="18"/>
          <w:szCs w:val="18"/>
          <w:color w:val="auto"/>
        </w:rPr>
      </w:pPr>
    </w:p>
    <w:p>
      <w:pPr>
        <w:ind w:left="580" w:right="280" w:hanging="343"/>
        <w:spacing w:after="0" w:line="261" w:lineRule="auto"/>
        <w:tabs>
          <w:tab w:leader="none" w:pos="58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reduce reliance on energy imports from distant states and across the globe that do not apply California’s safety, labor, human rights or environmental standards; and</w:t>
      </w:r>
    </w:p>
    <w:p>
      <w:pPr>
        <w:spacing w:after="0" w:line="89" w:lineRule="exact"/>
        <w:rPr>
          <w:rFonts w:ascii="MS PGothic" w:cs="MS PGothic" w:eastAsia="MS PGothic" w:hAnsi="MS PGothic"/>
          <w:sz w:val="18"/>
          <w:szCs w:val="18"/>
          <w:color w:val="auto"/>
        </w:rPr>
      </w:pPr>
    </w:p>
    <w:p>
      <w:pPr>
        <w:ind w:left="580" w:hanging="343"/>
        <w:spacing w:after="0"/>
        <w:tabs>
          <w:tab w:leader="none" w:pos="58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strengthen our economy and society by making California more resilient and self-sufficient.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-1056005</wp:posOffset>
            </wp:positionV>
            <wp:extent cx="93980" cy="609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6096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-850265</wp:posOffset>
            </wp:positionV>
            <wp:extent cx="93980" cy="609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6096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-644525</wp:posOffset>
            </wp:positionV>
            <wp:extent cx="93980" cy="609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6096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-438785</wp:posOffset>
            </wp:positionV>
            <wp:extent cx="93980" cy="609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6096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-95885</wp:posOffset>
            </wp:positionV>
            <wp:extent cx="93980" cy="609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60960"/>
                    </a:xfrm>
                    <a:prstGeom prst="rect">
                      <a:avLst/>
                    </a:prstGeom>
                    <a:noFill/>
                  </pic:spPr>
                </pic:pic>
              </a:graphicData>
            </a:graphic>
          </wp:anchor>
        </w:drawing>
      </w:r>
    </w:p>
    <w:p>
      <w:pPr>
        <w:spacing w:after="0" w:line="340"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We view our workforce as an asset and the Board provides oversight over significant aspects of our human capital. Management provides regular updates to and receives guidance from the Board with respect to employee engagement, diversity and career development initiatives.</w:t>
      </w: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2" w:name="page33"/>
    <w:bookmarkEnd w:id="32"/>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216535</wp:posOffset>
            </wp:positionH>
            <wp:positionV relativeFrom="page">
              <wp:posOffset>226060</wp:posOffset>
            </wp:positionV>
            <wp:extent cx="7123430" cy="1974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2343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Audit Committee Report</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8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Audit Committee of the Board of Directors of California Resources Corporation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200" w:lineRule="exact"/>
        <w:rPr>
          <w:sz w:val="20"/>
          <w:szCs w:val="20"/>
          <w:color w:val="auto"/>
        </w:rPr>
      </w:pPr>
    </w:p>
    <w:p>
      <w:pPr>
        <w:spacing w:after="0" w:line="2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Mr. Gannon is an “audit committee financial expert” as defined by the rules and regulations of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2019, the Audit Committee has:</w:t>
      </w:r>
    </w:p>
    <w:p>
      <w:pPr>
        <w:spacing w:after="0" w:line="117" w:lineRule="exact"/>
        <w:rPr>
          <w:sz w:val="20"/>
          <w:szCs w:val="20"/>
          <w:color w:val="auto"/>
        </w:rPr>
      </w:pPr>
    </w:p>
    <w:p>
      <w:pPr>
        <w:ind w:left="580" w:right="60" w:hanging="343"/>
        <w:spacing w:after="0" w:line="261"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2019;</w:t>
      </w:r>
    </w:p>
    <w:p>
      <w:pPr>
        <w:spacing w:after="0" w:line="89" w:lineRule="exact"/>
        <w:rPr>
          <w:rFonts w:ascii="Arial" w:cs="Arial" w:eastAsia="Arial" w:hAnsi="Arial"/>
          <w:sz w:val="18"/>
          <w:szCs w:val="18"/>
          <w:color w:val="auto"/>
        </w:rPr>
      </w:pPr>
    </w:p>
    <w:p>
      <w:pPr>
        <w:ind w:left="580" w:right="600" w:hanging="343"/>
        <w:spacing w:after="0" w:line="261"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auditing standards;</w:t>
      </w:r>
    </w:p>
    <w:p>
      <w:pPr>
        <w:spacing w:after="0" w:line="89" w:lineRule="exact"/>
        <w:rPr>
          <w:rFonts w:ascii="Arial" w:cs="Arial" w:eastAsia="Arial" w:hAnsi="Arial"/>
          <w:sz w:val="18"/>
          <w:szCs w:val="18"/>
          <w:color w:val="auto"/>
        </w:rPr>
      </w:pPr>
    </w:p>
    <w:p>
      <w:pPr>
        <w:ind w:left="580" w:right="180" w:hanging="343"/>
        <w:spacing w:after="0" w:line="261"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89" w:lineRule="exact"/>
        <w:rPr>
          <w:rFonts w:ascii="Arial" w:cs="Arial" w:eastAsia="Arial" w:hAnsi="Arial"/>
          <w:sz w:val="18"/>
          <w:szCs w:val="18"/>
          <w:color w:val="auto"/>
        </w:rPr>
      </w:pPr>
    </w:p>
    <w:p>
      <w:pPr>
        <w:ind w:left="580" w:hanging="34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17" w:lineRule="exact"/>
        <w:rPr>
          <w:rFonts w:ascii="Arial" w:cs="Arial" w:eastAsia="Arial" w:hAnsi="Arial"/>
          <w:sz w:val="18"/>
          <w:szCs w:val="18"/>
          <w:color w:val="auto"/>
        </w:rPr>
      </w:pPr>
    </w:p>
    <w:p>
      <w:pPr>
        <w:ind w:left="580" w:right="100" w:hanging="343"/>
        <w:spacing w:after="0" w:line="261"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had an executive session with KPMG LLP to provide them with the opportunity to discuss any other matters that they desired to raise without management present; and</w:t>
      </w:r>
    </w:p>
    <w:p>
      <w:pPr>
        <w:spacing w:after="0" w:line="89" w:lineRule="exact"/>
        <w:rPr>
          <w:rFonts w:ascii="Arial" w:cs="Arial" w:eastAsia="Arial" w:hAnsi="Arial"/>
          <w:sz w:val="18"/>
          <w:szCs w:val="18"/>
          <w:color w:val="auto"/>
        </w:rPr>
      </w:pPr>
    </w:p>
    <w:p>
      <w:pPr>
        <w:ind w:left="580" w:right="220" w:hanging="343"/>
        <w:spacing w:after="0" w:line="25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had executive sessions with Ryder Scott Company and Netherland, Sewell &amp; Associates, Inc., CRC’s independent reserves audit firms, to discuss the oil and gas reserves determination process and related public disclosures, and to provide them with the opportunity to discuss any other matters that they desired to raise without management present.</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Based on the review and discussions with CRC’s management, independent registered public accounting firm and independent reserves audit firms, as set forth above, the Audit Committee recommended to CRC’s Board of Directors that the audited consolidated financial statements be included in our Annual Report on Form 10-K for the fiscal year ended December 31, 2019, for filing with the SEC.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Justin A. Gannon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Harry T. McMahon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Richard W. Moncrief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Laurie A. Siegel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11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This Compensation Discussion and Analysis (“CD&amp;A”) provides a description of the elements and key features of our compensation program, as well as context and rationale for decisions made with respect to the compensation for our “named executive officers” or “NEOs” for the year ended December 31, 2019, who are identified below:</w:t>
      </w:r>
    </w:p>
    <w:p>
      <w:pPr>
        <w:spacing w:after="0" w:line="270" w:lineRule="exact"/>
        <w:rPr>
          <w:sz w:val="20"/>
          <w:szCs w:val="20"/>
          <w:color w:val="auto"/>
        </w:rPr>
      </w:pPr>
    </w:p>
    <w:tbl>
      <w:tblPr>
        <w:tblLayout w:type="fixed"/>
        <w:tblInd w:w="820" w:type="dxa"/>
        <w:tblCellMar>
          <w:top w:w="0" w:type="dxa"/>
          <w:left w:w="0" w:type="dxa"/>
          <w:bottom w:w="0" w:type="dxa"/>
          <w:right w:w="0" w:type="dxa"/>
        </w:tblCellMar>
      </w:tblPr>
      <w:tr>
        <w:trPr>
          <w:trHeight w:val="224"/>
        </w:trPr>
        <w:tc>
          <w:tcPr>
            <w:tcW w:w="2380" w:type="dxa"/>
            <w:vAlign w:val="bottom"/>
            <w:tcBorders>
              <w:bottom w:val="single" w:sz="8" w:color="0075C9"/>
            </w:tcBorders>
          </w:tcPr>
          <w:p>
            <w:pPr>
              <w:ind w:left="180"/>
              <w:spacing w:after="0"/>
              <w:rPr>
                <w:sz w:val="20"/>
                <w:szCs w:val="20"/>
                <w:color w:val="auto"/>
              </w:rPr>
            </w:pPr>
            <w:r>
              <w:rPr>
                <w:rFonts w:ascii="Arial" w:cs="Arial" w:eastAsia="Arial" w:hAnsi="Arial"/>
                <w:sz w:val="18"/>
                <w:szCs w:val="18"/>
                <w:color w:val="0075C9"/>
              </w:rPr>
              <w:t>Name</w:t>
            </w:r>
          </w:p>
        </w:tc>
        <w:tc>
          <w:tcPr>
            <w:tcW w:w="6360" w:type="dxa"/>
            <w:vAlign w:val="bottom"/>
            <w:tcBorders>
              <w:bottom w:val="single" w:sz="8" w:color="0075C9"/>
            </w:tcBorders>
          </w:tcPr>
          <w:p>
            <w:pPr>
              <w:ind w:left="2980"/>
              <w:spacing w:after="0"/>
              <w:rPr>
                <w:sz w:val="20"/>
                <w:szCs w:val="20"/>
                <w:color w:val="auto"/>
              </w:rPr>
            </w:pPr>
            <w:r>
              <w:rPr>
                <w:rFonts w:ascii="Arial" w:cs="Arial" w:eastAsia="Arial" w:hAnsi="Arial"/>
                <w:sz w:val="18"/>
                <w:szCs w:val="18"/>
                <w:color w:val="0075C9"/>
              </w:rPr>
              <w:t>Position</w:t>
            </w:r>
          </w:p>
        </w:tc>
      </w:tr>
      <w:tr>
        <w:trPr>
          <w:trHeight w:val="256"/>
        </w:trPr>
        <w:tc>
          <w:tcPr>
            <w:tcW w:w="23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Todd A. Stevens</w:t>
            </w:r>
          </w:p>
        </w:tc>
        <w:tc>
          <w:tcPr>
            <w:tcW w:w="6360" w:type="dxa"/>
            <w:vAlign w:val="bottom"/>
            <w:shd w:val="clear" w:color="auto" w:fill="D9D9D9"/>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34"/>
        </w:trPr>
        <w:tc>
          <w:tcPr>
            <w:tcW w:w="2380" w:type="dxa"/>
            <w:vAlign w:val="bottom"/>
            <w:shd w:val="clear" w:color="auto" w:fill="D9D9D9"/>
          </w:tcPr>
          <w:p>
            <w:pPr>
              <w:spacing w:after="0"/>
              <w:rPr>
                <w:sz w:val="2"/>
                <w:szCs w:val="2"/>
                <w:color w:val="auto"/>
              </w:rPr>
            </w:pPr>
          </w:p>
        </w:tc>
        <w:tc>
          <w:tcPr>
            <w:tcW w:w="6360" w:type="dxa"/>
            <w:vAlign w:val="bottom"/>
            <w:shd w:val="clear" w:color="auto" w:fill="D9D9D9"/>
          </w:tcPr>
          <w:p>
            <w:pPr>
              <w:spacing w:after="0"/>
              <w:rPr>
                <w:sz w:val="2"/>
                <w:szCs w:val="2"/>
                <w:color w:val="auto"/>
              </w:rPr>
            </w:pPr>
          </w:p>
        </w:tc>
      </w:tr>
      <w:tr>
        <w:trPr>
          <w:trHeight w:val="263"/>
        </w:trPr>
        <w:tc>
          <w:tcPr>
            <w:tcW w:w="23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Marshall D. Smith</w:t>
            </w:r>
          </w:p>
        </w:tc>
        <w:tc>
          <w:tcPr>
            <w:tcW w:w="6360" w:type="dxa"/>
            <w:vAlign w:val="bottom"/>
            <w:shd w:val="clear" w:color="auto" w:fill="D9D9D9"/>
          </w:tcPr>
          <w:p>
            <w:pPr>
              <w:ind w:left="32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34"/>
        </w:trPr>
        <w:tc>
          <w:tcPr>
            <w:tcW w:w="2380" w:type="dxa"/>
            <w:vAlign w:val="bottom"/>
            <w:shd w:val="clear" w:color="auto" w:fill="D9D9D9"/>
          </w:tcPr>
          <w:p>
            <w:pPr>
              <w:spacing w:after="0"/>
              <w:rPr>
                <w:sz w:val="2"/>
                <w:szCs w:val="2"/>
                <w:color w:val="auto"/>
              </w:rPr>
            </w:pPr>
          </w:p>
        </w:tc>
        <w:tc>
          <w:tcPr>
            <w:tcW w:w="6360" w:type="dxa"/>
            <w:vAlign w:val="bottom"/>
            <w:shd w:val="clear" w:color="auto" w:fill="D9D9D9"/>
          </w:tcPr>
          <w:p>
            <w:pPr>
              <w:spacing w:after="0"/>
              <w:rPr>
                <w:sz w:val="2"/>
                <w:szCs w:val="2"/>
                <w:color w:val="auto"/>
              </w:rPr>
            </w:pPr>
          </w:p>
        </w:tc>
      </w:tr>
      <w:tr>
        <w:trPr>
          <w:trHeight w:val="263"/>
        </w:trPr>
        <w:tc>
          <w:tcPr>
            <w:tcW w:w="23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Darren Williams</w:t>
            </w:r>
          </w:p>
        </w:tc>
        <w:tc>
          <w:tcPr>
            <w:tcW w:w="6360" w:type="dxa"/>
            <w:vAlign w:val="bottom"/>
            <w:shd w:val="clear" w:color="auto" w:fill="D9D9D9"/>
          </w:tcPr>
          <w:p>
            <w:pPr>
              <w:ind w:left="320"/>
              <w:spacing w:after="0"/>
              <w:rPr>
                <w:sz w:val="20"/>
                <w:szCs w:val="20"/>
                <w:color w:val="auto"/>
              </w:rPr>
            </w:pPr>
            <w:r>
              <w:rPr>
                <w:rFonts w:ascii="Arial" w:cs="Arial" w:eastAsia="Arial" w:hAnsi="Arial"/>
                <w:sz w:val="18"/>
                <w:szCs w:val="18"/>
                <w:color w:val="auto"/>
              </w:rPr>
              <w:t>Executive Vice President–Operations and Geoscience</w:t>
            </w:r>
          </w:p>
        </w:tc>
      </w:tr>
      <w:tr>
        <w:trPr>
          <w:trHeight w:val="34"/>
        </w:trPr>
        <w:tc>
          <w:tcPr>
            <w:tcW w:w="2380" w:type="dxa"/>
            <w:vAlign w:val="bottom"/>
            <w:shd w:val="clear" w:color="auto" w:fill="D9D9D9"/>
          </w:tcPr>
          <w:p>
            <w:pPr>
              <w:spacing w:after="0"/>
              <w:rPr>
                <w:sz w:val="2"/>
                <w:szCs w:val="2"/>
                <w:color w:val="auto"/>
              </w:rPr>
            </w:pPr>
          </w:p>
        </w:tc>
        <w:tc>
          <w:tcPr>
            <w:tcW w:w="6360" w:type="dxa"/>
            <w:vAlign w:val="bottom"/>
            <w:shd w:val="clear" w:color="auto" w:fill="D9D9D9"/>
          </w:tcPr>
          <w:p>
            <w:pPr>
              <w:spacing w:after="0"/>
              <w:rPr>
                <w:sz w:val="2"/>
                <w:szCs w:val="2"/>
                <w:color w:val="auto"/>
              </w:rPr>
            </w:pPr>
          </w:p>
        </w:tc>
      </w:tr>
      <w:tr>
        <w:trPr>
          <w:trHeight w:val="263"/>
        </w:trPr>
        <w:tc>
          <w:tcPr>
            <w:tcW w:w="23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Charles F. Weiss</w:t>
            </w:r>
          </w:p>
        </w:tc>
        <w:tc>
          <w:tcPr>
            <w:tcW w:w="6360" w:type="dxa"/>
            <w:vAlign w:val="bottom"/>
            <w:shd w:val="clear" w:color="auto" w:fill="D9D9D9"/>
          </w:tcPr>
          <w:p>
            <w:pPr>
              <w:ind w:left="320"/>
              <w:spacing w:after="0"/>
              <w:rPr>
                <w:sz w:val="20"/>
                <w:szCs w:val="20"/>
                <w:color w:val="auto"/>
              </w:rPr>
            </w:pPr>
            <w:r>
              <w:rPr>
                <w:rFonts w:ascii="Arial" w:cs="Arial" w:eastAsia="Arial" w:hAnsi="Arial"/>
                <w:sz w:val="18"/>
                <w:szCs w:val="18"/>
                <w:color w:val="auto"/>
              </w:rPr>
              <w:t>Executive Vice President–Public Affairs</w:t>
            </w:r>
          </w:p>
        </w:tc>
      </w:tr>
      <w:tr>
        <w:trPr>
          <w:trHeight w:val="34"/>
        </w:trPr>
        <w:tc>
          <w:tcPr>
            <w:tcW w:w="2380" w:type="dxa"/>
            <w:vAlign w:val="bottom"/>
            <w:shd w:val="clear" w:color="auto" w:fill="D9D9D9"/>
          </w:tcPr>
          <w:p>
            <w:pPr>
              <w:spacing w:after="0"/>
              <w:rPr>
                <w:sz w:val="2"/>
                <w:szCs w:val="2"/>
                <w:color w:val="auto"/>
              </w:rPr>
            </w:pPr>
          </w:p>
        </w:tc>
        <w:tc>
          <w:tcPr>
            <w:tcW w:w="6360" w:type="dxa"/>
            <w:vAlign w:val="bottom"/>
            <w:shd w:val="clear" w:color="auto" w:fill="D9D9D9"/>
          </w:tcPr>
          <w:p>
            <w:pPr>
              <w:spacing w:after="0"/>
              <w:rPr>
                <w:sz w:val="2"/>
                <w:szCs w:val="2"/>
                <w:color w:val="auto"/>
              </w:rPr>
            </w:pPr>
          </w:p>
        </w:tc>
      </w:tr>
      <w:tr>
        <w:trPr>
          <w:trHeight w:val="249"/>
        </w:trPr>
        <w:tc>
          <w:tcPr>
            <w:tcW w:w="23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Michael L. Preston</w:t>
            </w:r>
          </w:p>
        </w:tc>
        <w:tc>
          <w:tcPr>
            <w:tcW w:w="6360" w:type="dxa"/>
            <w:vAlign w:val="bottom"/>
            <w:shd w:val="clear" w:color="auto" w:fill="D9D9D9"/>
          </w:tcPr>
          <w:p>
            <w:pPr>
              <w:ind w:left="320"/>
              <w:spacing w:after="0"/>
              <w:rPr>
                <w:sz w:val="20"/>
                <w:szCs w:val="20"/>
                <w:color w:val="auto"/>
              </w:rPr>
            </w:pPr>
            <w:r>
              <w:rPr>
                <w:rFonts w:ascii="Arial" w:cs="Arial" w:eastAsia="Arial" w:hAnsi="Arial"/>
                <w:sz w:val="18"/>
                <w:szCs w:val="18"/>
                <w:color w:val="auto"/>
              </w:rPr>
              <w:t>Senior Executive Vice President, Chief Administrative Officer and General</w:t>
            </w:r>
          </w:p>
        </w:tc>
      </w:tr>
      <w:tr>
        <w:trPr>
          <w:trHeight w:val="224"/>
        </w:trPr>
        <w:tc>
          <w:tcPr>
            <w:tcW w:w="2380" w:type="dxa"/>
            <w:vAlign w:val="bottom"/>
            <w:tcBorders>
              <w:bottom w:val="single" w:sz="8" w:color="EBEBEC"/>
            </w:tcBorders>
            <w:shd w:val="clear" w:color="auto" w:fill="D9D9D9"/>
          </w:tcPr>
          <w:p>
            <w:pPr>
              <w:spacing w:after="0"/>
              <w:rPr>
                <w:sz w:val="19"/>
                <w:szCs w:val="19"/>
                <w:color w:val="auto"/>
              </w:rPr>
            </w:pPr>
          </w:p>
        </w:tc>
        <w:tc>
          <w:tcPr>
            <w:tcW w:w="6360" w:type="dxa"/>
            <w:vAlign w:val="bottom"/>
            <w:tcBorders>
              <w:bottom w:val="single" w:sz="8" w:color="EBEBEC"/>
            </w:tcBorders>
            <w:shd w:val="clear" w:color="auto" w:fill="D9D9D9"/>
          </w:tcPr>
          <w:p>
            <w:pPr>
              <w:ind w:left="320"/>
              <w:spacing w:after="0"/>
              <w:rPr>
                <w:sz w:val="20"/>
                <w:szCs w:val="20"/>
                <w:color w:val="auto"/>
              </w:rPr>
            </w:pPr>
            <w:r>
              <w:rPr>
                <w:rFonts w:ascii="Arial" w:cs="Arial" w:eastAsia="Arial" w:hAnsi="Arial"/>
                <w:sz w:val="18"/>
                <w:szCs w:val="18"/>
                <w:color w:val="auto"/>
              </w:rPr>
              <w:t>Counsel</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0075C9"/>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6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Compensation Discussion and Analysis</w:t>
              </w:r>
            </w:hyperlink>
          </w:p>
        </w:tc>
        <w:tc>
          <w:tcPr>
            <w:tcW w:w="1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180" w:type="dxa"/>
            <w:vAlign w:val="bottom"/>
            <w:vMerge w:val="restart"/>
          </w:tcPr>
          <w:p>
            <w:pPr>
              <w:jc w:val="right"/>
              <w:ind w:right="167"/>
              <w:spacing w:after="0"/>
              <w:rPr>
                <w:sz w:val="20"/>
                <w:szCs w:val="20"/>
                <w:color w:val="auto"/>
              </w:rPr>
            </w:pPr>
            <w:r>
              <w:rPr>
                <w:rFonts w:ascii="Arial" w:cs="Arial" w:eastAsia="Arial" w:hAnsi="Arial"/>
                <w:sz w:val="18"/>
                <w:szCs w:val="18"/>
                <w:color w:val="0075C9"/>
              </w:rPr>
              <w:t>26</w:t>
            </w:r>
          </w:p>
        </w:tc>
        <w:tc>
          <w:tcPr>
            <w:tcW w:w="120" w:type="dxa"/>
            <w:vAlign w:val="bottom"/>
            <w:vMerge w:val="restart"/>
          </w:tcPr>
          <w:p>
            <w:pPr>
              <w:spacing w:after="0"/>
              <w:rPr>
                <w:sz w:val="19"/>
                <w:szCs w:val="19"/>
                <w:color w:val="auto"/>
              </w:rPr>
            </w:pPr>
          </w:p>
        </w:tc>
        <w:tc>
          <w:tcPr>
            <w:tcW w:w="2680" w:type="dxa"/>
            <w:vAlign w:val="bottom"/>
            <w:gridSpan w:val="14"/>
            <w:vMerge w:val="restart"/>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Key Compensation Policies and Practices</w:t>
              </w:r>
            </w:hyperlink>
          </w:p>
        </w:tc>
        <w:tc>
          <w:tcPr>
            <w:tcW w:w="80" w:type="dxa"/>
            <w:vAlign w:val="bottom"/>
            <w:vMerge w:val="restart"/>
          </w:tcPr>
          <w:p>
            <w:pPr>
              <w:spacing w:after="0"/>
              <w:rPr>
                <w:sz w:val="19"/>
                <w:szCs w:val="19"/>
                <w:color w:val="auto"/>
              </w:rPr>
            </w:pPr>
          </w:p>
        </w:tc>
        <w:tc>
          <w:tcPr>
            <w:tcW w:w="36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740" w:type="dxa"/>
            <w:vAlign w:val="bottom"/>
            <w:vMerge w:val="restart"/>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5"/>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680" w:type="dxa"/>
            <w:vAlign w:val="bottom"/>
            <w:tcBorders>
              <w:bottom w:val="single" w:sz="8" w:color="0000EE"/>
            </w:tcBorders>
            <w:gridSpan w:val="1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3360" w:type="dxa"/>
            <w:vAlign w:val="bottom"/>
            <w:gridSpan w:val="16"/>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Execution on Our Strategic Priorities in 2019</w:t>
              </w:r>
            </w:hyperlink>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9"/>
                <w:szCs w:val="19"/>
                <w:color w:val="auto"/>
              </w:rPr>
            </w:pPr>
          </w:p>
        </w:tc>
        <w:tc>
          <w:tcPr>
            <w:tcW w:w="4500" w:type="dxa"/>
            <w:vAlign w:val="bottom"/>
            <w:gridSpan w:val="19"/>
          </w:tcPr>
          <w:p>
            <w:pPr>
              <w:ind w:left="140"/>
              <w:spacing w:after="0"/>
              <w:rPr>
                <w:rFonts w:ascii="Arial" w:cs="Arial" w:eastAsia="Arial" w:hAnsi="Arial"/>
                <w:sz w:val="14"/>
                <w:szCs w:val="14"/>
                <w:color w:val="0000EE"/>
              </w:rPr>
            </w:pPr>
            <w:hyperlink w:anchor="page62">
              <w:r>
                <w:rPr>
                  <w:rFonts w:ascii="Arial" w:cs="Arial" w:eastAsia="Arial" w:hAnsi="Arial"/>
                  <w:sz w:val="14"/>
                  <w:szCs w:val="14"/>
                  <w:color w:val="0000EE"/>
                </w:rPr>
                <w:t>Stock Ownership Guidelines</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360" w:type="dxa"/>
            <w:vAlign w:val="bottom"/>
            <w:gridSpan w:val="16"/>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Historical Perspective – Drivers of Strategic Priorities</w:t>
              </w:r>
            </w:hyperlink>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4500" w:type="dxa"/>
            <w:vAlign w:val="bottom"/>
            <w:gridSpan w:val="19"/>
          </w:tcPr>
          <w:p>
            <w:pPr>
              <w:ind w:left="140"/>
              <w:spacing w:after="0"/>
              <w:rPr>
                <w:rFonts w:ascii="Arial" w:cs="Arial" w:eastAsia="Arial" w:hAnsi="Arial"/>
                <w:sz w:val="14"/>
                <w:szCs w:val="14"/>
                <w:color w:val="0000EE"/>
              </w:rPr>
            </w:pPr>
            <w:hyperlink w:anchor="page63">
              <w:r>
                <w:rPr>
                  <w:rFonts w:ascii="Arial" w:cs="Arial" w:eastAsia="Arial" w:hAnsi="Arial"/>
                  <w:sz w:val="14"/>
                  <w:szCs w:val="14"/>
                  <w:color w:val="0000EE"/>
                </w:rPr>
                <w:t>Clawback Policy</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360" w:type="dxa"/>
            <w:vAlign w:val="bottom"/>
            <w:gridSpan w:val="16"/>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Aligning Pay with Stockholder Interests</w:t>
              </w:r>
            </w:hyperlink>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4500" w:type="dxa"/>
            <w:vAlign w:val="bottom"/>
            <w:gridSpan w:val="19"/>
          </w:tcPr>
          <w:p>
            <w:pPr>
              <w:ind w:left="140"/>
              <w:spacing w:after="0"/>
              <w:rPr>
                <w:rFonts w:ascii="Arial" w:cs="Arial" w:eastAsia="Arial" w:hAnsi="Arial"/>
                <w:sz w:val="14"/>
                <w:szCs w:val="14"/>
                <w:color w:val="0000EE"/>
              </w:rPr>
            </w:pPr>
            <w:hyperlink w:anchor="page63">
              <w:r>
                <w:rPr>
                  <w:rFonts w:ascii="Arial" w:cs="Arial" w:eastAsia="Arial" w:hAnsi="Arial"/>
                  <w:sz w:val="14"/>
                  <w:szCs w:val="14"/>
                  <w:color w:val="0000EE"/>
                </w:rPr>
                <w:t>Anti-Hedging and Anti-Pledging Policy</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2540" w:type="dxa"/>
            <w:vAlign w:val="bottom"/>
            <w:gridSpan w:val="10"/>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Linkage Between Pay and Performance</w:t>
              </w:r>
            </w:hyperlink>
          </w:p>
        </w:tc>
        <w:tc>
          <w:tcPr>
            <w:tcW w:w="820" w:type="dxa"/>
            <w:vAlign w:val="bottom"/>
            <w:gridSpan w:val="6"/>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8"/>
                <w:szCs w:val="18"/>
                <w:color w:val="auto"/>
              </w:rPr>
            </w:pPr>
          </w:p>
        </w:tc>
        <w:tc>
          <w:tcPr>
            <w:tcW w:w="4500" w:type="dxa"/>
            <w:vAlign w:val="bottom"/>
            <w:gridSpan w:val="19"/>
          </w:tcPr>
          <w:p>
            <w:pPr>
              <w:ind w:left="140"/>
              <w:spacing w:after="0"/>
              <w:rPr>
                <w:rFonts w:ascii="Arial" w:cs="Arial" w:eastAsia="Arial" w:hAnsi="Arial"/>
                <w:sz w:val="14"/>
                <w:szCs w:val="14"/>
                <w:color w:val="0000EE"/>
              </w:rPr>
            </w:pPr>
            <w:hyperlink w:anchor="page63">
              <w:r>
                <w:rPr>
                  <w:rFonts w:ascii="Arial" w:cs="Arial" w:eastAsia="Arial" w:hAnsi="Arial"/>
                  <w:sz w:val="14"/>
                  <w:szCs w:val="14"/>
                  <w:color w:val="0000EE"/>
                </w:rPr>
                <w:t>Compensation Risk Management</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540" w:type="dxa"/>
            <w:vAlign w:val="bottom"/>
            <w:gridSpan w:val="4"/>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Realizable Pay Analysis</w:t>
              </w:r>
            </w:hyperlink>
          </w:p>
        </w:tc>
        <w:tc>
          <w:tcPr>
            <w:tcW w:w="1000" w:type="dxa"/>
            <w:vAlign w:val="bottom"/>
            <w:gridSpan w:val="6"/>
          </w:tcPr>
          <w:p>
            <w:pPr>
              <w:spacing w:after="0"/>
              <w:rPr>
                <w:sz w:val="18"/>
                <w:szCs w:val="18"/>
                <w:color w:val="auto"/>
              </w:rPr>
            </w:pPr>
          </w:p>
        </w:tc>
        <w:tc>
          <w:tcPr>
            <w:tcW w:w="820" w:type="dxa"/>
            <w:vAlign w:val="bottom"/>
            <w:gridSpan w:val="6"/>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8"/>
                <w:szCs w:val="18"/>
                <w:color w:val="auto"/>
              </w:rPr>
            </w:pPr>
          </w:p>
        </w:tc>
        <w:tc>
          <w:tcPr>
            <w:tcW w:w="4500" w:type="dxa"/>
            <w:vAlign w:val="bottom"/>
            <w:gridSpan w:val="19"/>
          </w:tcPr>
          <w:p>
            <w:pPr>
              <w:ind w:left="140"/>
              <w:spacing w:after="0"/>
              <w:rPr>
                <w:rFonts w:ascii="Arial" w:cs="Arial" w:eastAsia="Arial" w:hAnsi="Arial"/>
                <w:sz w:val="14"/>
                <w:szCs w:val="14"/>
                <w:color w:val="0000EE"/>
              </w:rPr>
            </w:pPr>
            <w:hyperlink w:anchor="page63">
              <w:r>
                <w:rPr>
                  <w:rFonts w:ascii="Arial" w:cs="Arial" w:eastAsia="Arial" w:hAnsi="Arial"/>
                  <w:sz w:val="14"/>
                  <w:szCs w:val="14"/>
                  <w:color w:val="0000EE"/>
                </w:rPr>
                <w:t>Tax Considerations</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380" w:type="dxa"/>
            <w:vAlign w:val="bottom"/>
            <w:tcBorders>
              <w:bottom w:val="single" w:sz="8" w:color="0000EE"/>
            </w:tcBorders>
            <w:gridSpan w:val="2"/>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Stockholder Outreach</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5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33</w:t>
            </w:r>
          </w:p>
        </w:tc>
        <w:tc>
          <w:tcPr>
            <w:tcW w:w="462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Compensation Committee Report</w:t>
              </w:r>
            </w:hyperlink>
          </w:p>
        </w:tc>
        <w:tc>
          <w:tcPr>
            <w:tcW w:w="940" w:type="dxa"/>
            <w:vAlign w:val="bottom"/>
          </w:tcPr>
          <w:p>
            <w:pPr>
              <w:jc w:val="right"/>
              <w:spacing w:after="0"/>
              <w:rPr>
                <w:sz w:val="20"/>
                <w:szCs w:val="20"/>
                <w:color w:val="auto"/>
              </w:rPr>
            </w:pPr>
            <w:r>
              <w:rPr>
                <w:rFonts w:ascii="Arial" w:cs="Arial" w:eastAsia="Arial" w:hAnsi="Arial"/>
                <w:sz w:val="18"/>
                <w:szCs w:val="18"/>
                <w:color w:val="0075C9"/>
              </w:rPr>
              <w:t>56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00" w:type="dxa"/>
            <w:vAlign w:val="bottom"/>
            <w:tcBorders>
              <w:bottom w:val="single" w:sz="8" w:color="0000EE"/>
            </w:tcBorders>
            <w:gridSpan w:val="3"/>
          </w:tcPr>
          <w:p>
            <w:pPr>
              <w:spacing w:after="0" w:line="20" w:lineRule="exact"/>
              <w:rPr>
                <w:sz w:val="1"/>
                <w:szCs w:val="1"/>
                <w:color w:val="auto"/>
              </w:rPr>
            </w:pPr>
          </w:p>
        </w:tc>
        <w:tc>
          <w:tcPr>
            <w:tcW w:w="22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160" w:type="dxa"/>
            <w:vAlign w:val="bottom"/>
            <w:tcBorders>
              <w:bottom w:val="single" w:sz="8" w:color="0000EE"/>
            </w:tcBorders>
            <w:gridSpan w:val="14"/>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Stockholder Approval of Executive Compensation</w:t>
              </w:r>
            </w:hyperlink>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33</w:t>
            </w:r>
          </w:p>
        </w:tc>
        <w:tc>
          <w:tcPr>
            <w:tcW w:w="462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Executive Compensation Tables</w:t>
              </w:r>
            </w:hyperlink>
          </w:p>
        </w:tc>
        <w:tc>
          <w:tcPr>
            <w:tcW w:w="940" w:type="dxa"/>
            <w:vAlign w:val="bottom"/>
          </w:tcPr>
          <w:p>
            <w:pPr>
              <w:jc w:val="right"/>
              <w:spacing w:after="0"/>
              <w:rPr>
                <w:sz w:val="20"/>
                <w:szCs w:val="20"/>
                <w:color w:val="auto"/>
              </w:rPr>
            </w:pPr>
            <w:r>
              <w:rPr>
                <w:rFonts w:ascii="Arial" w:cs="Arial" w:eastAsia="Arial" w:hAnsi="Arial"/>
                <w:sz w:val="18"/>
                <w:szCs w:val="18"/>
                <w:color w:val="0075C9"/>
              </w:rPr>
              <w:t>57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98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2600" w:type="dxa"/>
            <w:vAlign w:val="bottom"/>
            <w:tcBorders>
              <w:bottom w:val="single" w:sz="8" w:color="0000EE"/>
            </w:tcBorders>
            <w:gridSpan w:val="11"/>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Elements of Our Compensation Program</w:t>
              </w:r>
            </w:hyperlink>
          </w:p>
        </w:tc>
        <w:tc>
          <w:tcPr>
            <w:tcW w:w="760" w:type="dxa"/>
            <w:vAlign w:val="bottom"/>
            <w:gridSpan w:val="5"/>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1980" w:type="dxa"/>
            <w:vAlign w:val="bottom"/>
            <w:tcBorders>
              <w:bottom w:val="single" w:sz="8" w:color="0000EE"/>
            </w:tcBorders>
            <w:gridSpan w:val="9"/>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Summary Compensation Table</w:t>
              </w:r>
            </w:hyperlink>
          </w:p>
        </w:tc>
        <w:tc>
          <w:tcPr>
            <w:tcW w:w="2520" w:type="dxa"/>
            <w:vAlign w:val="bottom"/>
            <w:gridSpan w:val="10"/>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0000EE"/>
            </w:tcBorders>
            <w:gridSpan w:val="4"/>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Compensation Philosophy</w:t>
              </w:r>
            </w:hyperlink>
          </w:p>
        </w:tc>
        <w:tc>
          <w:tcPr>
            <w:tcW w:w="1560" w:type="dxa"/>
            <w:vAlign w:val="bottom"/>
            <w:gridSpan w:val="11"/>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1940" w:type="dxa"/>
            <w:vAlign w:val="bottom"/>
            <w:tcBorders>
              <w:bottom w:val="single" w:sz="8" w:color="0000EE"/>
            </w:tcBorders>
            <w:gridSpan w:val="8"/>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Grants of Plan-Based Awards</w:t>
              </w:r>
            </w:hyperlink>
          </w:p>
        </w:tc>
        <w:tc>
          <w:tcPr>
            <w:tcW w:w="2560" w:type="dxa"/>
            <w:vAlign w:val="bottom"/>
            <w:gridSpan w:val="11"/>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15"/>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Compensation Program Best Practices</w:t>
              </w:r>
            </w:hyperlink>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4500" w:type="dxa"/>
            <w:vAlign w:val="bottom"/>
            <w:gridSpan w:val="19"/>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Outstanding Equity Awards at December 31, 2019</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top w:val="single" w:sz="8" w:color="0000EE"/>
            </w:tcBorders>
            <w:gridSpan w:val="10"/>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Compensation Peer Group Selection</w:t>
              </w:r>
            </w:hyperlink>
          </w:p>
        </w:tc>
        <w:tc>
          <w:tcPr>
            <w:tcW w:w="760" w:type="dxa"/>
            <w:vAlign w:val="bottom"/>
            <w:gridSpan w:val="5"/>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3200" w:type="dxa"/>
            <w:vAlign w:val="bottom"/>
            <w:tcBorders>
              <w:top w:val="single" w:sz="8" w:color="0000EE"/>
            </w:tcBorders>
            <w:gridSpan w:val="17"/>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Option Exercises and Stock Vested in 2019</w:t>
              </w:r>
            </w:hyperlink>
          </w:p>
        </w:tc>
        <w:tc>
          <w:tcPr>
            <w:tcW w:w="1300" w:type="dxa"/>
            <w:vAlign w:val="bottom"/>
            <w:gridSpan w:val="2"/>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8"/>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2019 Compensation Program</w:t>
              </w:r>
            </w:hyperlink>
          </w:p>
        </w:tc>
        <w:tc>
          <w:tcPr>
            <w:tcW w:w="940" w:type="dxa"/>
            <w:vAlign w:val="bottom"/>
            <w:gridSpan w:val="7"/>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4500" w:type="dxa"/>
            <w:vAlign w:val="bottom"/>
            <w:gridSpan w:val="19"/>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2019 Nonqualified Deferred Compensation Table</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15"/>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2020 Compensation Program</w:t>
              </w:r>
            </w:hyperlink>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8"/>
                <w:szCs w:val="18"/>
                <w:color w:val="auto"/>
              </w:rPr>
            </w:pPr>
          </w:p>
        </w:tc>
        <w:tc>
          <w:tcPr>
            <w:tcW w:w="4500" w:type="dxa"/>
            <w:vAlign w:val="bottom"/>
            <w:gridSpan w:val="19"/>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CEO Pay Ratio</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360" w:type="dxa"/>
            <w:vAlign w:val="bottom"/>
            <w:gridSpan w:val="16"/>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Our Executive Compensation Process</w:t>
              </w:r>
            </w:hyperlink>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4500" w:type="dxa"/>
            <w:vAlign w:val="bottom"/>
            <w:gridSpan w:val="19"/>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Potential Payments upon Termination or Change in Control</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bottom w:val="single" w:sz="8" w:color="0000EE"/>
            </w:tcBorders>
            <w:gridSpan w:val="7"/>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Role of Compensation Committee</w:t>
              </w:r>
            </w:hyperlink>
          </w:p>
        </w:tc>
        <w:tc>
          <w:tcPr>
            <w:tcW w:w="140" w:type="dxa"/>
            <w:vAlign w:val="bottom"/>
          </w:tcPr>
          <w:p>
            <w:pPr>
              <w:spacing w:after="0"/>
              <w:rPr>
                <w:sz w:val="18"/>
                <w:szCs w:val="18"/>
                <w:color w:val="auto"/>
              </w:rPr>
            </w:pPr>
          </w:p>
        </w:tc>
        <w:tc>
          <w:tcPr>
            <w:tcW w:w="78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4620" w:type="dxa"/>
            <w:vAlign w:val="bottom"/>
            <w:gridSpan w:val="2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Director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0075C9"/>
              </w:rPr>
              <w:t>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200" w:type="dxa"/>
            <w:vAlign w:val="bottom"/>
            <w:tcBorders>
              <w:bottom w:val="single" w:sz="8" w:color="0000EE"/>
            </w:tcBorders>
            <w:gridSpan w:val="4"/>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15"/>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Role of Management</w:t>
              </w:r>
            </w:hyperlink>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4500" w:type="dxa"/>
            <w:vAlign w:val="bottom"/>
            <w:gridSpan w:val="19"/>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Program Objectives</w:t>
              </w:r>
            </w:hyperlink>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Borders>
              <w:bottom w:val="single" w:sz="8" w:color="0000EE"/>
            </w:tcBorders>
            <w:gridSpan w:val="14"/>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Role of Independent Compensation Consultants</w:t>
              </w:r>
            </w:hyperlink>
          </w:p>
        </w:tc>
        <w:tc>
          <w:tcPr>
            <w:tcW w:w="160" w:type="dxa"/>
            <w:vAlign w:val="bottom"/>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1200" w:type="dxa"/>
            <w:vAlign w:val="bottom"/>
            <w:tcBorders>
              <w:bottom w:val="single" w:sz="8" w:color="0000EE"/>
            </w:tcBorders>
            <w:gridSpan w:val="4"/>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Program Elements</w:t>
              </w:r>
            </w:hyperlink>
          </w:p>
        </w:tc>
        <w:tc>
          <w:tcPr>
            <w:tcW w:w="3300" w:type="dxa"/>
            <w:vAlign w:val="bottom"/>
            <w:gridSpan w:val="15"/>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bottom w:val="single" w:sz="8" w:color="0000EE"/>
            </w:tcBorders>
            <w:gridSpan w:val="5"/>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Use of Compensation Data</w:t>
              </w:r>
            </w:hyperlink>
          </w:p>
        </w:tc>
        <w:tc>
          <w:tcPr>
            <w:tcW w:w="1500" w:type="dxa"/>
            <w:vAlign w:val="bottom"/>
            <w:gridSpan w:val="10"/>
          </w:tcPr>
          <w:p>
            <w:pPr>
              <w:spacing w:after="0"/>
              <w:rPr>
                <w:sz w:val="18"/>
                <w:szCs w:val="18"/>
                <w:color w:val="auto"/>
              </w:rPr>
            </w:pPr>
          </w:p>
        </w:tc>
        <w:tc>
          <w:tcPr>
            <w:tcW w:w="218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2080" w:type="dxa"/>
            <w:vAlign w:val="bottom"/>
            <w:tcBorders>
              <w:bottom w:val="single" w:sz="8" w:color="0000EE"/>
            </w:tcBorders>
            <w:gridSpan w:val="10"/>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2019 Compensation of Directors</w:t>
              </w:r>
            </w:hyperlink>
          </w:p>
        </w:tc>
        <w:tc>
          <w:tcPr>
            <w:tcW w:w="2420" w:type="dxa"/>
            <w:vAlign w:val="bottom"/>
            <w:gridSpan w:val="9"/>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4" w:name="page35"/>
    <w:bookmarkEnd w:id="34"/>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Execution on Our Strategic Priorities in 2019</w:t>
      </w:r>
    </w:p>
    <w:p>
      <w:pPr>
        <w:spacing w:after="0" w:line="104" w:lineRule="exact"/>
        <w:rPr>
          <w:sz w:val="20"/>
          <w:szCs w:val="20"/>
          <w:color w:val="auto"/>
        </w:rPr>
      </w:pPr>
    </w:p>
    <w:p>
      <w:pPr>
        <w:ind w:right="1200"/>
        <w:spacing w:after="0" w:line="246" w:lineRule="auto"/>
        <w:rPr>
          <w:sz w:val="20"/>
          <w:szCs w:val="20"/>
          <w:color w:val="auto"/>
        </w:rPr>
      </w:pPr>
      <w:r>
        <w:rPr>
          <w:rFonts w:ascii="Arial" w:cs="Arial" w:eastAsia="Arial" w:hAnsi="Arial"/>
          <w:sz w:val="18"/>
          <w:szCs w:val="18"/>
          <w:color w:val="auto"/>
        </w:rPr>
        <w:t>In 2019, our management team continued to deliver significant accomplishments against our strategic priorities which the Compensation Committee considered as part of its review of management’s performance for compensation purposes.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120"/>
              <w:spacing w:after="0"/>
              <w:rPr>
                <w:sz w:val="20"/>
                <w:szCs w:val="20"/>
                <w:color w:val="auto"/>
              </w:rPr>
            </w:pPr>
            <w:r>
              <w:rPr>
                <w:rFonts w:ascii="Arial" w:cs="Arial" w:eastAsia="Arial" w:hAnsi="Arial"/>
                <w:sz w:val="18"/>
                <w:szCs w:val="18"/>
                <w:b w:val="1"/>
                <w:bCs w:val="1"/>
                <w:color w:val="0075C9"/>
              </w:rPr>
              <w:t>2019 Strategic Priorities</w:t>
            </w:r>
          </w:p>
        </w:tc>
        <w:tc>
          <w:tcPr>
            <w:tcW w:w="8080" w:type="dxa"/>
            <w:vAlign w:val="bottom"/>
            <w:gridSpan w:val="2"/>
          </w:tcPr>
          <w:p>
            <w:pPr>
              <w:ind w:left="2460"/>
              <w:spacing w:after="0"/>
              <w:rPr>
                <w:sz w:val="20"/>
                <w:szCs w:val="20"/>
                <w:color w:val="auto"/>
              </w:rPr>
            </w:pPr>
            <w:r>
              <w:rPr>
                <w:rFonts w:ascii="Arial" w:cs="Arial" w:eastAsia="Arial" w:hAnsi="Arial"/>
                <w:sz w:val="18"/>
                <w:szCs w:val="18"/>
                <w:b w:val="1"/>
                <w:bCs w:val="1"/>
                <w:color w:val="0075C9"/>
              </w:rPr>
              <w:t>Performance on Strategic Priorities</w:t>
            </w:r>
          </w:p>
        </w:tc>
        <w:tc>
          <w:tcPr>
            <w:tcW w:w="0" w:type="dxa"/>
            <w:vAlign w:val="bottom"/>
          </w:tcPr>
          <w:p>
            <w:pPr>
              <w:spacing w:after="0"/>
              <w:rPr>
                <w:sz w:val="1"/>
                <w:szCs w:val="1"/>
                <w:color w:val="auto"/>
              </w:rPr>
            </w:pPr>
          </w:p>
        </w:tc>
      </w:tr>
      <w:tr>
        <w:trPr>
          <w:trHeight w:val="40"/>
        </w:trPr>
        <w:tc>
          <w:tcPr>
            <w:tcW w:w="3180" w:type="dxa"/>
            <w:vAlign w:val="bottom"/>
            <w:tcBorders>
              <w:bottom w:val="single" w:sz="8" w:color="0075C9"/>
            </w:tcBorders>
          </w:tcPr>
          <w:p>
            <w:pPr>
              <w:spacing w:after="0"/>
              <w:rPr>
                <w:sz w:val="3"/>
                <w:szCs w:val="3"/>
                <w:color w:val="auto"/>
              </w:rPr>
            </w:pPr>
          </w:p>
        </w:tc>
        <w:tc>
          <w:tcPr>
            <w:tcW w:w="8060" w:type="dxa"/>
            <w:vAlign w:val="bottom"/>
            <w:tcBorders>
              <w:bottom w:val="single" w:sz="8" w:color="0075C9"/>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4"/>
        </w:trPr>
        <w:tc>
          <w:tcPr>
            <w:tcW w:w="3180" w:type="dxa"/>
            <w:vAlign w:val="bottom"/>
            <w:shd w:val="clear" w:color="auto" w:fill="E6EFF7"/>
          </w:tcPr>
          <w:p>
            <w:pPr>
              <w:spacing w:after="0"/>
              <w:rPr>
                <w:sz w:val="24"/>
                <w:szCs w:val="24"/>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Invested $612 million, including over $200 million of development joint venture (“JV”)</w:t>
            </w:r>
          </w:p>
        </w:tc>
        <w:tc>
          <w:tcPr>
            <w:tcW w:w="0" w:type="dxa"/>
            <w:vAlign w:val="bottom"/>
          </w:tcPr>
          <w:p>
            <w:pPr>
              <w:spacing w:after="0"/>
              <w:rPr>
                <w:sz w:val="1"/>
                <w:szCs w:val="1"/>
                <w:color w:val="auto"/>
              </w:rPr>
            </w:pPr>
          </w:p>
        </w:tc>
      </w:tr>
      <w:tr>
        <w:trPr>
          <w:trHeight w:val="200"/>
        </w:trPr>
        <w:tc>
          <w:tcPr>
            <w:tcW w:w="3180" w:type="dxa"/>
            <w:vAlign w:val="bottom"/>
            <w:shd w:val="clear" w:color="auto" w:fill="E6EFF7"/>
          </w:tcPr>
          <w:p>
            <w:pPr>
              <w:spacing w:after="0"/>
              <w:rPr>
                <w:sz w:val="17"/>
                <w:szCs w:val="17"/>
                <w:color w:val="auto"/>
              </w:rPr>
            </w:pPr>
          </w:p>
        </w:tc>
        <w:tc>
          <w:tcPr>
            <w:tcW w:w="8080" w:type="dxa"/>
            <w:vAlign w:val="bottom"/>
            <w:gridSpan w:val="2"/>
          </w:tcPr>
          <w:p>
            <w:pPr>
              <w:ind w:left="800"/>
              <w:spacing w:after="0" w:line="200" w:lineRule="exact"/>
              <w:rPr>
                <w:sz w:val="20"/>
                <w:szCs w:val="20"/>
                <w:color w:val="auto"/>
              </w:rPr>
            </w:pPr>
            <w:r>
              <w:rPr>
                <w:rFonts w:ascii="Arial" w:cs="Arial" w:eastAsia="Arial" w:hAnsi="Arial"/>
                <w:sz w:val="18"/>
                <w:szCs w:val="18"/>
                <w:color w:val="auto"/>
              </w:rPr>
              <w:t>capital, to strategically maximize future resource expansion and enhance free cash</w:t>
            </w:r>
          </w:p>
        </w:tc>
        <w:tc>
          <w:tcPr>
            <w:tcW w:w="0" w:type="dxa"/>
            <w:vAlign w:val="bottom"/>
          </w:tcPr>
          <w:p>
            <w:pPr>
              <w:spacing w:after="0"/>
              <w:rPr>
                <w:sz w:val="1"/>
                <w:szCs w:val="1"/>
                <w:color w:val="auto"/>
              </w:rPr>
            </w:pPr>
          </w:p>
        </w:tc>
      </w:tr>
      <w:tr>
        <w:trPr>
          <w:trHeight w:val="219"/>
        </w:trPr>
        <w:tc>
          <w:tcPr>
            <w:tcW w:w="3180" w:type="dxa"/>
            <w:vAlign w:val="bottom"/>
            <w:shd w:val="clear" w:color="auto" w:fill="E6EFF7"/>
          </w:tcPr>
          <w:p>
            <w:pPr>
              <w:spacing w:after="0"/>
              <w:rPr>
                <w:sz w:val="19"/>
                <w:szCs w:val="19"/>
                <w:color w:val="auto"/>
              </w:rPr>
            </w:pPr>
          </w:p>
        </w:tc>
        <w:tc>
          <w:tcPr>
            <w:tcW w:w="8080" w:type="dxa"/>
            <w:vAlign w:val="bottom"/>
            <w:gridSpan w:val="2"/>
          </w:tcPr>
          <w:p>
            <w:pPr>
              <w:ind w:left="800"/>
              <w:spacing w:after="0"/>
              <w:rPr>
                <w:sz w:val="20"/>
                <w:szCs w:val="20"/>
                <w:color w:val="auto"/>
              </w:rPr>
            </w:pPr>
            <w:r>
              <w:rPr>
                <w:rFonts w:ascii="Arial" w:cs="Arial" w:eastAsia="Arial" w:hAnsi="Arial"/>
                <w:sz w:val="18"/>
                <w:szCs w:val="18"/>
                <w:color w:val="auto"/>
              </w:rPr>
              <w:t>flow generation. Our 2019 capital program provided VCIs</w:t>
            </w:r>
            <w:r>
              <w:rPr>
                <w:rFonts w:ascii="Arial" w:cs="Arial" w:eastAsia="Arial" w:hAnsi="Arial"/>
                <w:sz w:val="15"/>
                <w:szCs w:val="15"/>
                <w:color w:val="auto"/>
              </w:rPr>
              <w:t>(1)</w:t>
            </w:r>
            <w:r>
              <w:rPr>
                <w:rFonts w:ascii="Arial" w:cs="Arial" w:eastAsia="Arial" w:hAnsi="Arial"/>
                <w:sz w:val="18"/>
                <w:szCs w:val="18"/>
                <w:color w:val="auto"/>
              </w:rPr>
              <w:t xml:space="preserve"> above our 1.3 threshold.</w:t>
            </w:r>
          </w:p>
        </w:tc>
        <w:tc>
          <w:tcPr>
            <w:tcW w:w="0" w:type="dxa"/>
            <w:vAlign w:val="bottom"/>
          </w:tcPr>
          <w:p>
            <w:pPr>
              <w:spacing w:after="0"/>
              <w:rPr>
                <w:sz w:val="1"/>
                <w:szCs w:val="1"/>
                <w:color w:val="auto"/>
              </w:rPr>
            </w:pPr>
          </w:p>
        </w:tc>
      </w:tr>
      <w:tr>
        <w:trPr>
          <w:trHeight w:val="261"/>
        </w:trPr>
        <w:tc>
          <w:tcPr>
            <w:tcW w:w="3180" w:type="dxa"/>
            <w:vAlign w:val="bottom"/>
            <w:shd w:val="clear" w:color="auto" w:fill="E6EFF7"/>
          </w:tcPr>
          <w:p>
            <w:pPr>
              <w:jc w:val="center"/>
              <w:spacing w:after="0"/>
              <w:rPr>
                <w:sz w:val="20"/>
                <w:szCs w:val="20"/>
                <w:color w:val="auto"/>
              </w:rPr>
            </w:pPr>
            <w:r>
              <w:rPr>
                <w:rFonts w:ascii="Arial" w:cs="Arial" w:eastAsia="Arial" w:hAnsi="Arial"/>
                <w:sz w:val="18"/>
                <w:szCs w:val="18"/>
                <w:b w:val="1"/>
                <w:bCs w:val="1"/>
                <w:color w:val="0081C6"/>
              </w:rPr>
              <w:t>Use our Value Creation Index</w:t>
            </w:r>
          </w:p>
        </w:tc>
        <w:tc>
          <w:tcPr>
            <w:tcW w:w="8080" w:type="dxa"/>
            <w:vAlign w:val="bottom"/>
            <w:gridSpan w:val="2"/>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Replaced over 111%</w:t>
            </w:r>
            <w:r>
              <w:rPr>
                <w:rFonts w:ascii="Arial" w:cs="Arial" w:eastAsia="Arial" w:hAnsi="Arial"/>
                <w:sz w:val="15"/>
                <w:szCs w:val="15"/>
                <w:color w:val="000000"/>
              </w:rPr>
              <w:t>(2)</w:t>
            </w:r>
            <w:r>
              <w:rPr>
                <w:rFonts w:ascii="Arial" w:cs="Arial" w:eastAsia="Arial" w:hAnsi="Arial"/>
                <w:sz w:val="18"/>
                <w:szCs w:val="18"/>
                <w:b w:val="1"/>
                <w:bCs w:val="1"/>
                <w:color w:val="0081C6"/>
              </w:rPr>
              <w:t xml:space="preserve"> </w:t>
            </w:r>
            <w:r>
              <w:rPr>
                <w:rFonts w:ascii="Arial" w:cs="Arial" w:eastAsia="Arial" w:hAnsi="Arial"/>
                <w:sz w:val="18"/>
                <w:szCs w:val="18"/>
                <w:color w:val="000000"/>
              </w:rPr>
              <w:t>of reserves with an organic finding and development (“F&amp;D”)</w:t>
            </w:r>
          </w:p>
        </w:tc>
        <w:tc>
          <w:tcPr>
            <w:tcW w:w="0" w:type="dxa"/>
            <w:vAlign w:val="bottom"/>
          </w:tcPr>
          <w:p>
            <w:pPr>
              <w:spacing w:after="0"/>
              <w:rPr>
                <w:sz w:val="1"/>
                <w:szCs w:val="1"/>
                <w:color w:val="auto"/>
              </w:rPr>
            </w:pPr>
          </w:p>
        </w:tc>
      </w:tr>
      <w:tr>
        <w:trPr>
          <w:trHeight w:val="216"/>
        </w:trPr>
        <w:tc>
          <w:tcPr>
            <w:tcW w:w="3180" w:type="dxa"/>
            <w:vAlign w:val="bottom"/>
            <w:shd w:val="clear" w:color="auto" w:fill="E6EFF7"/>
          </w:tcPr>
          <w:p>
            <w:pPr>
              <w:jc w:val="center"/>
              <w:spacing w:after="0"/>
              <w:rPr>
                <w:sz w:val="20"/>
                <w:szCs w:val="20"/>
                <w:color w:val="auto"/>
              </w:rPr>
            </w:pPr>
            <w:r>
              <w:rPr>
                <w:rFonts w:ascii="Arial" w:cs="Arial" w:eastAsia="Arial" w:hAnsi="Arial"/>
                <w:sz w:val="18"/>
                <w:szCs w:val="18"/>
                <w:b w:val="1"/>
                <w:bCs w:val="1"/>
                <w:color w:val="0081C6"/>
              </w:rPr>
              <w:t>(“VCI”)</w:t>
            </w:r>
            <w:r>
              <w:rPr>
                <w:rFonts w:ascii="Arial" w:cs="Arial" w:eastAsia="Arial" w:hAnsi="Arial"/>
                <w:sz w:val="15"/>
                <w:szCs w:val="15"/>
                <w:b w:val="1"/>
                <w:bCs w:val="1"/>
                <w:color w:val="0081C6"/>
              </w:rPr>
              <w:t>(1)</w:t>
            </w:r>
            <w:r>
              <w:rPr>
                <w:rFonts w:ascii="Arial" w:cs="Arial" w:eastAsia="Arial" w:hAnsi="Arial"/>
                <w:sz w:val="18"/>
                <w:szCs w:val="18"/>
                <w:b w:val="1"/>
                <w:bCs w:val="1"/>
                <w:color w:val="0081C6"/>
              </w:rPr>
              <w:t xml:space="preserve"> metric to maintain</w:t>
            </w:r>
          </w:p>
        </w:tc>
        <w:tc>
          <w:tcPr>
            <w:tcW w:w="8080" w:type="dxa"/>
            <w:vAlign w:val="bottom"/>
            <w:gridSpan w:val="2"/>
          </w:tcPr>
          <w:p>
            <w:pPr>
              <w:ind w:left="800"/>
              <w:spacing w:after="0"/>
              <w:rPr>
                <w:sz w:val="20"/>
                <w:szCs w:val="20"/>
                <w:color w:val="auto"/>
              </w:rPr>
            </w:pPr>
            <w:r>
              <w:rPr>
                <w:rFonts w:ascii="Arial" w:cs="Arial" w:eastAsia="Arial" w:hAnsi="Arial"/>
                <w:sz w:val="18"/>
                <w:szCs w:val="18"/>
                <w:color w:val="auto"/>
              </w:rPr>
              <w:t>cost of $8.75</w:t>
            </w:r>
            <w:r>
              <w:rPr>
                <w:rFonts w:ascii="Arial" w:cs="Arial" w:eastAsia="Arial" w:hAnsi="Arial"/>
                <w:sz w:val="15"/>
                <w:szCs w:val="15"/>
                <w:color w:val="auto"/>
              </w:rPr>
              <w:t>(2)</w:t>
            </w:r>
            <w:r>
              <w:rPr>
                <w:rFonts w:ascii="Arial" w:cs="Arial" w:eastAsia="Arial" w:hAnsi="Arial"/>
                <w:sz w:val="18"/>
                <w:szCs w:val="18"/>
                <w:color w:val="auto"/>
              </w:rPr>
              <w:t xml:space="preserve"> per BOE.</w:t>
            </w:r>
          </w:p>
        </w:tc>
        <w:tc>
          <w:tcPr>
            <w:tcW w:w="0" w:type="dxa"/>
            <w:vAlign w:val="bottom"/>
          </w:tcPr>
          <w:p>
            <w:pPr>
              <w:spacing w:after="0"/>
              <w:rPr>
                <w:sz w:val="1"/>
                <w:szCs w:val="1"/>
                <w:color w:val="auto"/>
              </w:rPr>
            </w:pPr>
          </w:p>
        </w:tc>
      </w:tr>
      <w:tr>
        <w:trPr>
          <w:trHeight w:val="216"/>
        </w:trPr>
        <w:tc>
          <w:tcPr>
            <w:tcW w:w="3180" w:type="dxa"/>
            <w:vAlign w:val="bottom"/>
            <w:shd w:val="clear" w:color="auto" w:fill="E6EFF7"/>
          </w:tcPr>
          <w:p>
            <w:pPr>
              <w:jc w:val="center"/>
              <w:spacing w:after="0"/>
              <w:rPr>
                <w:sz w:val="20"/>
                <w:szCs w:val="20"/>
                <w:color w:val="auto"/>
              </w:rPr>
            </w:pPr>
            <w:r>
              <w:rPr>
                <w:rFonts w:ascii="Arial" w:cs="Arial" w:eastAsia="Arial" w:hAnsi="Arial"/>
                <w:sz w:val="18"/>
                <w:szCs w:val="18"/>
                <w:b w:val="1"/>
                <w:bCs w:val="1"/>
                <w:color w:val="0081C6"/>
              </w:rPr>
              <w:t>disciplined, consistent and</w:t>
            </w:r>
          </w:p>
        </w:tc>
        <w:tc>
          <w:tcPr>
            <w:tcW w:w="80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Following our acquisition of the remaining interests in our flagship Elk Hills asset in</w:t>
            </w:r>
          </w:p>
        </w:tc>
        <w:tc>
          <w:tcPr>
            <w:tcW w:w="0" w:type="dxa"/>
            <w:vAlign w:val="bottom"/>
          </w:tcPr>
          <w:p>
            <w:pPr>
              <w:spacing w:after="0"/>
              <w:rPr>
                <w:sz w:val="1"/>
                <w:szCs w:val="1"/>
                <w:color w:val="auto"/>
              </w:rPr>
            </w:pPr>
          </w:p>
        </w:tc>
      </w:tr>
      <w:tr>
        <w:trPr>
          <w:trHeight w:val="117"/>
        </w:trPr>
        <w:tc>
          <w:tcPr>
            <w:tcW w:w="3180" w:type="dxa"/>
            <w:vAlign w:val="bottom"/>
            <w:vMerge w:val="restart"/>
            <w:shd w:val="clear" w:color="auto" w:fill="E6EFF7"/>
          </w:tcPr>
          <w:p>
            <w:pPr>
              <w:jc w:val="center"/>
              <w:spacing w:after="0"/>
              <w:rPr>
                <w:sz w:val="20"/>
                <w:szCs w:val="20"/>
                <w:color w:val="auto"/>
              </w:rPr>
            </w:pPr>
            <w:r>
              <w:rPr>
                <w:rFonts w:ascii="Arial" w:cs="Arial" w:eastAsia="Arial" w:hAnsi="Arial"/>
                <w:sz w:val="18"/>
                <w:szCs w:val="18"/>
                <w:b w:val="1"/>
                <w:bCs w:val="1"/>
                <w:color w:val="0081C6"/>
              </w:rPr>
              <w:t>effective capital allocation</w:t>
            </w:r>
          </w:p>
        </w:tc>
        <w:tc>
          <w:tcPr>
            <w:tcW w:w="8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80" w:type="dxa"/>
            <w:vAlign w:val="bottom"/>
            <w:vMerge w:val="continue"/>
            <w:shd w:val="clear" w:color="auto" w:fill="E6EFF7"/>
          </w:tcPr>
          <w:p>
            <w:pPr>
              <w:spacing w:after="0"/>
              <w:rPr>
                <w:sz w:val="10"/>
                <w:szCs w:val="10"/>
                <w:color w:val="auto"/>
              </w:rPr>
            </w:pPr>
          </w:p>
        </w:tc>
        <w:tc>
          <w:tcPr>
            <w:tcW w:w="8080" w:type="dxa"/>
            <w:vAlign w:val="bottom"/>
            <w:gridSpan w:val="2"/>
            <w:vMerge w:val="restart"/>
          </w:tcPr>
          <w:p>
            <w:pPr>
              <w:ind w:left="800"/>
              <w:spacing w:after="0" w:line="202" w:lineRule="exact"/>
              <w:rPr>
                <w:sz w:val="20"/>
                <w:szCs w:val="20"/>
                <w:color w:val="auto"/>
              </w:rPr>
            </w:pPr>
            <w:r>
              <w:rPr>
                <w:rFonts w:ascii="Arial" w:cs="Arial" w:eastAsia="Arial" w:hAnsi="Arial"/>
                <w:sz w:val="18"/>
                <w:szCs w:val="18"/>
                <w:color w:val="auto"/>
              </w:rPr>
              <w:t>2018, CRC entered into a development JV with Alpine Energy Capital, LLC (“Alpine”)</w:t>
            </w:r>
          </w:p>
        </w:tc>
        <w:tc>
          <w:tcPr>
            <w:tcW w:w="0" w:type="dxa"/>
            <w:vAlign w:val="bottom"/>
          </w:tcPr>
          <w:p>
            <w:pPr>
              <w:spacing w:after="0"/>
              <w:rPr>
                <w:sz w:val="1"/>
                <w:szCs w:val="1"/>
                <w:color w:val="auto"/>
              </w:rPr>
            </w:pPr>
          </w:p>
        </w:tc>
      </w:tr>
      <w:tr>
        <w:trPr>
          <w:trHeight w:val="80"/>
        </w:trPr>
        <w:tc>
          <w:tcPr>
            <w:tcW w:w="3180" w:type="dxa"/>
            <w:vAlign w:val="bottom"/>
            <w:shd w:val="clear" w:color="auto" w:fill="E6EFF7"/>
          </w:tcPr>
          <w:p>
            <w:pPr>
              <w:spacing w:after="0"/>
              <w:rPr>
                <w:sz w:val="6"/>
                <w:szCs w:val="6"/>
                <w:color w:val="auto"/>
              </w:rPr>
            </w:pPr>
          </w:p>
        </w:tc>
        <w:tc>
          <w:tcPr>
            <w:tcW w:w="8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E6EFF7"/>
          </w:tcPr>
          <w:p>
            <w:pPr>
              <w:spacing w:after="0"/>
              <w:rPr>
                <w:sz w:val="17"/>
                <w:szCs w:val="17"/>
                <w:color w:val="auto"/>
              </w:rPr>
            </w:pPr>
          </w:p>
        </w:tc>
        <w:tc>
          <w:tcPr>
            <w:tcW w:w="80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to bring reserves and cash flow forward which allowed us to strategically manage our</w:t>
            </w:r>
          </w:p>
        </w:tc>
        <w:tc>
          <w:tcPr>
            <w:tcW w:w="0" w:type="dxa"/>
            <w:vAlign w:val="bottom"/>
          </w:tcPr>
          <w:p>
            <w:pPr>
              <w:spacing w:after="0"/>
              <w:rPr>
                <w:sz w:val="1"/>
                <w:szCs w:val="1"/>
                <w:color w:val="auto"/>
              </w:rPr>
            </w:pPr>
          </w:p>
        </w:tc>
      </w:tr>
      <w:tr>
        <w:trPr>
          <w:trHeight w:val="200"/>
        </w:trPr>
        <w:tc>
          <w:tcPr>
            <w:tcW w:w="3180" w:type="dxa"/>
            <w:vAlign w:val="bottom"/>
            <w:shd w:val="clear" w:color="auto" w:fill="E6EFF7"/>
          </w:tcPr>
          <w:p>
            <w:pPr>
              <w:spacing w:after="0"/>
              <w:rPr>
                <w:sz w:val="17"/>
                <w:szCs w:val="17"/>
                <w:color w:val="auto"/>
              </w:rPr>
            </w:pPr>
          </w:p>
        </w:tc>
        <w:tc>
          <w:tcPr>
            <w:tcW w:w="8080" w:type="dxa"/>
            <w:vAlign w:val="bottom"/>
            <w:gridSpan w:val="2"/>
          </w:tcPr>
          <w:p>
            <w:pPr>
              <w:ind w:left="800"/>
              <w:spacing w:after="0" w:line="200" w:lineRule="exact"/>
              <w:rPr>
                <w:sz w:val="20"/>
                <w:szCs w:val="20"/>
                <w:color w:val="auto"/>
              </w:rPr>
            </w:pPr>
            <w:r>
              <w:rPr>
                <w:rFonts w:ascii="Arial" w:cs="Arial" w:eastAsia="Arial" w:hAnsi="Arial"/>
                <w:sz w:val="18"/>
                <w:szCs w:val="18"/>
                <w:color w:val="auto"/>
              </w:rPr>
              <w:t>internal capital allocation while supporting the delivery of $269 million of free cash flow,</w:t>
            </w:r>
          </w:p>
        </w:tc>
        <w:tc>
          <w:tcPr>
            <w:tcW w:w="0" w:type="dxa"/>
            <w:vAlign w:val="bottom"/>
          </w:tcPr>
          <w:p>
            <w:pPr>
              <w:spacing w:after="0"/>
              <w:rPr>
                <w:sz w:val="1"/>
                <w:szCs w:val="1"/>
                <w:color w:val="auto"/>
              </w:rPr>
            </w:pPr>
          </w:p>
        </w:tc>
      </w:tr>
      <w:tr>
        <w:trPr>
          <w:trHeight w:val="219"/>
        </w:trPr>
        <w:tc>
          <w:tcPr>
            <w:tcW w:w="3180" w:type="dxa"/>
            <w:vAlign w:val="bottom"/>
            <w:shd w:val="clear" w:color="auto" w:fill="E6EFF7"/>
          </w:tcPr>
          <w:p>
            <w:pPr>
              <w:spacing w:after="0"/>
              <w:rPr>
                <w:sz w:val="19"/>
                <w:szCs w:val="19"/>
                <w:color w:val="auto"/>
              </w:rPr>
            </w:pPr>
          </w:p>
        </w:tc>
        <w:tc>
          <w:tcPr>
            <w:tcW w:w="8080" w:type="dxa"/>
            <w:vAlign w:val="bottom"/>
            <w:gridSpan w:val="2"/>
          </w:tcPr>
          <w:p>
            <w:pPr>
              <w:ind w:left="800"/>
              <w:spacing w:after="0"/>
              <w:rPr>
                <w:sz w:val="20"/>
                <w:szCs w:val="20"/>
                <w:color w:val="auto"/>
              </w:rPr>
            </w:pPr>
            <w:r>
              <w:rPr>
                <w:rFonts w:ascii="Arial" w:cs="Arial" w:eastAsia="Arial" w:hAnsi="Arial"/>
                <w:sz w:val="18"/>
                <w:szCs w:val="18"/>
                <w:color w:val="auto"/>
              </w:rPr>
              <w:t>after internally funded capital.</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5"/>
        </w:trPr>
        <w:tc>
          <w:tcPr>
            <w:tcW w:w="3180" w:type="dxa"/>
            <w:vAlign w:val="bottom"/>
            <w:tcBorders>
              <w:bottom w:val="single" w:sz="8" w:color="949599"/>
            </w:tcBorders>
            <w:shd w:val="clear" w:color="auto" w:fill="E6EFF7"/>
          </w:tcPr>
          <w:p>
            <w:pPr>
              <w:spacing w:after="0"/>
              <w:rPr>
                <w:sz w:val="15"/>
                <w:szCs w:val="15"/>
                <w:color w:val="auto"/>
              </w:rPr>
            </w:pPr>
          </w:p>
        </w:tc>
        <w:tc>
          <w:tcPr>
            <w:tcW w:w="8060" w:type="dxa"/>
            <w:vAlign w:val="bottom"/>
            <w:tcBorders>
              <w:bottom w:val="single" w:sz="8" w:color="949599"/>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180" w:type="dxa"/>
            <w:vAlign w:val="bottom"/>
            <w:shd w:val="clear" w:color="auto" w:fill="E6EFF7"/>
          </w:tcPr>
          <w:p>
            <w:pPr>
              <w:spacing w:after="0"/>
              <w:rPr>
                <w:sz w:val="24"/>
                <w:szCs w:val="24"/>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Annual adjusted EBITDAX margin</w:t>
            </w:r>
            <w:r>
              <w:rPr>
                <w:rFonts w:ascii="Arial" w:cs="Arial" w:eastAsia="Arial" w:hAnsi="Arial"/>
                <w:sz w:val="15"/>
                <w:szCs w:val="15"/>
                <w:color w:val="000000"/>
              </w:rPr>
              <w:t>(4)</w:t>
            </w:r>
            <w:r>
              <w:rPr>
                <w:rFonts w:ascii="Arial" w:cs="Arial" w:eastAsia="Arial" w:hAnsi="Arial"/>
                <w:sz w:val="18"/>
                <w:szCs w:val="18"/>
                <w:b w:val="1"/>
                <w:bCs w:val="1"/>
                <w:color w:val="0081C6"/>
              </w:rPr>
              <w:t xml:space="preserve"> </w:t>
            </w:r>
            <w:r>
              <w:rPr>
                <w:rFonts w:ascii="Arial" w:cs="Arial" w:eastAsia="Arial" w:hAnsi="Arial"/>
                <w:sz w:val="18"/>
                <w:szCs w:val="18"/>
                <w:color w:val="000000"/>
              </w:rPr>
              <w:t>increased for the third year in a row while production</w:t>
            </w:r>
          </w:p>
        </w:tc>
        <w:tc>
          <w:tcPr>
            <w:tcW w:w="0" w:type="dxa"/>
            <w:vAlign w:val="bottom"/>
          </w:tcPr>
          <w:p>
            <w:pPr>
              <w:spacing w:after="0"/>
              <w:rPr>
                <w:sz w:val="1"/>
                <w:szCs w:val="1"/>
                <w:color w:val="auto"/>
              </w:rPr>
            </w:pPr>
          </w:p>
        </w:tc>
      </w:tr>
      <w:tr>
        <w:trPr>
          <w:trHeight w:val="217"/>
        </w:trPr>
        <w:tc>
          <w:tcPr>
            <w:tcW w:w="3180" w:type="dxa"/>
            <w:vAlign w:val="bottom"/>
            <w:vMerge w:val="restart"/>
            <w:shd w:val="clear" w:color="auto" w:fill="E6EFF7"/>
          </w:tcPr>
          <w:p>
            <w:pPr>
              <w:jc w:val="center"/>
              <w:spacing w:after="0"/>
              <w:rPr>
                <w:sz w:val="20"/>
                <w:szCs w:val="20"/>
                <w:color w:val="auto"/>
              </w:rPr>
            </w:pPr>
            <w:r>
              <w:rPr>
                <w:rFonts w:ascii="Arial" w:cs="Arial" w:eastAsia="Arial" w:hAnsi="Arial"/>
                <w:sz w:val="18"/>
                <w:szCs w:val="18"/>
                <w:b w:val="1"/>
                <w:bCs w:val="1"/>
                <w:color w:val="0081C6"/>
              </w:rPr>
              <w:t>Optimize operations to further</w:t>
            </w:r>
          </w:p>
        </w:tc>
        <w:tc>
          <w:tcPr>
            <w:tcW w:w="8080" w:type="dxa"/>
            <w:vAlign w:val="bottom"/>
            <w:gridSpan w:val="2"/>
          </w:tcPr>
          <w:p>
            <w:pPr>
              <w:ind w:left="800"/>
              <w:spacing w:after="0"/>
              <w:rPr>
                <w:sz w:val="20"/>
                <w:szCs w:val="20"/>
                <w:color w:val="auto"/>
              </w:rPr>
            </w:pPr>
            <w:r>
              <w:rPr>
                <w:rFonts w:ascii="Arial" w:cs="Arial" w:eastAsia="Arial" w:hAnsi="Arial"/>
                <w:sz w:val="18"/>
                <w:szCs w:val="18"/>
                <w:color w:val="auto"/>
              </w:rPr>
              <w:t>costs decreased from 2018.</w:t>
            </w:r>
          </w:p>
        </w:tc>
        <w:tc>
          <w:tcPr>
            <w:tcW w:w="0" w:type="dxa"/>
            <w:vAlign w:val="bottom"/>
          </w:tcPr>
          <w:p>
            <w:pPr>
              <w:spacing w:after="0"/>
              <w:rPr>
                <w:sz w:val="1"/>
                <w:szCs w:val="1"/>
                <w:color w:val="auto"/>
              </w:rPr>
            </w:pPr>
          </w:p>
        </w:tc>
      </w:tr>
      <w:tr>
        <w:trPr>
          <w:trHeight w:val="153"/>
        </w:trPr>
        <w:tc>
          <w:tcPr>
            <w:tcW w:w="3180" w:type="dxa"/>
            <w:vAlign w:val="bottom"/>
            <w:vMerge w:val="continue"/>
            <w:shd w:val="clear" w:color="auto" w:fill="E6EFF7"/>
          </w:tcPr>
          <w:p>
            <w:pPr>
              <w:spacing w:after="0"/>
              <w:rPr>
                <w:sz w:val="13"/>
                <w:szCs w:val="13"/>
                <w:color w:val="auto"/>
              </w:rPr>
            </w:pPr>
          </w:p>
        </w:tc>
        <w:tc>
          <w:tcPr>
            <w:tcW w:w="80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Transitioned to a new organizational structure lowering overhead costs and reducing</w:t>
            </w:r>
          </w:p>
        </w:tc>
        <w:tc>
          <w:tcPr>
            <w:tcW w:w="0" w:type="dxa"/>
            <w:vAlign w:val="bottom"/>
          </w:tcPr>
          <w:p>
            <w:pPr>
              <w:spacing w:after="0"/>
              <w:rPr>
                <w:sz w:val="1"/>
                <w:szCs w:val="1"/>
                <w:color w:val="auto"/>
              </w:rPr>
            </w:pPr>
          </w:p>
        </w:tc>
      </w:tr>
      <w:tr>
        <w:trPr>
          <w:trHeight w:val="143"/>
        </w:trPr>
        <w:tc>
          <w:tcPr>
            <w:tcW w:w="3180" w:type="dxa"/>
            <w:vAlign w:val="bottom"/>
            <w:vMerge w:val="restart"/>
            <w:shd w:val="clear" w:color="auto" w:fill="E6EFF7"/>
          </w:tcPr>
          <w:p>
            <w:pPr>
              <w:jc w:val="center"/>
              <w:spacing w:after="0"/>
              <w:rPr>
                <w:sz w:val="20"/>
                <w:szCs w:val="20"/>
                <w:color w:val="auto"/>
              </w:rPr>
            </w:pPr>
            <w:r>
              <w:rPr>
                <w:rFonts w:ascii="Arial" w:cs="Arial" w:eastAsia="Arial" w:hAnsi="Arial"/>
                <w:sz w:val="18"/>
                <w:szCs w:val="18"/>
                <w:b w:val="1"/>
                <w:bCs w:val="1"/>
                <w:color w:val="0081C6"/>
              </w:rPr>
              <w:t>enhance margins through</w:t>
            </w:r>
          </w:p>
        </w:tc>
        <w:tc>
          <w:tcPr>
            <w:tcW w:w="8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180" w:type="dxa"/>
            <w:vAlign w:val="bottom"/>
            <w:vMerge w:val="continue"/>
            <w:shd w:val="clear" w:color="auto" w:fill="E6EFF7"/>
          </w:tcPr>
          <w:p>
            <w:pPr>
              <w:spacing w:after="0"/>
              <w:rPr>
                <w:sz w:val="6"/>
                <w:szCs w:val="6"/>
                <w:color w:val="auto"/>
              </w:rPr>
            </w:pPr>
          </w:p>
        </w:tc>
        <w:tc>
          <w:tcPr>
            <w:tcW w:w="8080" w:type="dxa"/>
            <w:vAlign w:val="bottom"/>
            <w:gridSpan w:val="2"/>
            <w:vMerge w:val="restart"/>
          </w:tcPr>
          <w:p>
            <w:pPr>
              <w:ind w:left="800"/>
              <w:spacing w:after="0"/>
              <w:rPr>
                <w:sz w:val="20"/>
                <w:szCs w:val="20"/>
                <w:color w:val="auto"/>
              </w:rPr>
            </w:pPr>
            <w:r>
              <w:rPr>
                <w:rFonts w:ascii="Arial" w:cs="Arial" w:eastAsia="Arial" w:hAnsi="Arial"/>
                <w:sz w:val="18"/>
                <w:szCs w:val="18"/>
                <w:color w:val="auto"/>
              </w:rPr>
              <w:t>headcount, leading to lower cash costs and improved operating margins.</w:t>
            </w:r>
          </w:p>
        </w:tc>
        <w:tc>
          <w:tcPr>
            <w:tcW w:w="0" w:type="dxa"/>
            <w:vAlign w:val="bottom"/>
          </w:tcPr>
          <w:p>
            <w:pPr>
              <w:spacing w:after="0"/>
              <w:rPr>
                <w:sz w:val="1"/>
                <w:szCs w:val="1"/>
                <w:color w:val="auto"/>
              </w:rPr>
            </w:pPr>
          </w:p>
        </w:tc>
      </w:tr>
      <w:tr>
        <w:trPr>
          <w:trHeight w:val="144"/>
        </w:trPr>
        <w:tc>
          <w:tcPr>
            <w:tcW w:w="3180" w:type="dxa"/>
            <w:vAlign w:val="bottom"/>
            <w:vMerge w:val="restart"/>
            <w:shd w:val="clear" w:color="auto" w:fill="E6EFF7"/>
          </w:tcPr>
          <w:p>
            <w:pPr>
              <w:jc w:val="center"/>
              <w:spacing w:after="0"/>
              <w:rPr>
                <w:sz w:val="20"/>
                <w:szCs w:val="20"/>
                <w:color w:val="auto"/>
              </w:rPr>
            </w:pPr>
            <w:r>
              <w:rPr>
                <w:rFonts w:ascii="Arial" w:cs="Arial" w:eastAsia="Arial" w:hAnsi="Arial"/>
                <w:sz w:val="18"/>
                <w:szCs w:val="18"/>
                <w:b w:val="1"/>
                <w:bCs w:val="1"/>
                <w:color w:val="0081C6"/>
              </w:rPr>
              <w:t>efficiencies, technology and</w:t>
            </w:r>
          </w:p>
        </w:tc>
        <w:tc>
          <w:tcPr>
            <w:tcW w:w="8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180" w:type="dxa"/>
            <w:vAlign w:val="bottom"/>
            <w:vMerge w:val="continue"/>
            <w:shd w:val="clear" w:color="auto" w:fill="E6EFF7"/>
          </w:tcPr>
          <w:p>
            <w:pPr>
              <w:spacing w:after="0"/>
              <w:rPr>
                <w:sz w:val="6"/>
                <w:szCs w:val="6"/>
                <w:color w:val="auto"/>
              </w:rPr>
            </w:pPr>
          </w:p>
        </w:tc>
        <w:tc>
          <w:tcPr>
            <w:tcW w:w="80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E6EFF7"/>
          </w:tcPr>
          <w:p>
            <w:pPr>
              <w:jc w:val="center"/>
              <w:spacing w:after="0"/>
              <w:rPr>
                <w:sz w:val="20"/>
                <w:szCs w:val="20"/>
                <w:color w:val="auto"/>
              </w:rPr>
            </w:pPr>
            <w:r>
              <w:rPr>
                <w:rFonts w:ascii="Arial" w:cs="Arial" w:eastAsia="Arial" w:hAnsi="Arial"/>
                <w:sz w:val="18"/>
                <w:szCs w:val="18"/>
                <w:b w:val="1"/>
                <w:bCs w:val="1"/>
                <w:color w:val="0081C6"/>
              </w:rPr>
              <w:t>organizational synergies</w:t>
            </w:r>
          </w:p>
        </w:tc>
        <w:tc>
          <w:tcPr>
            <w:tcW w:w="8080" w:type="dxa"/>
            <w:vAlign w:val="bottom"/>
            <w:gridSpan w:val="2"/>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Consolidated Bakersfield area employees into CRC Plaza in line with our “One CRC”</w:t>
            </w:r>
          </w:p>
        </w:tc>
        <w:tc>
          <w:tcPr>
            <w:tcW w:w="0" w:type="dxa"/>
            <w:vAlign w:val="bottom"/>
          </w:tcPr>
          <w:p>
            <w:pPr>
              <w:spacing w:after="0"/>
              <w:rPr>
                <w:sz w:val="1"/>
                <w:szCs w:val="1"/>
                <w:color w:val="auto"/>
              </w:rPr>
            </w:pPr>
          </w:p>
        </w:tc>
      </w:tr>
      <w:tr>
        <w:trPr>
          <w:trHeight w:val="203"/>
        </w:trPr>
        <w:tc>
          <w:tcPr>
            <w:tcW w:w="3180" w:type="dxa"/>
            <w:vAlign w:val="bottom"/>
            <w:shd w:val="clear" w:color="auto" w:fill="E6EFF7"/>
          </w:tcPr>
          <w:p>
            <w:pPr>
              <w:spacing w:after="0"/>
              <w:rPr>
                <w:sz w:val="17"/>
                <w:szCs w:val="17"/>
                <w:color w:val="auto"/>
              </w:rPr>
            </w:pPr>
          </w:p>
        </w:tc>
        <w:tc>
          <w:tcPr>
            <w:tcW w:w="80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approach, increasing employee communication and cross functional synergies while</w:t>
            </w:r>
          </w:p>
        </w:tc>
        <w:tc>
          <w:tcPr>
            <w:tcW w:w="0" w:type="dxa"/>
            <w:vAlign w:val="bottom"/>
          </w:tcPr>
          <w:p>
            <w:pPr>
              <w:spacing w:after="0"/>
              <w:rPr>
                <w:sz w:val="1"/>
                <w:szCs w:val="1"/>
                <w:color w:val="auto"/>
              </w:rPr>
            </w:pPr>
          </w:p>
        </w:tc>
      </w:tr>
      <w:tr>
        <w:trPr>
          <w:trHeight w:val="217"/>
        </w:trPr>
        <w:tc>
          <w:tcPr>
            <w:tcW w:w="3180" w:type="dxa"/>
            <w:vAlign w:val="bottom"/>
            <w:shd w:val="clear" w:color="auto" w:fill="E6EFF7"/>
          </w:tcPr>
          <w:p>
            <w:pPr>
              <w:spacing w:after="0"/>
              <w:rPr>
                <w:sz w:val="18"/>
                <w:szCs w:val="18"/>
                <w:color w:val="auto"/>
              </w:rPr>
            </w:pPr>
          </w:p>
        </w:tc>
        <w:tc>
          <w:tcPr>
            <w:tcW w:w="8080" w:type="dxa"/>
            <w:vAlign w:val="bottom"/>
            <w:gridSpan w:val="2"/>
          </w:tcPr>
          <w:p>
            <w:pPr>
              <w:ind w:left="800"/>
              <w:spacing w:after="0"/>
              <w:rPr>
                <w:sz w:val="20"/>
                <w:szCs w:val="20"/>
                <w:color w:val="auto"/>
              </w:rPr>
            </w:pPr>
            <w:r>
              <w:rPr>
                <w:rFonts w:ascii="Arial" w:cs="Arial" w:eastAsia="Arial" w:hAnsi="Arial"/>
                <w:sz w:val="18"/>
                <w:szCs w:val="18"/>
                <w:color w:val="auto"/>
              </w:rPr>
              <w:t>lowering our overall lease and maintenance costs.</w:t>
            </w:r>
          </w:p>
        </w:tc>
        <w:tc>
          <w:tcPr>
            <w:tcW w:w="0" w:type="dxa"/>
            <w:vAlign w:val="bottom"/>
          </w:tcPr>
          <w:p>
            <w:pPr>
              <w:spacing w:after="0"/>
              <w:rPr>
                <w:sz w:val="1"/>
                <w:szCs w:val="1"/>
                <w:color w:val="auto"/>
              </w:rPr>
            </w:pPr>
          </w:p>
        </w:tc>
      </w:tr>
      <w:tr>
        <w:trPr>
          <w:trHeight w:val="175"/>
        </w:trPr>
        <w:tc>
          <w:tcPr>
            <w:tcW w:w="3180" w:type="dxa"/>
            <w:vAlign w:val="bottom"/>
            <w:tcBorders>
              <w:bottom w:val="single" w:sz="8" w:color="949599"/>
            </w:tcBorders>
            <w:shd w:val="clear" w:color="auto" w:fill="E6EFF7"/>
          </w:tcPr>
          <w:p>
            <w:pPr>
              <w:spacing w:after="0"/>
              <w:rPr>
                <w:sz w:val="15"/>
                <w:szCs w:val="15"/>
                <w:color w:val="auto"/>
              </w:rPr>
            </w:pPr>
          </w:p>
        </w:tc>
        <w:tc>
          <w:tcPr>
            <w:tcW w:w="8060" w:type="dxa"/>
            <w:vAlign w:val="bottom"/>
            <w:tcBorders>
              <w:bottom w:val="single" w:sz="8" w:color="949599"/>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3180" w:type="dxa"/>
            <w:vAlign w:val="bottom"/>
            <w:shd w:val="clear" w:color="auto" w:fill="E6EFF7"/>
          </w:tcPr>
          <w:p>
            <w:pPr>
              <w:spacing w:after="0"/>
              <w:rPr>
                <w:sz w:val="24"/>
                <w:szCs w:val="24"/>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Reduced leverage ratio</w:t>
            </w:r>
            <w:r>
              <w:rPr>
                <w:rFonts w:ascii="Arial" w:cs="Arial" w:eastAsia="Arial" w:hAnsi="Arial"/>
                <w:sz w:val="15"/>
                <w:szCs w:val="15"/>
                <w:color w:val="000000"/>
              </w:rPr>
              <w:t>(5)</w:t>
            </w:r>
            <w:r>
              <w:rPr>
                <w:rFonts w:ascii="Arial" w:cs="Arial" w:eastAsia="Arial" w:hAnsi="Arial"/>
                <w:sz w:val="18"/>
                <w:szCs w:val="18"/>
                <w:b w:val="1"/>
                <w:bCs w:val="1"/>
                <w:color w:val="0081C6"/>
              </w:rPr>
              <w:t xml:space="preserve"> </w:t>
            </w:r>
            <w:r>
              <w:rPr>
                <w:rFonts w:ascii="Arial" w:cs="Arial" w:eastAsia="Arial" w:hAnsi="Arial"/>
                <w:sz w:val="18"/>
                <w:szCs w:val="18"/>
                <w:color w:val="000000"/>
              </w:rPr>
              <w:t>from 4.7x at year-end 2018 to 4.3x at year-end 2019.</w:t>
            </w:r>
          </w:p>
        </w:tc>
        <w:tc>
          <w:tcPr>
            <w:tcW w:w="0" w:type="dxa"/>
            <w:vAlign w:val="bottom"/>
          </w:tcPr>
          <w:p>
            <w:pPr>
              <w:spacing w:after="0"/>
              <w:rPr>
                <w:sz w:val="1"/>
                <w:szCs w:val="1"/>
                <w:color w:val="auto"/>
              </w:rPr>
            </w:pPr>
          </w:p>
        </w:tc>
      </w:tr>
      <w:tr>
        <w:trPr>
          <w:trHeight w:val="296"/>
        </w:trPr>
        <w:tc>
          <w:tcPr>
            <w:tcW w:w="3180" w:type="dxa"/>
            <w:vAlign w:val="bottom"/>
            <w:shd w:val="clear" w:color="auto" w:fill="E6EFF7"/>
          </w:tcPr>
          <w:p>
            <w:pPr>
              <w:spacing w:after="0"/>
              <w:rPr>
                <w:sz w:val="24"/>
                <w:szCs w:val="24"/>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Opportunistically repurchased $252 million in face value of Second Lien debt in 2019,</w:t>
            </w:r>
          </w:p>
        </w:tc>
        <w:tc>
          <w:tcPr>
            <w:tcW w:w="0" w:type="dxa"/>
            <w:vAlign w:val="bottom"/>
          </w:tcPr>
          <w:p>
            <w:pPr>
              <w:spacing w:after="0"/>
              <w:rPr>
                <w:sz w:val="1"/>
                <w:szCs w:val="1"/>
                <w:color w:val="auto"/>
              </w:rPr>
            </w:pPr>
          </w:p>
        </w:tc>
      </w:tr>
      <w:tr>
        <w:trPr>
          <w:trHeight w:val="203"/>
        </w:trPr>
        <w:tc>
          <w:tcPr>
            <w:tcW w:w="3180" w:type="dxa"/>
            <w:vAlign w:val="bottom"/>
            <w:shd w:val="clear" w:color="auto" w:fill="E6EFF7"/>
          </w:tcPr>
          <w:p>
            <w:pPr>
              <w:spacing w:after="0"/>
              <w:rPr>
                <w:sz w:val="17"/>
                <w:szCs w:val="17"/>
                <w:color w:val="auto"/>
              </w:rPr>
            </w:pPr>
          </w:p>
        </w:tc>
        <w:tc>
          <w:tcPr>
            <w:tcW w:w="80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at an average discount of 38 percent, bringing total Second Lien debt repurchases to</w:t>
            </w:r>
          </w:p>
        </w:tc>
        <w:tc>
          <w:tcPr>
            <w:tcW w:w="0" w:type="dxa"/>
            <w:vAlign w:val="bottom"/>
          </w:tcPr>
          <w:p>
            <w:pPr>
              <w:spacing w:after="0"/>
              <w:rPr>
                <w:sz w:val="1"/>
                <w:szCs w:val="1"/>
                <w:color w:val="auto"/>
              </w:rPr>
            </w:pPr>
          </w:p>
        </w:tc>
      </w:tr>
      <w:tr>
        <w:trPr>
          <w:trHeight w:val="217"/>
        </w:trPr>
        <w:tc>
          <w:tcPr>
            <w:tcW w:w="3180" w:type="dxa"/>
            <w:vAlign w:val="bottom"/>
            <w:vMerge w:val="restart"/>
            <w:shd w:val="clear" w:color="auto" w:fill="E6EFF7"/>
          </w:tcPr>
          <w:p>
            <w:pPr>
              <w:jc w:val="center"/>
              <w:spacing w:after="0"/>
              <w:rPr>
                <w:sz w:val="20"/>
                <w:szCs w:val="20"/>
                <w:color w:val="auto"/>
              </w:rPr>
            </w:pPr>
            <w:r>
              <w:rPr>
                <w:rFonts w:ascii="Arial" w:cs="Arial" w:eastAsia="Arial" w:hAnsi="Arial"/>
                <w:sz w:val="18"/>
                <w:szCs w:val="18"/>
                <w:b w:val="1"/>
                <w:bCs w:val="1"/>
                <w:color w:val="0081C6"/>
              </w:rPr>
              <w:t>Strengthen our balance sheet</w:t>
            </w:r>
          </w:p>
        </w:tc>
        <w:tc>
          <w:tcPr>
            <w:tcW w:w="8080" w:type="dxa"/>
            <w:vAlign w:val="bottom"/>
            <w:gridSpan w:val="2"/>
          </w:tcPr>
          <w:p>
            <w:pPr>
              <w:ind w:left="800"/>
              <w:spacing w:after="0"/>
              <w:rPr>
                <w:sz w:val="20"/>
                <w:szCs w:val="20"/>
                <w:color w:val="auto"/>
              </w:rPr>
            </w:pPr>
            <w:r>
              <w:rPr>
                <w:rFonts w:ascii="Arial" w:cs="Arial" w:eastAsia="Arial" w:hAnsi="Arial"/>
                <w:sz w:val="18"/>
                <w:szCs w:val="18"/>
                <w:color w:val="auto"/>
              </w:rPr>
              <w:t>approximately $435 million of face value, as of December 31, 2019.</w:t>
            </w:r>
          </w:p>
        </w:tc>
        <w:tc>
          <w:tcPr>
            <w:tcW w:w="0" w:type="dxa"/>
            <w:vAlign w:val="bottom"/>
          </w:tcPr>
          <w:p>
            <w:pPr>
              <w:spacing w:after="0"/>
              <w:rPr>
                <w:sz w:val="1"/>
                <w:szCs w:val="1"/>
                <w:color w:val="auto"/>
              </w:rPr>
            </w:pPr>
          </w:p>
        </w:tc>
      </w:tr>
      <w:tr>
        <w:trPr>
          <w:trHeight w:val="148"/>
        </w:trPr>
        <w:tc>
          <w:tcPr>
            <w:tcW w:w="3180" w:type="dxa"/>
            <w:vAlign w:val="bottom"/>
            <w:vMerge w:val="continue"/>
            <w:shd w:val="clear" w:color="auto" w:fill="E6EFF7"/>
          </w:tcPr>
          <w:p>
            <w:pPr>
              <w:spacing w:after="0"/>
              <w:rPr>
                <w:sz w:val="12"/>
                <w:szCs w:val="12"/>
                <w:color w:val="auto"/>
              </w:rPr>
            </w:pPr>
          </w:p>
        </w:tc>
        <w:tc>
          <w:tcPr>
            <w:tcW w:w="80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Monetized a 50% working interest in portions of our Lost Hills field to reduce debt and</w:t>
            </w:r>
          </w:p>
        </w:tc>
        <w:tc>
          <w:tcPr>
            <w:tcW w:w="0" w:type="dxa"/>
            <w:vAlign w:val="bottom"/>
          </w:tcPr>
          <w:p>
            <w:pPr>
              <w:spacing w:after="0"/>
              <w:rPr>
                <w:sz w:val="1"/>
                <w:szCs w:val="1"/>
                <w:color w:val="auto"/>
              </w:rPr>
            </w:pPr>
          </w:p>
        </w:tc>
      </w:tr>
      <w:tr>
        <w:trPr>
          <w:trHeight w:val="148"/>
        </w:trPr>
        <w:tc>
          <w:tcPr>
            <w:tcW w:w="3180" w:type="dxa"/>
            <w:vAlign w:val="bottom"/>
            <w:shd w:val="clear" w:color="auto" w:fill="E6EFF7"/>
          </w:tcPr>
          <w:p>
            <w:pPr>
              <w:spacing w:after="0"/>
              <w:rPr>
                <w:sz w:val="12"/>
                <w:szCs w:val="12"/>
                <w:color w:val="auto"/>
              </w:rPr>
            </w:pPr>
          </w:p>
        </w:tc>
        <w:tc>
          <w:tcPr>
            <w:tcW w:w="8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E6EFF7"/>
          </w:tcPr>
          <w:p>
            <w:pPr>
              <w:spacing w:after="0"/>
              <w:rPr>
                <w:sz w:val="18"/>
                <w:szCs w:val="18"/>
                <w:color w:val="auto"/>
              </w:rPr>
            </w:pPr>
          </w:p>
        </w:tc>
        <w:tc>
          <w:tcPr>
            <w:tcW w:w="8080" w:type="dxa"/>
            <w:vAlign w:val="bottom"/>
            <w:gridSpan w:val="2"/>
          </w:tcPr>
          <w:p>
            <w:pPr>
              <w:ind w:left="800"/>
              <w:spacing w:after="0"/>
              <w:rPr>
                <w:sz w:val="20"/>
                <w:szCs w:val="20"/>
                <w:color w:val="auto"/>
              </w:rPr>
            </w:pPr>
            <w:r>
              <w:rPr>
                <w:rFonts w:ascii="Arial" w:cs="Arial" w:eastAsia="Arial" w:hAnsi="Arial"/>
                <w:sz w:val="18"/>
                <w:szCs w:val="18"/>
                <w:color w:val="auto"/>
              </w:rPr>
              <w:t>improve our credit position.</w:t>
            </w:r>
          </w:p>
        </w:tc>
        <w:tc>
          <w:tcPr>
            <w:tcW w:w="0" w:type="dxa"/>
            <w:vAlign w:val="bottom"/>
          </w:tcPr>
          <w:p>
            <w:pPr>
              <w:spacing w:after="0"/>
              <w:rPr>
                <w:sz w:val="1"/>
                <w:szCs w:val="1"/>
                <w:color w:val="auto"/>
              </w:rPr>
            </w:pPr>
          </w:p>
        </w:tc>
      </w:tr>
      <w:tr>
        <w:trPr>
          <w:trHeight w:val="296"/>
        </w:trPr>
        <w:tc>
          <w:tcPr>
            <w:tcW w:w="3180" w:type="dxa"/>
            <w:vAlign w:val="bottom"/>
            <w:shd w:val="clear" w:color="auto" w:fill="E6EFF7"/>
          </w:tcPr>
          <w:p>
            <w:pPr>
              <w:spacing w:after="0"/>
              <w:rPr>
                <w:sz w:val="24"/>
                <w:szCs w:val="24"/>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Secured a credit agreement amendment to provide additional future flexibility in</w:t>
            </w:r>
          </w:p>
        </w:tc>
        <w:tc>
          <w:tcPr>
            <w:tcW w:w="0" w:type="dxa"/>
            <w:vAlign w:val="bottom"/>
          </w:tcPr>
          <w:p>
            <w:pPr>
              <w:spacing w:after="0"/>
              <w:rPr>
                <w:sz w:val="1"/>
                <w:szCs w:val="1"/>
                <w:color w:val="auto"/>
              </w:rPr>
            </w:pPr>
          </w:p>
        </w:tc>
      </w:tr>
      <w:tr>
        <w:trPr>
          <w:trHeight w:val="217"/>
        </w:trPr>
        <w:tc>
          <w:tcPr>
            <w:tcW w:w="3180" w:type="dxa"/>
            <w:vAlign w:val="bottom"/>
            <w:shd w:val="clear" w:color="auto" w:fill="E6EFF7"/>
          </w:tcPr>
          <w:p>
            <w:pPr>
              <w:spacing w:after="0"/>
              <w:rPr>
                <w:sz w:val="18"/>
                <w:szCs w:val="18"/>
                <w:color w:val="auto"/>
              </w:rPr>
            </w:pPr>
          </w:p>
        </w:tc>
        <w:tc>
          <w:tcPr>
            <w:tcW w:w="8080" w:type="dxa"/>
            <w:vAlign w:val="bottom"/>
            <w:gridSpan w:val="2"/>
          </w:tcPr>
          <w:p>
            <w:pPr>
              <w:ind w:left="800"/>
              <w:spacing w:after="0"/>
              <w:rPr>
                <w:sz w:val="20"/>
                <w:szCs w:val="20"/>
                <w:color w:val="auto"/>
              </w:rPr>
            </w:pPr>
            <w:r>
              <w:rPr>
                <w:rFonts w:ascii="Arial" w:cs="Arial" w:eastAsia="Arial" w:hAnsi="Arial"/>
                <w:sz w:val="18"/>
                <w:szCs w:val="18"/>
                <w:color w:val="auto"/>
              </w:rPr>
              <w:t>connection with potential royalty transactions.</w:t>
            </w:r>
          </w:p>
        </w:tc>
        <w:tc>
          <w:tcPr>
            <w:tcW w:w="0" w:type="dxa"/>
            <w:vAlign w:val="bottom"/>
          </w:tcPr>
          <w:p>
            <w:pPr>
              <w:spacing w:after="0"/>
              <w:rPr>
                <w:sz w:val="1"/>
                <w:szCs w:val="1"/>
                <w:color w:val="auto"/>
              </w:rPr>
            </w:pPr>
          </w:p>
        </w:tc>
      </w:tr>
      <w:tr>
        <w:trPr>
          <w:trHeight w:val="175"/>
        </w:trPr>
        <w:tc>
          <w:tcPr>
            <w:tcW w:w="3180" w:type="dxa"/>
            <w:vAlign w:val="bottom"/>
            <w:tcBorders>
              <w:bottom w:val="single" w:sz="8" w:color="949599"/>
            </w:tcBorders>
            <w:shd w:val="clear" w:color="auto" w:fill="E6EFF7"/>
          </w:tcPr>
          <w:p>
            <w:pPr>
              <w:spacing w:after="0"/>
              <w:rPr>
                <w:sz w:val="15"/>
                <w:szCs w:val="15"/>
                <w:color w:val="auto"/>
              </w:rPr>
            </w:pPr>
          </w:p>
        </w:tc>
        <w:tc>
          <w:tcPr>
            <w:tcW w:w="8060" w:type="dxa"/>
            <w:vAlign w:val="bottom"/>
            <w:tcBorders>
              <w:bottom w:val="single" w:sz="8" w:color="949599"/>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3180" w:type="dxa"/>
            <w:vAlign w:val="bottom"/>
          </w:tcPr>
          <w:p>
            <w:pPr>
              <w:spacing w:after="0"/>
              <w:rPr>
                <w:sz w:val="24"/>
                <w:szCs w:val="24"/>
                <w:color w:val="auto"/>
              </w:rPr>
            </w:pPr>
          </w:p>
        </w:tc>
        <w:tc>
          <w:tcPr>
            <w:tcW w:w="8080" w:type="dxa"/>
            <w:vAlign w:val="bottom"/>
            <w:gridSpan w:val="2"/>
          </w:tcPr>
          <w:p>
            <w:pPr>
              <w:ind w:left="4020"/>
              <w:spacing w:after="0"/>
              <w:rPr>
                <w:sz w:val="20"/>
                <w:szCs w:val="20"/>
                <w:color w:val="auto"/>
              </w:rPr>
            </w:pPr>
            <w:r>
              <w:rPr>
                <w:rFonts w:ascii="Arial" w:cs="Arial" w:eastAsia="Arial" w:hAnsi="Arial"/>
                <w:sz w:val="18"/>
                <w:szCs w:val="18"/>
                <w:color w:val="auto"/>
              </w:rPr>
              <w:t>CALIFORNIA RESOURCES CORPORATION  27</w:t>
            </w:r>
          </w:p>
        </w:tc>
        <w:tc>
          <w:tcPr>
            <w:tcW w:w="0" w:type="dxa"/>
            <w:vAlign w:val="bottom"/>
          </w:tcPr>
          <w:p>
            <w:pPr>
              <w:spacing w:after="0"/>
              <w:rPr>
                <w:sz w:val="1"/>
                <w:szCs w:val="1"/>
                <w:color w:val="auto"/>
              </w:rPr>
            </w:pPr>
          </w:p>
        </w:tc>
      </w:tr>
      <w:tr>
        <w:trPr>
          <w:trHeight w:val="101"/>
        </w:trPr>
        <w:tc>
          <w:tcPr>
            <w:tcW w:w="3180" w:type="dxa"/>
            <w:vAlign w:val="bottom"/>
            <w:tcBorders>
              <w:bottom w:val="single" w:sz="8" w:color="9A9A9A"/>
            </w:tcBorders>
          </w:tcPr>
          <w:p>
            <w:pPr>
              <w:spacing w:after="0"/>
              <w:rPr>
                <w:sz w:val="8"/>
                <w:szCs w:val="8"/>
                <w:color w:val="auto"/>
              </w:rPr>
            </w:pPr>
          </w:p>
        </w:tc>
        <w:tc>
          <w:tcPr>
            <w:tcW w:w="8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Compensation Discussion and Analysis</w:t>
      </w:r>
    </w:p>
    <w:p>
      <w:pPr>
        <w:spacing w:after="0" w:line="189" w:lineRule="exact"/>
        <w:rPr>
          <w:sz w:val="20"/>
          <w:szCs w:val="20"/>
          <w:color w:val="auto"/>
        </w:rPr>
      </w:pPr>
    </w:p>
    <w:p>
      <w:pPr>
        <w:ind w:left="120"/>
        <w:spacing w:after="0"/>
        <w:tabs>
          <w:tab w:leader="none" w:pos="5620" w:val="left"/>
        </w:tabs>
        <w:rPr>
          <w:sz w:val="20"/>
          <w:szCs w:val="20"/>
          <w:color w:val="auto"/>
        </w:rPr>
      </w:pPr>
      <w:r>
        <w:rPr>
          <w:rFonts w:ascii="Arial" w:cs="Arial" w:eastAsia="Arial" w:hAnsi="Arial"/>
          <w:sz w:val="18"/>
          <w:szCs w:val="18"/>
          <w:b w:val="1"/>
          <w:bCs w:val="1"/>
          <w:color w:val="0075C9"/>
        </w:rPr>
        <w:t>2019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29660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96608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60"/>
        <w:spacing w:after="0" w:line="262" w:lineRule="auto"/>
        <w:rPr>
          <w:sz w:val="20"/>
          <w:szCs w:val="20"/>
          <w:color w:val="auto"/>
        </w:rPr>
      </w:pPr>
      <w:r>
        <w:rPr>
          <w:rFonts w:ascii="Arial" w:cs="Arial" w:eastAsia="Arial" w:hAnsi="Arial"/>
          <w:sz w:val="18"/>
          <w:szCs w:val="18"/>
          <w:b w:val="1"/>
          <w:bCs w:val="1"/>
          <w:color w:val="0081C6"/>
        </w:rPr>
        <w:t>Promote workplace diversity and maintain exceptional global sector leading safety, environmental and sustainability practices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346" w:right="100" w:hanging="346"/>
        <w:spacing w:after="0" w:line="238" w:lineRule="auto"/>
        <w:tabs>
          <w:tab w:leader="none" w:pos="309" w:val="left"/>
        </w:tabs>
        <w:numPr>
          <w:ilvl w:val="0"/>
          <w:numId w:val="20"/>
        </w:numPr>
        <w:rPr>
          <w:rFonts w:ascii="Arial" w:cs="Arial" w:eastAsia="Arial" w:hAnsi="Arial"/>
          <w:sz w:val="18"/>
          <w:szCs w:val="18"/>
          <w:b w:val="1"/>
          <w:bCs w:val="1"/>
          <w:color w:val="0081C6"/>
        </w:rPr>
      </w:pPr>
      <w:r>
        <w:rPr>
          <w:rFonts w:ascii="Arial" w:cs="Arial" w:eastAsia="Arial" w:hAnsi="Arial"/>
          <w:sz w:val="18"/>
          <w:szCs w:val="18"/>
          <w:color w:val="auto"/>
        </w:rPr>
        <w:t>Achieved record safety performance in our operations with zero recordable employee workplace injuries and received 22 National Safety Council awards. Our 2019 injury and illness incidence rate (IIR) of 0.34 per 200,000 employee and contractor hours set a new CRC record and was 62% better than the crude oil and natural gas extraction sector’s average of 0.9 for 2018.</w:t>
      </w:r>
    </w:p>
    <w:p>
      <w:pPr>
        <w:spacing w:after="0" w:line="94" w:lineRule="exact"/>
        <w:rPr>
          <w:rFonts w:ascii="Arial" w:cs="Arial" w:eastAsia="Arial" w:hAnsi="Arial"/>
          <w:sz w:val="18"/>
          <w:szCs w:val="18"/>
          <w:b w:val="1"/>
          <w:bCs w:val="1"/>
          <w:color w:val="0081C6"/>
        </w:rPr>
      </w:pPr>
    </w:p>
    <w:p>
      <w:pPr>
        <w:ind w:left="346" w:right="440" w:hanging="346"/>
        <w:spacing w:after="0" w:line="246" w:lineRule="auto"/>
        <w:tabs>
          <w:tab w:leader="none" w:pos="309" w:val="left"/>
        </w:tabs>
        <w:numPr>
          <w:ilvl w:val="0"/>
          <w:numId w:val="20"/>
        </w:numPr>
        <w:rPr>
          <w:rFonts w:ascii="Arial" w:cs="Arial" w:eastAsia="Arial" w:hAnsi="Arial"/>
          <w:sz w:val="18"/>
          <w:szCs w:val="18"/>
          <w:b w:val="1"/>
          <w:bCs w:val="1"/>
          <w:color w:val="0081C6"/>
        </w:rPr>
      </w:pPr>
      <w:r>
        <w:rPr>
          <w:rFonts w:ascii="Arial" w:cs="Arial" w:eastAsia="Arial" w:hAnsi="Arial"/>
          <w:sz w:val="18"/>
          <w:szCs w:val="18"/>
          <w:color w:val="auto"/>
        </w:rPr>
        <w:t>Attained CDP’s highest 2019 climate disclosure ranking among all U.S. oil and gas companies with an A-, tying for first with one other U.S.-based E&amp;P.</w:t>
      </w:r>
    </w:p>
    <w:p>
      <w:pPr>
        <w:spacing w:after="0" w:line="88" w:lineRule="exact"/>
        <w:rPr>
          <w:rFonts w:ascii="Arial" w:cs="Arial" w:eastAsia="Arial" w:hAnsi="Arial"/>
          <w:sz w:val="18"/>
          <w:szCs w:val="18"/>
          <w:b w:val="1"/>
          <w:bCs w:val="1"/>
          <w:color w:val="0081C6"/>
        </w:rPr>
      </w:pPr>
    </w:p>
    <w:p>
      <w:pPr>
        <w:ind w:left="346" w:right="460" w:hanging="346"/>
        <w:spacing w:after="0" w:line="246" w:lineRule="auto"/>
        <w:tabs>
          <w:tab w:leader="none" w:pos="319" w:val="left"/>
        </w:tabs>
        <w:numPr>
          <w:ilvl w:val="0"/>
          <w:numId w:val="20"/>
        </w:numPr>
        <w:rPr>
          <w:rFonts w:ascii="Arial" w:cs="Arial" w:eastAsia="Arial" w:hAnsi="Arial"/>
          <w:sz w:val="18"/>
          <w:szCs w:val="18"/>
          <w:b w:val="1"/>
          <w:bCs w:val="1"/>
          <w:color w:val="0081C6"/>
        </w:rPr>
      </w:pPr>
      <w:r>
        <w:rPr>
          <w:rFonts w:ascii="Arial" w:cs="Arial" w:eastAsia="Arial" w:hAnsi="Arial"/>
          <w:sz w:val="18"/>
          <w:szCs w:val="18"/>
          <w:color w:val="auto"/>
        </w:rPr>
        <w:t>Supplied a CRC record 5.35 billion gallons of reclaimed water to agricultural water districts, upholding our important role as a net water supplier in California.</w:t>
      </w:r>
    </w:p>
    <w:p>
      <w:pPr>
        <w:spacing w:after="0" w:line="88" w:lineRule="exact"/>
        <w:rPr>
          <w:rFonts w:ascii="Arial" w:cs="Arial" w:eastAsia="Arial" w:hAnsi="Arial"/>
          <w:sz w:val="18"/>
          <w:szCs w:val="18"/>
          <w:b w:val="1"/>
          <w:bCs w:val="1"/>
          <w:color w:val="0081C6"/>
        </w:rPr>
      </w:pPr>
    </w:p>
    <w:p>
      <w:pPr>
        <w:ind w:left="346" w:right="40" w:hanging="346"/>
        <w:spacing w:after="0" w:line="238" w:lineRule="auto"/>
        <w:tabs>
          <w:tab w:leader="none" w:pos="309" w:val="left"/>
        </w:tabs>
        <w:numPr>
          <w:ilvl w:val="0"/>
          <w:numId w:val="20"/>
        </w:numPr>
        <w:rPr>
          <w:rFonts w:ascii="Arial" w:cs="Arial" w:eastAsia="Arial" w:hAnsi="Arial"/>
          <w:sz w:val="18"/>
          <w:szCs w:val="18"/>
          <w:b w:val="1"/>
          <w:bCs w:val="1"/>
          <w:color w:val="0081C6"/>
        </w:rPr>
      </w:pPr>
      <w:r>
        <w:rPr>
          <w:rFonts w:ascii="Arial" w:cs="Arial" w:eastAsia="Arial" w:hAnsi="Arial"/>
          <w:sz w:val="18"/>
          <w:szCs w:val="18"/>
          <w:color w:val="auto"/>
        </w:rPr>
        <w:t>Achieved our 2019 quantitative health, safety and environmental (“HSE”) metrics and continued to advance specific projects that position us to meet our 2030 Sustainability Goals, including surpassing our 2030 methane emission reduction goal and making significant progress on water recycling, renewables integration and carbon capture and sequestration goals.</w:t>
      </w:r>
    </w:p>
    <w:p>
      <w:pPr>
        <w:spacing w:after="0" w:line="94" w:lineRule="exact"/>
        <w:rPr>
          <w:rFonts w:ascii="Arial" w:cs="Arial" w:eastAsia="Arial" w:hAnsi="Arial"/>
          <w:sz w:val="18"/>
          <w:szCs w:val="18"/>
          <w:b w:val="1"/>
          <w:bCs w:val="1"/>
          <w:color w:val="0081C6"/>
        </w:rPr>
      </w:pPr>
    </w:p>
    <w:p>
      <w:pPr>
        <w:ind w:left="346" w:right="380" w:hanging="346"/>
        <w:spacing w:after="0" w:line="238" w:lineRule="auto"/>
        <w:tabs>
          <w:tab w:leader="none" w:pos="319" w:val="left"/>
        </w:tabs>
        <w:numPr>
          <w:ilvl w:val="0"/>
          <w:numId w:val="20"/>
        </w:numPr>
        <w:rPr>
          <w:rFonts w:ascii="Arial" w:cs="Arial" w:eastAsia="Arial" w:hAnsi="Arial"/>
          <w:sz w:val="18"/>
          <w:szCs w:val="18"/>
          <w:b w:val="1"/>
          <w:bCs w:val="1"/>
          <w:color w:val="0081C6"/>
        </w:rPr>
      </w:pPr>
      <w:r>
        <w:rPr>
          <w:rFonts w:ascii="Arial" w:cs="Arial" w:eastAsia="Arial" w:hAnsi="Arial"/>
          <w:sz w:val="18"/>
          <w:szCs w:val="18"/>
          <w:color w:val="auto"/>
        </w:rPr>
        <w:t>Launched CRC’s Intrepid Women’s Leadership Program to promote women’s professional development and leadership. Sponsored a variety of scholarship, internship and training programs and developed targeted programs to diversify and expand our current workforce and future candidates, including students from disadvantaged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111760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514"/>
            <w:col w:w="7606"/>
          </w:cols>
          <w:pgMar w:left="320" w:top="387" w:right="339" w:bottom="1440" w:gutter="0" w:footer="0" w:header="0"/>
          <w:type w:val="continuous"/>
        </w:sectPr>
      </w:pPr>
    </w:p>
    <w:p>
      <w:pPr>
        <w:spacing w:after="0" w:line="237" w:lineRule="exact"/>
        <w:rPr>
          <w:sz w:val="20"/>
          <w:szCs w:val="20"/>
          <w:color w:val="auto"/>
        </w:rPr>
      </w:pPr>
    </w:p>
    <w:p>
      <w:pPr>
        <w:ind w:left="340" w:right="140" w:hanging="332"/>
        <w:spacing w:after="0" w:line="258" w:lineRule="auto"/>
        <w:tabs>
          <w:tab w:leader="none" w:pos="340" w:val="left"/>
        </w:tabs>
        <w:numPr>
          <w:ilvl w:val="0"/>
          <w:numId w:val="21"/>
        </w:numPr>
        <w:rPr>
          <w:rFonts w:ascii="Arial" w:cs="Arial" w:eastAsia="Arial" w:hAnsi="Arial"/>
          <w:sz w:val="14"/>
          <w:szCs w:val="14"/>
          <w:color w:val="2E2E2E"/>
        </w:rPr>
      </w:pPr>
      <w:r>
        <w:rPr>
          <w:rFonts w:ascii="Arial" w:cs="Arial" w:eastAsia="Arial" w:hAnsi="Arial"/>
          <w:sz w:val="14"/>
          <w:szCs w:val="14"/>
          <w:color w:val="2E2E2E"/>
        </w:rPr>
        <w:t>We use a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85" w:lineRule="exact"/>
        <w:rPr>
          <w:rFonts w:ascii="Arial" w:cs="Arial" w:eastAsia="Arial" w:hAnsi="Arial"/>
          <w:sz w:val="14"/>
          <w:szCs w:val="14"/>
          <w:color w:val="2E2E2E"/>
        </w:rPr>
      </w:pPr>
    </w:p>
    <w:p>
      <w:pPr>
        <w:ind w:left="340" w:hanging="332"/>
        <w:spacing w:after="0"/>
        <w:tabs>
          <w:tab w:leader="none" w:pos="340" w:val="left"/>
        </w:tabs>
        <w:numPr>
          <w:ilvl w:val="0"/>
          <w:numId w:val="21"/>
        </w:numPr>
        <w:rPr>
          <w:rFonts w:ascii="Arial" w:cs="Arial" w:eastAsia="Arial" w:hAnsi="Arial"/>
          <w:sz w:val="14"/>
          <w:szCs w:val="14"/>
          <w:color w:val="2E2E2E"/>
        </w:rPr>
      </w:pPr>
      <w:r>
        <w:rPr>
          <w:rFonts w:ascii="Arial" w:cs="Arial" w:eastAsia="Arial" w:hAnsi="Arial"/>
          <w:sz w:val="14"/>
          <w:szCs w:val="14"/>
          <w:color w:val="2E2E2E"/>
        </w:rPr>
        <w:t>See Annex A for CRC’s calculation of the non-GAAP measures of reserve replacement ratio and F&amp;D costs.</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21"/>
        </w:numPr>
        <w:rPr>
          <w:rFonts w:ascii="Arial" w:cs="Arial" w:eastAsia="Arial" w:hAnsi="Arial"/>
          <w:sz w:val="14"/>
          <w:szCs w:val="14"/>
          <w:color w:val="2E2E2E"/>
        </w:rPr>
      </w:pPr>
      <w:r>
        <w:rPr>
          <w:rFonts w:ascii="Arial" w:cs="Arial" w:eastAsia="Arial" w:hAnsi="Arial"/>
          <w:sz w:val="14"/>
          <w:szCs w:val="14"/>
          <w:color w:val="2E2E2E"/>
        </w:rPr>
        <w:t>See Annex A for how CRC calculates the non-GAAP measure of free cash flow, after internally funded capital.</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21"/>
        </w:numPr>
        <w:rPr>
          <w:rFonts w:ascii="Arial" w:cs="Arial" w:eastAsia="Arial" w:hAnsi="Arial"/>
          <w:sz w:val="14"/>
          <w:szCs w:val="14"/>
          <w:color w:val="2E2E2E"/>
        </w:rPr>
      </w:pPr>
      <w:r>
        <w:rPr>
          <w:rFonts w:ascii="Arial" w:cs="Arial" w:eastAsia="Arial" w:hAnsi="Arial"/>
          <w:sz w:val="14"/>
          <w:szCs w:val="14"/>
          <w:color w:val="2E2E2E"/>
        </w:rPr>
        <w:t>See Annex A for CRC’s calculation of the non-GAAP measure of adjusted EBITDAX and adjusted EBITDAX margin.</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CRC calculated the leverage ratio by dividing the face value of its total long-term debt by the last twelve months adjusted EBITDAX.</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0075C9"/>
        </w:rPr>
        <w:t>Historical Perspective – Drivers of Strategic Priorities</w:t>
      </w:r>
    </w:p>
    <w:p>
      <w:pPr>
        <w:spacing w:after="0" w:line="104"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CRC was spun off from Occidental Petroleum Corporation (“Occidental”) on November 30, 2014. Occidental burdened CRC with a substantial debt load of $6.3 billion, which peaked at $6.8 billion including the effect of the capital program being implemented by Occidental immediately prior to the Spin-off, and implemented the Spin-off just as a severe and extended downturn in commodity prices began.</w:t>
      </w:r>
    </w:p>
    <w:p>
      <w:pPr>
        <w:spacing w:after="0" w:line="20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Our highly leveraged balance sheet, resulting from decisions made by Occidental prior to the Spin-off, has been a significant factor disproportionately affecting our stock price performance in a negative manner compared to our industry peers during the recent downturn. For perspective, despite achieving total shareholder returns that were the best of our peer group for 2018 and top quartile for the two-year period 2017-2018, CRC’s market capitalization decreased almost 86%, from $2.8 billion at the Spin-off to $0.4 billion at December 31, 2019.</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To address stockholder concerns regarding CRC’s leverage, our management team focused on the difficult task of reducing our debt in the low commodity price environment. Since the second quarter</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36" w:name="page37"/>
    <w:bookmarkEnd w:id="3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following the Spin -off, when our debt level reached its peak, management has significantly reduced our debt without unduly increasing our interest costs or significantly diluting our equity.</w:t>
      </w:r>
    </w:p>
    <w:p>
      <w:pPr>
        <w:spacing w:after="0" w:line="197"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As a result of these priorities, CRC has had very limited capital available to invest and production has declined compared to CRC’s peers, who had greater access to capital because of their lower leverage.</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charts below outline the swift, decisive actions management has taken through the commodity downturn that have positioned CRC for growth as commodity prices recover, as well as the different mechanisms our management team utilized to reduce CRC’s outstanding debt. During this period our management team worked constructively with our bank lenders to negotiate multiple amendments to our credit facility, including an amendment in 2019.</w:t>
      </w:r>
    </w:p>
    <w:p>
      <w:pPr>
        <w:spacing w:after="0" w:line="183"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0070C0"/>
        </w:rPr>
        <w:t>HISTORY OF PROACTIVE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88900</wp:posOffset>
            </wp:positionV>
            <wp:extent cx="5486400" cy="23742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8640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0070C0"/>
        </w:rPr>
        <w:t>ACTIONS TO REDUCE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88900</wp:posOffset>
            </wp:positionV>
            <wp:extent cx="5503545" cy="2348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035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CRC’s stock performance to our 2019 Peer Group identified on page 36.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EQUITY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88900</wp:posOffset>
            </wp:positionV>
            <wp:extent cx="5297805" cy="2468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9780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In summary, our stock price performance during the industry downturn has been disproportionately affected by the highly leveraged balance sheet that we inherited from Occidental. Our management team has made significant accomplishments in deleveraging the balance sheet and improving CRC’s strategic position to take advantage of potential future commodity price increases.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0075C9"/>
        </w:rPr>
        <w:t>Aligning Pay with Stockholder Interests</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Since our Spin-off in 2014, the Compensation Committee has taken several actions to ensure our executive compensation program is aligned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74295</wp:posOffset>
            </wp:positionV>
            <wp:extent cx="5460365" cy="2837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6036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Linkage Between Pay and Performance</w:t>
      </w:r>
    </w:p>
    <w:p>
      <w:pPr>
        <w:spacing w:after="0" w:line="10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Our compensation program is well designed to link the pay realized by our executives to the performance of CRC and the returns to our stockholders, while also providing incentives necessary to retain our executives through this challenging period.</w:t>
      </w:r>
    </w:p>
    <w:p>
      <w:pPr>
        <w:spacing w:after="0" w:line="197"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The pay mix at target grant date values for our chief executive officer and other NEOs for 2019 was primarily long-term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288290</wp:posOffset>
            </wp:positionV>
            <wp:extent cx="4740275" cy="2322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4027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0075C9"/>
        </w:rPr>
        <w:t>Realizable Pay Analysis</w:t>
      </w:r>
    </w:p>
    <w:p>
      <w:pPr>
        <w:spacing w:after="0" w:line="10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chart below illustrates the degree to which our CEO’s realizable pay has been impacted by changes in the stock price after the grant date, illustrating the significant alignment of CRC’s compensation program with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57495" cy="34290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5749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Notes regarding the CEO Realizable Pay:</w:t>
      </w:r>
    </w:p>
    <w:p>
      <w:pPr>
        <w:spacing w:after="0" w:line="55" w:lineRule="exact"/>
        <w:rPr>
          <w:sz w:val="20"/>
          <w:szCs w:val="20"/>
          <w:color w:val="auto"/>
        </w:rPr>
      </w:pPr>
    </w:p>
    <w:p>
      <w:pPr>
        <w:ind w:left="580" w:right="60" w:hanging="343"/>
        <w:spacing w:after="0" w:line="247"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Realizable Pay is defined as: (i) base salary paid each year; (ii) actual annual incentive earned for the year; (iii) for option grants, the intrinsic (“in-the-money”) value of each year’s grant as of December 31, 2019; (iv) for restricted stock grants, the value of each year’s grant based on the December 31, 2019 stock price; (v) for performance awards that have vested, the value of the award based on the actual payout percentage and the stock price at December 31, 2019; and (vi) for performance awards that have not vested, the target payout of the award based on the stock price as of December 31, 2019.</w:t>
      </w:r>
    </w:p>
    <w:p>
      <w:pPr>
        <w:spacing w:after="0" w:line="39" w:lineRule="exact"/>
        <w:rPr>
          <w:rFonts w:ascii="Arial" w:cs="Arial" w:eastAsia="Arial" w:hAnsi="Arial"/>
          <w:sz w:val="14"/>
          <w:szCs w:val="14"/>
          <w:color w:val="auto"/>
        </w:rPr>
      </w:pPr>
    </w:p>
    <w:p>
      <w:pPr>
        <w:ind w:left="580" w:right="400" w:hanging="343"/>
        <w:spacing w:after="0" w:line="258"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2015 realizable annual incentive reflects payout at 92% of target. The Compensation Committee exercised negative discretion in the determination of the payout based on economic conditions at the time of the payout, reducing the payout from above target to 92% of target.</w:t>
      </w:r>
    </w:p>
    <w:p>
      <w:pPr>
        <w:spacing w:after="0" w:line="31" w:lineRule="exact"/>
        <w:rPr>
          <w:rFonts w:ascii="Arial" w:cs="Arial" w:eastAsia="Arial" w:hAnsi="Arial"/>
          <w:sz w:val="14"/>
          <w:szCs w:val="14"/>
          <w:color w:val="auto"/>
        </w:rPr>
      </w:pPr>
    </w:p>
    <w:p>
      <w:pPr>
        <w:ind w:left="580" w:right="440" w:hanging="343"/>
        <w:spacing w:after="0" w:line="249"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2015 realizable long-term Incentives were all stock-based and reflect 20% of the target long-term incentive value in the form of stock options that are significantly underwater with an exercise price of $42.00 compared to the stock price of $9.03 as of December 31, 2019. The performance-based portion reflects actual payout at 116.55% of target.</w:t>
      </w:r>
    </w:p>
    <w:p>
      <w:pPr>
        <w:spacing w:after="0" w:line="38" w:lineRule="exact"/>
        <w:rPr>
          <w:rFonts w:ascii="Arial" w:cs="Arial" w:eastAsia="Arial" w:hAnsi="Arial"/>
          <w:sz w:val="14"/>
          <w:szCs w:val="14"/>
          <w:color w:val="auto"/>
        </w:rPr>
      </w:pPr>
    </w:p>
    <w:p>
      <w:pPr>
        <w:ind w:left="580" w:right="260" w:hanging="343"/>
        <w:spacing w:after="0" w:line="258"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2016 realizable base salary reflects a 10% reduction from March 2016 to October 2016 implemented to conserve cash during the most severe period of the downturn in oil prices.</w:t>
      </w:r>
    </w:p>
    <w:p>
      <w:pPr>
        <w:spacing w:after="0" w:line="31" w:lineRule="exact"/>
        <w:rPr>
          <w:rFonts w:ascii="Arial" w:cs="Arial" w:eastAsia="Arial" w:hAnsi="Arial"/>
          <w:sz w:val="14"/>
          <w:szCs w:val="14"/>
          <w:color w:val="auto"/>
        </w:rPr>
      </w:pPr>
    </w:p>
    <w:p>
      <w:pPr>
        <w:ind w:left="580" w:right="480" w:hanging="343"/>
        <w:spacing w:after="0" w:line="258"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2016 target long-term Incentives reflect a total grant date value that was 30% lower than the prior year to be consistent with anticipated changes in peer company grant values due to the sustained downturn in oil prices.</w:t>
      </w:r>
    </w:p>
    <w:p>
      <w:pPr>
        <w:spacing w:after="0" w:line="31" w:lineRule="exact"/>
        <w:rPr>
          <w:rFonts w:ascii="Arial" w:cs="Arial" w:eastAsia="Arial" w:hAnsi="Arial"/>
          <w:sz w:val="14"/>
          <w:szCs w:val="14"/>
          <w:color w:val="auto"/>
        </w:rPr>
      </w:pPr>
    </w:p>
    <w:p>
      <w:pPr>
        <w:ind w:left="580" w:right="220" w:hanging="343"/>
        <w:spacing w:after="0" w:line="249"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2016 realizable long-term Incentives reflect the effect on the RSU portion (50% of the target value) of the decrease in the stock price from the May 27, 2016 grant date ($15.40) to December 31, 2019 ($9.03). The performance-based portion reflects actual payout at 140.3% of target under the cash-based Performance Incentive Award which was not linked to the stock price.</w:t>
      </w:r>
    </w:p>
    <w:p>
      <w:pPr>
        <w:spacing w:after="0" w:line="38" w:lineRule="exact"/>
        <w:rPr>
          <w:rFonts w:ascii="Arial" w:cs="Arial" w:eastAsia="Arial" w:hAnsi="Arial"/>
          <w:sz w:val="14"/>
          <w:szCs w:val="14"/>
          <w:color w:val="auto"/>
        </w:rPr>
      </w:pPr>
    </w:p>
    <w:p>
      <w:pPr>
        <w:ind w:left="580" w:right="280" w:hanging="343"/>
        <w:spacing w:after="0" w:line="258"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2017 realizable long-term Incentives reflect the effect on the RSU portion (50% of the target value) of the decrease in the stock price from the February 13, 2017 grant date ($18.81) to December 31, 2019 ($9.03).</w:t>
      </w:r>
    </w:p>
    <w:p>
      <w:pPr>
        <w:spacing w:after="0" w:line="31" w:lineRule="exact"/>
        <w:rPr>
          <w:rFonts w:ascii="Arial" w:cs="Arial" w:eastAsia="Arial" w:hAnsi="Arial"/>
          <w:sz w:val="14"/>
          <w:szCs w:val="14"/>
          <w:color w:val="auto"/>
        </w:rPr>
      </w:pPr>
    </w:p>
    <w:p>
      <w:pPr>
        <w:ind w:left="580" w:right="60" w:hanging="343"/>
        <w:spacing w:after="0" w:line="249"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2018 realizable long-term Incentives reflect the effect of the decrease in the stock price from the February 21, 2018 grant date ($18.34) to December 31, 2019 ($9.03).</w:t>
      </w:r>
    </w:p>
    <w:p>
      <w:pPr>
        <w:spacing w:after="0" w:line="210" w:lineRule="exact"/>
        <w:rPr>
          <w:rFonts w:ascii="Arial" w:cs="Arial" w:eastAsia="Arial" w:hAnsi="Arial"/>
          <w:sz w:val="14"/>
          <w:szCs w:val="14"/>
          <w:color w:val="auto"/>
        </w:rPr>
      </w:pPr>
    </w:p>
    <w:p>
      <w:pPr>
        <w:ind w:left="580" w:right="60" w:hanging="343"/>
        <w:spacing w:after="0" w:line="249"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2019 realizable long-term Incentives reflect the effect of the decrease in the stock price from the February 19, 2019 grant date ($21.71) to December 31, 2019 ($9.03).</w:t>
      </w:r>
    </w:p>
    <w:p>
      <w:pPr>
        <w:spacing w:after="0" w:line="3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Stockholder Outreach</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regularly request meetings with several of our stockholders to discuss our governance and executive compensation practices. We received positive feedback on our corporate governance and compensation practices as part of our 2019 stockholder outreach initiative, in particular with regards to the changes we made to our compensation program in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5760" w:type="dxa"/>
            <w:vAlign w:val="bottom"/>
            <w:shd w:val="clear" w:color="auto" w:fill="4F81BD"/>
          </w:tcPr>
          <w:p>
            <w:pPr>
              <w:ind w:left="1940"/>
              <w:spacing w:after="0"/>
              <w:rPr>
                <w:sz w:val="20"/>
                <w:szCs w:val="20"/>
                <w:color w:val="auto"/>
              </w:rPr>
            </w:pPr>
            <w:r>
              <w:rPr>
                <w:rFonts w:ascii="Arial" w:cs="Arial" w:eastAsia="Arial" w:hAnsi="Arial"/>
                <w:sz w:val="20"/>
                <w:szCs w:val="20"/>
                <w:b w:val="1"/>
                <w:bCs w:val="1"/>
                <w:color w:val="FFFFFF"/>
              </w:rPr>
              <w:t>WHAT WE HEARD</w:t>
            </w:r>
          </w:p>
        </w:tc>
        <w:tc>
          <w:tcPr>
            <w:tcW w:w="5480" w:type="dxa"/>
            <w:vAlign w:val="bottom"/>
            <w:shd w:val="clear" w:color="auto" w:fill="4F81BD"/>
          </w:tcPr>
          <w:p>
            <w:pPr>
              <w:ind w:left="1980"/>
              <w:spacing w:after="0"/>
              <w:rPr>
                <w:sz w:val="20"/>
                <w:szCs w:val="20"/>
                <w:color w:val="auto"/>
              </w:rPr>
            </w:pPr>
            <w:r>
              <w:rPr>
                <w:rFonts w:ascii="Arial" w:cs="Arial" w:eastAsia="Arial" w:hAnsi="Arial"/>
                <w:sz w:val="20"/>
                <w:szCs w:val="20"/>
                <w:b w:val="1"/>
                <w:bCs w:val="1"/>
                <w:color w:val="FFFFFF"/>
              </w:rPr>
              <w:t>WHAT WE DID</w:t>
            </w:r>
          </w:p>
        </w:tc>
      </w:tr>
      <w:tr>
        <w:trPr>
          <w:trHeight w:val="63"/>
        </w:trPr>
        <w:tc>
          <w:tcPr>
            <w:tcW w:w="5760" w:type="dxa"/>
            <w:vAlign w:val="bottom"/>
            <w:shd w:val="clear" w:color="auto" w:fill="4F81BD"/>
          </w:tcPr>
          <w:p>
            <w:pPr>
              <w:spacing w:after="0"/>
              <w:rPr>
                <w:sz w:val="5"/>
                <w:szCs w:val="5"/>
                <w:color w:val="auto"/>
              </w:rPr>
            </w:pPr>
          </w:p>
        </w:tc>
        <w:tc>
          <w:tcPr>
            <w:tcW w:w="5480" w:type="dxa"/>
            <w:vAlign w:val="bottom"/>
            <w:shd w:val="clear" w:color="auto" w:fill="4F81BD"/>
          </w:tcPr>
          <w:p>
            <w:pPr>
              <w:spacing w:after="0"/>
              <w:rPr>
                <w:sz w:val="5"/>
                <w:szCs w:val="5"/>
                <w:color w:val="auto"/>
              </w:rPr>
            </w:pPr>
          </w:p>
        </w:tc>
      </w:tr>
      <w:tr>
        <w:trPr>
          <w:trHeight w:val="431"/>
        </w:trPr>
        <w:tc>
          <w:tcPr>
            <w:tcW w:w="5760" w:type="dxa"/>
            <w:vAlign w:val="bottom"/>
          </w:tcPr>
          <w:p>
            <w:pPr>
              <w:ind w:left="3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like to see significant proportion of executive</w:t>
            </w:r>
          </w:p>
        </w:tc>
        <w:tc>
          <w:tcPr>
            <w:tcW w:w="5480" w:type="dxa"/>
            <w:vAlign w:val="bottom"/>
          </w:tcPr>
          <w:p>
            <w:pPr>
              <w:ind w:left="20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Further aligned performance award by changing metrics to</w:t>
            </w:r>
          </w:p>
        </w:tc>
      </w:tr>
      <w:tr>
        <w:trPr>
          <w:trHeight w:val="217"/>
        </w:trPr>
        <w:tc>
          <w:tcPr>
            <w:tcW w:w="5760" w:type="dxa"/>
            <w:vAlign w:val="bottom"/>
          </w:tcPr>
          <w:p>
            <w:pPr>
              <w:ind w:left="660"/>
              <w:spacing w:after="0"/>
              <w:rPr>
                <w:sz w:val="20"/>
                <w:szCs w:val="20"/>
                <w:color w:val="auto"/>
              </w:rPr>
            </w:pPr>
            <w:r>
              <w:rPr>
                <w:rFonts w:ascii="Arial" w:cs="Arial" w:eastAsia="Arial" w:hAnsi="Arial"/>
                <w:sz w:val="18"/>
                <w:szCs w:val="18"/>
                <w:color w:val="auto"/>
              </w:rPr>
              <w:t>compensation aligned with stockholders</w:t>
            </w:r>
          </w:p>
        </w:tc>
        <w:tc>
          <w:tcPr>
            <w:tcW w:w="5480" w:type="dxa"/>
            <w:vAlign w:val="bottom"/>
          </w:tcPr>
          <w:p>
            <w:pPr>
              <w:ind w:left="520"/>
              <w:spacing w:after="0"/>
              <w:rPr>
                <w:sz w:val="20"/>
                <w:szCs w:val="20"/>
                <w:color w:val="auto"/>
              </w:rPr>
            </w:pPr>
            <w:r>
              <w:rPr>
                <w:rFonts w:ascii="Arial" w:cs="Arial" w:eastAsia="Arial" w:hAnsi="Arial"/>
                <w:sz w:val="18"/>
                <w:szCs w:val="18"/>
                <w:color w:val="auto"/>
              </w:rPr>
              <w:t>include relative total shareholder return</w:t>
            </w:r>
          </w:p>
        </w:tc>
      </w:tr>
      <w:tr>
        <w:trPr>
          <w:trHeight w:val="418"/>
        </w:trPr>
        <w:tc>
          <w:tcPr>
            <w:tcW w:w="5760" w:type="dxa"/>
            <w:vAlign w:val="bottom"/>
          </w:tcPr>
          <w:p>
            <w:pPr>
              <w:ind w:left="3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would like to see greater proportion of annual</w:t>
            </w:r>
          </w:p>
        </w:tc>
        <w:tc>
          <w:tcPr>
            <w:tcW w:w="5480" w:type="dxa"/>
            <w:vAlign w:val="bottom"/>
          </w:tcPr>
          <w:p>
            <w:pPr>
              <w:ind w:left="20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Reduced the number of metrics under the annual incentive</w:t>
            </w:r>
          </w:p>
        </w:tc>
      </w:tr>
      <w:tr>
        <w:trPr>
          <w:trHeight w:val="217"/>
        </w:trPr>
        <w:tc>
          <w:tcPr>
            <w:tcW w:w="5760" w:type="dxa"/>
            <w:vAlign w:val="bottom"/>
          </w:tcPr>
          <w:p>
            <w:pPr>
              <w:ind w:left="660"/>
              <w:spacing w:after="0"/>
              <w:rPr>
                <w:sz w:val="20"/>
                <w:szCs w:val="20"/>
                <w:color w:val="auto"/>
              </w:rPr>
            </w:pPr>
            <w:r>
              <w:rPr>
                <w:rFonts w:ascii="Arial" w:cs="Arial" w:eastAsia="Arial" w:hAnsi="Arial"/>
                <w:sz w:val="18"/>
                <w:szCs w:val="18"/>
                <w:color w:val="auto"/>
              </w:rPr>
              <w:t>incentive based on quantitative measures</w:t>
            </w:r>
          </w:p>
        </w:tc>
        <w:tc>
          <w:tcPr>
            <w:tcW w:w="5480" w:type="dxa"/>
            <w:vAlign w:val="bottom"/>
          </w:tcPr>
          <w:p>
            <w:pPr>
              <w:ind w:left="520"/>
              <w:spacing w:after="0"/>
              <w:rPr>
                <w:sz w:val="20"/>
                <w:szCs w:val="20"/>
                <w:color w:val="auto"/>
              </w:rPr>
            </w:pPr>
            <w:r>
              <w:rPr>
                <w:rFonts w:ascii="Arial" w:cs="Arial" w:eastAsia="Arial" w:hAnsi="Arial"/>
                <w:sz w:val="18"/>
                <w:szCs w:val="18"/>
                <w:color w:val="auto"/>
              </w:rPr>
              <w:t>to provide greater focus on key objectives</w:t>
            </w:r>
          </w:p>
        </w:tc>
      </w:tr>
      <w:tr>
        <w:trPr>
          <w:trHeight w:val="418"/>
        </w:trPr>
        <w:tc>
          <w:tcPr>
            <w:tcW w:w="5760" w:type="dxa"/>
            <w:vAlign w:val="bottom"/>
          </w:tcPr>
          <w:p>
            <w:pPr>
              <w:ind w:left="3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like to see more detailed disclosure regarding</w:t>
            </w:r>
          </w:p>
        </w:tc>
        <w:tc>
          <w:tcPr>
            <w:tcW w:w="5480" w:type="dxa"/>
            <w:vAlign w:val="bottom"/>
          </w:tcPr>
          <w:p>
            <w:pPr>
              <w:ind w:left="20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Provided more detailed disclosure regarding payouts under</w:t>
            </w:r>
          </w:p>
        </w:tc>
      </w:tr>
      <w:tr>
        <w:trPr>
          <w:trHeight w:val="203"/>
        </w:trPr>
        <w:tc>
          <w:tcPr>
            <w:tcW w:w="5760" w:type="dxa"/>
            <w:vAlign w:val="bottom"/>
          </w:tcPr>
          <w:p>
            <w:pPr>
              <w:ind w:left="660"/>
              <w:spacing w:after="0" w:line="202" w:lineRule="exact"/>
              <w:rPr>
                <w:sz w:val="20"/>
                <w:szCs w:val="20"/>
                <w:color w:val="auto"/>
              </w:rPr>
            </w:pPr>
            <w:r>
              <w:rPr>
                <w:rFonts w:ascii="Arial" w:cs="Arial" w:eastAsia="Arial" w:hAnsi="Arial"/>
                <w:sz w:val="18"/>
                <w:szCs w:val="18"/>
                <w:color w:val="auto"/>
              </w:rPr>
              <w:t>annual incentive payouts</w:t>
            </w:r>
          </w:p>
        </w:tc>
        <w:tc>
          <w:tcPr>
            <w:tcW w:w="5480" w:type="dxa"/>
            <w:vAlign w:val="bottom"/>
          </w:tcPr>
          <w:p>
            <w:pPr>
              <w:ind w:left="520"/>
              <w:spacing w:after="0" w:line="202" w:lineRule="exact"/>
              <w:rPr>
                <w:sz w:val="20"/>
                <w:szCs w:val="20"/>
                <w:color w:val="auto"/>
              </w:rPr>
            </w:pPr>
            <w:r>
              <w:rPr>
                <w:rFonts w:ascii="Arial" w:cs="Arial" w:eastAsia="Arial" w:hAnsi="Arial"/>
                <w:sz w:val="18"/>
                <w:szCs w:val="18"/>
                <w:color w:val="auto"/>
              </w:rPr>
              <w:t>the strategic and individual portion of our annual incentive</w:t>
            </w:r>
          </w:p>
        </w:tc>
      </w:tr>
      <w:tr>
        <w:trPr>
          <w:trHeight w:val="217"/>
        </w:trPr>
        <w:tc>
          <w:tcPr>
            <w:tcW w:w="5760" w:type="dxa"/>
            <w:vAlign w:val="bottom"/>
          </w:tcPr>
          <w:p>
            <w:pPr>
              <w:spacing w:after="0"/>
              <w:rPr>
                <w:sz w:val="18"/>
                <w:szCs w:val="18"/>
                <w:color w:val="auto"/>
              </w:rPr>
            </w:pPr>
          </w:p>
        </w:tc>
        <w:tc>
          <w:tcPr>
            <w:tcW w:w="5480" w:type="dxa"/>
            <w:vAlign w:val="bottom"/>
          </w:tcPr>
          <w:p>
            <w:pPr>
              <w:ind w:left="520"/>
              <w:spacing w:after="0"/>
              <w:rPr>
                <w:sz w:val="20"/>
                <w:szCs w:val="20"/>
                <w:color w:val="auto"/>
              </w:rPr>
            </w:pPr>
            <w:r>
              <w:rPr>
                <w:rFonts w:ascii="Arial" w:cs="Arial" w:eastAsia="Arial" w:hAnsi="Arial"/>
                <w:sz w:val="18"/>
                <w:szCs w:val="18"/>
                <w:color w:val="auto"/>
              </w:rPr>
              <w:t>beginning with the 2018 proxy statement</w:t>
            </w:r>
          </w:p>
        </w:tc>
      </w:tr>
    </w:tbl>
    <w:p>
      <w:pPr>
        <w:spacing w:after="0" w:line="20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will continue to reach out to stockholders to solicit feedback to ensure that our governance and executive compensation practices align with stockholders’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10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stockholder advisory vote in 2019 on the compensation paid to our NEOs in 2018, resulted in a 97.5% approval of such compensation. In adjusting our executive compensation programs, the Compensation Committee considered the results of last year’s advisory vote on executive compensation and many other factors, including the Compensation Committee's assessment of the interaction of our compensation programs with our corporate business objectives, evaluations of our programs by the Compensation Committee's independent compensation consultant, Meridian Compensation Partners, LLC (“Meridian”), feedback from our ongoing stockholder outreach initiative and review of data relating to pay practices of our compensation peer group.</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75C9"/>
        </w:rPr>
        <w:t>Elements of Our Compensation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core principles form the foundation of our compensation program:</w:t>
      </w:r>
    </w:p>
    <w:p>
      <w:pPr>
        <w:spacing w:after="0" w:line="104" w:lineRule="exact"/>
        <w:rPr>
          <w:sz w:val="20"/>
          <w:szCs w:val="20"/>
          <w:color w:val="auto"/>
        </w:rPr>
      </w:pPr>
    </w:p>
    <w:p>
      <w:pPr>
        <w:ind w:left="580" w:right="140" w:hanging="343"/>
        <w:spacing w:after="0" w:line="246"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programs should motivate our executives to take actions that are aligned with our short- and long-term strategic objectives, and appropriately balance risk versus potential reward.</w:t>
      </w:r>
    </w:p>
    <w:p>
      <w:pPr>
        <w:spacing w:after="0" w:line="88" w:lineRule="exact"/>
        <w:rPr>
          <w:rFonts w:ascii="Arial" w:cs="Arial" w:eastAsia="Arial" w:hAnsi="Arial"/>
          <w:sz w:val="18"/>
          <w:szCs w:val="18"/>
          <w:color w:val="auto"/>
        </w:rPr>
      </w:pPr>
    </w:p>
    <w:p>
      <w:pPr>
        <w:ind w:left="580" w:right="380" w:hanging="343"/>
        <w:spacing w:after="0" w:line="246"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high percentage of senior executives’ pay should be based on performance to ensure the highest level of accountability to stockholders.</w:t>
      </w:r>
    </w:p>
    <w:p>
      <w:pPr>
        <w:spacing w:after="0" w:line="88" w:lineRule="exact"/>
        <w:rPr>
          <w:rFonts w:ascii="Arial" w:cs="Arial" w:eastAsia="Arial" w:hAnsi="Arial"/>
          <w:sz w:val="18"/>
          <w:szCs w:val="18"/>
          <w:color w:val="auto"/>
        </w:rPr>
      </w:pPr>
    </w:p>
    <w:p>
      <w:pPr>
        <w:ind w:left="580" w:right="220" w:hanging="343"/>
        <w:spacing w:after="0" w:line="246"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Performance-based pay should offer an opportunity for above market compensation when our performance exceeds our goals balanced by the risk of below market compensation when it does not.</w:t>
      </w:r>
    </w:p>
    <w:p>
      <w:pPr>
        <w:spacing w:after="0" w:line="88" w:lineRule="exact"/>
        <w:rPr>
          <w:rFonts w:ascii="Arial" w:cs="Arial" w:eastAsia="Arial" w:hAnsi="Arial"/>
          <w:sz w:val="18"/>
          <w:szCs w:val="18"/>
          <w:color w:val="auto"/>
        </w:rPr>
      </w:pPr>
    </w:p>
    <w:p>
      <w:pPr>
        <w:ind w:left="580" w:right="200" w:hanging="343"/>
        <w:spacing w:after="0" w:line="246"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compensation programs should focus our executives on the long-term performance of the Company, thereby more closely aligning our executives’ interests with those of our stockholders.</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Our executive compensation program is well-designed, incorporates best practices and is governed by a highly engaged Compensation Committee. Our short-term and long-term incentive plans are primarily performance-based and are intended to align with the short- and long- term best interests of stockholders. The Compensation Committee has engaged in best practices to further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267970</wp:posOffset>
            </wp:positionV>
            <wp:extent cx="5572125" cy="3823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212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2" w:name="page43"/>
    <w:bookmarkEnd w:id="4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134620</wp:posOffset>
            </wp:positionV>
            <wp:extent cx="5572125" cy="2100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212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Peer Group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The Compensation Committee believes that the most relevant compensation peer companies are those that could compete for our talent with similar operating complexity and financial characteristics to CRC. The Compensation Committee reviews the peer companies each year based on the criteria below and adjusts as necessary to ensure alignment with those objectives.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80" w:type="dxa"/>
            <w:vAlign w:val="bottom"/>
          </w:tcPr>
          <w:p>
            <w:pPr>
              <w:jc w:val="center"/>
              <w:ind w:left="150"/>
              <w:spacing w:after="0"/>
              <w:rPr>
                <w:sz w:val="20"/>
                <w:szCs w:val="20"/>
                <w:color w:val="auto"/>
              </w:rPr>
            </w:pPr>
            <w:r>
              <w:rPr>
                <w:rFonts w:ascii="Arial" w:cs="Arial" w:eastAsia="Arial" w:hAnsi="Arial"/>
                <w:sz w:val="18"/>
                <w:szCs w:val="18"/>
                <w:b w:val="1"/>
                <w:bCs w:val="1"/>
                <w:color w:val="0070C0"/>
              </w:rPr>
              <w:t>Characteristic</w:t>
            </w:r>
          </w:p>
        </w:tc>
        <w:tc>
          <w:tcPr>
            <w:tcW w:w="420" w:type="dxa"/>
            <w:vAlign w:val="bottom"/>
          </w:tcPr>
          <w:p>
            <w:pPr>
              <w:spacing w:after="0"/>
              <w:rPr>
                <w:sz w:val="20"/>
                <w:szCs w:val="20"/>
                <w:color w:val="auto"/>
              </w:rPr>
            </w:pPr>
          </w:p>
        </w:tc>
        <w:tc>
          <w:tcPr>
            <w:tcW w:w="8840" w:type="dxa"/>
            <w:vAlign w:val="bottom"/>
          </w:tcPr>
          <w:p>
            <w:pPr>
              <w:ind w:left="3920"/>
              <w:spacing w:after="0"/>
              <w:rPr>
                <w:sz w:val="20"/>
                <w:szCs w:val="20"/>
                <w:color w:val="auto"/>
              </w:rPr>
            </w:pPr>
            <w:r>
              <w:rPr>
                <w:rFonts w:ascii="Arial" w:cs="Arial" w:eastAsia="Arial" w:hAnsi="Arial"/>
                <w:sz w:val="18"/>
                <w:szCs w:val="18"/>
                <w:b w:val="1"/>
                <w:bCs w:val="1"/>
                <w:color w:val="0070C0"/>
              </w:rPr>
              <w:t>Rationale</w:t>
            </w:r>
          </w:p>
        </w:tc>
      </w:tr>
      <w:tr>
        <w:trPr>
          <w:trHeight w:val="115"/>
        </w:trPr>
        <w:tc>
          <w:tcPr>
            <w:tcW w:w="1980" w:type="dxa"/>
            <w:vAlign w:val="bottom"/>
            <w:tcBorders>
              <w:bottom w:val="single" w:sz="8" w:color="95B3D7"/>
            </w:tcBorders>
          </w:tcPr>
          <w:p>
            <w:pPr>
              <w:spacing w:after="0"/>
              <w:rPr>
                <w:sz w:val="10"/>
                <w:szCs w:val="10"/>
                <w:color w:val="auto"/>
              </w:rPr>
            </w:pPr>
          </w:p>
        </w:tc>
        <w:tc>
          <w:tcPr>
            <w:tcW w:w="9260" w:type="dxa"/>
            <w:vAlign w:val="bottom"/>
            <w:tcBorders>
              <w:bottom w:val="single" w:sz="8" w:color="95B3D7"/>
            </w:tcBorders>
            <w:gridSpan w:val="2"/>
          </w:tcPr>
          <w:p>
            <w:pPr>
              <w:spacing w:after="0"/>
              <w:rPr>
                <w:sz w:val="10"/>
                <w:szCs w:val="10"/>
                <w:color w:val="auto"/>
              </w:rPr>
            </w:pPr>
          </w:p>
        </w:tc>
      </w:tr>
      <w:tr>
        <w:trPr>
          <w:trHeight w:val="324"/>
        </w:trPr>
        <w:tc>
          <w:tcPr>
            <w:tcW w:w="1980" w:type="dxa"/>
            <w:vAlign w:val="bottom"/>
            <w:shd w:val="clear" w:color="auto" w:fill="F2F2F2"/>
          </w:tcPr>
          <w:p>
            <w:pPr>
              <w:jc w:val="center"/>
              <w:ind w:left="170"/>
              <w:spacing w:after="0"/>
              <w:rPr>
                <w:sz w:val="20"/>
                <w:szCs w:val="20"/>
                <w:color w:val="auto"/>
              </w:rPr>
            </w:pPr>
            <w:r>
              <w:rPr>
                <w:rFonts w:ascii="Arial" w:cs="Arial" w:eastAsia="Arial" w:hAnsi="Arial"/>
                <w:sz w:val="18"/>
                <w:szCs w:val="18"/>
                <w:b w:val="1"/>
                <w:bCs w:val="1"/>
                <w:color w:val="auto"/>
                <w:w w:val="97"/>
              </w:rPr>
              <w:t>Asset Value</w:t>
            </w:r>
          </w:p>
        </w:tc>
        <w:tc>
          <w:tcPr>
            <w:tcW w:w="9260" w:type="dxa"/>
            <w:vAlign w:val="bottom"/>
            <w:gridSpan w:val="2"/>
            <w:shd w:val="clear" w:color="auto" w:fill="F2F2F2"/>
          </w:tcPr>
          <w:p>
            <w:pPr>
              <w:ind w:left="240"/>
              <w:spacing w:after="0"/>
              <w:rPr>
                <w:sz w:val="20"/>
                <w:szCs w:val="20"/>
                <w:color w:val="auto"/>
              </w:rPr>
            </w:pPr>
            <w:r>
              <w:rPr>
                <w:rFonts w:ascii="Arial" w:cs="Arial" w:eastAsia="Arial" w:hAnsi="Arial"/>
                <w:sz w:val="18"/>
                <w:szCs w:val="18"/>
                <w:color w:val="auto"/>
              </w:rPr>
              <w:t>•   Indicator of size, situational factor and financial strategy</w:t>
            </w:r>
          </w:p>
        </w:tc>
      </w:tr>
      <w:tr>
        <w:trPr>
          <w:trHeight w:val="324"/>
        </w:trPr>
        <w:tc>
          <w:tcPr>
            <w:tcW w:w="1980" w:type="dxa"/>
            <w:vAlign w:val="bottom"/>
            <w:shd w:val="clear" w:color="auto" w:fill="F2F2F2"/>
          </w:tcPr>
          <w:p>
            <w:pPr>
              <w:spacing w:after="0"/>
              <w:rPr>
                <w:sz w:val="24"/>
                <w:szCs w:val="24"/>
                <w:color w:val="auto"/>
              </w:rPr>
            </w:pPr>
          </w:p>
        </w:tc>
        <w:tc>
          <w:tcPr>
            <w:tcW w:w="420" w:type="dxa"/>
            <w:vAlign w:val="bottom"/>
            <w:shd w:val="clear" w:color="auto" w:fill="F2F2F2"/>
          </w:tcPr>
          <w:p>
            <w:pPr>
              <w:ind w:left="240"/>
              <w:spacing w:after="0"/>
              <w:rPr>
                <w:sz w:val="20"/>
                <w:szCs w:val="20"/>
                <w:color w:val="auto"/>
              </w:rPr>
            </w:pPr>
            <w:r>
              <w:rPr>
                <w:rFonts w:ascii="Arial" w:cs="Arial" w:eastAsia="Arial" w:hAnsi="Arial"/>
                <w:sz w:val="18"/>
                <w:szCs w:val="18"/>
                <w:color w:val="auto"/>
              </w:rPr>
              <w:t>•</w:t>
            </w:r>
          </w:p>
        </w:tc>
        <w:tc>
          <w:tcPr>
            <w:tcW w:w="8840" w:type="dxa"/>
            <w:vAlign w:val="bottom"/>
            <w:shd w:val="clear" w:color="auto" w:fill="F2F2F2"/>
          </w:tcPr>
          <w:p>
            <w:pPr>
              <w:ind w:left="100"/>
              <w:spacing w:after="0"/>
              <w:rPr>
                <w:sz w:val="20"/>
                <w:szCs w:val="20"/>
                <w:color w:val="auto"/>
              </w:rPr>
            </w:pPr>
            <w:r>
              <w:rPr>
                <w:rFonts w:ascii="Arial" w:cs="Arial" w:eastAsia="Arial" w:hAnsi="Arial"/>
                <w:sz w:val="18"/>
                <w:szCs w:val="18"/>
                <w:color w:val="auto"/>
              </w:rPr>
              <w:t>Indicator of geographic footprint, business model, operational complexity and competition for talent</w:t>
            </w:r>
          </w:p>
        </w:tc>
      </w:tr>
      <w:tr>
        <w:trPr>
          <w:trHeight w:val="323"/>
        </w:trPr>
        <w:tc>
          <w:tcPr>
            <w:tcW w:w="1980" w:type="dxa"/>
            <w:vAlign w:val="bottom"/>
            <w:shd w:val="clear" w:color="auto" w:fill="F2F2F2"/>
          </w:tcPr>
          <w:p>
            <w:pPr>
              <w:spacing w:after="0"/>
              <w:rPr>
                <w:sz w:val="24"/>
                <w:szCs w:val="24"/>
                <w:color w:val="auto"/>
              </w:rPr>
            </w:pPr>
          </w:p>
        </w:tc>
        <w:tc>
          <w:tcPr>
            <w:tcW w:w="420" w:type="dxa"/>
            <w:vAlign w:val="bottom"/>
            <w:shd w:val="clear" w:color="auto" w:fill="F2F2F2"/>
          </w:tcPr>
          <w:p>
            <w:pPr>
              <w:ind w:left="240"/>
              <w:spacing w:after="0"/>
              <w:rPr>
                <w:sz w:val="20"/>
                <w:szCs w:val="20"/>
                <w:color w:val="auto"/>
              </w:rPr>
            </w:pPr>
            <w:r>
              <w:rPr>
                <w:rFonts w:ascii="Arial" w:cs="Arial" w:eastAsia="Arial" w:hAnsi="Arial"/>
                <w:sz w:val="18"/>
                <w:szCs w:val="18"/>
                <w:color w:val="auto"/>
              </w:rPr>
              <w:t>•</w:t>
            </w:r>
          </w:p>
        </w:tc>
        <w:tc>
          <w:tcPr>
            <w:tcW w:w="8840" w:type="dxa"/>
            <w:vAlign w:val="bottom"/>
            <w:shd w:val="clear" w:color="auto" w:fill="F2F2F2"/>
          </w:tcPr>
          <w:p>
            <w:pPr>
              <w:ind w:left="100"/>
              <w:spacing w:after="0"/>
              <w:rPr>
                <w:sz w:val="20"/>
                <w:szCs w:val="20"/>
                <w:color w:val="auto"/>
              </w:rPr>
            </w:pPr>
            <w:r>
              <w:rPr>
                <w:rFonts w:ascii="Arial" w:cs="Arial" w:eastAsia="Arial" w:hAnsi="Arial"/>
                <w:sz w:val="18"/>
                <w:szCs w:val="18"/>
                <w:color w:val="auto"/>
              </w:rPr>
              <w:t>The Compensation Committee does not believe executives at smaller companies face comparable</w:t>
            </w:r>
          </w:p>
        </w:tc>
      </w:tr>
      <w:tr>
        <w:trPr>
          <w:trHeight w:val="217"/>
        </w:trPr>
        <w:tc>
          <w:tcPr>
            <w:tcW w:w="1980" w:type="dxa"/>
            <w:vAlign w:val="bottom"/>
            <w:shd w:val="clear" w:color="auto" w:fill="F2F2F2"/>
          </w:tcPr>
          <w:p>
            <w:pPr>
              <w:spacing w:after="0"/>
              <w:rPr>
                <w:sz w:val="18"/>
                <w:szCs w:val="18"/>
                <w:color w:val="auto"/>
              </w:rPr>
            </w:pPr>
          </w:p>
        </w:tc>
        <w:tc>
          <w:tcPr>
            <w:tcW w:w="420" w:type="dxa"/>
            <w:vAlign w:val="bottom"/>
            <w:shd w:val="clear" w:color="auto" w:fill="F2F2F2"/>
          </w:tcPr>
          <w:p>
            <w:pPr>
              <w:spacing w:after="0"/>
              <w:rPr>
                <w:sz w:val="18"/>
                <w:szCs w:val="18"/>
                <w:color w:val="auto"/>
              </w:rPr>
            </w:pPr>
          </w:p>
        </w:tc>
        <w:tc>
          <w:tcPr>
            <w:tcW w:w="88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responsibilities and challenges</w:t>
            </w:r>
          </w:p>
        </w:tc>
      </w:tr>
      <w:tr>
        <w:trPr>
          <w:trHeight w:val="108"/>
        </w:trPr>
        <w:tc>
          <w:tcPr>
            <w:tcW w:w="1980" w:type="dxa"/>
            <w:vAlign w:val="bottom"/>
            <w:shd w:val="clear" w:color="auto" w:fill="F2F2F2"/>
          </w:tcPr>
          <w:p>
            <w:pPr>
              <w:spacing w:after="0"/>
              <w:rPr>
                <w:sz w:val="9"/>
                <w:szCs w:val="9"/>
                <w:color w:val="auto"/>
              </w:rPr>
            </w:pPr>
          </w:p>
        </w:tc>
        <w:tc>
          <w:tcPr>
            <w:tcW w:w="420" w:type="dxa"/>
            <w:vAlign w:val="bottom"/>
            <w:shd w:val="clear" w:color="auto" w:fill="F2F2F2"/>
          </w:tcPr>
          <w:p>
            <w:pPr>
              <w:spacing w:after="0"/>
              <w:rPr>
                <w:sz w:val="9"/>
                <w:szCs w:val="9"/>
                <w:color w:val="auto"/>
              </w:rPr>
            </w:pPr>
          </w:p>
        </w:tc>
        <w:tc>
          <w:tcPr>
            <w:tcW w:w="8840" w:type="dxa"/>
            <w:vAlign w:val="bottom"/>
            <w:shd w:val="clear" w:color="auto" w:fill="F2F2F2"/>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465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65580"/>
                    </a:xfrm>
                    <a:prstGeom prst="rect">
                      <a:avLst/>
                    </a:prstGeom>
                    <a:noFill/>
                  </pic:spPr>
                </pic:pic>
              </a:graphicData>
            </a:graphic>
          </wp:anchor>
        </w:drawing>
      </w:r>
    </w:p>
    <w:p>
      <w:pPr>
        <w:spacing w:after="0" w:line="79" w:lineRule="exact"/>
        <w:rPr>
          <w:sz w:val="20"/>
          <w:szCs w:val="20"/>
          <w:color w:val="auto"/>
        </w:rPr>
      </w:pPr>
    </w:p>
    <w:p>
      <w:pPr>
        <w:ind w:left="420"/>
        <w:spacing w:after="0"/>
        <w:tabs>
          <w:tab w:leader="none" w:pos="2200" w:val="left"/>
          <w:tab w:leader="none" w:pos="2480" w:val="left"/>
        </w:tabs>
        <w:rPr>
          <w:sz w:val="20"/>
          <w:szCs w:val="20"/>
          <w:color w:val="auto"/>
        </w:rPr>
      </w:pPr>
      <w:r>
        <w:rPr>
          <w:rFonts w:ascii="Arial" w:cs="Arial" w:eastAsia="Arial" w:hAnsi="Arial"/>
          <w:sz w:val="18"/>
          <w:szCs w:val="18"/>
          <w:b w:val="1"/>
          <w:bCs w:val="1"/>
          <w:color w:val="auto"/>
        </w:rPr>
        <w:t>Enterprise Value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Indicator of size</w:t>
      </w:r>
    </w:p>
    <w:p>
      <w:pPr>
        <w:spacing w:after="0" w:line="139" w:lineRule="exact"/>
        <w:rPr>
          <w:sz w:val="20"/>
          <w:szCs w:val="20"/>
          <w:color w:val="auto"/>
        </w:rPr>
      </w:pPr>
    </w:p>
    <w:p>
      <w:pPr>
        <w:ind w:left="2520" w:right="240" w:hanging="298"/>
        <w:spacing w:after="0" w:line="261" w:lineRule="auto"/>
        <w:tabs>
          <w:tab w:leader="none" w:pos="24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our highly leveraged balance sheet, the Compensation Committee focused on Enterprise Value statistics</w:t>
      </w:r>
    </w:p>
    <w:p>
      <w:pPr>
        <w:spacing w:after="0" w:line="34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Peer company selection based on equity market capitalization would generally result in companies that are much smaller in complexity and scope of operations than CRC due to our highly leveraged balance sheet and resulting depressed equity market capitalization. The Compensation Committee does not believe that companies with similar equity market capitalizations represent the competitive market for our executive team’s skills and experience and accordingly believes that setting CRC compensation levels consistent with these smaller companies would penalize our management team for factors beyond their control, causing substantial retention problems.</w:t>
      </w:r>
    </w:p>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3" w:name="page44"/>
    <w:bookmarkEnd w:id="43"/>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Peer Group</w:t>
      </w:r>
    </w:p>
    <w:p>
      <w:pPr>
        <w:spacing w:after="0" w:line="112"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Prior to making 2019 compensation program design decisions in February 2019, the Compensation Committee reviewed our 2018 compensation peer companies and determined that no changes were needed, other than removal of RSP Permian, Inc. and Energen Corporation, due their acquisitions by other companies. The following companies reflect our “2019 Peer Group”.</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vMerge w:val="restart"/>
          </w:tcPr>
          <w:p>
            <w:pPr>
              <w:spacing w:after="0"/>
              <w:rPr>
                <w:sz w:val="20"/>
                <w:szCs w:val="20"/>
                <w:color w:val="auto"/>
              </w:rPr>
            </w:pPr>
            <w:r>
              <w:rPr>
                <w:rFonts w:ascii="Arial" w:cs="Arial" w:eastAsia="Arial" w:hAnsi="Arial"/>
                <w:sz w:val="20"/>
                <w:szCs w:val="20"/>
                <w:b w:val="1"/>
                <w:bCs w:val="1"/>
                <w:color w:val="0070C0"/>
              </w:rPr>
              <w:t>Company</w:t>
            </w:r>
          </w:p>
        </w:tc>
        <w:tc>
          <w:tcPr>
            <w:tcW w:w="1880" w:type="dxa"/>
            <w:vAlign w:val="bottom"/>
          </w:tcPr>
          <w:p>
            <w:pPr>
              <w:jc w:val="center"/>
              <w:spacing w:after="0"/>
              <w:rPr>
                <w:sz w:val="20"/>
                <w:szCs w:val="20"/>
                <w:color w:val="auto"/>
              </w:rPr>
            </w:pPr>
            <w:r>
              <w:rPr>
                <w:rFonts w:ascii="Arial" w:cs="Arial" w:eastAsia="Arial" w:hAnsi="Arial"/>
                <w:sz w:val="20"/>
                <w:szCs w:val="20"/>
                <w:b w:val="1"/>
                <w:bCs w:val="1"/>
                <w:color w:val="0070C0"/>
                <w:w w:val="98"/>
              </w:rPr>
              <w:t>Asset Value</w:t>
            </w:r>
          </w:p>
        </w:tc>
        <w:tc>
          <w:tcPr>
            <w:tcW w:w="2720" w:type="dxa"/>
            <w:vAlign w:val="bottom"/>
          </w:tcPr>
          <w:p>
            <w:pPr>
              <w:jc w:val="center"/>
              <w:spacing w:after="0"/>
              <w:rPr>
                <w:sz w:val="20"/>
                <w:szCs w:val="20"/>
                <w:color w:val="auto"/>
              </w:rPr>
            </w:pPr>
            <w:r>
              <w:rPr>
                <w:rFonts w:ascii="Arial" w:cs="Arial" w:eastAsia="Arial" w:hAnsi="Arial"/>
                <w:sz w:val="20"/>
                <w:szCs w:val="20"/>
                <w:b w:val="1"/>
                <w:bCs w:val="1"/>
                <w:color w:val="0070C0"/>
                <w:w w:val="98"/>
              </w:rPr>
              <w:t>Enterprise Value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0070C0"/>
            </w:tcBorders>
            <w:vMerge w:val="continue"/>
          </w:tcPr>
          <w:p>
            <w:pPr>
              <w:spacing w:after="0"/>
              <w:rPr>
                <w:sz w:val="18"/>
                <w:szCs w:val="18"/>
                <w:color w:val="auto"/>
              </w:rPr>
            </w:pPr>
          </w:p>
        </w:tc>
        <w:tc>
          <w:tcPr>
            <w:tcW w:w="1880" w:type="dxa"/>
            <w:vAlign w:val="bottom"/>
            <w:tcBorders>
              <w:bottom w:val="single" w:sz="8" w:color="0070C0"/>
            </w:tcBorders>
          </w:tcPr>
          <w:p>
            <w:pPr>
              <w:jc w:val="center"/>
              <w:spacing w:after="0"/>
              <w:rPr>
                <w:sz w:val="20"/>
                <w:szCs w:val="20"/>
                <w:color w:val="auto"/>
              </w:rPr>
            </w:pPr>
            <w:r>
              <w:rPr>
                <w:rFonts w:ascii="Arial" w:cs="Arial" w:eastAsia="Arial" w:hAnsi="Arial"/>
                <w:sz w:val="18"/>
                <w:szCs w:val="18"/>
                <w:color w:val="0070C0"/>
              </w:rPr>
              <w:t>(September 2018)</w:t>
            </w:r>
          </w:p>
        </w:tc>
        <w:tc>
          <w:tcPr>
            <w:tcW w:w="2720" w:type="dxa"/>
            <w:vAlign w:val="bottom"/>
            <w:tcBorders>
              <w:bottom w:val="single" w:sz="8" w:color="0070C0"/>
            </w:tcBorders>
          </w:tcPr>
          <w:p>
            <w:pPr>
              <w:jc w:val="center"/>
              <w:spacing w:after="0"/>
              <w:rPr>
                <w:sz w:val="20"/>
                <w:szCs w:val="20"/>
                <w:color w:val="auto"/>
              </w:rPr>
            </w:pPr>
            <w:r>
              <w:rPr>
                <w:rFonts w:ascii="Arial" w:cs="Arial" w:eastAsia="Arial" w:hAnsi="Arial"/>
                <w:sz w:val="18"/>
                <w:szCs w:val="18"/>
                <w:color w:val="0070C0"/>
                <w:w w:val="99"/>
              </w:rPr>
              <w:t>(October 2018)</w:t>
            </w:r>
          </w:p>
        </w:tc>
        <w:tc>
          <w:tcPr>
            <w:tcW w:w="20" w:type="dxa"/>
            <w:vAlign w:val="bottom"/>
            <w:tcBorders>
              <w:bottom w:val="single" w:sz="8" w:color="0070C0"/>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Range Resources Corporation</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$11,826</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$8,481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Murphy Oil Corporation</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$9,945</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Whiting Petroleum Corporation</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$7,562</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$7,619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Parsley Energy,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$9,139</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$11,119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WPX Energy,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$7,770</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$10,906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QEP Resources,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$7,390</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$5,462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Southwestern Energy Company</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$7,042</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$6,641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Diamondback Energy,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$8,954</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$16,033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Oasis Petroleum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$7,465</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SM Energy Company</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$6,736</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$6,053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Gulfport Energy Corporation</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$6,054</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$3,955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Cabot Oil &amp; Gas Corporation</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$4,397</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$10,968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EP Energy Corporation</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$5,174</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$4,847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PDC Energy,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$4,443</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$4,515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Newfield Exploration Company</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$5,461</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$7,977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Cimarex Energy Co.</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$5,531</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$10,471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Denbury Resources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$4,534</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$5,781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Callon Petroleum Company</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$3,507</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$3,383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Carrizo Oil &amp; Gas,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$2,722</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$3,981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Laredo Petroleum, Inc.</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$2,209</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$2,677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Matador Resources Company</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$2,556</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60"/>
              <w:spacing w:after="0"/>
              <w:rPr>
                <w:sz w:val="20"/>
                <w:szCs w:val="20"/>
                <w:color w:val="auto"/>
              </w:rPr>
            </w:pPr>
            <w:r>
              <w:rPr>
                <w:rFonts w:ascii="Arial" w:cs="Arial" w:eastAsia="Arial" w:hAnsi="Arial"/>
                <w:sz w:val="18"/>
                <w:szCs w:val="18"/>
                <w:color w:val="4F81BD"/>
              </w:rPr>
              <w:t>25th Percentile</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auto"/>
              </w:rPr>
              <w:t>$4,442</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auto"/>
              </w:rPr>
              <w:t>$4,589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300"/>
              <w:spacing w:after="0"/>
              <w:rPr>
                <w:sz w:val="20"/>
                <w:szCs w:val="20"/>
                <w:color w:val="auto"/>
              </w:rPr>
            </w:pPr>
            <w:r>
              <w:rPr>
                <w:rFonts w:ascii="Arial" w:cs="Arial" w:eastAsia="Arial" w:hAnsi="Arial"/>
                <w:sz w:val="18"/>
                <w:szCs w:val="18"/>
                <w:color w:val="4F81BD"/>
              </w:rPr>
              <w:t>50th Percentile</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auto"/>
              </w:rPr>
              <w:t>$6,054</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auto"/>
              </w:rPr>
              <w:t>$6,641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300"/>
              <w:spacing w:after="0"/>
              <w:rPr>
                <w:sz w:val="20"/>
                <w:szCs w:val="20"/>
                <w:color w:val="auto"/>
              </w:rPr>
            </w:pPr>
            <w:r>
              <w:rPr>
                <w:rFonts w:ascii="Arial" w:cs="Arial" w:eastAsia="Arial" w:hAnsi="Arial"/>
                <w:sz w:val="18"/>
                <w:szCs w:val="18"/>
                <w:color w:val="4F81BD"/>
              </w:rPr>
              <w:t>75th Percentile</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auto"/>
              </w:rPr>
              <w:t>$7,562</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auto"/>
              </w:rPr>
              <w:t>$8,481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California Resources Corporation</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4F81BD"/>
              </w:rPr>
              <w:t>$6,940</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4F81BD"/>
              </w:rPr>
              <w:t>$8,328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300"/>
              <w:spacing w:after="0"/>
              <w:rPr>
                <w:sz w:val="20"/>
                <w:szCs w:val="20"/>
                <w:color w:val="auto"/>
              </w:rPr>
            </w:pPr>
            <w:r>
              <w:rPr>
                <w:rFonts w:ascii="Arial" w:cs="Arial" w:eastAsia="Arial" w:hAnsi="Arial"/>
                <w:sz w:val="18"/>
                <w:szCs w:val="18"/>
                <w:color w:val="4F81BD"/>
              </w:rPr>
              <w:t>Percentile Rank</w:t>
            </w: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auto"/>
                <w:w w:val="99"/>
              </w:rPr>
              <w:t>58%</w:t>
            </w:r>
          </w:p>
        </w:tc>
        <w:tc>
          <w:tcPr>
            <w:tcW w:w="2720" w:type="dxa"/>
            <w:vAlign w:val="bottom"/>
            <w:shd w:val="clear" w:color="auto" w:fill="EBEBEC"/>
          </w:tcPr>
          <w:p>
            <w:pPr>
              <w:jc w:val="center"/>
              <w:spacing w:after="0"/>
              <w:rPr>
                <w:sz w:val="20"/>
                <w:szCs w:val="20"/>
                <w:color w:val="auto"/>
              </w:rPr>
            </w:pPr>
            <w:r>
              <w:rPr>
                <w:rFonts w:ascii="Arial" w:cs="Arial" w:eastAsia="Arial" w:hAnsi="Arial"/>
                <w:sz w:val="18"/>
                <w:szCs w:val="18"/>
                <w:b w:val="1"/>
                <w:bCs w:val="1"/>
                <w:color w:val="auto"/>
                <w:w w:val="99"/>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640" w:type="dxa"/>
            <w:vAlign w:val="bottom"/>
            <w:shd w:val="clear" w:color="auto" w:fill="EBEBEC"/>
          </w:tcPr>
          <w:p>
            <w:pPr>
              <w:spacing w:after="0"/>
              <w:rPr>
                <w:sz w:val="2"/>
                <w:szCs w:val="2"/>
                <w:color w:val="auto"/>
              </w:rPr>
            </w:pPr>
          </w:p>
        </w:tc>
        <w:tc>
          <w:tcPr>
            <w:tcW w:w="1880" w:type="dxa"/>
            <w:vAlign w:val="bottom"/>
            <w:shd w:val="clear" w:color="auto" w:fill="EBEBEC"/>
          </w:tcPr>
          <w:p>
            <w:pPr>
              <w:spacing w:after="0"/>
              <w:rPr>
                <w:sz w:val="2"/>
                <w:szCs w:val="2"/>
                <w:color w:val="auto"/>
              </w:rPr>
            </w:pPr>
          </w:p>
        </w:tc>
        <w:tc>
          <w:tcPr>
            <w:tcW w:w="2720" w:type="dxa"/>
            <w:vAlign w:val="bottom"/>
            <w:shd w:val="clear" w:color="auto" w:fill="EBEBE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-4234180</wp:posOffset>
            </wp:positionV>
            <wp:extent cx="7140575" cy="42430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0575" cy="4243070"/>
                    </a:xfrm>
                    <a:prstGeom prst="rect">
                      <a:avLst/>
                    </a:prstGeom>
                    <a:noFill/>
                  </pic:spPr>
                </pic:pic>
              </a:graphicData>
            </a:graphic>
          </wp:anchor>
        </w:drawing>
      </w:r>
    </w:p>
    <w:p>
      <w:pPr>
        <w:spacing w:after="0" w:line="168"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Following this determination, but prior to making 2019 compensation program design decisions in February 2019, the Compensation Committee removed EP Energy Corporation from the Peer Group compensation analysis in light of its management turnover which led to compensation irregularities.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44" w:name="page45"/>
    <w:bookmarkEnd w:id="44"/>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Peer Group</w:t>
      </w:r>
    </w:p>
    <w:p>
      <w:pPr>
        <w:spacing w:after="0" w:line="11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October 2019, the Compensation Committee reviewed the compensation peer companies and determined that no changes were needed for 2020 compensation planning purposes, other than removing Newfield Exploration Company and EP Energy Corporation, in light of their acquisition and distressed condition,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vMerge w:val="restart"/>
          </w:tcPr>
          <w:p>
            <w:pPr>
              <w:spacing w:after="0"/>
              <w:rPr>
                <w:sz w:val="20"/>
                <w:szCs w:val="20"/>
                <w:color w:val="auto"/>
              </w:rPr>
            </w:pPr>
            <w:r>
              <w:rPr>
                <w:rFonts w:ascii="Arial" w:cs="Arial" w:eastAsia="Arial" w:hAnsi="Arial"/>
                <w:sz w:val="20"/>
                <w:szCs w:val="20"/>
                <w:b w:val="1"/>
                <w:bCs w:val="1"/>
                <w:color w:val="0070C0"/>
              </w:rPr>
              <w:t>Company</w:t>
            </w:r>
          </w:p>
        </w:tc>
        <w:tc>
          <w:tcPr>
            <w:tcW w:w="208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Asset Value</w:t>
            </w:r>
          </w:p>
        </w:tc>
        <w:tc>
          <w:tcPr>
            <w:tcW w:w="252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Enterprise Value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0070C0"/>
            </w:tcBorders>
            <w:vMerge w:val="continue"/>
          </w:tcPr>
          <w:p>
            <w:pPr>
              <w:spacing w:after="0"/>
              <w:rPr>
                <w:sz w:val="18"/>
                <w:szCs w:val="18"/>
                <w:color w:val="auto"/>
              </w:rPr>
            </w:pPr>
          </w:p>
        </w:tc>
        <w:tc>
          <w:tcPr>
            <w:tcW w:w="208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9"/>
              </w:rPr>
              <w:t>(September 2019)</w:t>
            </w:r>
          </w:p>
        </w:tc>
        <w:tc>
          <w:tcPr>
            <w:tcW w:w="252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9"/>
              </w:rPr>
              <w:t>(October 2019)</w:t>
            </w:r>
          </w:p>
        </w:tc>
        <w:tc>
          <w:tcPr>
            <w:tcW w:w="20" w:type="dxa"/>
            <w:vAlign w:val="bottom"/>
            <w:tcBorders>
              <w:bottom w:val="single" w:sz="8" w:color="0070C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Diamondback Energy,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10"/>
              <w:spacing w:after="0"/>
              <w:rPr>
                <w:sz w:val="20"/>
                <w:szCs w:val="20"/>
                <w:color w:val="auto"/>
              </w:rPr>
            </w:pPr>
            <w:r>
              <w:rPr>
                <w:rFonts w:ascii="Arial" w:cs="Arial" w:eastAsia="Arial" w:hAnsi="Arial"/>
                <w:sz w:val="18"/>
                <w:szCs w:val="18"/>
                <w:color w:val="auto"/>
                <w:w w:val="98"/>
              </w:rPr>
              <w:t>23,171</w:t>
            </w:r>
          </w:p>
        </w:tc>
        <w:tc>
          <w:tcPr>
            <w:tcW w:w="1040" w:type="dxa"/>
            <w:vAlign w:val="bottom"/>
            <w:shd w:val="clear" w:color="auto" w:fill="EBEBEC"/>
          </w:tcPr>
          <w:p>
            <w:pPr>
              <w:ind w:left="9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30"/>
              <w:spacing w:after="0"/>
              <w:rPr>
                <w:sz w:val="20"/>
                <w:szCs w:val="20"/>
                <w:color w:val="auto"/>
              </w:rPr>
            </w:pPr>
            <w:r>
              <w:rPr>
                <w:rFonts w:ascii="Arial" w:cs="Arial" w:eastAsia="Arial" w:hAnsi="Arial"/>
                <w:sz w:val="18"/>
                <w:szCs w:val="18"/>
                <w:color w:val="auto"/>
                <w:w w:val="98"/>
              </w:rPr>
              <w:t>19,167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Murphy Oil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10"/>
              <w:spacing w:after="0"/>
              <w:rPr>
                <w:sz w:val="20"/>
                <w:szCs w:val="20"/>
                <w:color w:val="auto"/>
              </w:rPr>
            </w:pPr>
            <w:r>
              <w:rPr>
                <w:rFonts w:ascii="Arial" w:cs="Arial" w:eastAsia="Arial" w:hAnsi="Arial"/>
                <w:sz w:val="18"/>
                <w:szCs w:val="18"/>
                <w:color w:val="auto"/>
                <w:w w:val="98"/>
              </w:rPr>
              <w:t>13,536</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8,786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Parsley Energy,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9,838</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7,567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Range Resources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10"/>
              <w:spacing w:after="0"/>
              <w:rPr>
                <w:sz w:val="20"/>
                <w:szCs w:val="20"/>
                <w:color w:val="auto"/>
              </w:rPr>
            </w:pPr>
            <w:r>
              <w:rPr>
                <w:rFonts w:ascii="Arial" w:cs="Arial" w:eastAsia="Arial" w:hAnsi="Arial"/>
                <w:sz w:val="18"/>
                <w:szCs w:val="18"/>
                <w:color w:val="auto"/>
              </w:rPr>
              <w:t>9,728</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4,686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WPX Energy,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8,553</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6,349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Whiting Petroleum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7,776</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3,526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Oasis Petroleum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7,710</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4,123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Cimarex Energy Co.</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7,596</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6,882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Southwestern Energy Company</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6,545</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3,288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Gulfport Energy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6,465</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2,644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SM Energy Company</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6,392</w:t>
            </w:r>
          </w:p>
        </w:tc>
        <w:tc>
          <w:tcPr>
            <w:tcW w:w="2520" w:type="dxa"/>
            <w:vAlign w:val="bottom"/>
            <w:gridSpan w:val="2"/>
            <w:shd w:val="clear" w:color="auto" w:fill="EBEBEC"/>
          </w:tcPr>
          <w:p>
            <w:pPr>
              <w:jc w:val="right"/>
              <w:ind w:right="890"/>
              <w:spacing w:after="0"/>
              <w:rPr>
                <w:sz w:val="20"/>
                <w:szCs w:val="20"/>
                <w:color w:val="auto"/>
              </w:rPr>
            </w:pPr>
            <w:r>
              <w:rPr>
                <w:rFonts w:ascii="Arial" w:cs="Arial" w:eastAsia="Arial" w:hAnsi="Arial"/>
                <w:sz w:val="18"/>
                <w:szCs w:val="18"/>
                <w:color w:val="auto"/>
              </w:rPr>
              <w:t>$ 3,756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QEP Resources,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5,504</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Denbury Resources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4,732</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3,096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PDC Energy,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4,595</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2,840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Cabot Oil &amp; Gas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4,564</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8,005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Callon Petroleum Company</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3,915</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Matador Resources Company</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3,751</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3,434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Carrizo Oil &amp; Gas,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3,635</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2,676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Laredo Petroleum,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color w:val="auto"/>
              </w:rPr>
              <w:t>2,620</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25th Percentile</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b w:val="1"/>
                <w:bCs w:val="1"/>
                <w:color w:val="auto"/>
              </w:rPr>
              <w:t>4,579</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b w:val="1"/>
                <w:bCs w:val="1"/>
                <w:color w:val="auto"/>
              </w:rPr>
              <w:t>2,813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50th Percentile</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b w:val="1"/>
                <w:bCs w:val="1"/>
                <w:color w:val="auto"/>
              </w:rPr>
              <w:t>6,465</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b w:val="1"/>
                <w:bCs w:val="1"/>
                <w:color w:val="auto"/>
              </w:rPr>
              <w:t>3,526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75th Percentile</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b w:val="1"/>
                <w:bCs w:val="1"/>
                <w:color w:val="auto"/>
              </w:rPr>
              <w:t>8,164</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b w:val="1"/>
                <w:bCs w:val="1"/>
                <w:color w:val="auto"/>
              </w:rPr>
              <w:t>6,616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California Resources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260" w:type="dxa"/>
            <w:vAlign w:val="bottom"/>
            <w:shd w:val="clear" w:color="auto" w:fill="EBEBEC"/>
          </w:tcPr>
          <w:p>
            <w:pPr>
              <w:jc w:val="right"/>
              <w:ind w:right="630"/>
              <w:spacing w:after="0"/>
              <w:rPr>
                <w:sz w:val="20"/>
                <w:szCs w:val="20"/>
                <w:color w:val="auto"/>
              </w:rPr>
            </w:pPr>
            <w:r>
              <w:rPr>
                <w:rFonts w:ascii="Arial" w:cs="Arial" w:eastAsia="Arial" w:hAnsi="Arial"/>
                <w:sz w:val="18"/>
                <w:szCs w:val="18"/>
                <w:b w:val="1"/>
                <w:bCs w:val="1"/>
                <w:color w:val="0070C0"/>
              </w:rPr>
              <w:t>7,032</w:t>
            </w:r>
          </w:p>
        </w:tc>
        <w:tc>
          <w:tcPr>
            <w:tcW w:w="1040" w:type="dxa"/>
            <w:vAlign w:val="bottom"/>
            <w:shd w:val="clear" w:color="auto" w:fill="EBEBEC"/>
          </w:tcPr>
          <w:p>
            <w:pPr>
              <w:ind w:left="940"/>
              <w:spacing w:after="0"/>
              <w:rPr>
                <w:sz w:val="20"/>
                <w:szCs w:val="20"/>
                <w:color w:val="auto"/>
              </w:rPr>
            </w:pPr>
            <w:r>
              <w:rPr>
                <w:rFonts w:ascii="Arial" w:cs="Arial" w:eastAsia="Arial" w:hAnsi="Arial"/>
                <w:sz w:val="18"/>
                <w:szCs w:val="18"/>
                <w:b w:val="1"/>
                <w:bCs w:val="1"/>
                <w:color w:val="0070C0"/>
                <w:w w:val="79"/>
              </w:rPr>
              <w:t>$</w:t>
            </w:r>
          </w:p>
        </w:tc>
        <w:tc>
          <w:tcPr>
            <w:tcW w:w="1480" w:type="dxa"/>
            <w:vAlign w:val="bottom"/>
            <w:shd w:val="clear" w:color="auto" w:fill="EBEBEC"/>
          </w:tcPr>
          <w:p>
            <w:pPr>
              <w:jc w:val="right"/>
              <w:ind w:right="850"/>
              <w:spacing w:after="0"/>
              <w:rPr>
                <w:sz w:val="20"/>
                <w:szCs w:val="20"/>
                <w:color w:val="auto"/>
              </w:rPr>
            </w:pPr>
            <w:r>
              <w:rPr>
                <w:rFonts w:ascii="Arial" w:cs="Arial" w:eastAsia="Arial" w:hAnsi="Arial"/>
                <w:sz w:val="18"/>
                <w:szCs w:val="18"/>
                <w:b w:val="1"/>
                <w:bCs w:val="1"/>
                <w:color w:val="0070C0"/>
              </w:rPr>
              <w:t>6,540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Percentile Rank</w:t>
            </w:r>
          </w:p>
        </w:tc>
        <w:tc>
          <w:tcPr>
            <w:tcW w:w="820" w:type="dxa"/>
            <w:vAlign w:val="bottom"/>
            <w:shd w:val="clear" w:color="auto" w:fill="EBEBEC"/>
          </w:tcPr>
          <w:p>
            <w:pPr>
              <w:spacing w:after="0"/>
              <w:rPr>
                <w:sz w:val="19"/>
                <w:szCs w:val="19"/>
                <w:color w:val="auto"/>
              </w:rPr>
            </w:pPr>
          </w:p>
        </w:tc>
        <w:tc>
          <w:tcPr>
            <w:tcW w:w="1260" w:type="dxa"/>
            <w:vAlign w:val="bottom"/>
            <w:shd w:val="clear" w:color="auto" w:fill="EBEBEC"/>
          </w:tcPr>
          <w:p>
            <w:pPr>
              <w:jc w:val="center"/>
              <w:ind w:right="730"/>
              <w:spacing w:after="0"/>
              <w:rPr>
                <w:sz w:val="20"/>
                <w:szCs w:val="20"/>
                <w:color w:val="auto"/>
              </w:rPr>
            </w:pPr>
            <w:r>
              <w:rPr>
                <w:rFonts w:ascii="Arial" w:cs="Arial" w:eastAsia="Arial" w:hAnsi="Arial"/>
                <w:sz w:val="18"/>
                <w:szCs w:val="18"/>
                <w:b w:val="1"/>
                <w:bCs w:val="1"/>
                <w:color w:val="auto"/>
                <w:w w:val="99"/>
              </w:rPr>
              <w:t>58%</w:t>
            </w:r>
          </w:p>
        </w:tc>
        <w:tc>
          <w:tcPr>
            <w:tcW w:w="1040" w:type="dxa"/>
            <w:vAlign w:val="bottom"/>
            <w:shd w:val="clear" w:color="auto" w:fill="EBEBEC"/>
          </w:tcPr>
          <w:p>
            <w:pPr>
              <w:spacing w:after="0"/>
              <w:rPr>
                <w:sz w:val="19"/>
                <w:szCs w:val="19"/>
                <w:color w:val="auto"/>
              </w:rPr>
            </w:pPr>
          </w:p>
        </w:tc>
        <w:tc>
          <w:tcPr>
            <w:tcW w:w="1480" w:type="dxa"/>
            <w:vAlign w:val="bottom"/>
            <w:shd w:val="clear" w:color="auto" w:fill="EBEBEC"/>
          </w:tcPr>
          <w:p>
            <w:pPr>
              <w:jc w:val="right"/>
              <w:ind w:right="990"/>
              <w:spacing w:after="0"/>
              <w:rPr>
                <w:sz w:val="20"/>
                <w:szCs w:val="20"/>
                <w:color w:val="auto"/>
              </w:rPr>
            </w:pPr>
            <w:r>
              <w:rPr>
                <w:rFonts w:ascii="Arial" w:cs="Arial" w:eastAsia="Arial" w:hAnsi="Arial"/>
                <w:sz w:val="18"/>
                <w:szCs w:val="18"/>
                <w:b w:val="1"/>
                <w:bCs w:val="1"/>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-3882390</wp:posOffset>
            </wp:positionV>
            <wp:extent cx="7140575" cy="38919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057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45" w:name="page46"/>
    <w:bookmarkEnd w:id="4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2019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In February 2019, the Compensation Committee made 2019 compensation program design decisions focused on paying for performance, motivating and retaining the current management team and managing dilution and the remaining shares available for grants with the continued low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Changes Made for 2019</w:t>
      </w:r>
    </w:p>
    <w:p>
      <w:pPr>
        <w:spacing w:after="0" w:line="12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Compensation Committee considered feedback received through stockholder outreach and made the following changes to the compensation program for 2019:</w:t>
      </w:r>
    </w:p>
    <w:p>
      <w:pPr>
        <w:spacing w:after="0" w:line="89" w:lineRule="exact"/>
        <w:rPr>
          <w:sz w:val="20"/>
          <w:szCs w:val="20"/>
          <w:color w:val="auto"/>
        </w:rPr>
      </w:pPr>
    </w:p>
    <w:p>
      <w:pPr>
        <w:ind w:left="580" w:hanging="343"/>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the number of metrics under the annual incentive awards to provide greater focus on key objectives</w:t>
      </w:r>
    </w:p>
    <w:p>
      <w:pPr>
        <w:spacing w:after="0" w:line="117" w:lineRule="exact"/>
        <w:rPr>
          <w:rFonts w:ascii="Arial" w:cs="Arial" w:eastAsia="Arial" w:hAnsi="Arial"/>
          <w:sz w:val="18"/>
          <w:szCs w:val="18"/>
          <w:color w:val="auto"/>
        </w:rPr>
      </w:pPr>
    </w:p>
    <w:p>
      <w:pPr>
        <w:ind w:left="580" w:right="280" w:hanging="343"/>
        <w:spacing w:after="0" w:line="24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Changed the performance criteria under the long-term performance-based award to be based 50% on the three-year average VCI and 50% on three-year relative total shareholder return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Compensation Program Elements</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2019 compensation program for our CEO and other NEOs is comprised of the following elements, which are discussed in more detail below:</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5C9"/>
        </w:rPr>
        <w:t>2019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165735</wp:posOffset>
            </wp:positionV>
            <wp:extent cx="5477510" cy="24174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7751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6" w:name="page47"/>
    <w:bookmarkEnd w:id="4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Base Salaries</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Compensation Committee reviewed the base salaries of the NEOs to determine if they remained appropriately positioned against the market data and internally aligned, and as a result the Compensation Committee decided to make no changes for 2019 based on the individual’s performance, scope of job responsibilities, internal alignment and position relative to peer group compensation data. Mr. Preston was not an NEO in 2018, so his 2018 annual base salary is not disclosed.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75C9"/>
              </w:rPr>
              <w:t>2019 Annual</w:t>
            </w:r>
          </w:p>
        </w:tc>
        <w:tc>
          <w:tcPr>
            <w:tcW w:w="2060" w:type="dxa"/>
            <w:vAlign w:val="bottom"/>
          </w:tcPr>
          <w:p>
            <w:pPr>
              <w:ind w:left="600"/>
              <w:spacing w:after="0"/>
              <w:rPr>
                <w:sz w:val="20"/>
                <w:szCs w:val="20"/>
                <w:color w:val="auto"/>
              </w:rPr>
            </w:pPr>
            <w:r>
              <w:rPr>
                <w:rFonts w:ascii="Arial" w:cs="Arial" w:eastAsia="Arial" w:hAnsi="Arial"/>
                <w:sz w:val="14"/>
                <w:szCs w:val="14"/>
                <w:b w:val="1"/>
                <w:bCs w:val="1"/>
                <w:color w:val="0075C9"/>
              </w:rPr>
              <w:t>2018 Annual</w:t>
            </w: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860" w:type="dxa"/>
            <w:vAlign w:val="bottom"/>
            <w:tcBorders>
              <w:bottom w:val="single" w:sz="8" w:color="0075C9"/>
            </w:tcBorders>
          </w:tcPr>
          <w:p>
            <w:pPr>
              <w:spacing w:after="0"/>
              <w:rPr>
                <w:sz w:val="20"/>
                <w:szCs w:val="20"/>
                <w:color w:val="auto"/>
              </w:rPr>
            </w:pPr>
            <w:r>
              <w:rPr>
                <w:rFonts w:ascii="Arial" w:cs="Arial" w:eastAsia="Arial" w:hAnsi="Arial"/>
                <w:sz w:val="14"/>
                <w:szCs w:val="14"/>
                <w:b w:val="1"/>
                <w:bCs w:val="1"/>
                <w:color w:val="0075C9"/>
              </w:rPr>
              <w:t>Name</w:t>
            </w:r>
          </w:p>
        </w:tc>
        <w:tc>
          <w:tcPr>
            <w:tcW w:w="16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Base Salary</w:t>
            </w:r>
          </w:p>
        </w:tc>
        <w:tc>
          <w:tcPr>
            <w:tcW w:w="2060" w:type="dxa"/>
            <w:vAlign w:val="bottom"/>
            <w:tcBorders>
              <w:bottom w:val="single" w:sz="8" w:color="0075C9"/>
            </w:tcBorders>
          </w:tcPr>
          <w:p>
            <w:pPr>
              <w:ind w:left="600"/>
              <w:spacing w:after="0"/>
              <w:rPr>
                <w:sz w:val="20"/>
                <w:szCs w:val="20"/>
                <w:color w:val="auto"/>
              </w:rPr>
            </w:pPr>
            <w:r>
              <w:rPr>
                <w:rFonts w:ascii="Arial" w:cs="Arial" w:eastAsia="Arial" w:hAnsi="Arial"/>
                <w:sz w:val="14"/>
                <w:szCs w:val="14"/>
                <w:b w:val="1"/>
                <w:bCs w:val="1"/>
                <w:color w:val="0075C9"/>
              </w:rPr>
              <w:t>Base Salary</w:t>
            </w:r>
          </w:p>
        </w:tc>
        <w:tc>
          <w:tcPr>
            <w:tcW w:w="568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Rationale for Action</w:t>
            </w:r>
          </w:p>
        </w:tc>
        <w:tc>
          <w:tcPr>
            <w:tcW w:w="20" w:type="dxa"/>
            <w:vAlign w:val="bottom"/>
            <w:tcBorders>
              <w:bottom w:val="single" w:sz="8" w:color="0075C9"/>
            </w:tcBorders>
          </w:tcPr>
          <w:p>
            <w:pPr>
              <w:spacing w:after="0"/>
              <w:rPr>
                <w:sz w:val="15"/>
                <w:szCs w:val="15"/>
                <w:color w:val="auto"/>
              </w:rPr>
            </w:pPr>
          </w:p>
        </w:tc>
      </w:tr>
      <w:tr>
        <w:trPr>
          <w:trHeight w:val="156"/>
        </w:trPr>
        <w:tc>
          <w:tcPr>
            <w:tcW w:w="1860" w:type="dxa"/>
            <w:vAlign w:val="bottom"/>
            <w:shd w:val="clear" w:color="auto" w:fill="EBEBEC"/>
          </w:tcPr>
          <w:p>
            <w:pPr>
              <w:ind w:left="20"/>
              <w:spacing w:after="0" w:line="155" w:lineRule="exact"/>
              <w:rPr>
                <w:sz w:val="20"/>
                <w:szCs w:val="20"/>
                <w:color w:val="auto"/>
              </w:rPr>
            </w:pPr>
            <w:r>
              <w:rPr>
                <w:rFonts w:ascii="Arial" w:cs="Arial" w:eastAsia="Arial" w:hAnsi="Arial"/>
                <w:sz w:val="14"/>
                <w:szCs w:val="14"/>
                <w:b w:val="1"/>
                <w:bCs w:val="1"/>
                <w:color w:val="0075C9"/>
              </w:rPr>
              <w:t>Todd A. Stevens</w:t>
            </w:r>
          </w:p>
        </w:tc>
        <w:tc>
          <w:tcPr>
            <w:tcW w:w="164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$875,000</w:t>
            </w:r>
          </w:p>
        </w:tc>
        <w:tc>
          <w:tcPr>
            <w:tcW w:w="206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$875,000</w:t>
            </w:r>
          </w:p>
        </w:tc>
        <w:tc>
          <w:tcPr>
            <w:tcW w:w="5680" w:type="dxa"/>
            <w:vAlign w:val="bottom"/>
            <w:shd w:val="clear" w:color="auto" w:fill="EBEBEC"/>
          </w:tcPr>
          <w:p>
            <w:pPr>
              <w:ind w:left="160"/>
              <w:spacing w:after="0" w:line="155" w:lineRule="exact"/>
              <w:rPr>
                <w:sz w:val="20"/>
                <w:szCs w:val="20"/>
                <w:color w:val="auto"/>
              </w:rPr>
            </w:pPr>
            <w:r>
              <w:rPr>
                <w:rFonts w:ascii="Arial" w:cs="Arial" w:eastAsia="Arial" w:hAnsi="Arial"/>
                <w:sz w:val="14"/>
                <w:szCs w:val="14"/>
                <w:color w:val="auto"/>
              </w:rPr>
              <w:t>Well positioned internally and against peer group</w:t>
            </w:r>
          </w:p>
        </w:tc>
        <w:tc>
          <w:tcPr>
            <w:tcW w:w="20" w:type="dxa"/>
            <w:vAlign w:val="bottom"/>
          </w:tcPr>
          <w:p>
            <w:pPr>
              <w:spacing w:after="0"/>
              <w:rPr>
                <w:sz w:val="13"/>
                <w:szCs w:val="13"/>
                <w:color w:val="auto"/>
              </w:rPr>
            </w:pPr>
          </w:p>
        </w:tc>
      </w:tr>
      <w:tr>
        <w:trPr>
          <w:trHeight w:val="175"/>
        </w:trPr>
        <w:tc>
          <w:tcPr>
            <w:tcW w:w="18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c>
          <w:tcPr>
            <w:tcW w:w="20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c>
          <w:tcPr>
            <w:tcW w:w="56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Well positioned internally and against peer group</w:t>
            </w:r>
          </w:p>
        </w:tc>
        <w:tc>
          <w:tcPr>
            <w:tcW w:w="20" w:type="dxa"/>
            <w:vAlign w:val="bottom"/>
          </w:tcPr>
          <w:p>
            <w:pPr>
              <w:spacing w:after="0"/>
              <w:rPr>
                <w:sz w:val="15"/>
                <w:szCs w:val="15"/>
                <w:color w:val="auto"/>
              </w:rPr>
            </w:pPr>
          </w:p>
        </w:tc>
      </w:tr>
      <w:tr>
        <w:trPr>
          <w:trHeight w:val="176"/>
        </w:trPr>
        <w:tc>
          <w:tcPr>
            <w:tcW w:w="18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$450,000</w:t>
            </w:r>
          </w:p>
        </w:tc>
        <w:tc>
          <w:tcPr>
            <w:tcW w:w="20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$450,000</w:t>
            </w:r>
          </w:p>
        </w:tc>
        <w:tc>
          <w:tcPr>
            <w:tcW w:w="56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Well positioned internally and against peer group</w:t>
            </w:r>
          </w:p>
        </w:tc>
        <w:tc>
          <w:tcPr>
            <w:tcW w:w="20" w:type="dxa"/>
            <w:vAlign w:val="bottom"/>
          </w:tcPr>
          <w:p>
            <w:pPr>
              <w:spacing w:after="0"/>
              <w:rPr>
                <w:sz w:val="15"/>
                <w:szCs w:val="15"/>
                <w:color w:val="auto"/>
              </w:rPr>
            </w:pPr>
          </w:p>
        </w:tc>
      </w:tr>
      <w:tr>
        <w:trPr>
          <w:trHeight w:val="176"/>
        </w:trPr>
        <w:tc>
          <w:tcPr>
            <w:tcW w:w="18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$440,000</w:t>
            </w:r>
          </w:p>
        </w:tc>
        <w:tc>
          <w:tcPr>
            <w:tcW w:w="20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$440,000</w:t>
            </w:r>
          </w:p>
        </w:tc>
        <w:tc>
          <w:tcPr>
            <w:tcW w:w="56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Well positioned internally and against peer group</w:t>
            </w:r>
          </w:p>
        </w:tc>
        <w:tc>
          <w:tcPr>
            <w:tcW w:w="20" w:type="dxa"/>
            <w:vAlign w:val="bottom"/>
          </w:tcPr>
          <w:p>
            <w:pPr>
              <w:spacing w:after="0"/>
              <w:rPr>
                <w:sz w:val="15"/>
                <w:szCs w:val="15"/>
                <w:color w:val="auto"/>
              </w:rPr>
            </w:pPr>
          </w:p>
        </w:tc>
      </w:tr>
      <w:tr>
        <w:trPr>
          <w:trHeight w:val="175"/>
        </w:trPr>
        <w:tc>
          <w:tcPr>
            <w:tcW w:w="186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$440,000</w:t>
            </w:r>
          </w:p>
        </w:tc>
        <w:tc>
          <w:tcPr>
            <w:tcW w:w="206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4"/>
              </w:rPr>
              <w:t>-</w:t>
            </w:r>
          </w:p>
        </w:tc>
        <w:tc>
          <w:tcPr>
            <w:tcW w:w="56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Scope of responsibilities and internal alignment</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40575" cy="5657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0575" cy="56578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Annual Incentive Design</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annual incentive component of our 2019 compensation program was designed to promote the achievement of financial, operating and strategic results that are aligned with creation of stockholder value. Based on feedback from stockholders to reduce the qualitative portion of the award, the performance measures were comprised of quantitative financial and operational measures for 80% of the target annual incentive and qualitative individual objective measures for 20% of the target annual incentive.</w:t>
      </w:r>
    </w:p>
    <w:p>
      <w:pPr>
        <w:spacing w:after="0" w:line="205"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Aligning performance criteria with our strategic areas of focus for the year, the Compensation Committee approved performance measures designed to encourage decision making that will enhance stockholder value creation. The Compensation Committee approved performance criteria based on expected results under CRC’s business plan at the time they were established in February 2019. Target performance criteria were set at levels that would represent successful execution of the 2019 business plan, and maximum performance criteria were set at levels that would represent significant outperformance against the 2019 business plan. Performance targets were set at more rigorous levels than prior years for VCI, EBITDAX and Debt.</w:t>
      </w:r>
    </w:p>
    <w:p>
      <w:pPr>
        <w:spacing w:after="0" w:line="205"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47" w:name="page48"/>
    <w:bookmarkEnd w:id="4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Compensation Discussion and Analysis</w:t>
      </w:r>
    </w:p>
    <w:p>
      <w:pPr>
        <w:spacing w:after="0" w:line="21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table below provides the weightings for each performance measure and the threshold, target, and maximum performance criteria as established by the Compensation Committee. Also shown in the table are the actual 2019 results under each quantitative performance measure and the resulting percentage of target bonus payout.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2280" w:type="dxa"/>
            <w:vAlign w:val="bottom"/>
            <w:shd w:val="clear" w:color="auto" w:fill="0075C9"/>
          </w:tcPr>
          <w:p>
            <w:pPr>
              <w:spacing w:after="0"/>
              <w:rPr>
                <w:sz w:val="24"/>
                <w:szCs w:val="24"/>
                <w:color w:val="auto"/>
              </w:rPr>
            </w:pPr>
          </w:p>
        </w:tc>
        <w:tc>
          <w:tcPr>
            <w:tcW w:w="360" w:type="dxa"/>
            <w:vAlign w:val="bottom"/>
            <w:shd w:val="clear" w:color="auto" w:fill="0075C9"/>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360" w:type="dxa"/>
            <w:vAlign w:val="bottom"/>
            <w:shd w:val="clear" w:color="auto" w:fill="0075C9"/>
          </w:tcPr>
          <w:p>
            <w:pPr>
              <w:spacing w:after="0"/>
              <w:rPr>
                <w:sz w:val="24"/>
                <w:szCs w:val="24"/>
                <w:color w:val="auto"/>
              </w:rPr>
            </w:pPr>
          </w:p>
        </w:tc>
        <w:tc>
          <w:tcPr>
            <w:tcW w:w="960" w:type="dxa"/>
            <w:vAlign w:val="bottom"/>
            <w:shd w:val="clear" w:color="auto" w:fill="0075C9"/>
          </w:tcPr>
          <w:p>
            <w:pPr>
              <w:spacing w:after="0"/>
              <w:rPr>
                <w:sz w:val="24"/>
                <w:szCs w:val="24"/>
                <w:color w:val="auto"/>
              </w:rPr>
            </w:pPr>
          </w:p>
        </w:tc>
        <w:tc>
          <w:tcPr>
            <w:tcW w:w="180" w:type="dxa"/>
            <w:vAlign w:val="bottom"/>
            <w:shd w:val="clear" w:color="auto" w:fill="0075C9"/>
          </w:tcPr>
          <w:p>
            <w:pPr>
              <w:spacing w:after="0"/>
              <w:rPr>
                <w:sz w:val="24"/>
                <w:szCs w:val="24"/>
                <w:color w:val="auto"/>
              </w:rPr>
            </w:pPr>
          </w:p>
        </w:tc>
        <w:tc>
          <w:tcPr>
            <w:tcW w:w="1280" w:type="dxa"/>
            <w:vAlign w:val="bottom"/>
            <w:shd w:val="clear" w:color="auto" w:fill="0075C9"/>
          </w:tcPr>
          <w:p>
            <w:pPr>
              <w:spacing w:after="0"/>
              <w:rPr>
                <w:sz w:val="24"/>
                <w:szCs w:val="24"/>
                <w:color w:val="auto"/>
              </w:rPr>
            </w:pPr>
          </w:p>
        </w:tc>
        <w:tc>
          <w:tcPr>
            <w:tcW w:w="1260" w:type="dxa"/>
            <w:vAlign w:val="bottom"/>
            <w:shd w:val="clear" w:color="auto" w:fill="0075C9"/>
          </w:tcPr>
          <w:p>
            <w:pPr>
              <w:spacing w:after="0"/>
              <w:rPr>
                <w:sz w:val="24"/>
                <w:szCs w:val="24"/>
                <w:color w:val="auto"/>
              </w:rPr>
            </w:pPr>
          </w:p>
        </w:tc>
        <w:tc>
          <w:tcPr>
            <w:tcW w:w="1220" w:type="dxa"/>
            <w:vAlign w:val="bottom"/>
            <w:shd w:val="clear" w:color="auto" w:fill="0075C9"/>
          </w:tcPr>
          <w:p>
            <w:pPr>
              <w:spacing w:after="0"/>
              <w:rPr>
                <w:sz w:val="24"/>
                <w:szCs w:val="24"/>
                <w:color w:val="auto"/>
              </w:rPr>
            </w:pPr>
          </w:p>
        </w:tc>
        <w:tc>
          <w:tcPr>
            <w:tcW w:w="1400" w:type="dxa"/>
            <w:vAlign w:val="bottom"/>
            <w:gridSpan w:val="3"/>
            <w:shd w:val="clear" w:color="auto" w:fill="0075C9"/>
          </w:tcPr>
          <w:p>
            <w:pPr>
              <w:jc w:val="center"/>
              <w:spacing w:after="0"/>
              <w:rPr>
                <w:sz w:val="20"/>
                <w:szCs w:val="20"/>
                <w:color w:val="auto"/>
              </w:rPr>
            </w:pPr>
            <w:r>
              <w:rPr>
                <w:rFonts w:ascii="Arial" w:cs="Arial" w:eastAsia="Arial" w:hAnsi="Arial"/>
                <w:sz w:val="14"/>
                <w:szCs w:val="14"/>
                <w:b w:val="1"/>
                <w:bCs w:val="1"/>
                <w:color w:val="FFFFFF"/>
              </w:rPr>
              <w:t>Component</w:t>
            </w:r>
          </w:p>
        </w:tc>
        <w:tc>
          <w:tcPr>
            <w:tcW w:w="480" w:type="dxa"/>
            <w:vAlign w:val="bottom"/>
            <w:shd w:val="clear" w:color="auto" w:fill="0075C9"/>
          </w:tcPr>
          <w:p>
            <w:pPr>
              <w:spacing w:after="0"/>
              <w:rPr>
                <w:sz w:val="24"/>
                <w:szCs w:val="24"/>
                <w:color w:val="auto"/>
              </w:rPr>
            </w:pPr>
          </w:p>
        </w:tc>
        <w:tc>
          <w:tcPr>
            <w:tcW w:w="120" w:type="dxa"/>
            <w:vAlign w:val="bottom"/>
            <w:shd w:val="clear" w:color="auto" w:fill="0075C9"/>
          </w:tcPr>
          <w:p>
            <w:pPr>
              <w:spacing w:after="0"/>
              <w:rPr>
                <w:sz w:val="24"/>
                <w:szCs w:val="24"/>
                <w:color w:val="auto"/>
              </w:rPr>
            </w:pPr>
          </w:p>
        </w:tc>
        <w:tc>
          <w:tcPr>
            <w:tcW w:w="400" w:type="dxa"/>
            <w:vAlign w:val="bottom"/>
            <w:shd w:val="clear" w:color="auto" w:fill="0075C9"/>
          </w:tcPr>
          <w:p>
            <w:pPr>
              <w:spacing w:after="0"/>
              <w:rPr>
                <w:sz w:val="24"/>
                <w:szCs w:val="24"/>
                <w:color w:val="auto"/>
              </w:rPr>
            </w:pPr>
          </w:p>
        </w:tc>
        <w:tc>
          <w:tcPr>
            <w:tcW w:w="100" w:type="dxa"/>
            <w:vAlign w:val="bottom"/>
            <w:shd w:val="clear" w:color="auto" w:fill="0075C9"/>
          </w:tcPr>
          <w:p>
            <w:pPr>
              <w:spacing w:after="0"/>
              <w:rPr>
                <w:sz w:val="24"/>
                <w:szCs w:val="24"/>
                <w:color w:val="auto"/>
              </w:rPr>
            </w:pPr>
          </w:p>
        </w:tc>
        <w:tc>
          <w:tcPr>
            <w:tcW w:w="56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0075C9"/>
          </w:tcPr>
          <w:p>
            <w:pPr>
              <w:spacing w:after="0"/>
              <w:rPr>
                <w:sz w:val="14"/>
                <w:szCs w:val="14"/>
                <w:color w:val="auto"/>
              </w:rPr>
            </w:pPr>
          </w:p>
        </w:tc>
        <w:tc>
          <w:tcPr>
            <w:tcW w:w="1000" w:type="dxa"/>
            <w:vAlign w:val="bottom"/>
            <w:gridSpan w:val="3"/>
            <w:shd w:val="clear" w:color="auto" w:fill="0075C9"/>
          </w:tcPr>
          <w:p>
            <w:pPr>
              <w:jc w:val="center"/>
              <w:spacing w:after="0"/>
              <w:rPr>
                <w:sz w:val="20"/>
                <w:szCs w:val="20"/>
                <w:color w:val="auto"/>
              </w:rPr>
            </w:pPr>
            <w:r>
              <w:rPr>
                <w:rFonts w:ascii="Arial" w:cs="Arial" w:eastAsia="Arial" w:hAnsi="Arial"/>
                <w:sz w:val="14"/>
                <w:szCs w:val="14"/>
                <w:b w:val="1"/>
                <w:bCs w:val="1"/>
                <w:color w:val="FFFFFF"/>
              </w:rPr>
              <w:t>Component</w:t>
            </w:r>
          </w:p>
        </w:tc>
        <w:tc>
          <w:tcPr>
            <w:tcW w:w="960" w:type="dxa"/>
            <w:vAlign w:val="bottom"/>
            <w:shd w:val="clear" w:color="auto" w:fill="0075C9"/>
          </w:tcPr>
          <w:p>
            <w:pPr>
              <w:spacing w:after="0"/>
              <w:rPr>
                <w:sz w:val="14"/>
                <w:szCs w:val="14"/>
                <w:color w:val="auto"/>
              </w:rPr>
            </w:pPr>
          </w:p>
        </w:tc>
        <w:tc>
          <w:tcPr>
            <w:tcW w:w="180" w:type="dxa"/>
            <w:vAlign w:val="bottom"/>
            <w:shd w:val="clear" w:color="auto" w:fill="0075C9"/>
          </w:tcPr>
          <w:p>
            <w:pPr>
              <w:spacing w:after="0"/>
              <w:rPr>
                <w:sz w:val="14"/>
                <w:szCs w:val="14"/>
                <w:color w:val="auto"/>
              </w:rPr>
            </w:pPr>
          </w:p>
        </w:tc>
        <w:tc>
          <w:tcPr>
            <w:tcW w:w="1280" w:type="dxa"/>
            <w:vAlign w:val="bottom"/>
            <w:shd w:val="clear" w:color="auto" w:fill="0075C9"/>
          </w:tcPr>
          <w:p>
            <w:pPr>
              <w:spacing w:after="0"/>
              <w:rPr>
                <w:sz w:val="14"/>
                <w:szCs w:val="14"/>
                <w:color w:val="auto"/>
              </w:rPr>
            </w:pPr>
          </w:p>
        </w:tc>
        <w:tc>
          <w:tcPr>
            <w:tcW w:w="1260" w:type="dxa"/>
            <w:vAlign w:val="bottom"/>
            <w:shd w:val="clear" w:color="auto" w:fill="0075C9"/>
          </w:tcPr>
          <w:p>
            <w:pPr>
              <w:spacing w:after="0"/>
              <w:rPr>
                <w:sz w:val="14"/>
                <w:szCs w:val="14"/>
                <w:color w:val="auto"/>
              </w:rPr>
            </w:pPr>
          </w:p>
        </w:tc>
        <w:tc>
          <w:tcPr>
            <w:tcW w:w="1220" w:type="dxa"/>
            <w:vAlign w:val="bottom"/>
            <w:shd w:val="clear" w:color="auto" w:fill="0075C9"/>
          </w:tcPr>
          <w:p>
            <w:pPr>
              <w:spacing w:after="0"/>
              <w:rPr>
                <w:sz w:val="14"/>
                <w:szCs w:val="14"/>
                <w:color w:val="auto"/>
              </w:rPr>
            </w:pPr>
          </w:p>
        </w:tc>
        <w:tc>
          <w:tcPr>
            <w:tcW w:w="1400" w:type="dxa"/>
            <w:vAlign w:val="bottom"/>
            <w:gridSpan w:val="3"/>
            <w:shd w:val="clear" w:color="auto" w:fill="0075C9"/>
          </w:tcPr>
          <w:p>
            <w:pPr>
              <w:jc w:val="center"/>
              <w:spacing w:after="0"/>
              <w:rPr>
                <w:sz w:val="20"/>
                <w:szCs w:val="20"/>
                <w:color w:val="auto"/>
              </w:rPr>
            </w:pPr>
            <w:r>
              <w:rPr>
                <w:rFonts w:ascii="Arial" w:cs="Arial" w:eastAsia="Arial" w:hAnsi="Arial"/>
                <w:sz w:val="14"/>
                <w:szCs w:val="14"/>
                <w:b w:val="1"/>
                <w:bCs w:val="1"/>
                <w:color w:val="FFFFFF"/>
              </w:rPr>
              <w:t>Payout as Percent</w:t>
            </w:r>
          </w:p>
        </w:tc>
        <w:tc>
          <w:tcPr>
            <w:tcW w:w="1660" w:type="dxa"/>
            <w:vAlign w:val="bottom"/>
            <w:gridSpan w:val="5"/>
            <w:shd w:val="clear" w:color="auto" w:fill="0075C9"/>
          </w:tcPr>
          <w:p>
            <w:pPr>
              <w:jc w:val="center"/>
              <w:ind w:right="60"/>
              <w:spacing w:after="0"/>
              <w:rPr>
                <w:sz w:val="20"/>
                <w:szCs w:val="20"/>
                <w:color w:val="auto"/>
              </w:rPr>
            </w:pPr>
            <w:r>
              <w:rPr>
                <w:rFonts w:ascii="Arial" w:cs="Arial" w:eastAsia="Arial" w:hAnsi="Arial"/>
                <w:sz w:val="14"/>
                <w:szCs w:val="14"/>
                <w:b w:val="1"/>
                <w:bCs w:val="1"/>
                <w:color w:val="FFFFFF"/>
              </w:rPr>
              <w:t>Resulting % of Target</w:t>
            </w:r>
          </w:p>
        </w:tc>
        <w:tc>
          <w:tcPr>
            <w:tcW w:w="0" w:type="dxa"/>
            <w:vAlign w:val="bottom"/>
          </w:tcPr>
          <w:p>
            <w:pPr>
              <w:spacing w:after="0"/>
              <w:rPr>
                <w:sz w:val="1"/>
                <w:szCs w:val="1"/>
                <w:color w:val="auto"/>
              </w:rPr>
            </w:pPr>
          </w:p>
        </w:tc>
      </w:tr>
      <w:tr>
        <w:trPr>
          <w:trHeight w:val="175"/>
        </w:trPr>
        <w:tc>
          <w:tcPr>
            <w:tcW w:w="2280" w:type="dxa"/>
            <w:vAlign w:val="bottom"/>
            <w:shd w:val="clear" w:color="auto" w:fill="0075C9"/>
          </w:tcPr>
          <w:p>
            <w:pPr>
              <w:ind w:left="60"/>
              <w:spacing w:after="0"/>
              <w:rPr>
                <w:sz w:val="20"/>
                <w:szCs w:val="20"/>
                <w:color w:val="auto"/>
              </w:rPr>
            </w:pPr>
            <w:r>
              <w:rPr>
                <w:rFonts w:ascii="Arial" w:cs="Arial" w:eastAsia="Arial" w:hAnsi="Arial"/>
                <w:sz w:val="14"/>
                <w:szCs w:val="14"/>
                <w:b w:val="1"/>
                <w:bCs w:val="1"/>
                <w:color w:val="FFFFFF"/>
              </w:rPr>
              <w:t>Performance</w:t>
            </w:r>
          </w:p>
        </w:tc>
        <w:tc>
          <w:tcPr>
            <w:tcW w:w="1000" w:type="dxa"/>
            <w:vAlign w:val="bottom"/>
            <w:gridSpan w:val="3"/>
            <w:shd w:val="clear" w:color="auto" w:fill="0075C9"/>
          </w:tcPr>
          <w:p>
            <w:pPr>
              <w:jc w:val="center"/>
              <w:spacing w:after="0"/>
              <w:rPr>
                <w:sz w:val="20"/>
                <w:szCs w:val="20"/>
                <w:color w:val="auto"/>
              </w:rPr>
            </w:pPr>
            <w:r>
              <w:rPr>
                <w:rFonts w:ascii="Arial" w:cs="Arial" w:eastAsia="Arial" w:hAnsi="Arial"/>
                <w:sz w:val="14"/>
                <w:szCs w:val="14"/>
                <w:b w:val="1"/>
                <w:bCs w:val="1"/>
                <w:color w:val="FFFFFF"/>
              </w:rPr>
              <w:t>Weighting</w:t>
            </w:r>
          </w:p>
        </w:tc>
        <w:tc>
          <w:tcPr>
            <w:tcW w:w="1140" w:type="dxa"/>
            <w:vAlign w:val="bottom"/>
            <w:gridSpan w:val="2"/>
            <w:shd w:val="clear" w:color="auto" w:fill="0075C9"/>
          </w:tcPr>
          <w:p>
            <w:pPr>
              <w:jc w:val="center"/>
              <w:spacing w:after="0"/>
              <w:rPr>
                <w:sz w:val="20"/>
                <w:szCs w:val="20"/>
                <w:color w:val="auto"/>
              </w:rPr>
            </w:pPr>
            <w:r>
              <w:rPr>
                <w:rFonts w:ascii="Arial" w:cs="Arial" w:eastAsia="Arial" w:hAnsi="Arial"/>
                <w:sz w:val="14"/>
                <w:szCs w:val="14"/>
                <w:b w:val="1"/>
                <w:bCs w:val="1"/>
                <w:color w:val="FFFFFF"/>
              </w:rPr>
              <w:t xml:space="preserve">Threshold </w:t>
            </w:r>
            <w:r>
              <w:rPr>
                <w:rFonts w:ascii="Arial" w:cs="Arial" w:eastAsia="Arial" w:hAnsi="Arial"/>
                <w:sz w:val="12"/>
                <w:szCs w:val="12"/>
                <w:b w:val="1"/>
                <w:bCs w:val="1"/>
                <w:color w:val="FFFFFF"/>
              </w:rPr>
              <w:t>(50%</w:t>
            </w:r>
          </w:p>
        </w:tc>
        <w:tc>
          <w:tcPr>
            <w:tcW w:w="1280" w:type="dxa"/>
            <w:vAlign w:val="bottom"/>
            <w:shd w:val="clear" w:color="auto" w:fill="0075C9"/>
          </w:tcPr>
          <w:p>
            <w:pPr>
              <w:jc w:val="center"/>
              <w:ind w:right="9"/>
              <w:spacing w:after="0"/>
              <w:rPr>
                <w:sz w:val="20"/>
                <w:szCs w:val="20"/>
                <w:color w:val="auto"/>
              </w:rPr>
            </w:pPr>
            <w:r>
              <w:rPr>
                <w:rFonts w:ascii="Arial" w:cs="Arial" w:eastAsia="Arial" w:hAnsi="Arial"/>
                <w:sz w:val="14"/>
                <w:szCs w:val="14"/>
                <w:b w:val="1"/>
                <w:bCs w:val="1"/>
                <w:color w:val="FFFFFF"/>
              </w:rPr>
              <w:t>Target</w:t>
            </w:r>
          </w:p>
        </w:tc>
        <w:tc>
          <w:tcPr>
            <w:tcW w:w="1260" w:type="dxa"/>
            <w:vAlign w:val="bottom"/>
            <w:shd w:val="clear" w:color="auto" w:fill="0075C9"/>
          </w:tcPr>
          <w:p>
            <w:pPr>
              <w:jc w:val="center"/>
              <w:ind w:left="9"/>
              <w:spacing w:after="0"/>
              <w:rPr>
                <w:sz w:val="20"/>
                <w:szCs w:val="20"/>
                <w:color w:val="auto"/>
              </w:rPr>
            </w:pPr>
            <w:r>
              <w:rPr>
                <w:rFonts w:ascii="Arial" w:cs="Arial" w:eastAsia="Arial" w:hAnsi="Arial"/>
                <w:sz w:val="14"/>
                <w:szCs w:val="14"/>
                <w:b w:val="1"/>
                <w:bCs w:val="1"/>
                <w:color w:val="FFFFFF"/>
              </w:rPr>
              <w:t>Maximum</w:t>
            </w:r>
          </w:p>
        </w:tc>
        <w:tc>
          <w:tcPr>
            <w:tcW w:w="1220" w:type="dxa"/>
            <w:vAlign w:val="bottom"/>
            <w:vMerge w:val="restart"/>
            <w:shd w:val="clear" w:color="auto" w:fill="0075C9"/>
          </w:tcPr>
          <w:p>
            <w:pPr>
              <w:ind w:left="280"/>
              <w:spacing w:after="0"/>
              <w:rPr>
                <w:sz w:val="20"/>
                <w:szCs w:val="20"/>
                <w:color w:val="auto"/>
              </w:rPr>
            </w:pPr>
            <w:r>
              <w:rPr>
                <w:rFonts w:ascii="Arial" w:cs="Arial" w:eastAsia="Arial" w:hAnsi="Arial"/>
                <w:sz w:val="14"/>
                <w:szCs w:val="14"/>
                <w:b w:val="1"/>
                <w:bCs w:val="1"/>
                <w:color w:val="FFFFFF"/>
              </w:rPr>
              <w:t>2019 Results</w:t>
            </w:r>
          </w:p>
        </w:tc>
        <w:tc>
          <w:tcPr>
            <w:tcW w:w="1400" w:type="dxa"/>
            <w:vAlign w:val="bottom"/>
            <w:gridSpan w:val="3"/>
            <w:shd w:val="clear" w:color="auto" w:fill="0075C9"/>
          </w:tcPr>
          <w:p>
            <w:pPr>
              <w:jc w:val="center"/>
              <w:spacing w:after="0"/>
              <w:rPr>
                <w:sz w:val="20"/>
                <w:szCs w:val="20"/>
                <w:color w:val="auto"/>
              </w:rPr>
            </w:pPr>
            <w:r>
              <w:rPr>
                <w:rFonts w:ascii="Arial" w:cs="Arial" w:eastAsia="Arial" w:hAnsi="Arial"/>
                <w:sz w:val="14"/>
                <w:szCs w:val="14"/>
                <w:b w:val="1"/>
                <w:bCs w:val="1"/>
                <w:color w:val="FFFFFF"/>
              </w:rPr>
              <w:t>of Target</w:t>
            </w:r>
          </w:p>
        </w:tc>
        <w:tc>
          <w:tcPr>
            <w:tcW w:w="1660" w:type="dxa"/>
            <w:vAlign w:val="bottom"/>
            <w:gridSpan w:val="5"/>
            <w:shd w:val="clear" w:color="auto" w:fill="0075C9"/>
          </w:tcPr>
          <w:p>
            <w:pPr>
              <w:jc w:val="center"/>
              <w:ind w:right="100"/>
              <w:spacing w:after="0"/>
              <w:rPr>
                <w:sz w:val="20"/>
                <w:szCs w:val="20"/>
                <w:color w:val="auto"/>
              </w:rPr>
            </w:pPr>
            <w:r>
              <w:rPr>
                <w:rFonts w:ascii="Arial" w:cs="Arial" w:eastAsia="Arial" w:hAnsi="Arial"/>
                <w:sz w:val="14"/>
                <w:szCs w:val="14"/>
                <w:b w:val="1"/>
                <w:bCs w:val="1"/>
                <w:color w:val="FFFFFF"/>
              </w:rPr>
              <w:t>Bonus Payout</w:t>
            </w:r>
          </w:p>
        </w:tc>
        <w:tc>
          <w:tcPr>
            <w:tcW w:w="0" w:type="dxa"/>
            <w:vAlign w:val="bottom"/>
          </w:tcPr>
          <w:p>
            <w:pPr>
              <w:spacing w:after="0"/>
              <w:rPr>
                <w:sz w:val="1"/>
                <w:szCs w:val="1"/>
                <w:color w:val="auto"/>
              </w:rPr>
            </w:pPr>
          </w:p>
        </w:tc>
      </w:tr>
      <w:tr>
        <w:trPr>
          <w:trHeight w:val="162"/>
        </w:trPr>
        <w:tc>
          <w:tcPr>
            <w:tcW w:w="2280" w:type="dxa"/>
            <w:vAlign w:val="bottom"/>
            <w:shd w:val="clear" w:color="auto" w:fill="0075C9"/>
          </w:tcPr>
          <w:p>
            <w:pPr>
              <w:ind w:left="60"/>
              <w:spacing w:after="0"/>
              <w:rPr>
                <w:sz w:val="20"/>
                <w:szCs w:val="20"/>
                <w:color w:val="auto"/>
              </w:rPr>
            </w:pPr>
            <w:r>
              <w:rPr>
                <w:rFonts w:ascii="Arial" w:cs="Arial" w:eastAsia="Arial" w:hAnsi="Arial"/>
                <w:sz w:val="14"/>
                <w:szCs w:val="14"/>
                <w:b w:val="1"/>
                <w:bCs w:val="1"/>
                <w:color w:val="FFFFFF"/>
              </w:rPr>
              <w:t>Measure (1)</w:t>
            </w:r>
          </w:p>
        </w:tc>
        <w:tc>
          <w:tcPr>
            <w:tcW w:w="360" w:type="dxa"/>
            <w:vAlign w:val="bottom"/>
            <w:shd w:val="clear" w:color="auto" w:fill="0075C9"/>
          </w:tcPr>
          <w:p>
            <w:pPr>
              <w:spacing w:after="0"/>
              <w:rPr>
                <w:sz w:val="14"/>
                <w:szCs w:val="14"/>
                <w:color w:val="auto"/>
              </w:rPr>
            </w:pPr>
          </w:p>
        </w:tc>
        <w:tc>
          <w:tcPr>
            <w:tcW w:w="640" w:type="dxa"/>
            <w:vAlign w:val="bottom"/>
            <w:gridSpan w:val="2"/>
            <w:shd w:val="clear" w:color="auto" w:fill="0075C9"/>
          </w:tcPr>
          <w:p>
            <w:pPr>
              <w:jc w:val="center"/>
              <w:ind w:right="340"/>
              <w:spacing w:after="0"/>
              <w:rPr>
                <w:sz w:val="20"/>
                <w:szCs w:val="20"/>
                <w:color w:val="auto"/>
              </w:rPr>
            </w:pPr>
            <w:r>
              <w:rPr>
                <w:rFonts w:ascii="Arial" w:cs="Arial" w:eastAsia="Arial" w:hAnsi="Arial"/>
                <w:sz w:val="14"/>
                <w:szCs w:val="14"/>
                <w:b w:val="1"/>
                <w:bCs w:val="1"/>
                <w:color w:val="FFFFFF"/>
              </w:rPr>
              <w:t>(a)</w:t>
            </w:r>
          </w:p>
        </w:tc>
        <w:tc>
          <w:tcPr>
            <w:tcW w:w="960" w:type="dxa"/>
            <w:vAlign w:val="bottom"/>
            <w:shd w:val="clear" w:color="auto" w:fill="0075C9"/>
          </w:tcPr>
          <w:p>
            <w:pPr>
              <w:jc w:val="center"/>
              <w:ind w:left="109"/>
              <w:spacing w:after="0"/>
              <w:rPr>
                <w:sz w:val="20"/>
                <w:szCs w:val="20"/>
                <w:color w:val="auto"/>
              </w:rPr>
            </w:pPr>
            <w:r>
              <w:rPr>
                <w:rFonts w:ascii="Arial" w:cs="Arial" w:eastAsia="Arial" w:hAnsi="Arial"/>
                <w:sz w:val="13"/>
                <w:szCs w:val="13"/>
                <w:b w:val="1"/>
                <w:bCs w:val="1"/>
                <w:color w:val="FFFFFF"/>
                <w:w w:val="96"/>
              </w:rPr>
              <w:t>Payout)</w:t>
            </w:r>
          </w:p>
        </w:tc>
        <w:tc>
          <w:tcPr>
            <w:tcW w:w="180" w:type="dxa"/>
            <w:vAlign w:val="bottom"/>
            <w:shd w:val="clear" w:color="auto" w:fill="0075C9"/>
          </w:tcPr>
          <w:p>
            <w:pPr>
              <w:spacing w:after="0"/>
              <w:rPr>
                <w:sz w:val="14"/>
                <w:szCs w:val="14"/>
                <w:color w:val="auto"/>
              </w:rPr>
            </w:pPr>
          </w:p>
        </w:tc>
        <w:tc>
          <w:tcPr>
            <w:tcW w:w="1280" w:type="dxa"/>
            <w:vAlign w:val="bottom"/>
            <w:shd w:val="clear" w:color="auto" w:fill="0075C9"/>
          </w:tcPr>
          <w:p>
            <w:pPr>
              <w:jc w:val="center"/>
              <w:ind w:right="29"/>
              <w:spacing w:after="0"/>
              <w:rPr>
                <w:sz w:val="20"/>
                <w:szCs w:val="20"/>
                <w:color w:val="auto"/>
              </w:rPr>
            </w:pPr>
            <w:r>
              <w:rPr>
                <w:rFonts w:ascii="Arial" w:cs="Arial" w:eastAsia="Arial" w:hAnsi="Arial"/>
                <w:sz w:val="13"/>
                <w:szCs w:val="13"/>
                <w:b w:val="1"/>
                <w:bCs w:val="1"/>
                <w:color w:val="FFFFFF"/>
                <w:w w:val="96"/>
              </w:rPr>
              <w:t>(100% Payout)</w:t>
            </w:r>
          </w:p>
        </w:tc>
        <w:tc>
          <w:tcPr>
            <w:tcW w:w="1260" w:type="dxa"/>
            <w:vAlign w:val="bottom"/>
            <w:shd w:val="clear" w:color="auto" w:fill="0075C9"/>
          </w:tcPr>
          <w:p>
            <w:pPr>
              <w:jc w:val="center"/>
              <w:ind w:left="9"/>
              <w:spacing w:after="0"/>
              <w:rPr>
                <w:sz w:val="20"/>
                <w:szCs w:val="20"/>
                <w:color w:val="auto"/>
              </w:rPr>
            </w:pPr>
            <w:r>
              <w:rPr>
                <w:rFonts w:ascii="Arial" w:cs="Arial" w:eastAsia="Arial" w:hAnsi="Arial"/>
                <w:sz w:val="13"/>
                <w:szCs w:val="13"/>
                <w:b w:val="1"/>
                <w:bCs w:val="1"/>
                <w:color w:val="FFFFFF"/>
                <w:w w:val="96"/>
              </w:rPr>
              <w:t>(200% Payout)</w:t>
            </w:r>
          </w:p>
        </w:tc>
        <w:tc>
          <w:tcPr>
            <w:tcW w:w="1220" w:type="dxa"/>
            <w:vAlign w:val="bottom"/>
            <w:vMerge w:val="continue"/>
            <w:shd w:val="clear" w:color="auto" w:fill="0075C9"/>
          </w:tcPr>
          <w:p>
            <w:pPr>
              <w:spacing w:after="0"/>
              <w:rPr>
                <w:sz w:val="14"/>
                <w:szCs w:val="14"/>
                <w:color w:val="auto"/>
              </w:rPr>
            </w:pPr>
          </w:p>
        </w:tc>
        <w:tc>
          <w:tcPr>
            <w:tcW w:w="580" w:type="dxa"/>
            <w:vAlign w:val="bottom"/>
            <w:shd w:val="clear" w:color="auto" w:fill="0075C9"/>
          </w:tcPr>
          <w:p>
            <w:pPr>
              <w:spacing w:after="0"/>
              <w:rPr>
                <w:sz w:val="14"/>
                <w:szCs w:val="14"/>
                <w:color w:val="auto"/>
              </w:rPr>
            </w:pPr>
          </w:p>
        </w:tc>
        <w:tc>
          <w:tcPr>
            <w:tcW w:w="820" w:type="dxa"/>
            <w:vAlign w:val="bottom"/>
            <w:gridSpan w:val="2"/>
            <w:shd w:val="clear" w:color="auto" w:fill="0075C9"/>
          </w:tcPr>
          <w:p>
            <w:pPr>
              <w:jc w:val="center"/>
              <w:ind w:right="600"/>
              <w:spacing w:after="0"/>
              <w:rPr>
                <w:sz w:val="20"/>
                <w:szCs w:val="20"/>
                <w:color w:val="auto"/>
              </w:rPr>
            </w:pPr>
            <w:r>
              <w:rPr>
                <w:rFonts w:ascii="Arial" w:cs="Arial" w:eastAsia="Arial" w:hAnsi="Arial"/>
                <w:sz w:val="14"/>
                <w:szCs w:val="14"/>
                <w:b w:val="1"/>
                <w:bCs w:val="1"/>
                <w:color w:val="FFFFFF"/>
              </w:rPr>
              <w:t>(b)</w:t>
            </w:r>
          </w:p>
        </w:tc>
        <w:tc>
          <w:tcPr>
            <w:tcW w:w="480" w:type="dxa"/>
            <w:vAlign w:val="bottom"/>
            <w:shd w:val="clear" w:color="auto" w:fill="0075C9"/>
          </w:tcPr>
          <w:p>
            <w:pPr>
              <w:spacing w:after="0"/>
              <w:rPr>
                <w:sz w:val="14"/>
                <w:szCs w:val="14"/>
                <w:color w:val="auto"/>
              </w:rPr>
            </w:pPr>
          </w:p>
        </w:tc>
        <w:tc>
          <w:tcPr>
            <w:tcW w:w="1180" w:type="dxa"/>
            <w:vAlign w:val="bottom"/>
            <w:gridSpan w:val="4"/>
            <w:shd w:val="clear" w:color="auto" w:fill="0075C9"/>
          </w:tcPr>
          <w:p>
            <w:pPr>
              <w:jc w:val="center"/>
              <w:ind w:right="540"/>
              <w:spacing w:after="0"/>
              <w:rPr>
                <w:sz w:val="20"/>
                <w:szCs w:val="20"/>
                <w:color w:val="auto"/>
              </w:rPr>
            </w:pPr>
            <w:r>
              <w:rPr>
                <w:rFonts w:ascii="Arial" w:cs="Arial" w:eastAsia="Arial" w:hAnsi="Arial"/>
                <w:sz w:val="14"/>
                <w:szCs w:val="14"/>
                <w:b w:val="1"/>
                <w:bCs w:val="1"/>
                <w:color w:val="FFFFFF"/>
              </w:rPr>
              <w:t>(a) x (b)</w:t>
            </w:r>
          </w:p>
        </w:tc>
        <w:tc>
          <w:tcPr>
            <w:tcW w:w="0" w:type="dxa"/>
            <w:vAlign w:val="bottom"/>
          </w:tcPr>
          <w:p>
            <w:pPr>
              <w:spacing w:after="0"/>
              <w:rPr>
                <w:sz w:val="1"/>
                <w:szCs w:val="1"/>
                <w:color w:val="auto"/>
              </w:rPr>
            </w:pPr>
          </w:p>
        </w:tc>
      </w:tr>
      <w:tr>
        <w:trPr>
          <w:trHeight w:val="339"/>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Investment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280" w:type="dxa"/>
            <w:vAlign w:val="bottom"/>
          </w:tcPr>
          <w:p>
            <w:pPr>
              <w:ind w:left="60"/>
              <w:spacing w:after="0"/>
              <w:rPr>
                <w:sz w:val="20"/>
                <w:szCs w:val="20"/>
                <w:color w:val="auto"/>
              </w:rPr>
            </w:pPr>
            <w:r>
              <w:rPr>
                <w:rFonts w:ascii="Arial" w:cs="Arial" w:eastAsia="Arial" w:hAnsi="Arial"/>
                <w:sz w:val="14"/>
                <w:szCs w:val="14"/>
                <w:color w:val="auto"/>
              </w:rPr>
              <w:t>Value Creation Index (VCI)</w:t>
            </w:r>
          </w:p>
        </w:tc>
        <w:tc>
          <w:tcPr>
            <w:tcW w:w="1000" w:type="dxa"/>
            <w:vAlign w:val="bottom"/>
            <w:gridSpan w:val="3"/>
          </w:tcPr>
          <w:p>
            <w:pPr>
              <w:jc w:val="center"/>
              <w:spacing w:after="0"/>
              <w:rPr>
                <w:sz w:val="20"/>
                <w:szCs w:val="20"/>
                <w:color w:val="auto"/>
              </w:rPr>
            </w:pPr>
            <w:r>
              <w:rPr>
                <w:rFonts w:ascii="Arial" w:cs="Arial" w:eastAsia="Arial" w:hAnsi="Arial"/>
                <w:sz w:val="14"/>
                <w:szCs w:val="14"/>
                <w:color w:val="auto"/>
                <w:w w:val="99"/>
              </w:rPr>
              <w:t>25%</w:t>
            </w:r>
          </w:p>
        </w:tc>
        <w:tc>
          <w:tcPr>
            <w:tcW w:w="960" w:type="dxa"/>
            <w:vAlign w:val="bottom"/>
          </w:tcPr>
          <w:p>
            <w:pPr>
              <w:jc w:val="center"/>
              <w:ind w:left="129"/>
              <w:spacing w:after="0"/>
              <w:rPr>
                <w:sz w:val="20"/>
                <w:szCs w:val="20"/>
                <w:color w:val="auto"/>
              </w:rPr>
            </w:pPr>
            <w:r>
              <w:rPr>
                <w:rFonts w:ascii="Arial" w:cs="Arial" w:eastAsia="Arial" w:hAnsi="Arial"/>
                <w:sz w:val="14"/>
                <w:szCs w:val="14"/>
                <w:color w:val="auto"/>
              </w:rPr>
              <w:t>1.20</w:t>
            </w:r>
          </w:p>
        </w:tc>
        <w:tc>
          <w:tcPr>
            <w:tcW w:w="180" w:type="dxa"/>
            <w:vAlign w:val="bottom"/>
          </w:tcPr>
          <w:p>
            <w:pPr>
              <w:spacing w:after="0"/>
              <w:rPr>
                <w:sz w:val="23"/>
                <w:szCs w:val="23"/>
                <w:color w:val="auto"/>
              </w:rPr>
            </w:pP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1.40</w:t>
            </w:r>
          </w:p>
        </w:tc>
        <w:tc>
          <w:tcPr>
            <w:tcW w:w="1260" w:type="dxa"/>
            <w:vAlign w:val="bottom"/>
          </w:tcPr>
          <w:p>
            <w:pPr>
              <w:jc w:val="center"/>
              <w:spacing w:after="0"/>
              <w:rPr>
                <w:sz w:val="20"/>
                <w:szCs w:val="20"/>
                <w:color w:val="auto"/>
              </w:rPr>
            </w:pPr>
            <w:r>
              <w:rPr>
                <w:rFonts w:ascii="Arial" w:cs="Arial" w:eastAsia="Arial" w:hAnsi="Arial"/>
                <w:sz w:val="14"/>
                <w:szCs w:val="14"/>
                <w:color w:val="auto"/>
              </w:rPr>
              <w:t>1.60</w:t>
            </w:r>
          </w:p>
        </w:tc>
        <w:tc>
          <w:tcPr>
            <w:tcW w:w="1220" w:type="dxa"/>
            <w:vAlign w:val="bottom"/>
          </w:tcPr>
          <w:p>
            <w:pPr>
              <w:jc w:val="center"/>
              <w:ind w:left="148"/>
              <w:spacing w:after="0"/>
              <w:rPr>
                <w:sz w:val="20"/>
                <w:szCs w:val="20"/>
                <w:color w:val="auto"/>
              </w:rPr>
            </w:pPr>
            <w:r>
              <w:rPr>
                <w:rFonts w:ascii="Arial" w:cs="Arial" w:eastAsia="Arial" w:hAnsi="Arial"/>
                <w:sz w:val="14"/>
                <w:szCs w:val="14"/>
                <w:color w:val="auto"/>
              </w:rPr>
              <w:t>1.57</w:t>
            </w:r>
          </w:p>
        </w:tc>
        <w:tc>
          <w:tcPr>
            <w:tcW w:w="1400" w:type="dxa"/>
            <w:vAlign w:val="bottom"/>
            <w:gridSpan w:val="3"/>
          </w:tcPr>
          <w:p>
            <w:pPr>
              <w:jc w:val="center"/>
              <w:spacing w:after="0"/>
              <w:rPr>
                <w:sz w:val="20"/>
                <w:szCs w:val="20"/>
                <w:color w:val="auto"/>
              </w:rPr>
            </w:pPr>
            <w:r>
              <w:rPr>
                <w:rFonts w:ascii="Arial" w:cs="Arial" w:eastAsia="Arial" w:hAnsi="Arial"/>
                <w:sz w:val="14"/>
                <w:szCs w:val="14"/>
                <w:color w:val="auto"/>
              </w:rPr>
              <w:t>185%</w:t>
            </w:r>
          </w:p>
        </w:tc>
        <w:tc>
          <w:tcPr>
            <w:tcW w:w="1100" w:type="dxa"/>
            <w:vAlign w:val="bottom"/>
            <w:gridSpan w:val="4"/>
          </w:tcPr>
          <w:p>
            <w:pPr>
              <w:jc w:val="center"/>
              <w:ind w:left="428"/>
              <w:spacing w:after="0"/>
              <w:rPr>
                <w:sz w:val="20"/>
                <w:szCs w:val="20"/>
                <w:color w:val="auto"/>
              </w:rPr>
            </w:pPr>
            <w:r>
              <w:rPr>
                <w:rFonts w:ascii="Arial" w:cs="Arial" w:eastAsia="Arial" w:hAnsi="Arial"/>
                <w:sz w:val="14"/>
                <w:szCs w:val="14"/>
                <w:color w:val="auto"/>
              </w:rPr>
              <w:t>46.25%</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28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auto"/>
              </w:rPr>
              <w:t>Health, Safety &amp; Environmental</w:t>
            </w:r>
          </w:p>
        </w:tc>
        <w:tc>
          <w:tcPr>
            <w:tcW w:w="36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360" w:type="dxa"/>
            <w:vAlign w:val="bottom"/>
            <w:shd w:val="clear" w:color="auto" w:fill="F2F2F2"/>
          </w:tcPr>
          <w:p>
            <w:pPr>
              <w:spacing w:after="0"/>
              <w:rPr>
                <w:sz w:val="24"/>
                <w:szCs w:val="24"/>
                <w:color w:val="auto"/>
              </w:rPr>
            </w:pPr>
          </w:p>
        </w:tc>
        <w:tc>
          <w:tcPr>
            <w:tcW w:w="96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1280" w:type="dxa"/>
            <w:vAlign w:val="bottom"/>
            <w:shd w:val="clear" w:color="auto" w:fill="F2F2F2"/>
          </w:tcPr>
          <w:p>
            <w:pPr>
              <w:spacing w:after="0"/>
              <w:rPr>
                <w:sz w:val="24"/>
                <w:szCs w:val="24"/>
                <w:color w:val="auto"/>
              </w:rPr>
            </w:pPr>
          </w:p>
        </w:tc>
        <w:tc>
          <w:tcPr>
            <w:tcW w:w="1260" w:type="dxa"/>
            <w:vAlign w:val="bottom"/>
            <w:shd w:val="clear" w:color="auto" w:fill="F2F2F2"/>
          </w:tcPr>
          <w:p>
            <w:pPr>
              <w:spacing w:after="0"/>
              <w:rPr>
                <w:sz w:val="24"/>
                <w:szCs w:val="24"/>
                <w:color w:val="auto"/>
              </w:rPr>
            </w:pPr>
          </w:p>
        </w:tc>
        <w:tc>
          <w:tcPr>
            <w:tcW w:w="1220" w:type="dxa"/>
            <w:vAlign w:val="bottom"/>
            <w:shd w:val="clear" w:color="auto" w:fill="F2F2F2"/>
          </w:tcPr>
          <w:p>
            <w:pPr>
              <w:spacing w:after="0"/>
              <w:rPr>
                <w:sz w:val="24"/>
                <w:szCs w:val="24"/>
                <w:color w:val="auto"/>
              </w:rPr>
            </w:pPr>
          </w:p>
        </w:tc>
        <w:tc>
          <w:tcPr>
            <w:tcW w:w="58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48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auto"/>
              </w:rPr>
              <w:t>(HSE)</w:t>
            </w:r>
          </w:p>
        </w:tc>
        <w:tc>
          <w:tcPr>
            <w:tcW w:w="100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w w:val="99"/>
              </w:rPr>
              <w:t>10%</w:t>
            </w:r>
          </w:p>
        </w:tc>
        <w:tc>
          <w:tcPr>
            <w:tcW w:w="960" w:type="dxa"/>
            <w:vAlign w:val="bottom"/>
            <w:shd w:val="clear" w:color="auto" w:fill="F2F2F2"/>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128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220" w:type="dxa"/>
            <w:vAlign w:val="bottom"/>
            <w:shd w:val="clear" w:color="auto" w:fill="F2F2F2"/>
          </w:tcPr>
          <w:p>
            <w:pPr>
              <w:spacing w:after="0"/>
              <w:rPr>
                <w:sz w:val="15"/>
                <w:szCs w:val="15"/>
                <w:color w:val="auto"/>
              </w:rPr>
            </w:pPr>
          </w:p>
        </w:tc>
        <w:tc>
          <w:tcPr>
            <w:tcW w:w="58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600" w:type="dxa"/>
            <w:vAlign w:val="bottom"/>
            <w:shd w:val="clear" w:color="auto" w:fill="F2F2F2"/>
          </w:tcPr>
          <w:p>
            <w:pPr>
              <w:spacing w:after="0"/>
              <w:rPr>
                <w:sz w:val="15"/>
                <w:szCs w:val="15"/>
                <w:color w:val="auto"/>
              </w:rPr>
            </w:pPr>
          </w:p>
        </w:tc>
        <w:tc>
          <w:tcPr>
            <w:tcW w:w="4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40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280" w:type="dxa"/>
            <w:vAlign w:val="bottom"/>
            <w:shd w:val="clear" w:color="auto" w:fill="F2F2F2"/>
          </w:tcPr>
          <w:p>
            <w:pPr>
              <w:ind w:left="60"/>
              <w:spacing w:after="0"/>
              <w:rPr>
                <w:sz w:val="20"/>
                <w:szCs w:val="20"/>
                <w:color w:val="auto"/>
              </w:rPr>
            </w:pPr>
            <w:r>
              <w:rPr>
                <w:rFonts w:ascii="Arial" w:cs="Arial" w:eastAsia="Arial" w:hAnsi="Arial"/>
                <w:sz w:val="14"/>
                <w:szCs w:val="14"/>
                <w:color w:val="auto"/>
              </w:rPr>
              <w:t>-  Combined IIR (33%)</w:t>
            </w:r>
          </w:p>
        </w:tc>
        <w:tc>
          <w:tcPr>
            <w:tcW w:w="36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360" w:type="dxa"/>
            <w:vAlign w:val="bottom"/>
            <w:shd w:val="clear" w:color="auto" w:fill="F2F2F2"/>
          </w:tcPr>
          <w:p>
            <w:pPr>
              <w:spacing w:after="0"/>
              <w:rPr>
                <w:sz w:val="24"/>
                <w:szCs w:val="24"/>
                <w:color w:val="auto"/>
              </w:rPr>
            </w:pPr>
          </w:p>
        </w:tc>
        <w:tc>
          <w:tcPr>
            <w:tcW w:w="960" w:type="dxa"/>
            <w:vAlign w:val="bottom"/>
            <w:shd w:val="clear" w:color="auto" w:fill="F2F2F2"/>
          </w:tcPr>
          <w:p>
            <w:pPr>
              <w:jc w:val="center"/>
              <w:ind w:left="129"/>
              <w:spacing w:after="0"/>
              <w:rPr>
                <w:sz w:val="20"/>
                <w:szCs w:val="20"/>
                <w:color w:val="auto"/>
              </w:rPr>
            </w:pPr>
            <w:r>
              <w:rPr>
                <w:rFonts w:ascii="Arial" w:cs="Arial" w:eastAsia="Arial" w:hAnsi="Arial"/>
                <w:sz w:val="14"/>
                <w:szCs w:val="14"/>
                <w:color w:val="auto"/>
              </w:rPr>
              <w:t>0.60</w:t>
            </w:r>
          </w:p>
        </w:tc>
        <w:tc>
          <w:tcPr>
            <w:tcW w:w="180" w:type="dxa"/>
            <w:vAlign w:val="bottom"/>
            <w:shd w:val="clear" w:color="auto" w:fill="F2F2F2"/>
          </w:tcPr>
          <w:p>
            <w:pPr>
              <w:spacing w:after="0"/>
              <w:rPr>
                <w:sz w:val="24"/>
                <w:szCs w:val="24"/>
                <w:color w:val="auto"/>
              </w:rPr>
            </w:pPr>
          </w:p>
        </w:tc>
        <w:tc>
          <w:tcPr>
            <w:tcW w:w="1280" w:type="dxa"/>
            <w:vAlign w:val="bottom"/>
            <w:shd w:val="clear" w:color="auto" w:fill="F2F2F2"/>
          </w:tcPr>
          <w:p>
            <w:pPr>
              <w:jc w:val="center"/>
              <w:ind w:right="9"/>
              <w:spacing w:after="0"/>
              <w:rPr>
                <w:sz w:val="20"/>
                <w:szCs w:val="20"/>
                <w:color w:val="auto"/>
              </w:rPr>
            </w:pPr>
            <w:r>
              <w:rPr>
                <w:rFonts w:ascii="Arial" w:cs="Arial" w:eastAsia="Arial" w:hAnsi="Arial"/>
                <w:sz w:val="14"/>
                <w:szCs w:val="14"/>
                <w:color w:val="auto"/>
              </w:rPr>
              <w:t>0.50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0.40</w:t>
            </w:r>
          </w:p>
        </w:tc>
        <w:tc>
          <w:tcPr>
            <w:tcW w:w="1220" w:type="dxa"/>
            <w:vAlign w:val="bottom"/>
            <w:shd w:val="clear" w:color="auto" w:fill="F2F2F2"/>
          </w:tcPr>
          <w:p>
            <w:pPr>
              <w:jc w:val="center"/>
              <w:ind w:left="148"/>
              <w:spacing w:after="0"/>
              <w:rPr>
                <w:sz w:val="20"/>
                <w:szCs w:val="20"/>
                <w:color w:val="auto"/>
              </w:rPr>
            </w:pPr>
            <w:r>
              <w:rPr>
                <w:rFonts w:ascii="Arial" w:cs="Arial" w:eastAsia="Arial" w:hAnsi="Arial"/>
                <w:sz w:val="14"/>
                <w:szCs w:val="14"/>
                <w:color w:val="auto"/>
              </w:rPr>
              <w:t>0.34</w:t>
            </w:r>
          </w:p>
        </w:tc>
        <w:tc>
          <w:tcPr>
            <w:tcW w:w="140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200%</w:t>
            </w:r>
          </w:p>
        </w:tc>
        <w:tc>
          <w:tcPr>
            <w:tcW w:w="1100" w:type="dxa"/>
            <w:vAlign w:val="bottom"/>
            <w:gridSpan w:val="4"/>
            <w:shd w:val="clear" w:color="auto" w:fill="F2F2F2"/>
          </w:tcPr>
          <w:p>
            <w:pPr>
              <w:jc w:val="center"/>
              <w:ind w:left="428"/>
              <w:spacing w:after="0"/>
              <w:rPr>
                <w:sz w:val="20"/>
                <w:szCs w:val="20"/>
                <w:color w:val="auto"/>
              </w:rPr>
            </w:pPr>
            <w:r>
              <w:rPr>
                <w:rFonts w:ascii="Arial" w:cs="Arial" w:eastAsia="Arial" w:hAnsi="Arial"/>
                <w:sz w:val="14"/>
                <w:szCs w:val="14"/>
                <w:color w:val="auto"/>
              </w:rPr>
              <w:t>6.67%</w:t>
            </w:r>
          </w:p>
        </w:tc>
        <w:tc>
          <w:tcPr>
            <w:tcW w:w="5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280" w:type="dxa"/>
            <w:vAlign w:val="bottom"/>
            <w:shd w:val="clear" w:color="auto" w:fill="F2F2F2"/>
          </w:tcPr>
          <w:p>
            <w:pPr>
              <w:ind w:left="60"/>
              <w:spacing w:after="0"/>
              <w:rPr>
                <w:sz w:val="20"/>
                <w:szCs w:val="20"/>
                <w:color w:val="auto"/>
              </w:rPr>
            </w:pPr>
            <w:r>
              <w:rPr>
                <w:rFonts w:ascii="Arial" w:cs="Arial" w:eastAsia="Arial" w:hAnsi="Arial"/>
                <w:sz w:val="14"/>
                <w:szCs w:val="14"/>
                <w:color w:val="auto"/>
              </w:rPr>
              <w:t>-  Spill prevention rate (33%)</w:t>
            </w:r>
          </w:p>
        </w:tc>
        <w:tc>
          <w:tcPr>
            <w:tcW w:w="360" w:type="dxa"/>
            <w:vAlign w:val="bottom"/>
            <w:shd w:val="clear" w:color="auto" w:fill="F2F2F2"/>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960" w:type="dxa"/>
            <w:vAlign w:val="bottom"/>
            <w:vMerge w:val="restart"/>
            <w:shd w:val="clear" w:color="auto" w:fill="F2F2F2"/>
          </w:tcPr>
          <w:p>
            <w:pPr>
              <w:jc w:val="center"/>
              <w:ind w:left="129"/>
              <w:spacing w:after="0"/>
              <w:rPr>
                <w:sz w:val="20"/>
                <w:szCs w:val="20"/>
                <w:color w:val="auto"/>
              </w:rPr>
            </w:pPr>
            <w:r>
              <w:rPr>
                <w:rFonts w:ascii="Arial" w:cs="Arial" w:eastAsia="Arial" w:hAnsi="Arial"/>
                <w:sz w:val="14"/>
                <w:szCs w:val="14"/>
                <w:color w:val="auto"/>
              </w:rPr>
              <w:t>99.9992%</w:t>
            </w:r>
          </w:p>
        </w:tc>
        <w:tc>
          <w:tcPr>
            <w:tcW w:w="180" w:type="dxa"/>
            <w:vAlign w:val="bottom"/>
            <w:shd w:val="clear" w:color="auto" w:fill="F2F2F2"/>
          </w:tcPr>
          <w:p>
            <w:pPr>
              <w:spacing w:after="0"/>
              <w:rPr>
                <w:sz w:val="15"/>
                <w:szCs w:val="15"/>
                <w:color w:val="auto"/>
              </w:rPr>
            </w:pPr>
          </w:p>
        </w:tc>
        <w:tc>
          <w:tcPr>
            <w:tcW w:w="1280" w:type="dxa"/>
            <w:vAlign w:val="bottom"/>
            <w:vMerge w:val="restart"/>
            <w:shd w:val="clear" w:color="auto" w:fill="F2F2F2"/>
          </w:tcPr>
          <w:p>
            <w:pPr>
              <w:jc w:val="center"/>
              <w:ind w:right="9"/>
              <w:spacing w:after="0"/>
              <w:rPr>
                <w:sz w:val="20"/>
                <w:szCs w:val="20"/>
                <w:color w:val="auto"/>
              </w:rPr>
            </w:pPr>
            <w:r>
              <w:rPr>
                <w:rFonts w:ascii="Arial" w:cs="Arial" w:eastAsia="Arial" w:hAnsi="Arial"/>
                <w:sz w:val="14"/>
                <w:szCs w:val="14"/>
                <w:color w:val="auto"/>
              </w:rPr>
              <w:t>99.9995%</w:t>
            </w:r>
          </w:p>
        </w:tc>
        <w:tc>
          <w:tcPr>
            <w:tcW w:w="1260" w:type="dxa"/>
            <w:vAlign w:val="bottom"/>
            <w:vMerge w:val="restart"/>
            <w:shd w:val="clear" w:color="auto" w:fill="F2F2F2"/>
          </w:tcPr>
          <w:p>
            <w:pPr>
              <w:jc w:val="center"/>
              <w:ind w:left="9"/>
              <w:spacing w:after="0"/>
              <w:rPr>
                <w:sz w:val="20"/>
                <w:szCs w:val="20"/>
                <w:color w:val="auto"/>
              </w:rPr>
            </w:pPr>
            <w:r>
              <w:rPr>
                <w:rFonts w:ascii="Arial" w:cs="Arial" w:eastAsia="Arial" w:hAnsi="Arial"/>
                <w:sz w:val="14"/>
                <w:szCs w:val="14"/>
                <w:color w:val="auto"/>
              </w:rPr>
              <w:t>99.9998%</w:t>
            </w:r>
          </w:p>
        </w:tc>
        <w:tc>
          <w:tcPr>
            <w:tcW w:w="1220" w:type="dxa"/>
            <w:vAlign w:val="bottom"/>
            <w:vMerge w:val="restart"/>
            <w:shd w:val="clear" w:color="auto" w:fill="F2F2F2"/>
          </w:tcPr>
          <w:p>
            <w:pPr>
              <w:jc w:val="center"/>
              <w:ind w:left="148"/>
              <w:spacing w:after="0"/>
              <w:rPr>
                <w:sz w:val="20"/>
                <w:szCs w:val="20"/>
                <w:color w:val="auto"/>
              </w:rPr>
            </w:pPr>
            <w:r>
              <w:rPr>
                <w:rFonts w:ascii="Arial" w:cs="Arial" w:eastAsia="Arial" w:hAnsi="Arial"/>
                <w:sz w:val="14"/>
                <w:szCs w:val="14"/>
                <w:color w:val="auto"/>
              </w:rPr>
              <w:t>99.9997%</w:t>
            </w:r>
          </w:p>
        </w:tc>
        <w:tc>
          <w:tcPr>
            <w:tcW w:w="1400" w:type="dxa"/>
            <w:vAlign w:val="bottom"/>
            <w:gridSpan w:val="3"/>
            <w:vMerge w:val="restart"/>
            <w:shd w:val="clear" w:color="auto" w:fill="F2F2F2"/>
          </w:tcPr>
          <w:p>
            <w:pPr>
              <w:jc w:val="center"/>
              <w:spacing w:after="0"/>
              <w:rPr>
                <w:sz w:val="20"/>
                <w:szCs w:val="20"/>
                <w:color w:val="auto"/>
              </w:rPr>
            </w:pPr>
            <w:r>
              <w:rPr>
                <w:rFonts w:ascii="Arial" w:cs="Arial" w:eastAsia="Arial" w:hAnsi="Arial"/>
                <w:sz w:val="14"/>
                <w:szCs w:val="14"/>
                <w:color w:val="auto"/>
              </w:rPr>
              <w:t>167%</w:t>
            </w:r>
          </w:p>
        </w:tc>
        <w:tc>
          <w:tcPr>
            <w:tcW w:w="1100" w:type="dxa"/>
            <w:vAlign w:val="bottom"/>
            <w:gridSpan w:val="4"/>
            <w:vMerge w:val="restart"/>
            <w:shd w:val="clear" w:color="auto" w:fill="F2F2F2"/>
          </w:tcPr>
          <w:p>
            <w:pPr>
              <w:jc w:val="center"/>
              <w:ind w:left="428"/>
              <w:spacing w:after="0"/>
              <w:rPr>
                <w:sz w:val="20"/>
                <w:szCs w:val="20"/>
                <w:color w:val="auto"/>
              </w:rPr>
            </w:pPr>
            <w:r>
              <w:rPr>
                <w:rFonts w:ascii="Arial" w:cs="Arial" w:eastAsia="Arial" w:hAnsi="Arial"/>
                <w:sz w:val="14"/>
                <w:szCs w:val="14"/>
                <w:color w:val="auto"/>
              </w:rPr>
              <w:t>5.56%</w:t>
            </w:r>
          </w:p>
        </w:tc>
        <w:tc>
          <w:tcPr>
            <w:tcW w:w="56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8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28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960" w:type="dxa"/>
            <w:vAlign w:val="bottom"/>
            <w:vMerge w:val="continue"/>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280" w:type="dxa"/>
            <w:vAlign w:val="bottom"/>
            <w:vMerge w:val="continue"/>
            <w:shd w:val="clear" w:color="auto" w:fill="F2F2F2"/>
          </w:tcPr>
          <w:p>
            <w:pPr>
              <w:spacing w:after="0"/>
              <w:rPr>
                <w:sz w:val="11"/>
                <w:szCs w:val="11"/>
                <w:color w:val="auto"/>
              </w:rPr>
            </w:pPr>
          </w:p>
        </w:tc>
        <w:tc>
          <w:tcPr>
            <w:tcW w:w="1260" w:type="dxa"/>
            <w:vAlign w:val="bottom"/>
            <w:vMerge w:val="continue"/>
            <w:shd w:val="clear" w:color="auto" w:fill="F2F2F2"/>
          </w:tcPr>
          <w:p>
            <w:pPr>
              <w:spacing w:after="0"/>
              <w:rPr>
                <w:sz w:val="11"/>
                <w:szCs w:val="11"/>
                <w:color w:val="auto"/>
              </w:rPr>
            </w:pPr>
          </w:p>
        </w:tc>
        <w:tc>
          <w:tcPr>
            <w:tcW w:w="1220" w:type="dxa"/>
            <w:vAlign w:val="bottom"/>
            <w:vMerge w:val="continue"/>
            <w:shd w:val="clear" w:color="auto" w:fill="F2F2F2"/>
          </w:tcPr>
          <w:p>
            <w:pPr>
              <w:spacing w:after="0"/>
              <w:rPr>
                <w:sz w:val="11"/>
                <w:szCs w:val="11"/>
                <w:color w:val="auto"/>
              </w:rPr>
            </w:pPr>
          </w:p>
        </w:tc>
        <w:tc>
          <w:tcPr>
            <w:tcW w:w="1400" w:type="dxa"/>
            <w:vAlign w:val="bottom"/>
            <w:gridSpan w:val="3"/>
            <w:vMerge w:val="continue"/>
            <w:shd w:val="clear" w:color="auto" w:fill="F2F2F2"/>
          </w:tcPr>
          <w:p>
            <w:pPr>
              <w:spacing w:after="0"/>
              <w:rPr>
                <w:sz w:val="11"/>
                <w:szCs w:val="11"/>
                <w:color w:val="auto"/>
              </w:rPr>
            </w:pPr>
          </w:p>
        </w:tc>
        <w:tc>
          <w:tcPr>
            <w:tcW w:w="1100" w:type="dxa"/>
            <w:vAlign w:val="bottom"/>
            <w:gridSpan w:val="4"/>
            <w:vMerge w:val="continue"/>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F2F2F2"/>
          </w:tcPr>
          <w:p>
            <w:pPr>
              <w:ind w:left="60"/>
              <w:spacing w:after="0"/>
              <w:rPr>
                <w:sz w:val="20"/>
                <w:szCs w:val="20"/>
                <w:color w:val="auto"/>
              </w:rPr>
            </w:pPr>
            <w:r>
              <w:rPr>
                <w:rFonts w:ascii="Arial" w:cs="Arial" w:eastAsia="Arial" w:hAnsi="Arial"/>
                <w:sz w:val="14"/>
                <w:szCs w:val="14"/>
                <w:color w:val="auto"/>
              </w:rPr>
              <w:t>-  Net water supplied to Ag (34%)</w:t>
            </w:r>
          </w:p>
        </w:tc>
        <w:tc>
          <w:tcPr>
            <w:tcW w:w="360" w:type="dxa"/>
            <w:vAlign w:val="bottom"/>
            <w:shd w:val="clear" w:color="auto" w:fill="F2F2F2"/>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960" w:type="dxa"/>
            <w:vAlign w:val="bottom"/>
            <w:shd w:val="clear" w:color="auto" w:fill="F2F2F2"/>
          </w:tcPr>
          <w:p>
            <w:pPr>
              <w:jc w:val="center"/>
              <w:ind w:left="129"/>
              <w:spacing w:after="0"/>
              <w:rPr>
                <w:sz w:val="20"/>
                <w:szCs w:val="20"/>
                <w:color w:val="auto"/>
              </w:rPr>
            </w:pPr>
            <w:r>
              <w:rPr>
                <w:rFonts w:ascii="Arial" w:cs="Arial" w:eastAsia="Arial" w:hAnsi="Arial"/>
                <w:sz w:val="14"/>
                <w:szCs w:val="14"/>
                <w:color w:val="auto"/>
              </w:rPr>
              <w:t>180%</w:t>
            </w:r>
          </w:p>
        </w:tc>
        <w:tc>
          <w:tcPr>
            <w:tcW w:w="180" w:type="dxa"/>
            <w:vAlign w:val="bottom"/>
            <w:shd w:val="clear" w:color="auto" w:fill="F2F2F2"/>
          </w:tcPr>
          <w:p>
            <w:pPr>
              <w:spacing w:after="0"/>
              <w:rPr>
                <w:sz w:val="14"/>
                <w:szCs w:val="14"/>
                <w:color w:val="auto"/>
              </w:rPr>
            </w:pPr>
          </w:p>
        </w:tc>
        <w:tc>
          <w:tcPr>
            <w:tcW w:w="1280" w:type="dxa"/>
            <w:vAlign w:val="bottom"/>
            <w:shd w:val="clear" w:color="auto" w:fill="F2F2F2"/>
          </w:tcPr>
          <w:p>
            <w:pPr>
              <w:jc w:val="center"/>
              <w:ind w:right="9"/>
              <w:spacing w:after="0"/>
              <w:rPr>
                <w:sz w:val="20"/>
                <w:szCs w:val="20"/>
                <w:color w:val="auto"/>
              </w:rPr>
            </w:pPr>
            <w:r>
              <w:rPr>
                <w:rFonts w:ascii="Arial" w:cs="Arial" w:eastAsia="Arial" w:hAnsi="Arial"/>
                <w:sz w:val="14"/>
                <w:szCs w:val="14"/>
                <w:color w:val="auto"/>
              </w:rPr>
              <w:t>209%</w:t>
            </w:r>
          </w:p>
        </w:tc>
        <w:tc>
          <w:tcPr>
            <w:tcW w:w="1260" w:type="dxa"/>
            <w:vAlign w:val="bottom"/>
            <w:shd w:val="clear" w:color="auto" w:fill="F2F2F2"/>
          </w:tcPr>
          <w:p>
            <w:pPr>
              <w:jc w:val="center"/>
              <w:ind w:left="9"/>
              <w:spacing w:after="0"/>
              <w:rPr>
                <w:sz w:val="20"/>
                <w:szCs w:val="20"/>
                <w:color w:val="auto"/>
              </w:rPr>
            </w:pPr>
            <w:r>
              <w:rPr>
                <w:rFonts w:ascii="Arial" w:cs="Arial" w:eastAsia="Arial" w:hAnsi="Arial"/>
                <w:sz w:val="14"/>
                <w:szCs w:val="14"/>
                <w:color w:val="auto"/>
              </w:rPr>
              <w:t>238%</w:t>
            </w:r>
          </w:p>
        </w:tc>
        <w:tc>
          <w:tcPr>
            <w:tcW w:w="1220" w:type="dxa"/>
            <w:vAlign w:val="bottom"/>
            <w:shd w:val="clear" w:color="auto" w:fill="F2F2F2"/>
          </w:tcPr>
          <w:p>
            <w:pPr>
              <w:jc w:val="center"/>
              <w:ind w:left="148"/>
              <w:spacing w:after="0"/>
              <w:rPr>
                <w:sz w:val="20"/>
                <w:szCs w:val="20"/>
                <w:color w:val="auto"/>
              </w:rPr>
            </w:pPr>
            <w:r>
              <w:rPr>
                <w:rFonts w:ascii="Arial" w:cs="Arial" w:eastAsia="Arial" w:hAnsi="Arial"/>
                <w:sz w:val="14"/>
                <w:szCs w:val="14"/>
                <w:color w:val="auto"/>
              </w:rPr>
              <w:t>307%</w:t>
            </w:r>
          </w:p>
        </w:tc>
        <w:tc>
          <w:tcPr>
            <w:tcW w:w="140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200%</w:t>
            </w:r>
          </w:p>
        </w:tc>
        <w:tc>
          <w:tcPr>
            <w:tcW w:w="1100" w:type="dxa"/>
            <w:vAlign w:val="bottom"/>
            <w:gridSpan w:val="4"/>
            <w:shd w:val="clear" w:color="auto" w:fill="F2F2F2"/>
          </w:tcPr>
          <w:p>
            <w:pPr>
              <w:jc w:val="center"/>
              <w:ind w:left="428"/>
              <w:spacing w:after="0"/>
              <w:rPr>
                <w:sz w:val="20"/>
                <w:szCs w:val="20"/>
                <w:color w:val="auto"/>
              </w:rPr>
            </w:pPr>
            <w:r>
              <w:rPr>
                <w:rFonts w:ascii="Arial" w:cs="Arial" w:eastAsia="Arial" w:hAnsi="Arial"/>
                <w:sz w:val="14"/>
                <w:szCs w:val="14"/>
                <w:color w:val="auto"/>
              </w:rPr>
              <w:t>6.67%</w:t>
            </w:r>
          </w:p>
        </w:tc>
        <w:tc>
          <w:tcPr>
            <w:tcW w:w="56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Liquidity</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280" w:type="dxa"/>
            <w:vAlign w:val="bottom"/>
          </w:tcPr>
          <w:p>
            <w:pPr>
              <w:ind w:left="120"/>
              <w:spacing w:after="0"/>
              <w:rPr>
                <w:sz w:val="20"/>
                <w:szCs w:val="20"/>
                <w:color w:val="auto"/>
              </w:rPr>
            </w:pPr>
            <w:r>
              <w:rPr>
                <w:rFonts w:ascii="Arial" w:cs="Arial" w:eastAsia="Arial" w:hAnsi="Arial"/>
                <w:sz w:val="14"/>
                <w:szCs w:val="14"/>
                <w:color w:val="auto"/>
              </w:rPr>
              <w:t>- EBITDAX</w:t>
            </w:r>
          </w:p>
        </w:tc>
        <w:tc>
          <w:tcPr>
            <w:tcW w:w="1000" w:type="dxa"/>
            <w:vAlign w:val="bottom"/>
            <w:gridSpan w:val="3"/>
          </w:tcPr>
          <w:p>
            <w:pPr>
              <w:jc w:val="center"/>
              <w:spacing w:after="0"/>
              <w:rPr>
                <w:sz w:val="20"/>
                <w:szCs w:val="20"/>
                <w:color w:val="auto"/>
              </w:rPr>
            </w:pPr>
            <w:r>
              <w:rPr>
                <w:rFonts w:ascii="Arial" w:cs="Arial" w:eastAsia="Arial" w:hAnsi="Arial"/>
                <w:sz w:val="14"/>
                <w:szCs w:val="14"/>
                <w:color w:val="auto"/>
                <w:w w:val="99"/>
              </w:rPr>
              <w:t>25%</w:t>
            </w:r>
          </w:p>
        </w:tc>
        <w:tc>
          <w:tcPr>
            <w:tcW w:w="960" w:type="dxa"/>
            <w:vAlign w:val="bottom"/>
          </w:tcPr>
          <w:p>
            <w:pPr>
              <w:jc w:val="center"/>
              <w:ind w:left="129"/>
              <w:spacing w:after="0"/>
              <w:rPr>
                <w:sz w:val="20"/>
                <w:szCs w:val="20"/>
                <w:color w:val="auto"/>
              </w:rPr>
            </w:pPr>
            <w:r>
              <w:rPr>
                <w:rFonts w:ascii="Arial" w:cs="Arial" w:eastAsia="Arial" w:hAnsi="Arial"/>
                <w:sz w:val="14"/>
                <w:szCs w:val="14"/>
                <w:color w:val="auto"/>
              </w:rPr>
              <w:t>$933</w:t>
            </w:r>
          </w:p>
        </w:tc>
        <w:tc>
          <w:tcPr>
            <w:tcW w:w="180" w:type="dxa"/>
            <w:vAlign w:val="bottom"/>
          </w:tcPr>
          <w:p>
            <w:pPr>
              <w:spacing w:after="0"/>
              <w:rPr>
                <w:sz w:val="23"/>
                <w:szCs w:val="23"/>
                <w:color w:val="auto"/>
              </w:rPr>
            </w:pP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$980</w:t>
            </w:r>
          </w:p>
        </w:tc>
        <w:tc>
          <w:tcPr>
            <w:tcW w:w="1260" w:type="dxa"/>
            <w:vAlign w:val="bottom"/>
          </w:tcPr>
          <w:p>
            <w:pPr>
              <w:jc w:val="center"/>
              <w:spacing w:after="0"/>
              <w:rPr>
                <w:sz w:val="20"/>
                <w:szCs w:val="20"/>
                <w:color w:val="auto"/>
              </w:rPr>
            </w:pPr>
            <w:r>
              <w:rPr>
                <w:rFonts w:ascii="Arial" w:cs="Arial" w:eastAsia="Arial" w:hAnsi="Arial"/>
                <w:sz w:val="14"/>
                <w:szCs w:val="14"/>
                <w:color w:val="auto"/>
              </w:rPr>
              <w:t>$1,078</w:t>
            </w:r>
          </w:p>
        </w:tc>
        <w:tc>
          <w:tcPr>
            <w:tcW w:w="1220" w:type="dxa"/>
            <w:vAlign w:val="bottom"/>
          </w:tcPr>
          <w:p>
            <w:pPr>
              <w:jc w:val="center"/>
              <w:ind w:left="148"/>
              <w:spacing w:after="0"/>
              <w:rPr>
                <w:sz w:val="20"/>
                <w:szCs w:val="20"/>
                <w:color w:val="auto"/>
              </w:rPr>
            </w:pPr>
            <w:r>
              <w:rPr>
                <w:rFonts w:ascii="Arial" w:cs="Arial" w:eastAsia="Arial" w:hAnsi="Arial"/>
                <w:sz w:val="14"/>
                <w:szCs w:val="14"/>
                <w:color w:val="auto"/>
              </w:rPr>
              <w:t>$1,142</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color w:val="auto"/>
              </w:rPr>
              <w:t>200%</w:t>
            </w:r>
          </w:p>
        </w:tc>
        <w:tc>
          <w:tcPr>
            <w:tcW w:w="1100" w:type="dxa"/>
            <w:vAlign w:val="bottom"/>
            <w:gridSpan w:val="4"/>
          </w:tcPr>
          <w:p>
            <w:pPr>
              <w:jc w:val="center"/>
              <w:ind w:left="428"/>
              <w:spacing w:after="0"/>
              <w:rPr>
                <w:sz w:val="20"/>
                <w:szCs w:val="20"/>
                <w:color w:val="auto"/>
              </w:rPr>
            </w:pPr>
            <w:r>
              <w:rPr>
                <w:rFonts w:ascii="Arial" w:cs="Arial" w:eastAsia="Arial" w:hAnsi="Arial"/>
                <w:sz w:val="14"/>
                <w:szCs w:val="14"/>
                <w:color w:val="auto"/>
              </w:rPr>
              <w:t>50.00%</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120"/>
              <w:spacing w:after="0" w:line="144" w:lineRule="exact"/>
              <w:rPr>
                <w:sz w:val="20"/>
                <w:szCs w:val="20"/>
                <w:color w:val="auto"/>
              </w:rPr>
            </w:pPr>
            <w:r>
              <w:rPr>
                <w:rFonts w:ascii="Arial" w:cs="Arial" w:eastAsia="Arial" w:hAnsi="Arial"/>
                <w:sz w:val="14"/>
                <w:szCs w:val="14"/>
                <w:color w:val="auto"/>
              </w:rPr>
              <w:t>- Debt</w:t>
            </w:r>
          </w:p>
        </w:tc>
        <w:tc>
          <w:tcPr>
            <w:tcW w:w="1000" w:type="dxa"/>
            <w:vAlign w:val="bottom"/>
            <w:gridSpan w:val="3"/>
          </w:tcPr>
          <w:p>
            <w:pPr>
              <w:jc w:val="center"/>
              <w:spacing w:after="0" w:line="144" w:lineRule="exact"/>
              <w:rPr>
                <w:sz w:val="20"/>
                <w:szCs w:val="20"/>
                <w:color w:val="auto"/>
              </w:rPr>
            </w:pPr>
            <w:r>
              <w:rPr>
                <w:rFonts w:ascii="Arial" w:cs="Arial" w:eastAsia="Arial" w:hAnsi="Arial"/>
                <w:sz w:val="14"/>
                <w:szCs w:val="14"/>
                <w:color w:val="auto"/>
                <w:w w:val="99"/>
              </w:rPr>
              <w:t>20%</w:t>
            </w:r>
          </w:p>
        </w:tc>
        <w:tc>
          <w:tcPr>
            <w:tcW w:w="960" w:type="dxa"/>
            <w:vAlign w:val="bottom"/>
          </w:tcPr>
          <w:p>
            <w:pPr>
              <w:jc w:val="center"/>
              <w:ind w:left="129"/>
              <w:spacing w:after="0" w:line="144" w:lineRule="exact"/>
              <w:rPr>
                <w:sz w:val="20"/>
                <w:szCs w:val="20"/>
                <w:color w:val="auto"/>
              </w:rPr>
            </w:pPr>
            <w:r>
              <w:rPr>
                <w:rFonts w:ascii="Arial" w:cs="Arial" w:eastAsia="Arial" w:hAnsi="Arial"/>
                <w:sz w:val="14"/>
                <w:szCs w:val="14"/>
                <w:color w:val="auto"/>
              </w:rPr>
              <w:t>$4.9</w:t>
            </w:r>
          </w:p>
        </w:tc>
        <w:tc>
          <w:tcPr>
            <w:tcW w:w="180" w:type="dxa"/>
            <w:vAlign w:val="bottom"/>
          </w:tcPr>
          <w:p>
            <w:pPr>
              <w:spacing w:after="0"/>
              <w:rPr>
                <w:sz w:val="12"/>
                <w:szCs w:val="12"/>
                <w:color w:val="auto"/>
              </w:rPr>
            </w:pPr>
          </w:p>
        </w:tc>
        <w:tc>
          <w:tcPr>
            <w:tcW w:w="1280" w:type="dxa"/>
            <w:vAlign w:val="bottom"/>
          </w:tcPr>
          <w:p>
            <w:pPr>
              <w:jc w:val="center"/>
              <w:ind w:right="9"/>
              <w:spacing w:after="0" w:line="144" w:lineRule="exact"/>
              <w:rPr>
                <w:sz w:val="20"/>
                <w:szCs w:val="20"/>
                <w:color w:val="auto"/>
              </w:rPr>
            </w:pPr>
            <w:r>
              <w:rPr>
                <w:rFonts w:ascii="Arial" w:cs="Arial" w:eastAsia="Arial" w:hAnsi="Arial"/>
                <w:sz w:val="14"/>
                <w:szCs w:val="14"/>
                <w:color w:val="auto"/>
              </w:rPr>
              <w:t>$4.4</w:t>
            </w:r>
          </w:p>
        </w:tc>
        <w:tc>
          <w:tcPr>
            <w:tcW w:w="1260" w:type="dxa"/>
            <w:vAlign w:val="bottom"/>
          </w:tcPr>
          <w:p>
            <w:pPr>
              <w:jc w:val="center"/>
              <w:spacing w:after="0" w:line="144" w:lineRule="exact"/>
              <w:rPr>
                <w:sz w:val="20"/>
                <w:szCs w:val="20"/>
                <w:color w:val="auto"/>
              </w:rPr>
            </w:pPr>
            <w:r>
              <w:rPr>
                <w:rFonts w:ascii="Arial" w:cs="Arial" w:eastAsia="Arial" w:hAnsi="Arial"/>
                <w:sz w:val="14"/>
                <w:szCs w:val="14"/>
                <w:color w:val="auto"/>
              </w:rPr>
              <w:t>$3.9</w:t>
            </w:r>
          </w:p>
        </w:tc>
        <w:tc>
          <w:tcPr>
            <w:tcW w:w="1220" w:type="dxa"/>
            <w:vAlign w:val="bottom"/>
          </w:tcPr>
          <w:p>
            <w:pPr>
              <w:jc w:val="center"/>
              <w:ind w:left="148"/>
              <w:spacing w:after="0" w:line="144" w:lineRule="exact"/>
              <w:rPr>
                <w:sz w:val="20"/>
                <w:szCs w:val="20"/>
                <w:color w:val="auto"/>
              </w:rPr>
            </w:pPr>
            <w:r>
              <w:rPr>
                <w:rFonts w:ascii="Arial" w:cs="Arial" w:eastAsia="Arial" w:hAnsi="Arial"/>
                <w:sz w:val="14"/>
                <w:szCs w:val="14"/>
                <w:color w:val="auto"/>
              </w:rPr>
              <w:t>$4.98</w:t>
            </w:r>
          </w:p>
        </w:tc>
        <w:tc>
          <w:tcPr>
            <w:tcW w:w="1400" w:type="dxa"/>
            <w:vAlign w:val="bottom"/>
            <w:gridSpan w:val="3"/>
          </w:tcPr>
          <w:p>
            <w:pPr>
              <w:jc w:val="center"/>
              <w:ind w:right="20"/>
              <w:spacing w:after="0" w:line="144" w:lineRule="exact"/>
              <w:rPr>
                <w:sz w:val="20"/>
                <w:szCs w:val="20"/>
                <w:color w:val="auto"/>
              </w:rPr>
            </w:pPr>
            <w:r>
              <w:rPr>
                <w:rFonts w:ascii="Arial" w:cs="Arial" w:eastAsia="Arial" w:hAnsi="Arial"/>
                <w:sz w:val="14"/>
                <w:szCs w:val="14"/>
                <w:color w:val="auto"/>
              </w:rPr>
              <w:t>0%</w:t>
            </w:r>
          </w:p>
        </w:tc>
        <w:tc>
          <w:tcPr>
            <w:tcW w:w="1100" w:type="dxa"/>
            <w:vAlign w:val="bottom"/>
            <w:gridSpan w:val="4"/>
          </w:tcPr>
          <w:p>
            <w:pPr>
              <w:jc w:val="center"/>
              <w:ind w:left="428"/>
              <w:spacing w:after="0" w:line="144" w:lineRule="exact"/>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00%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80" w:type="dxa"/>
            <w:vAlign w:val="bottom"/>
            <w:shd w:val="clear" w:color="auto" w:fill="C6D9F1"/>
          </w:tcPr>
          <w:p>
            <w:pPr>
              <w:ind w:left="60"/>
              <w:spacing w:after="0"/>
              <w:rPr>
                <w:sz w:val="20"/>
                <w:szCs w:val="20"/>
                <w:color w:val="auto"/>
              </w:rPr>
            </w:pPr>
            <w:r>
              <w:rPr>
                <w:rFonts w:ascii="Arial" w:cs="Arial" w:eastAsia="Arial" w:hAnsi="Arial"/>
                <w:sz w:val="14"/>
                <w:szCs w:val="14"/>
                <w:b w:val="1"/>
                <w:bCs w:val="1"/>
                <w:color w:val="auto"/>
              </w:rPr>
              <w:t>Total Quantitative Measures</w:t>
            </w:r>
          </w:p>
        </w:tc>
        <w:tc>
          <w:tcPr>
            <w:tcW w:w="1000" w:type="dxa"/>
            <w:vAlign w:val="bottom"/>
            <w:gridSpan w:val="3"/>
            <w:shd w:val="clear" w:color="auto" w:fill="C6D9F1"/>
          </w:tcPr>
          <w:p>
            <w:pPr>
              <w:jc w:val="center"/>
              <w:spacing w:after="0"/>
              <w:rPr>
                <w:sz w:val="20"/>
                <w:szCs w:val="20"/>
                <w:color w:val="auto"/>
              </w:rPr>
            </w:pPr>
            <w:r>
              <w:rPr>
                <w:rFonts w:ascii="Arial" w:cs="Arial" w:eastAsia="Arial" w:hAnsi="Arial"/>
                <w:sz w:val="14"/>
                <w:szCs w:val="14"/>
                <w:color w:val="auto"/>
                <w:w w:val="99"/>
              </w:rPr>
              <w:t>80%</w:t>
            </w:r>
          </w:p>
        </w:tc>
        <w:tc>
          <w:tcPr>
            <w:tcW w:w="960" w:type="dxa"/>
            <w:vAlign w:val="bottom"/>
            <w:shd w:val="clear" w:color="auto" w:fill="C6D9F1"/>
          </w:tcPr>
          <w:p>
            <w:pPr>
              <w:spacing w:after="0"/>
              <w:rPr>
                <w:sz w:val="24"/>
                <w:szCs w:val="24"/>
                <w:color w:val="auto"/>
              </w:rPr>
            </w:pPr>
          </w:p>
        </w:tc>
        <w:tc>
          <w:tcPr>
            <w:tcW w:w="180" w:type="dxa"/>
            <w:vAlign w:val="bottom"/>
            <w:shd w:val="clear" w:color="auto" w:fill="C6D9F1"/>
          </w:tcPr>
          <w:p>
            <w:pPr>
              <w:spacing w:after="0"/>
              <w:rPr>
                <w:sz w:val="24"/>
                <w:szCs w:val="24"/>
                <w:color w:val="auto"/>
              </w:rPr>
            </w:pPr>
          </w:p>
        </w:tc>
        <w:tc>
          <w:tcPr>
            <w:tcW w:w="1280" w:type="dxa"/>
            <w:vAlign w:val="bottom"/>
            <w:shd w:val="clear" w:color="auto" w:fill="C6D9F1"/>
          </w:tcPr>
          <w:p>
            <w:pPr>
              <w:spacing w:after="0"/>
              <w:rPr>
                <w:sz w:val="24"/>
                <w:szCs w:val="24"/>
                <w:color w:val="auto"/>
              </w:rPr>
            </w:pPr>
          </w:p>
        </w:tc>
        <w:tc>
          <w:tcPr>
            <w:tcW w:w="1260" w:type="dxa"/>
            <w:vAlign w:val="bottom"/>
            <w:shd w:val="clear" w:color="auto" w:fill="C6D9F1"/>
          </w:tcPr>
          <w:p>
            <w:pPr>
              <w:spacing w:after="0"/>
              <w:rPr>
                <w:sz w:val="24"/>
                <w:szCs w:val="24"/>
                <w:color w:val="auto"/>
              </w:rPr>
            </w:pPr>
          </w:p>
        </w:tc>
        <w:tc>
          <w:tcPr>
            <w:tcW w:w="1220" w:type="dxa"/>
            <w:vAlign w:val="bottom"/>
            <w:shd w:val="clear" w:color="auto" w:fill="C6D9F1"/>
          </w:tcPr>
          <w:p>
            <w:pPr>
              <w:spacing w:after="0"/>
              <w:rPr>
                <w:sz w:val="24"/>
                <w:szCs w:val="24"/>
                <w:color w:val="auto"/>
              </w:rPr>
            </w:pPr>
          </w:p>
        </w:tc>
        <w:tc>
          <w:tcPr>
            <w:tcW w:w="1400" w:type="dxa"/>
            <w:vAlign w:val="bottom"/>
            <w:gridSpan w:val="3"/>
            <w:shd w:val="clear" w:color="auto" w:fill="C6D9F1"/>
          </w:tcPr>
          <w:p>
            <w:pPr>
              <w:jc w:val="center"/>
              <w:ind w:right="20"/>
              <w:spacing w:after="0"/>
              <w:rPr>
                <w:sz w:val="20"/>
                <w:szCs w:val="20"/>
                <w:color w:val="auto"/>
              </w:rPr>
            </w:pPr>
            <w:r>
              <w:rPr>
                <w:rFonts w:ascii="Arial" w:cs="Arial" w:eastAsia="Arial" w:hAnsi="Arial"/>
                <w:sz w:val="14"/>
                <w:szCs w:val="14"/>
                <w:color w:val="auto"/>
              </w:rPr>
              <w:t>143.94%</w:t>
            </w:r>
          </w:p>
        </w:tc>
        <w:tc>
          <w:tcPr>
            <w:tcW w:w="1100" w:type="dxa"/>
            <w:vAlign w:val="bottom"/>
            <w:gridSpan w:val="4"/>
            <w:shd w:val="clear" w:color="auto" w:fill="C6D9F1"/>
          </w:tcPr>
          <w:p>
            <w:pPr>
              <w:jc w:val="center"/>
              <w:ind w:left="428"/>
              <w:spacing w:after="0"/>
              <w:rPr>
                <w:sz w:val="20"/>
                <w:szCs w:val="20"/>
                <w:color w:val="auto"/>
              </w:rPr>
            </w:pPr>
            <w:r>
              <w:rPr>
                <w:rFonts w:ascii="Arial" w:cs="Arial" w:eastAsia="Arial" w:hAnsi="Arial"/>
                <w:sz w:val="14"/>
                <w:szCs w:val="14"/>
                <w:color w:val="auto"/>
              </w:rPr>
              <w:t>115.15%</w:t>
            </w:r>
          </w:p>
        </w:tc>
        <w:tc>
          <w:tcPr>
            <w:tcW w:w="560" w:type="dxa"/>
            <w:vAlign w:val="bottom"/>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Strategic and Individual</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Objectives</w:t>
            </w:r>
          </w:p>
        </w:tc>
        <w:tc>
          <w:tcPr>
            <w:tcW w:w="1000" w:type="dxa"/>
            <w:vAlign w:val="bottom"/>
            <w:gridSpan w:val="3"/>
          </w:tcPr>
          <w:p>
            <w:pPr>
              <w:jc w:val="center"/>
              <w:spacing w:after="0"/>
              <w:rPr>
                <w:sz w:val="20"/>
                <w:szCs w:val="20"/>
                <w:color w:val="auto"/>
              </w:rPr>
            </w:pPr>
            <w:r>
              <w:rPr>
                <w:rFonts w:ascii="Arial" w:cs="Arial" w:eastAsia="Arial" w:hAnsi="Arial"/>
                <w:sz w:val="14"/>
                <w:szCs w:val="14"/>
                <w:color w:val="auto"/>
                <w:w w:val="99"/>
              </w:rPr>
              <w:t>20%</w:t>
            </w:r>
          </w:p>
        </w:tc>
        <w:tc>
          <w:tcPr>
            <w:tcW w:w="96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color w:val="auto"/>
              </w:rPr>
              <w:t>Multiple Individual Measures</w:t>
            </w:r>
          </w:p>
        </w:tc>
        <w:tc>
          <w:tcPr>
            <w:tcW w:w="1220" w:type="dxa"/>
            <w:vAlign w:val="bottom"/>
          </w:tcPr>
          <w:p>
            <w:pPr>
              <w:spacing w:after="0"/>
              <w:rPr>
                <w:sz w:val="14"/>
                <w:szCs w:val="1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color w:val="auto"/>
              </w:rPr>
              <w:t>0% - 200%</w:t>
            </w:r>
          </w:p>
        </w:tc>
        <w:tc>
          <w:tcPr>
            <w:tcW w:w="480" w:type="dxa"/>
            <w:vAlign w:val="bottom"/>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0% - 40%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20" w:type="dxa"/>
            <w:vAlign w:val="bottom"/>
            <w:gridSpan w:val="4"/>
          </w:tcPr>
          <w:p>
            <w:pPr>
              <w:ind w:left="160"/>
              <w:spacing w:after="0"/>
              <w:rPr>
                <w:sz w:val="20"/>
                <w:szCs w:val="20"/>
                <w:color w:val="auto"/>
              </w:rPr>
            </w:pPr>
            <w:r>
              <w:rPr>
                <w:rFonts w:ascii="Arial" w:cs="Arial" w:eastAsia="Arial" w:hAnsi="Arial"/>
                <w:sz w:val="14"/>
                <w:szCs w:val="14"/>
                <w:color w:val="auto"/>
              </w:rPr>
              <w:t>Range of Potential Payouts</w:t>
            </w:r>
          </w:p>
        </w:tc>
        <w:tc>
          <w:tcPr>
            <w:tcW w:w="1660" w:type="dxa"/>
            <w:vAlign w:val="bottom"/>
            <w:gridSpan w:val="5"/>
          </w:tcPr>
          <w:p>
            <w:pPr>
              <w:jc w:val="center"/>
              <w:ind w:right="80"/>
              <w:spacing w:after="0"/>
              <w:rPr>
                <w:sz w:val="20"/>
                <w:szCs w:val="20"/>
                <w:color w:val="auto"/>
              </w:rPr>
            </w:pPr>
            <w:r>
              <w:rPr>
                <w:rFonts w:ascii="Arial" w:cs="Arial" w:eastAsia="Arial" w:hAnsi="Arial"/>
                <w:sz w:val="14"/>
                <w:szCs w:val="14"/>
                <w:color w:val="auto"/>
              </w:rPr>
              <w:t>115.15% - 155.15%</w:t>
            </w:r>
          </w:p>
        </w:tc>
        <w:tc>
          <w:tcPr>
            <w:tcW w:w="0" w:type="dxa"/>
            <w:vAlign w:val="bottom"/>
          </w:tcPr>
          <w:p>
            <w:pPr>
              <w:spacing w:after="0"/>
              <w:rPr>
                <w:sz w:val="1"/>
                <w:szCs w:val="1"/>
                <w:color w:val="auto"/>
              </w:rPr>
            </w:pPr>
          </w:p>
        </w:tc>
      </w:tr>
      <w:tr>
        <w:trPr>
          <w:trHeight w:val="219"/>
        </w:trPr>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20" w:type="dxa"/>
            <w:vAlign w:val="bottom"/>
            <w:gridSpan w:val="4"/>
          </w:tcPr>
          <w:p>
            <w:pPr>
              <w:ind w:left="160"/>
              <w:spacing w:after="0"/>
              <w:rPr>
                <w:sz w:val="20"/>
                <w:szCs w:val="20"/>
                <w:color w:val="auto"/>
              </w:rPr>
            </w:pPr>
            <w:r>
              <w:rPr>
                <w:rFonts w:ascii="Arial" w:cs="Arial" w:eastAsia="Arial" w:hAnsi="Arial"/>
                <w:sz w:val="14"/>
                <w:szCs w:val="14"/>
                <w:color w:val="auto"/>
              </w:rPr>
              <w:t>Negative Discretion Applied by</w:t>
            </w:r>
          </w:p>
        </w:tc>
        <w:tc>
          <w:tcPr>
            <w:tcW w:w="1000" w:type="dxa"/>
            <w:vAlign w:val="bottom"/>
            <w:gridSpan w:val="3"/>
            <w:vMerge w:val="restart"/>
          </w:tcPr>
          <w:p>
            <w:pPr>
              <w:jc w:val="center"/>
              <w:ind w:left="528"/>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20" w:type="dxa"/>
            <w:vAlign w:val="bottom"/>
            <w:gridSpan w:val="4"/>
            <w:vMerge w:val="restart"/>
          </w:tcPr>
          <w:p>
            <w:pPr>
              <w:ind w:left="160"/>
              <w:spacing w:after="0"/>
              <w:rPr>
                <w:sz w:val="20"/>
                <w:szCs w:val="20"/>
                <w:color w:val="auto"/>
              </w:rPr>
            </w:pPr>
            <w:r>
              <w:rPr>
                <w:rFonts w:ascii="Arial" w:cs="Arial" w:eastAsia="Arial" w:hAnsi="Arial"/>
                <w:sz w:val="14"/>
                <w:szCs w:val="14"/>
                <w:color w:val="auto"/>
              </w:rPr>
              <w:t>Compensation Committee</w:t>
            </w:r>
          </w:p>
        </w:tc>
        <w:tc>
          <w:tcPr>
            <w:tcW w:w="10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20" w:type="dxa"/>
            <w:vAlign w:val="bottom"/>
            <w:gridSpan w:val="4"/>
            <w:vMerge w:val="continue"/>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20" w:type="dxa"/>
            <w:vAlign w:val="bottom"/>
            <w:gridSpan w:val="4"/>
          </w:tcPr>
          <w:p>
            <w:pPr>
              <w:ind w:left="160"/>
              <w:spacing w:after="0"/>
              <w:rPr>
                <w:sz w:val="20"/>
                <w:szCs w:val="20"/>
                <w:color w:val="auto"/>
              </w:rPr>
            </w:pPr>
            <w:r>
              <w:rPr>
                <w:rFonts w:ascii="Arial" w:cs="Arial" w:eastAsia="Arial" w:hAnsi="Arial"/>
                <w:sz w:val="14"/>
                <w:szCs w:val="14"/>
                <w:color w:val="auto"/>
              </w:rPr>
              <w:t>Final Payout Range</w:t>
            </w:r>
          </w:p>
        </w:tc>
        <w:tc>
          <w:tcPr>
            <w:tcW w:w="1660" w:type="dxa"/>
            <w:vAlign w:val="bottom"/>
            <w:gridSpan w:val="5"/>
          </w:tcPr>
          <w:p>
            <w:pPr>
              <w:jc w:val="center"/>
              <w:ind w:right="80"/>
              <w:spacing w:after="0"/>
              <w:rPr>
                <w:sz w:val="20"/>
                <w:szCs w:val="20"/>
                <w:color w:val="auto"/>
              </w:rPr>
            </w:pPr>
            <w:r>
              <w:rPr>
                <w:rFonts w:ascii="Arial" w:cs="Arial" w:eastAsia="Arial" w:hAnsi="Arial"/>
                <w:sz w:val="14"/>
                <w:szCs w:val="14"/>
                <w:color w:val="auto"/>
              </w:rPr>
              <w:t>115.15% - 155.15%</w:t>
            </w:r>
          </w:p>
        </w:tc>
        <w:tc>
          <w:tcPr>
            <w:tcW w:w="0" w:type="dxa"/>
            <w:vAlign w:val="bottom"/>
          </w:tcPr>
          <w:p>
            <w:pPr>
              <w:spacing w:after="0"/>
              <w:rPr>
                <w:sz w:val="1"/>
                <w:szCs w:val="1"/>
                <w:color w:val="auto"/>
              </w:rPr>
            </w:pPr>
          </w:p>
        </w:tc>
      </w:tr>
    </w:tbl>
    <w:p>
      <w:pPr>
        <w:ind w:left="340" w:hanging="332"/>
        <w:spacing w:after="0" w:line="180" w:lineRule="auto"/>
        <w:tabs>
          <w:tab w:leader="none" w:pos="340" w:val="left"/>
        </w:tabs>
        <w:numPr>
          <w:ilvl w:val="0"/>
          <w:numId w:val="26"/>
        </w:numPr>
        <w:rPr>
          <w:rFonts w:ascii="Arial" w:cs="Arial" w:eastAsia="Arial" w:hAnsi="Arial"/>
          <w:sz w:val="23"/>
          <w:szCs w:val="23"/>
          <w:color w:val="auto"/>
          <w:vertAlign w:val="subscript"/>
        </w:rPr>
      </w:pPr>
      <w:r>
        <w:rPr>
          <w:rFonts w:ascii="Arial" w:cs="Arial" w:eastAsia="Arial" w:hAnsi="Arial"/>
          <w:sz w:val="11"/>
          <w:szCs w:val="11"/>
          <w:color w:val="auto"/>
        </w:rPr>
        <w:t>Descriptions of the performance measures:</w:t>
      </w:r>
    </w:p>
    <w:p>
      <w:pPr>
        <w:spacing w:after="0" w:line="239" w:lineRule="exact"/>
        <w:rPr>
          <w:sz w:val="20"/>
          <w:szCs w:val="20"/>
          <w:color w:val="auto"/>
        </w:rPr>
      </w:pPr>
    </w:p>
    <w:tbl>
      <w:tblPr>
        <w:tblLayout w:type="fixed"/>
        <w:tblInd w:w="470" w:type="dxa"/>
        <w:tblCellMar>
          <w:top w:w="0" w:type="dxa"/>
          <w:left w:w="0" w:type="dxa"/>
          <w:bottom w:w="0" w:type="dxa"/>
          <w:right w:w="0" w:type="dxa"/>
        </w:tblCellMar>
      </w:tblPr>
      <w:tr>
        <w:trPr>
          <w:trHeight w:val="270"/>
        </w:trPr>
        <w:tc>
          <w:tcPr>
            <w:tcW w:w="352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684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r>
      <w:tr>
        <w:trPr>
          <w:trHeight w:val="123"/>
        </w:trPr>
        <w:tc>
          <w:tcPr>
            <w:tcW w:w="3520" w:type="dxa"/>
            <w:vAlign w:val="bottom"/>
            <w:tcBorders>
              <w:left w:val="single" w:sz="8" w:color="auto"/>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Value Creation Index (VCI)</w:t>
            </w:r>
          </w:p>
        </w:tc>
        <w:tc>
          <w:tcPr>
            <w:tcW w:w="68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w w:val="97"/>
              </w:rPr>
              <w:t>We use a Value Creation Index (VCI) for project selection and capital allocation across our portfolio of opportunities. VCI</w:t>
            </w:r>
          </w:p>
        </w:tc>
      </w:tr>
      <w:tr>
        <w:trPr>
          <w:trHeight w:val="135"/>
        </w:trPr>
        <w:tc>
          <w:tcPr>
            <w:tcW w:w="352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is a ratio that measures the present value of the future cash flows from all development (new drills and capital</w:t>
            </w:r>
          </w:p>
        </w:tc>
      </w:tr>
      <w:tr>
        <w:trPr>
          <w:trHeight w:val="135"/>
        </w:trPr>
        <w:tc>
          <w:tcPr>
            <w:tcW w:w="352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workovers) in each plan year per discounted dollar of investment, calculated as A divided by B where “A” is the</w:t>
            </w:r>
          </w:p>
        </w:tc>
      </w:tr>
      <w:tr>
        <w:trPr>
          <w:trHeight w:val="135"/>
        </w:trPr>
        <w:tc>
          <w:tcPr>
            <w:tcW w:w="352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8"/>
              </w:rPr>
              <w:t>discounted expected future cash flows and “B” is the discounted capital invested for the plan year, excluding JV partner</w:t>
            </w:r>
          </w:p>
        </w:tc>
      </w:tr>
      <w:tr>
        <w:trPr>
          <w:trHeight w:val="152"/>
        </w:trPr>
        <w:tc>
          <w:tcPr>
            <w:tcW w:w="352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funding.</w:t>
            </w:r>
          </w:p>
        </w:tc>
      </w:tr>
      <w:tr>
        <w:trPr>
          <w:trHeight w:val="226"/>
        </w:trPr>
        <w:tc>
          <w:tcPr>
            <w:tcW w:w="35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The discounted expected future cash flows of the 2019 investments were calculated by taking our share of future</w:t>
            </w:r>
          </w:p>
        </w:tc>
      </w:tr>
      <w:tr>
        <w:trPr>
          <w:trHeight w:val="135"/>
        </w:trPr>
        <w:tc>
          <w:tcPr>
            <w:tcW w:w="352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revenues minus production costs and production taxes but before any general and administrative charges, interest</w:t>
            </w:r>
          </w:p>
        </w:tc>
      </w:tr>
      <w:tr>
        <w:trPr>
          <w:trHeight w:val="135"/>
        </w:trPr>
        <w:tc>
          <w:tcPr>
            <w:tcW w:w="352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9"/>
              </w:rPr>
              <w:t>expense, income taxes and other corporate payments. The future cash flow calculations were based on the SEC price</w:t>
            </w:r>
          </w:p>
        </w:tc>
      </w:tr>
      <w:tr>
        <w:trPr>
          <w:trHeight w:val="135"/>
        </w:trPr>
        <w:tc>
          <w:tcPr>
            <w:tcW w:w="352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for each respective year and include impacts of hedges placed within the calendar year. Discounting was at 10%</w:t>
            </w:r>
          </w:p>
        </w:tc>
      </w:tr>
      <w:tr>
        <w:trPr>
          <w:trHeight w:val="135"/>
        </w:trPr>
        <w:tc>
          <w:tcPr>
            <w:tcW w:w="352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(consistent with SEC requirements). Except as otherwise stated, all values were determined consistently with SEC</w:t>
            </w:r>
          </w:p>
        </w:tc>
      </w:tr>
      <w:tr>
        <w:trPr>
          <w:trHeight w:val="141"/>
        </w:trPr>
        <w:tc>
          <w:tcPr>
            <w:tcW w:w="3520" w:type="dxa"/>
            <w:vAlign w:val="bottom"/>
            <w:tcBorders>
              <w:left w:val="single" w:sz="8" w:color="auto"/>
              <w:bottom w:val="single" w:sz="8" w:color="auto"/>
              <w:right w:val="single" w:sz="8" w:color="auto"/>
            </w:tcBorders>
          </w:tcPr>
          <w:p>
            <w:pPr>
              <w:spacing w:after="0"/>
              <w:rPr>
                <w:sz w:val="12"/>
                <w:szCs w:val="12"/>
                <w:color w:val="auto"/>
              </w:rPr>
            </w:pPr>
          </w:p>
        </w:tc>
        <w:tc>
          <w:tcPr>
            <w:tcW w:w="68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regulations.</w:t>
            </w:r>
          </w:p>
        </w:tc>
      </w:tr>
      <w:tr>
        <w:trPr>
          <w:trHeight w:val="128"/>
        </w:trPr>
        <w:tc>
          <w:tcPr>
            <w:tcW w:w="352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Combined IIR</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Injury and illness incidence rate of employees and contractors.</w:t>
            </w:r>
          </w:p>
        </w:tc>
      </w:tr>
      <w:tr>
        <w:trPr>
          <w:trHeight w:val="129"/>
        </w:trPr>
        <w:tc>
          <w:tcPr>
            <w:tcW w:w="352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Spill prevention rate</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(Boe produced minus net reportable oil spill volume) divided by Boe produced.</w:t>
            </w:r>
          </w:p>
        </w:tc>
      </w:tr>
      <w:tr>
        <w:trPr>
          <w:trHeight w:val="128"/>
        </w:trPr>
        <w:tc>
          <w:tcPr>
            <w:tcW w:w="352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Net water supplied to Ag</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Volume of water supplied to agriculture divided by volume of fresh water purchased.</w:t>
            </w:r>
          </w:p>
        </w:tc>
      </w:tr>
      <w:tr>
        <w:trPr>
          <w:trHeight w:val="129"/>
        </w:trPr>
        <w:tc>
          <w:tcPr>
            <w:tcW w:w="352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EBITDAX</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Adjusted EBITDAX (millions). See Annex A for CRC’s calculation of adjusted EBITDAX.</w:t>
            </w:r>
          </w:p>
        </w:tc>
      </w:tr>
      <w:tr>
        <w:trPr>
          <w:trHeight w:val="128"/>
        </w:trPr>
        <w:tc>
          <w:tcPr>
            <w:tcW w:w="352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Debt</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Face value of outstanding debt less unrestricted cash (billions).</w:t>
            </w:r>
          </w:p>
        </w:tc>
      </w:tr>
    </w:tbl>
    <w:p>
      <w:pPr>
        <w:spacing w:after="0" w:line="200" w:lineRule="exact"/>
        <w:rPr>
          <w:sz w:val="20"/>
          <w:szCs w:val="20"/>
          <w:color w:val="auto"/>
        </w:rPr>
      </w:pPr>
    </w:p>
    <w:p>
      <w:pPr>
        <w:spacing w:after="0" w:line="258"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8" w:name="page49"/>
    <w:bookmarkEnd w:id="4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Compensation Discussion and Analysis</w:t>
      </w:r>
    </w:p>
    <w:p>
      <w:pPr>
        <w:spacing w:after="0" w:line="21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All executives were subject to the same Investment, Operations, Health, Safety and Environmental, and Liquidity quantitative measures. The actual 2019 results against these goals yielded a payout of 143.94% of target for the quantitative measures portion of the annual incentive.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Annual Incentive Targets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Compensation Committee reviewed the annual incentive targets for each of our NEOs against Peer Group market data, and with consideration to internal alignment. In February 2019, the Compensation Committee determined that the 2019 annual incentive targets for the NEOs, other than Mr. Weiss, remained appropriate at the 2018 levels and no changes were made for 2019. For Mr. Weiss, the Compensation Committee determined his target should be increased from 75% to 80% based on the scope of his job and internal alignment. Mr. Preston was not an NEO in 2018, so his 2018 annual incentive target is not disclosed.</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0075C9"/>
              </w:rPr>
              <w:t>Name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0075C9"/>
              </w:rPr>
              <w:t>2019 Annual Incentive Target</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0075C9"/>
              </w:rPr>
              <w:t>2018 Annual Incentive Target</w:t>
            </w:r>
          </w:p>
        </w:tc>
        <w:tc>
          <w:tcPr>
            <w:tcW w:w="0" w:type="dxa"/>
            <w:vAlign w:val="bottom"/>
          </w:tcPr>
          <w:p>
            <w:pPr>
              <w:spacing w:after="0"/>
              <w:rPr>
                <w:sz w:val="1"/>
                <w:szCs w:val="1"/>
                <w:color w:val="auto"/>
              </w:rPr>
            </w:pPr>
          </w:p>
        </w:tc>
      </w:tr>
      <w:tr>
        <w:trPr>
          <w:trHeight w:val="175"/>
        </w:trPr>
        <w:tc>
          <w:tcPr>
            <w:tcW w:w="1580" w:type="dxa"/>
            <w:vAlign w:val="bottom"/>
            <w:tcBorders>
              <w:bottom w:val="single" w:sz="8" w:color="0070C0"/>
            </w:tcBorders>
            <w:vMerge w:val="continue"/>
          </w:tcPr>
          <w:p>
            <w:pPr>
              <w:spacing w:after="0"/>
              <w:rPr>
                <w:sz w:val="15"/>
                <w:szCs w:val="15"/>
                <w:color w:val="auto"/>
              </w:rPr>
            </w:pPr>
          </w:p>
        </w:tc>
        <w:tc>
          <w:tcPr>
            <w:tcW w:w="214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(as a % of base salary)</w:t>
            </w:r>
          </w:p>
        </w:tc>
        <w:tc>
          <w:tcPr>
            <w:tcW w:w="2280" w:type="dxa"/>
            <w:vAlign w:val="bottom"/>
            <w:tcBorders>
              <w:bottom w:val="single" w:sz="8" w:color="0070C0"/>
            </w:tcBorders>
          </w:tcPr>
          <w:p>
            <w:pPr>
              <w:ind w:left="120"/>
              <w:spacing w:after="0"/>
              <w:rPr>
                <w:sz w:val="20"/>
                <w:szCs w:val="20"/>
                <w:color w:val="auto"/>
              </w:rPr>
            </w:pPr>
            <w:r>
              <w:rPr>
                <w:rFonts w:ascii="Arial" w:cs="Arial" w:eastAsia="Arial" w:hAnsi="Arial"/>
                <w:sz w:val="14"/>
                <w:szCs w:val="14"/>
                <w:b w:val="1"/>
                <w:bCs w:val="1"/>
                <w:color w:val="0075C9"/>
              </w:rPr>
              <w:t>(as a percent of base salary)</w:t>
            </w:r>
          </w:p>
        </w:tc>
        <w:tc>
          <w:tcPr>
            <w:tcW w:w="0" w:type="dxa"/>
            <w:vAlign w:val="bottom"/>
          </w:tcPr>
          <w:p>
            <w:pPr>
              <w:spacing w:after="0"/>
              <w:rPr>
                <w:sz w:val="1"/>
                <w:szCs w:val="1"/>
                <w:color w:val="auto"/>
              </w:rPr>
            </w:pPr>
          </w:p>
        </w:tc>
      </w:tr>
      <w:tr>
        <w:trPr>
          <w:trHeight w:val="184"/>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Todd A. Stevens</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16"/>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6"/>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30"/>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80%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6"/>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85%</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580" w:type="dxa"/>
            <w:vAlign w:val="bottom"/>
            <w:shd w:val="clear" w:color="auto" w:fill="EBEBEC"/>
          </w:tcPr>
          <w:p>
            <w:pPr>
              <w:spacing w:after="0"/>
              <w:rPr>
                <w:sz w:val="2"/>
                <w:szCs w:val="2"/>
                <w:color w:val="auto"/>
              </w:rPr>
            </w:pPr>
          </w:p>
        </w:tc>
        <w:tc>
          <w:tcPr>
            <w:tcW w:w="2140" w:type="dxa"/>
            <w:vAlign w:val="bottom"/>
            <w:shd w:val="clear" w:color="auto" w:fill="EBEBEC"/>
          </w:tcPr>
          <w:p>
            <w:pPr>
              <w:spacing w:after="0"/>
              <w:rPr>
                <w:sz w:val="2"/>
                <w:szCs w:val="2"/>
                <w:color w:val="auto"/>
              </w:rPr>
            </w:pPr>
          </w:p>
        </w:tc>
        <w:tc>
          <w:tcPr>
            <w:tcW w:w="2280" w:type="dxa"/>
            <w:vAlign w:val="bottom"/>
            <w:shd w:val="clear" w:color="auto" w:fill="EBEB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-702310</wp:posOffset>
            </wp:positionV>
            <wp:extent cx="3806190" cy="7112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06190" cy="7112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Individual Annual Incentive Results</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For each of our NEOs, the executive’s performance in 2019 was considered against his strategic and individual objectives in determination of the payout amounts under the 2019 annual incentive as described below. Each of the NEOs had individual objectives covering some of the following areas:</w:t>
      </w:r>
    </w:p>
    <w:p>
      <w:pPr>
        <w:spacing w:after="0" w:line="95" w:lineRule="exact"/>
        <w:rPr>
          <w:sz w:val="20"/>
          <w:szCs w:val="20"/>
          <w:color w:val="auto"/>
        </w:rPr>
      </w:pPr>
    </w:p>
    <w:p>
      <w:pPr>
        <w:ind w:left="580" w:hanging="34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Execution of strategic plan and initiatives</w:t>
      </w:r>
    </w:p>
    <w:p>
      <w:pPr>
        <w:spacing w:after="0" w:line="103" w:lineRule="exact"/>
        <w:rPr>
          <w:rFonts w:ascii="Arial" w:cs="Arial" w:eastAsia="Arial" w:hAnsi="Arial"/>
          <w:sz w:val="18"/>
          <w:szCs w:val="18"/>
          <w:color w:val="auto"/>
        </w:rPr>
      </w:pPr>
    </w:p>
    <w:p>
      <w:pPr>
        <w:ind w:left="580" w:hanging="34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management</w:t>
      </w:r>
    </w:p>
    <w:p>
      <w:pPr>
        <w:spacing w:after="0" w:line="103" w:lineRule="exact"/>
        <w:rPr>
          <w:rFonts w:ascii="Arial" w:cs="Arial" w:eastAsia="Arial" w:hAnsi="Arial"/>
          <w:sz w:val="18"/>
          <w:szCs w:val="18"/>
          <w:color w:val="auto"/>
        </w:rPr>
      </w:pPr>
    </w:p>
    <w:p>
      <w:pPr>
        <w:ind w:left="580" w:hanging="34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Quality and consistency of risk management efforts</w:t>
      </w:r>
    </w:p>
    <w:p>
      <w:pPr>
        <w:spacing w:after="0" w:line="103" w:lineRule="exact"/>
        <w:rPr>
          <w:rFonts w:ascii="Arial" w:cs="Arial" w:eastAsia="Arial" w:hAnsi="Arial"/>
          <w:sz w:val="18"/>
          <w:szCs w:val="18"/>
          <w:color w:val="auto"/>
        </w:rPr>
      </w:pPr>
    </w:p>
    <w:p>
      <w:pPr>
        <w:ind w:left="580" w:hanging="34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ongoing and planned regulatory approval processes</w:t>
      </w:r>
    </w:p>
    <w:p>
      <w:pPr>
        <w:spacing w:after="0" w:line="103" w:lineRule="exact"/>
        <w:rPr>
          <w:rFonts w:ascii="Arial" w:cs="Arial" w:eastAsia="Arial" w:hAnsi="Arial"/>
          <w:sz w:val="18"/>
          <w:szCs w:val="18"/>
          <w:color w:val="auto"/>
        </w:rPr>
      </w:pPr>
    </w:p>
    <w:p>
      <w:pPr>
        <w:ind w:left="580" w:hanging="34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Outreach and dialogue with stakeholders on key community and public policy issues</w:t>
      </w:r>
    </w:p>
    <w:p>
      <w:pPr>
        <w:spacing w:after="0" w:line="103" w:lineRule="exact"/>
        <w:rPr>
          <w:rFonts w:ascii="Arial" w:cs="Arial" w:eastAsia="Arial" w:hAnsi="Arial"/>
          <w:sz w:val="18"/>
          <w:szCs w:val="18"/>
          <w:color w:val="auto"/>
        </w:rPr>
      </w:pPr>
    </w:p>
    <w:p>
      <w:pPr>
        <w:ind w:left="580" w:hanging="34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Succession planning and leadership development</w:t>
      </w:r>
    </w:p>
    <w:p>
      <w:pPr>
        <w:spacing w:after="0" w:line="103" w:lineRule="exact"/>
        <w:rPr>
          <w:rFonts w:ascii="Arial" w:cs="Arial" w:eastAsia="Arial" w:hAnsi="Arial"/>
          <w:sz w:val="18"/>
          <w:szCs w:val="18"/>
          <w:color w:val="auto"/>
        </w:rPr>
      </w:pPr>
    </w:p>
    <w:p>
      <w:pPr>
        <w:ind w:left="580" w:hanging="34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 relations</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following tables present a partial list of the accomplishments the Compensation Committee reviewed in determining the payout amounts for each of the NEOs.</w:t>
      </w:r>
    </w:p>
    <w:p>
      <w:pPr>
        <w:spacing w:after="0" w:line="39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9" w:name="page50"/>
    <w:bookmarkEnd w:id="4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Todd A. Stevens –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6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7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315"/>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Executed a large ($500 million) development joint venture and several smaller exploration joint ventures, helping</w:t>
            </w:r>
          </w:p>
        </w:tc>
        <w:tc>
          <w:tcPr>
            <w:tcW w:w="20" w:type="dxa"/>
            <w:vAlign w:val="bottom"/>
          </w:tcPr>
          <w:p>
            <w:pPr>
              <w:spacing w:after="0"/>
              <w:rPr>
                <w:sz w:val="24"/>
                <w:szCs w:val="2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CRC manage cash flow and add value through proving up additional inventory and de-risking existing inventory.</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Further restructured the organization with a focus on (1) VCI and management of cash margins, (2) pushing</w:t>
            </w:r>
          </w:p>
        </w:tc>
        <w:tc>
          <w:tcPr>
            <w:tcW w:w="20" w:type="dxa"/>
            <w:vAlign w:val="bottom"/>
          </w:tcPr>
          <w:p>
            <w:pPr>
              <w:spacing w:after="0"/>
              <w:rPr>
                <w:sz w:val="24"/>
                <w:szCs w:val="24"/>
                <w:color w:val="auto"/>
              </w:rPr>
            </w:pPr>
          </w:p>
        </w:tc>
      </w:tr>
      <w:tr>
        <w:trPr>
          <w:trHeight w:val="16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ownership, decision making and responsibility down in the organization, (3) allocating human capital to the most</w:t>
            </w:r>
          </w:p>
        </w:tc>
        <w:tc>
          <w:tcPr>
            <w:tcW w:w="20" w:type="dxa"/>
            <w:vAlign w:val="bottom"/>
          </w:tcPr>
          <w:p>
            <w:pPr>
              <w:spacing w:after="0"/>
              <w:rPr>
                <w:sz w:val="14"/>
                <w:szCs w:val="14"/>
                <w:color w:val="auto"/>
              </w:rPr>
            </w:pPr>
          </w:p>
        </w:tc>
      </w:tr>
      <w:tr>
        <w:trPr>
          <w:trHeight w:val="16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valuable projects and (4) managing field level operating costs and G&amp;A. These changes are expected to result</w:t>
            </w:r>
          </w:p>
        </w:tc>
        <w:tc>
          <w:tcPr>
            <w:tcW w:w="20" w:type="dxa"/>
            <w:vAlign w:val="bottom"/>
          </w:tcPr>
          <w:p>
            <w:pPr>
              <w:spacing w:after="0"/>
              <w:rPr>
                <w:sz w:val="14"/>
                <w:szCs w:val="1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 a reduction in ongoing operating costs and G&amp;A of approximately $50 million annually.</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Maintained focus on controllable costs as activity ramped up through the year and then reduced at year-end due</w:t>
            </w:r>
          </w:p>
        </w:tc>
        <w:tc>
          <w:tcPr>
            <w:tcW w:w="20" w:type="dxa"/>
            <w:vAlign w:val="bottom"/>
          </w:tcPr>
          <w:p>
            <w:pPr>
              <w:spacing w:after="0"/>
              <w:rPr>
                <w:sz w:val="24"/>
                <w:szCs w:val="2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to extreme oil price volatility.</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Continued execution of opportunistic hedging strategy targeting, underpinning cash flows and maximizing</w:t>
            </w:r>
          </w:p>
        </w:tc>
        <w:tc>
          <w:tcPr>
            <w:tcW w:w="20" w:type="dxa"/>
            <w:vAlign w:val="bottom"/>
          </w:tcPr>
          <w:p>
            <w:pPr>
              <w:spacing w:after="0"/>
              <w:rPr>
                <w:sz w:val="24"/>
                <w:szCs w:val="2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liquidity, resulting in a net derivative gain for 2019.</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Debt Management</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Divested a 50% working interest and transferred operatorship in portions of the Lost Hills field, which garnered</w:t>
            </w:r>
          </w:p>
        </w:tc>
        <w:tc>
          <w:tcPr>
            <w:tcW w:w="20" w:type="dxa"/>
            <w:vAlign w:val="bottom"/>
          </w:tcPr>
          <w:p>
            <w:pPr>
              <w:spacing w:after="0"/>
              <w:rPr>
                <w:sz w:val="24"/>
                <w:szCs w:val="24"/>
                <w:color w:val="auto"/>
              </w:rPr>
            </w:pPr>
          </w:p>
        </w:tc>
      </w:tr>
      <w:tr>
        <w:trPr>
          <w:trHeight w:val="16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more than $200 million in value consisting of $168 million in cash, in addition to a 100% carry on a 200-well</w:t>
            </w:r>
          </w:p>
        </w:tc>
        <w:tc>
          <w:tcPr>
            <w:tcW w:w="20" w:type="dxa"/>
            <w:vAlign w:val="bottom"/>
          </w:tcPr>
          <w:p>
            <w:pPr>
              <w:spacing w:after="0"/>
              <w:rPr>
                <w:sz w:val="14"/>
                <w:szCs w:val="14"/>
                <w:color w:val="auto"/>
              </w:rPr>
            </w:pPr>
          </w:p>
        </w:tc>
      </w:tr>
      <w:tr>
        <w:trPr>
          <w:trHeight w:val="16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development program worth at least $35 million. This transaction provided cash to fund debt reduction, while</w:t>
            </w:r>
          </w:p>
        </w:tc>
        <w:tc>
          <w:tcPr>
            <w:tcW w:w="20" w:type="dxa"/>
            <w:vAlign w:val="bottom"/>
          </w:tcPr>
          <w:p>
            <w:pPr>
              <w:spacing w:after="0"/>
              <w:rPr>
                <w:sz w:val="14"/>
                <w:szCs w:val="1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retaining significant upside in the future development by the new operator.</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Obtained reaffirmation of the borrowing base twice under our credit agreements, while removing more assets</w:t>
            </w:r>
          </w:p>
        </w:tc>
        <w:tc>
          <w:tcPr>
            <w:tcW w:w="20" w:type="dxa"/>
            <w:vAlign w:val="bottom"/>
          </w:tcPr>
          <w:p>
            <w:pPr>
              <w:spacing w:after="0"/>
              <w:rPr>
                <w:sz w:val="24"/>
                <w:szCs w:val="2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from the borrowing base, to allow for monetizations and flexibility for debt repurchases.</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Secured a credit agreement amendment to provide future flexibility in connection with potential royalty</w:t>
            </w:r>
          </w:p>
        </w:tc>
        <w:tc>
          <w:tcPr>
            <w:tcW w:w="20" w:type="dxa"/>
            <w:vAlign w:val="bottom"/>
          </w:tcPr>
          <w:p>
            <w:pPr>
              <w:spacing w:after="0"/>
              <w:rPr>
                <w:sz w:val="24"/>
                <w:szCs w:val="2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transactions.</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Outreach and dialogue with stakeholders on key</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Engaged on industry specific and business-related issues by maintaining and developing working relationships</w:t>
            </w:r>
          </w:p>
        </w:tc>
        <w:tc>
          <w:tcPr>
            <w:tcW w:w="20" w:type="dxa"/>
            <w:vAlign w:val="bottom"/>
          </w:tcPr>
          <w:p>
            <w:pPr>
              <w:spacing w:after="0"/>
              <w:rPr>
                <w:sz w:val="24"/>
                <w:szCs w:val="24"/>
                <w:color w:val="auto"/>
              </w:rPr>
            </w:pPr>
          </w:p>
        </w:tc>
      </w:tr>
      <w:tr>
        <w:trPr>
          <w:trHeight w:val="162"/>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community and public policy issues</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with key policy and decision makers in local and state governments so that they know what CRC and the</w:t>
            </w:r>
          </w:p>
        </w:tc>
        <w:tc>
          <w:tcPr>
            <w:tcW w:w="20" w:type="dxa"/>
            <w:vAlign w:val="bottom"/>
          </w:tcPr>
          <w:p>
            <w:pPr>
              <w:spacing w:after="0"/>
              <w:rPr>
                <w:sz w:val="14"/>
                <w:szCs w:val="1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industry bring to California, helping to ensure that CRC has a seat at the table on important issues.</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Championed community involvement through company support for employee engagement in the communities</w:t>
            </w:r>
          </w:p>
        </w:tc>
        <w:tc>
          <w:tcPr>
            <w:tcW w:w="20" w:type="dxa"/>
            <w:vAlign w:val="bottom"/>
          </w:tcPr>
          <w:p>
            <w:pPr>
              <w:spacing w:after="0"/>
              <w:rPr>
                <w:sz w:val="24"/>
                <w:szCs w:val="2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where we live and work.</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Stockholder relations</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Participated in 11 equity and debt conferences during 2019, along with three non-deal road shows and two</w:t>
            </w:r>
          </w:p>
        </w:tc>
        <w:tc>
          <w:tcPr>
            <w:tcW w:w="20" w:type="dxa"/>
            <w:vAlign w:val="bottom"/>
          </w:tcPr>
          <w:p>
            <w:pPr>
              <w:spacing w:after="0"/>
              <w:rPr>
                <w:sz w:val="24"/>
                <w:szCs w:val="2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investor dinners.</w:t>
            </w:r>
          </w:p>
        </w:tc>
        <w:tc>
          <w:tcPr>
            <w:tcW w:w="20" w:type="dxa"/>
            <w:vAlign w:val="bottom"/>
          </w:tcPr>
          <w:p>
            <w:pPr>
              <w:spacing w:after="0"/>
              <w:rPr>
                <w:sz w:val="14"/>
                <w:szCs w:val="14"/>
                <w:color w:val="auto"/>
              </w:rPr>
            </w:pPr>
          </w:p>
        </w:tc>
      </w:tr>
      <w:tr>
        <w:trPr>
          <w:trHeight w:val="31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Met with over 300 different investors throughout 2019 individually or in small groups.</w:t>
            </w:r>
          </w:p>
        </w:tc>
        <w:tc>
          <w:tcPr>
            <w:tcW w:w="20" w:type="dxa"/>
            <w:vAlign w:val="bottom"/>
          </w:tcPr>
          <w:p>
            <w:pPr>
              <w:spacing w:after="0"/>
              <w:rPr>
                <w:sz w:val="24"/>
                <w:szCs w:val="24"/>
                <w:color w:val="auto"/>
              </w:rPr>
            </w:pPr>
          </w:p>
        </w:tc>
      </w:tr>
      <w:tr>
        <w:trPr>
          <w:trHeight w:val="31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Continued to receive positive feedback from our largest holders.</w:t>
            </w:r>
          </w:p>
        </w:tc>
        <w:tc>
          <w:tcPr>
            <w:tcW w:w="20" w:type="dxa"/>
            <w:vAlign w:val="bottom"/>
          </w:tcPr>
          <w:p>
            <w:pPr>
              <w:spacing w:after="0"/>
              <w:rPr>
                <w:sz w:val="24"/>
                <w:szCs w:val="24"/>
                <w:color w:val="auto"/>
              </w:rPr>
            </w:pPr>
          </w:p>
        </w:tc>
      </w:tr>
      <w:tr>
        <w:trPr>
          <w:trHeight w:val="300"/>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Quality and consistency of risk management efforts</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Constantly reinforced safety culture and importance of environmental protection, resulting in achievement of best</w:t>
            </w:r>
          </w:p>
        </w:tc>
        <w:tc>
          <w:tcPr>
            <w:tcW w:w="20" w:type="dxa"/>
            <w:vAlign w:val="bottom"/>
          </w:tcPr>
          <w:p>
            <w:pPr>
              <w:spacing w:after="0"/>
              <w:rPr>
                <w:sz w:val="24"/>
                <w:szCs w:val="24"/>
                <w:color w:val="auto"/>
              </w:rPr>
            </w:pPr>
          </w:p>
        </w:tc>
      </w:tr>
      <w:tr>
        <w:trPr>
          <w:trHeight w:val="16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safety year on record, with zero recordable employee workplace injuries, and record or near record</w:t>
            </w:r>
          </w:p>
        </w:tc>
        <w:tc>
          <w:tcPr>
            <w:tcW w:w="20" w:type="dxa"/>
            <w:vAlign w:val="bottom"/>
          </w:tcPr>
          <w:p>
            <w:pPr>
              <w:spacing w:after="0"/>
              <w:rPr>
                <w:sz w:val="14"/>
                <w:szCs w:val="1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environmental performance with respect to spills, air emissions, and water delivered to agriculture.</w:t>
            </w:r>
          </w:p>
        </w:tc>
        <w:tc>
          <w:tcPr>
            <w:tcW w:w="20" w:type="dxa"/>
            <w:vAlign w:val="bottom"/>
          </w:tcPr>
          <w:p>
            <w:pPr>
              <w:spacing w:after="0"/>
              <w:rPr>
                <w:sz w:val="14"/>
                <w:szCs w:val="14"/>
                <w:color w:val="auto"/>
              </w:rPr>
            </w:pPr>
          </w:p>
        </w:tc>
      </w:tr>
      <w:tr>
        <w:trPr>
          <w:trHeight w:val="300"/>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Succession planning and leadership development</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Supported formal external leadership training program for future leaders, launching CRC’s Intrepid Women in</w:t>
            </w:r>
          </w:p>
        </w:tc>
        <w:tc>
          <w:tcPr>
            <w:tcW w:w="20" w:type="dxa"/>
            <w:vAlign w:val="bottom"/>
          </w:tcPr>
          <w:p>
            <w:pPr>
              <w:spacing w:after="0"/>
              <w:rPr>
                <w:sz w:val="24"/>
                <w:szCs w:val="24"/>
                <w:color w:val="auto"/>
              </w:rPr>
            </w:pP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Leadership initiative to promote women’s professional development and leadership.</w:t>
            </w:r>
          </w:p>
        </w:tc>
        <w:tc>
          <w:tcPr>
            <w:tcW w:w="20" w:type="dxa"/>
            <w:vAlign w:val="bottom"/>
          </w:tcPr>
          <w:p>
            <w:pPr>
              <w:spacing w:after="0"/>
              <w:rPr>
                <w:sz w:val="14"/>
                <w:szCs w:val="14"/>
                <w:color w:val="auto"/>
              </w:rPr>
            </w:pPr>
          </w:p>
        </w:tc>
      </w:tr>
      <w:tr>
        <w:trPr>
          <w:trHeight w:val="31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Identified key personnel risks and maintained succession plans to mitigate risks.</w:t>
            </w:r>
          </w:p>
        </w:tc>
        <w:tc>
          <w:tcPr>
            <w:tcW w:w="20" w:type="dxa"/>
            <w:vAlign w:val="bottom"/>
          </w:tcPr>
          <w:p>
            <w:pPr>
              <w:spacing w:after="0"/>
              <w:rPr>
                <w:sz w:val="24"/>
                <w:szCs w:val="24"/>
                <w:color w:val="auto"/>
              </w:rPr>
            </w:pPr>
          </w:p>
        </w:tc>
      </w:tr>
      <w:tr>
        <w:trPr>
          <w:trHeight w:val="133"/>
        </w:trPr>
        <w:tc>
          <w:tcPr>
            <w:tcW w:w="3560" w:type="dxa"/>
            <w:vAlign w:val="bottom"/>
            <w:shd w:val="clear" w:color="auto" w:fill="DBE5F1"/>
          </w:tcPr>
          <w:p>
            <w:pPr>
              <w:spacing w:after="0"/>
              <w:rPr>
                <w:sz w:val="11"/>
                <w:szCs w:val="11"/>
                <w:color w:val="auto"/>
              </w:rPr>
            </w:pPr>
          </w:p>
        </w:tc>
        <w:tc>
          <w:tcPr>
            <w:tcW w:w="768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r>
      <w:tr>
        <w:trPr>
          <w:trHeight w:val="675"/>
        </w:trPr>
        <w:tc>
          <w:tcPr>
            <w:tcW w:w="3560" w:type="dxa"/>
            <w:vAlign w:val="bottom"/>
          </w:tcPr>
          <w:p>
            <w:pPr>
              <w:spacing w:after="0"/>
              <w:rPr>
                <w:sz w:val="24"/>
                <w:szCs w:val="24"/>
                <w:color w:val="auto"/>
              </w:rPr>
            </w:pPr>
          </w:p>
        </w:tc>
        <w:tc>
          <w:tcPr>
            <w:tcW w:w="7700" w:type="dxa"/>
            <w:vAlign w:val="bottom"/>
            <w:gridSpan w:val="2"/>
          </w:tcPr>
          <w:p>
            <w:pPr>
              <w:ind w:left="3640"/>
              <w:spacing w:after="0"/>
              <w:rPr>
                <w:sz w:val="20"/>
                <w:szCs w:val="20"/>
                <w:color w:val="auto"/>
              </w:rPr>
            </w:pPr>
            <w:r>
              <w:rPr>
                <w:rFonts w:ascii="Arial" w:cs="Arial" w:eastAsia="Arial" w:hAnsi="Arial"/>
                <w:sz w:val="18"/>
                <w:szCs w:val="18"/>
                <w:color w:val="auto"/>
              </w:rPr>
              <w:t>CALIFORNIA RESOURCES CORPORATION  42</w:t>
            </w:r>
          </w:p>
        </w:tc>
      </w:tr>
      <w:tr>
        <w:trPr>
          <w:trHeight w:val="101"/>
        </w:trPr>
        <w:tc>
          <w:tcPr>
            <w:tcW w:w="3560" w:type="dxa"/>
            <w:vAlign w:val="bottom"/>
            <w:tcBorders>
              <w:bottom w:val="single" w:sz="8" w:color="9A9A9A"/>
            </w:tcBorders>
          </w:tcPr>
          <w:p>
            <w:pPr>
              <w:spacing w:after="0"/>
              <w:rPr>
                <w:sz w:val="8"/>
                <w:szCs w:val="8"/>
                <w:color w:val="auto"/>
              </w:rPr>
            </w:pPr>
          </w:p>
        </w:tc>
        <w:tc>
          <w:tcPr>
            <w:tcW w:w="7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90"/>
        </w:trPr>
        <w:tc>
          <w:tcPr>
            <w:tcW w:w="3560" w:type="dxa"/>
            <w:vAlign w:val="bottom"/>
            <w:tcBorders>
              <w:bottom w:val="single" w:sz="8" w:color="0075C9"/>
            </w:tcBorders>
            <w:shd w:val="clear" w:color="auto" w:fill="0075C9"/>
          </w:tcPr>
          <w:p>
            <w:pPr>
              <w:spacing w:after="0"/>
              <w:rPr>
                <w:sz w:val="24"/>
                <w:szCs w:val="24"/>
                <w:color w:val="auto"/>
              </w:rPr>
            </w:pPr>
          </w:p>
        </w:tc>
        <w:tc>
          <w:tcPr>
            <w:tcW w:w="768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2020 PROXY STATEMENT</w:t>
            </w:r>
          </w:p>
        </w:tc>
      </w:tr>
      <w:tr>
        <w:trPr>
          <w:trHeight w:val="190"/>
        </w:trPr>
        <w:tc>
          <w:tcPr>
            <w:tcW w:w="3560" w:type="dxa"/>
            <w:vAlign w:val="bottom"/>
          </w:tcPr>
          <w:p>
            <w:pPr>
              <w:spacing w:after="0"/>
              <w:rPr>
                <w:sz w:val="16"/>
                <w:szCs w:val="16"/>
                <w:color w:val="auto"/>
              </w:rPr>
            </w:pPr>
          </w:p>
        </w:tc>
        <w:tc>
          <w:tcPr>
            <w:tcW w:w="7680" w:type="dxa"/>
            <w:vAlign w:val="bottom"/>
          </w:tcPr>
          <w:p>
            <w:pPr>
              <w:jc w:val="right"/>
              <w:spacing w:after="0"/>
              <w:rPr>
                <w:sz w:val="20"/>
                <w:szCs w:val="20"/>
                <w:color w:val="auto"/>
              </w:rPr>
            </w:pPr>
            <w:r>
              <w:rPr>
                <w:rFonts w:ascii="Arial" w:cs="Arial" w:eastAsia="Arial" w:hAnsi="Arial"/>
                <w:sz w:val="14"/>
                <w:szCs w:val="14"/>
                <w:color w:val="auto"/>
              </w:rPr>
              <w:t>Compensation Discussion and Analysis</w:t>
            </w:r>
          </w:p>
        </w:tc>
      </w:tr>
      <w:tr>
        <w:trPr>
          <w:trHeight w:val="454"/>
        </w:trPr>
        <w:tc>
          <w:tcPr>
            <w:tcW w:w="11240" w:type="dxa"/>
            <w:vAlign w:val="bottom"/>
            <w:gridSpan w:val="2"/>
          </w:tcPr>
          <w:p>
            <w:pPr>
              <w:spacing w:after="0"/>
              <w:rPr>
                <w:sz w:val="20"/>
                <w:szCs w:val="20"/>
                <w:color w:val="auto"/>
              </w:rPr>
            </w:pPr>
            <w:r>
              <w:rPr>
                <w:rFonts w:ascii="Arial" w:cs="Arial" w:eastAsia="Arial" w:hAnsi="Arial"/>
                <w:sz w:val="22"/>
                <w:szCs w:val="22"/>
                <w:b w:val="1"/>
                <w:bCs w:val="1"/>
                <w:color w:val="0075C9"/>
              </w:rPr>
              <w:t>Marshall D. Smith – Senior Executive Vice President and Chief Financial Officer</w:t>
            </w:r>
          </w:p>
        </w:tc>
      </w:tr>
      <w:tr>
        <w:trPr>
          <w:trHeight w:val="111"/>
        </w:trPr>
        <w:tc>
          <w:tcPr>
            <w:tcW w:w="3560" w:type="dxa"/>
            <w:vAlign w:val="bottom"/>
            <w:tcBorders>
              <w:bottom w:val="single" w:sz="8" w:color="A0A0A0"/>
            </w:tcBorders>
          </w:tcPr>
          <w:p>
            <w:pPr>
              <w:spacing w:after="0"/>
              <w:rPr>
                <w:sz w:val="9"/>
                <w:szCs w:val="9"/>
                <w:color w:val="auto"/>
              </w:rPr>
            </w:pPr>
          </w:p>
        </w:tc>
        <w:tc>
          <w:tcPr>
            <w:tcW w:w="7680" w:type="dxa"/>
            <w:vAlign w:val="bottom"/>
            <w:tcBorders>
              <w:bottom w:val="single" w:sz="8" w:color="A0A0A0"/>
            </w:tcBorders>
          </w:tcPr>
          <w:p>
            <w:pPr>
              <w:spacing w:after="0"/>
              <w:rPr>
                <w:sz w:val="9"/>
                <w:szCs w:val="9"/>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680" w:type="dxa"/>
            <w:vAlign w:val="bottom"/>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315"/>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Debt management</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Completed amendment of CRC’s senior bank facility and amendment of the 2017 credit agreement on favorable</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terms and to allow repurchase of debt at a premium with proceeds from a royalty transaction.</w:t>
            </w: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Led borrowing base reviews resulting in affirmation of the borrowing base even with significant non-core</w:t>
            </w:r>
          </w:p>
        </w:tc>
      </w:tr>
      <w:tr>
        <w:trPr>
          <w:trHeight w:val="16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properties and certain royalties removed from borrowing base properties, creating greater flexibility for asset</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monetization, debt repurchases and royalty transactions.</w:t>
            </w:r>
          </w:p>
        </w:tc>
      </w:tr>
      <w:tr>
        <w:trPr>
          <w:trHeight w:val="300"/>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Stockholder relations</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Effectively communicated with both equity and fixed income investors (including banks) on CRC’s value</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proposition and strategic direction.</w:t>
            </w:r>
          </w:p>
        </w:tc>
      </w:tr>
      <w:tr>
        <w:trPr>
          <w:trHeight w:val="31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Developed and maintained critical relationships necessary to facilitate negotiations on debt management.</w:t>
            </w: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Proactively met with ratings agencies to successfully defend CRC’s credit rating in light of significantly reduced</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commodity price outlook.</w:t>
            </w:r>
          </w:p>
        </w:tc>
      </w:tr>
      <w:tr>
        <w:trPr>
          <w:trHeight w:val="134"/>
        </w:trPr>
        <w:tc>
          <w:tcPr>
            <w:tcW w:w="3560" w:type="dxa"/>
            <w:vAlign w:val="bottom"/>
            <w:shd w:val="clear" w:color="auto" w:fill="DBE5F1"/>
          </w:tcPr>
          <w:p>
            <w:pPr>
              <w:spacing w:after="0"/>
              <w:rPr>
                <w:sz w:val="11"/>
                <w:szCs w:val="11"/>
                <w:color w:val="auto"/>
              </w:rPr>
            </w:pPr>
          </w:p>
        </w:tc>
        <w:tc>
          <w:tcPr>
            <w:tcW w:w="7680" w:type="dxa"/>
            <w:vAlign w:val="bottom"/>
            <w:shd w:val="clear" w:color="auto" w:fill="DBE5F1"/>
          </w:tcPr>
          <w:p>
            <w:pPr>
              <w:spacing w:after="0"/>
              <w:rPr>
                <w:sz w:val="11"/>
                <w:szCs w:val="11"/>
                <w:color w:val="auto"/>
              </w:rPr>
            </w:pPr>
          </w:p>
        </w:tc>
      </w:tr>
      <w:tr>
        <w:trPr>
          <w:trHeight w:val="496"/>
        </w:trPr>
        <w:tc>
          <w:tcPr>
            <w:tcW w:w="11240" w:type="dxa"/>
            <w:vAlign w:val="bottom"/>
            <w:gridSpan w:val="2"/>
          </w:tcPr>
          <w:p>
            <w:pPr>
              <w:spacing w:after="0"/>
              <w:rPr>
                <w:sz w:val="20"/>
                <w:szCs w:val="20"/>
                <w:color w:val="auto"/>
              </w:rPr>
            </w:pPr>
            <w:r>
              <w:rPr>
                <w:rFonts w:ascii="Arial" w:cs="Arial" w:eastAsia="Arial" w:hAnsi="Arial"/>
                <w:sz w:val="22"/>
                <w:szCs w:val="22"/>
                <w:b w:val="1"/>
                <w:bCs w:val="1"/>
                <w:color w:val="0075C9"/>
              </w:rPr>
              <w:t>Darren Williams – Executive Vice President – Operations and Geoscience</w:t>
            </w:r>
          </w:p>
        </w:tc>
      </w:tr>
      <w:tr>
        <w:trPr>
          <w:trHeight w:val="112"/>
        </w:trPr>
        <w:tc>
          <w:tcPr>
            <w:tcW w:w="3560" w:type="dxa"/>
            <w:vAlign w:val="bottom"/>
            <w:tcBorders>
              <w:bottom w:val="single" w:sz="8" w:color="A0A0A0"/>
            </w:tcBorders>
          </w:tcPr>
          <w:p>
            <w:pPr>
              <w:spacing w:after="0"/>
              <w:rPr>
                <w:sz w:val="9"/>
                <w:szCs w:val="9"/>
                <w:color w:val="auto"/>
              </w:rPr>
            </w:pPr>
          </w:p>
        </w:tc>
        <w:tc>
          <w:tcPr>
            <w:tcW w:w="7680" w:type="dxa"/>
            <w:vAlign w:val="bottom"/>
            <w:tcBorders>
              <w:bottom w:val="single" w:sz="8" w:color="A0A0A0"/>
            </w:tcBorders>
          </w:tcPr>
          <w:p>
            <w:pPr>
              <w:spacing w:after="0"/>
              <w:rPr>
                <w:sz w:val="9"/>
                <w:szCs w:val="9"/>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680" w:type="dxa"/>
            <w:vAlign w:val="bottom"/>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325"/>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Delivered business plan of fully burdened VCI of 1.5 and outstanding HSE performance.</w:t>
            </w: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Further streamlined operations organization to provide consistent and efficient execution across all of CRC’s</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assets.</w:t>
            </w: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Continued to drive culture of drill readiness and long-term planning, resulting in growth of permit inventory to</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over 2,400 days.</w:t>
            </w: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Delivered multi-year,14-well exploration program generating over $200 million net P50 PV10 with finding cost</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less than $1/Boe, primarily funded by joint venture partners.</w:t>
            </w:r>
          </w:p>
        </w:tc>
      </w:tr>
      <w:tr>
        <w:trPr>
          <w:trHeight w:val="31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Executed three multi-year, multi-well exploration joint ventures targeting conventional and unconventional plays.</w:t>
            </w: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Facilitated creative environment focused on new idea generation resulting in approximately 250 MMBoe increase</w:t>
            </w:r>
          </w:p>
        </w:tc>
      </w:tr>
      <w:tr>
        <w:trPr>
          <w:trHeight w:val="157"/>
        </w:trPr>
        <w:tc>
          <w:tcPr>
            <w:tcW w:w="3560" w:type="dxa"/>
            <w:vAlign w:val="bottom"/>
            <w:shd w:val="clear" w:color="auto" w:fill="DBE5F1"/>
          </w:tcPr>
          <w:p>
            <w:pPr>
              <w:spacing w:after="0"/>
              <w:rPr>
                <w:sz w:val="13"/>
                <w:szCs w:val="13"/>
                <w:color w:val="auto"/>
              </w:rPr>
            </w:pPr>
          </w:p>
        </w:tc>
        <w:tc>
          <w:tcPr>
            <w:tcW w:w="7680" w:type="dxa"/>
            <w:vAlign w:val="bottom"/>
            <w:shd w:val="clear" w:color="auto" w:fill="DBE5F1"/>
          </w:tcPr>
          <w:p>
            <w:pPr>
              <w:ind w:left="80"/>
              <w:spacing w:after="0" w:line="157" w:lineRule="exact"/>
              <w:rPr>
                <w:sz w:val="20"/>
                <w:szCs w:val="20"/>
                <w:color w:val="auto"/>
              </w:rPr>
            </w:pPr>
            <w:r>
              <w:rPr>
                <w:rFonts w:ascii="Arial" w:cs="Arial" w:eastAsia="Arial" w:hAnsi="Arial"/>
                <w:sz w:val="14"/>
                <w:szCs w:val="14"/>
                <w:color w:val="auto"/>
              </w:rPr>
              <w:t>in net, unrisked prospective resources.</w:t>
            </w:r>
          </w:p>
        </w:tc>
      </w:tr>
      <w:tr>
        <w:trPr>
          <w:trHeight w:val="496"/>
        </w:trPr>
        <w:tc>
          <w:tcPr>
            <w:tcW w:w="11240" w:type="dxa"/>
            <w:vAlign w:val="bottom"/>
            <w:gridSpan w:val="2"/>
          </w:tcPr>
          <w:p>
            <w:pPr>
              <w:spacing w:after="0"/>
              <w:rPr>
                <w:sz w:val="20"/>
                <w:szCs w:val="20"/>
                <w:color w:val="auto"/>
              </w:rPr>
            </w:pPr>
            <w:r>
              <w:rPr>
                <w:rFonts w:ascii="Arial" w:cs="Arial" w:eastAsia="Arial" w:hAnsi="Arial"/>
                <w:sz w:val="22"/>
                <w:szCs w:val="22"/>
                <w:b w:val="1"/>
                <w:bCs w:val="1"/>
                <w:color w:val="0075C9"/>
              </w:rPr>
              <w:t>Charles F. Weiss – Executive Vice President – Public Affairs</w:t>
            </w:r>
          </w:p>
        </w:tc>
      </w:tr>
      <w:tr>
        <w:trPr>
          <w:trHeight w:val="111"/>
        </w:trPr>
        <w:tc>
          <w:tcPr>
            <w:tcW w:w="3560" w:type="dxa"/>
            <w:vAlign w:val="bottom"/>
            <w:tcBorders>
              <w:bottom w:val="single" w:sz="8" w:color="A0A0A0"/>
            </w:tcBorders>
          </w:tcPr>
          <w:p>
            <w:pPr>
              <w:spacing w:after="0"/>
              <w:rPr>
                <w:sz w:val="9"/>
                <w:szCs w:val="9"/>
                <w:color w:val="auto"/>
              </w:rPr>
            </w:pPr>
          </w:p>
        </w:tc>
        <w:tc>
          <w:tcPr>
            <w:tcW w:w="7680" w:type="dxa"/>
            <w:vAlign w:val="bottom"/>
            <w:tcBorders>
              <w:bottom w:val="single" w:sz="8" w:color="A0A0A0"/>
            </w:tcBorders>
          </w:tcPr>
          <w:p>
            <w:pPr>
              <w:spacing w:after="0"/>
              <w:rPr>
                <w:sz w:val="9"/>
                <w:szCs w:val="9"/>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680" w:type="dxa"/>
            <w:vAlign w:val="bottom"/>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315"/>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Quality and consistency of risk management efforts</w:t>
            </w: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Delivered effective risk evaluation, mechanical integrity and HSE assessment programs for significant pipelines</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and facilities.</w:t>
            </w: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Championed Safety Leadership Training and programs that enabled CRC to exceed our 2019 quantitative HSE</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metrics and qualitative objectives, including record safety performance with zero employee recordable injuries.</w:t>
            </w:r>
          </w:p>
        </w:tc>
      </w:tr>
      <w:tr>
        <w:trPr>
          <w:trHeight w:val="300"/>
        </w:trPr>
        <w:tc>
          <w:tcPr>
            <w:tcW w:w="3560" w:type="dxa"/>
            <w:vAlign w:val="bottom"/>
            <w:shd w:val="clear" w:color="auto" w:fill="DBE5F1"/>
          </w:tcPr>
          <w:p>
            <w:pPr>
              <w:spacing w:after="0"/>
              <w:rPr>
                <w:sz w:val="24"/>
                <w:szCs w:val="2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Successfully completed multiple pipeline audits, major emergency drills and rollout of CRC’s incident command</w:t>
            </w:r>
          </w:p>
        </w:tc>
      </w:tr>
      <w:tr>
        <w:trPr>
          <w:trHeight w:val="172"/>
        </w:trPr>
        <w:tc>
          <w:tcPr>
            <w:tcW w:w="3560" w:type="dxa"/>
            <w:vAlign w:val="bottom"/>
            <w:shd w:val="clear" w:color="auto" w:fill="DBE5F1"/>
          </w:tcPr>
          <w:p>
            <w:pPr>
              <w:spacing w:after="0"/>
              <w:rPr>
                <w:sz w:val="14"/>
                <w:szCs w:val="14"/>
                <w:color w:val="auto"/>
              </w:rPr>
            </w:pPr>
          </w:p>
        </w:tc>
        <w:tc>
          <w:tcPr>
            <w:tcW w:w="7680" w:type="dxa"/>
            <w:vAlign w:val="bottom"/>
            <w:shd w:val="clear" w:color="auto" w:fill="DBE5F1"/>
          </w:tcPr>
          <w:p>
            <w:pPr>
              <w:ind w:left="80"/>
              <w:spacing w:after="0"/>
              <w:rPr>
                <w:sz w:val="20"/>
                <w:szCs w:val="20"/>
                <w:color w:val="auto"/>
              </w:rPr>
            </w:pPr>
            <w:r>
              <w:rPr>
                <w:rFonts w:ascii="Arial" w:cs="Arial" w:eastAsia="Arial" w:hAnsi="Arial"/>
                <w:sz w:val="14"/>
                <w:szCs w:val="14"/>
                <w:color w:val="auto"/>
              </w:rPr>
              <w:t>system to sustain exemplary performance and regulatory compliance.</w:t>
            </w:r>
          </w:p>
        </w:tc>
      </w:tr>
      <w:tr>
        <w:trPr>
          <w:trHeight w:val="133"/>
        </w:trPr>
        <w:tc>
          <w:tcPr>
            <w:tcW w:w="3560" w:type="dxa"/>
            <w:vAlign w:val="bottom"/>
            <w:shd w:val="clear" w:color="auto" w:fill="DBE5F1"/>
          </w:tcPr>
          <w:p>
            <w:pPr>
              <w:spacing w:after="0"/>
              <w:rPr>
                <w:sz w:val="11"/>
                <w:szCs w:val="11"/>
                <w:color w:val="auto"/>
              </w:rPr>
            </w:pPr>
          </w:p>
        </w:tc>
        <w:tc>
          <w:tcPr>
            <w:tcW w:w="7680" w:type="dxa"/>
            <w:vAlign w:val="bottom"/>
            <w:shd w:val="clear" w:color="auto" w:fill="DBE5F1"/>
          </w:tcPr>
          <w:p>
            <w:pPr>
              <w:spacing w:after="0"/>
              <w:rPr>
                <w:sz w:val="11"/>
                <w:szCs w:val="11"/>
                <w:color w:val="auto"/>
              </w:rPr>
            </w:pP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Outreach and dialogue with stakeholders on key</w:t>
            </w:r>
          </w:p>
        </w:tc>
        <w:tc>
          <w:tcPr>
            <w:tcW w:w="7680" w:type="dxa"/>
            <w:vAlign w:val="bottom"/>
          </w:tcPr>
          <w:p>
            <w:pPr>
              <w:ind w:left="80"/>
              <w:spacing w:after="0"/>
              <w:rPr>
                <w:sz w:val="20"/>
                <w:szCs w:val="20"/>
                <w:color w:val="auto"/>
              </w:rPr>
            </w:pPr>
            <w:r>
              <w:rPr>
                <w:rFonts w:ascii="Arial" w:cs="Arial" w:eastAsia="Arial" w:hAnsi="Arial"/>
                <w:sz w:val="14"/>
                <w:szCs w:val="14"/>
                <w:color w:val="auto"/>
              </w:rPr>
              <w:t>Integrated CRC’s 2030 Sustainability Goals into CRC’s CDP (formerly known as Carbon Disclosure Project)</w:t>
            </w:r>
          </w:p>
        </w:tc>
      </w:tr>
      <w:tr>
        <w:trPr>
          <w:trHeight w:val="162"/>
        </w:trPr>
        <w:tc>
          <w:tcPr>
            <w:tcW w:w="3560" w:type="dxa"/>
            <w:vAlign w:val="bottom"/>
          </w:tcPr>
          <w:p>
            <w:pPr>
              <w:spacing w:after="0"/>
              <w:rPr>
                <w:sz w:val="20"/>
                <w:szCs w:val="20"/>
                <w:color w:val="auto"/>
              </w:rPr>
            </w:pPr>
            <w:r>
              <w:rPr>
                <w:rFonts w:ascii="Arial" w:cs="Arial" w:eastAsia="Arial" w:hAnsi="Arial"/>
                <w:sz w:val="14"/>
                <w:szCs w:val="14"/>
                <w:color w:val="auto"/>
              </w:rPr>
              <w:t>community and public policy issues</w:t>
            </w:r>
          </w:p>
        </w:tc>
        <w:tc>
          <w:tcPr>
            <w:tcW w:w="7680" w:type="dxa"/>
            <w:vAlign w:val="bottom"/>
          </w:tcPr>
          <w:p>
            <w:pPr>
              <w:ind w:left="80"/>
              <w:spacing w:after="0"/>
              <w:rPr>
                <w:sz w:val="20"/>
                <w:szCs w:val="20"/>
                <w:color w:val="auto"/>
              </w:rPr>
            </w:pPr>
            <w:r>
              <w:rPr>
                <w:rFonts w:ascii="Arial" w:cs="Arial" w:eastAsia="Arial" w:hAnsi="Arial"/>
                <w:sz w:val="14"/>
                <w:szCs w:val="14"/>
                <w:color w:val="auto"/>
              </w:rPr>
              <w:t>reporting, earning an A- grade for 2019 climate disclosure from CDP, tied with one other company for the highest</w:t>
            </w:r>
          </w:p>
        </w:tc>
      </w:tr>
      <w:tr>
        <w:trPr>
          <w:trHeight w:val="172"/>
        </w:trPr>
        <w:tc>
          <w:tcPr>
            <w:tcW w:w="3560" w:type="dxa"/>
            <w:vAlign w:val="bottom"/>
          </w:tcPr>
          <w:p>
            <w:pPr>
              <w:spacing w:after="0"/>
              <w:rPr>
                <w:sz w:val="14"/>
                <w:szCs w:val="14"/>
                <w:color w:val="auto"/>
              </w:rPr>
            </w:pPr>
          </w:p>
        </w:tc>
        <w:tc>
          <w:tcPr>
            <w:tcW w:w="7680" w:type="dxa"/>
            <w:vAlign w:val="bottom"/>
          </w:tcPr>
          <w:p>
            <w:pPr>
              <w:ind w:left="80"/>
              <w:spacing w:after="0"/>
              <w:rPr>
                <w:sz w:val="20"/>
                <w:szCs w:val="20"/>
                <w:color w:val="auto"/>
              </w:rPr>
            </w:pPr>
            <w:r>
              <w:rPr>
                <w:rFonts w:ascii="Arial" w:cs="Arial" w:eastAsia="Arial" w:hAnsi="Arial"/>
                <w:sz w:val="14"/>
                <w:szCs w:val="14"/>
                <w:color w:val="auto"/>
              </w:rPr>
              <w:t>among all U.S. oil and gas 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-1311910</wp:posOffset>
            </wp:positionV>
            <wp:extent cx="7132320" cy="1602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602740"/>
                    </a:xfrm>
                    <a:prstGeom prst="rect">
                      <a:avLst/>
                    </a:prstGeom>
                    <a:noFill/>
                  </pic:spPr>
                </pic:pic>
              </a:graphicData>
            </a:graphic>
          </wp:anchor>
        </w:drawing>
      </w:r>
    </w:p>
    <w:p>
      <w:pPr>
        <w:spacing w:after="0" w:line="118" w:lineRule="exact"/>
        <w:rPr>
          <w:sz w:val="20"/>
          <w:szCs w:val="20"/>
          <w:color w:val="auto"/>
        </w:rPr>
      </w:pPr>
    </w:p>
    <w:p>
      <w:pPr>
        <w:ind w:left="3640" w:right="440"/>
        <w:spacing w:after="0" w:line="258" w:lineRule="auto"/>
        <w:rPr>
          <w:sz w:val="20"/>
          <w:szCs w:val="20"/>
          <w:color w:val="auto"/>
        </w:rPr>
      </w:pPr>
      <w:r>
        <w:rPr>
          <w:rFonts w:ascii="Arial" w:cs="Arial" w:eastAsia="Arial" w:hAnsi="Arial"/>
          <w:sz w:val="14"/>
          <w:szCs w:val="14"/>
          <w:color w:val="auto"/>
        </w:rPr>
        <w:t>Founded the California Works Labor-Management Trust and sponsored an education campaign for working families in one of the communities where we operate.</w:t>
      </w:r>
    </w:p>
    <w:p>
      <w:pPr>
        <w:spacing w:after="0" w:line="1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1" w:name="page52"/>
    <w:bookmarkEnd w:id="5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Michael L. Preston – Senior Executive Vice President, Chief Administrative Officer and General Counsel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top w:val="single" w:sz="8" w:color="A0A0A0"/>
            </w:tcBorders>
          </w:tcPr>
          <w:p>
            <w:pPr>
              <w:spacing w:after="0"/>
              <w:rPr>
                <w:sz w:val="20"/>
                <w:szCs w:val="20"/>
                <w:color w:val="auto"/>
              </w:rPr>
            </w:pPr>
            <w:r>
              <w:rPr>
                <w:rFonts w:ascii="Arial" w:cs="Arial" w:eastAsia="Arial" w:hAnsi="Arial"/>
                <w:sz w:val="18"/>
                <w:szCs w:val="18"/>
                <w:b w:val="1"/>
                <w:bCs w:val="1"/>
                <w:color w:val="auto"/>
              </w:rPr>
              <w:t>Objective Area</w:t>
            </w:r>
          </w:p>
        </w:tc>
        <w:tc>
          <w:tcPr>
            <w:tcW w:w="8040" w:type="dxa"/>
            <w:vAlign w:val="bottom"/>
            <w:tcBorders>
              <w:top w:val="single" w:sz="8" w:color="A0A0A0"/>
            </w:tcBorders>
          </w:tcPr>
          <w:p>
            <w:pPr>
              <w:ind w:left="440"/>
              <w:spacing w:after="0"/>
              <w:rPr>
                <w:sz w:val="20"/>
                <w:szCs w:val="20"/>
                <w:color w:val="auto"/>
              </w:rPr>
            </w:pPr>
            <w:r>
              <w:rPr>
                <w:rFonts w:ascii="Arial" w:cs="Arial" w:eastAsia="Arial" w:hAnsi="Arial"/>
                <w:sz w:val="18"/>
                <w:szCs w:val="18"/>
                <w:b w:val="1"/>
                <w:bCs w:val="1"/>
                <w:color w:val="auto"/>
              </w:rPr>
              <w:t>Accomplishments and Actions</w:t>
            </w:r>
          </w:p>
        </w:tc>
      </w:tr>
      <w:tr>
        <w:trPr>
          <w:trHeight w:val="315"/>
        </w:trPr>
        <w:tc>
          <w:tcPr>
            <w:tcW w:w="320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8040" w:type="dxa"/>
            <w:vAlign w:val="bottom"/>
            <w:shd w:val="clear" w:color="auto" w:fill="DBE5F1"/>
          </w:tcPr>
          <w:p>
            <w:pPr>
              <w:ind w:left="440"/>
              <w:spacing w:after="0"/>
              <w:rPr>
                <w:sz w:val="20"/>
                <w:szCs w:val="20"/>
                <w:color w:val="auto"/>
              </w:rPr>
            </w:pPr>
            <w:r>
              <w:rPr>
                <w:rFonts w:ascii="Arial" w:cs="Arial" w:eastAsia="Arial" w:hAnsi="Arial"/>
                <w:sz w:val="14"/>
                <w:szCs w:val="14"/>
                <w:color w:val="auto"/>
              </w:rPr>
              <w:t>Provided effective leadership of legal, regulatory, information technology, supply chain, marketing and human</w:t>
            </w:r>
          </w:p>
        </w:tc>
      </w:tr>
      <w:tr>
        <w:trPr>
          <w:trHeight w:val="172"/>
        </w:trPr>
        <w:tc>
          <w:tcPr>
            <w:tcW w:w="3200" w:type="dxa"/>
            <w:vAlign w:val="bottom"/>
            <w:shd w:val="clear" w:color="auto" w:fill="DBE5F1"/>
          </w:tcPr>
          <w:p>
            <w:pPr>
              <w:spacing w:after="0"/>
              <w:rPr>
                <w:sz w:val="14"/>
                <w:szCs w:val="14"/>
                <w:color w:val="auto"/>
              </w:rPr>
            </w:pPr>
          </w:p>
        </w:tc>
        <w:tc>
          <w:tcPr>
            <w:tcW w:w="8040" w:type="dxa"/>
            <w:vAlign w:val="bottom"/>
            <w:shd w:val="clear" w:color="auto" w:fill="DBE5F1"/>
          </w:tcPr>
          <w:p>
            <w:pPr>
              <w:ind w:left="440"/>
              <w:spacing w:after="0"/>
              <w:rPr>
                <w:sz w:val="20"/>
                <w:szCs w:val="20"/>
                <w:color w:val="auto"/>
              </w:rPr>
            </w:pPr>
            <w:r>
              <w:rPr>
                <w:rFonts w:ascii="Arial" w:cs="Arial" w:eastAsia="Arial" w:hAnsi="Arial"/>
                <w:sz w:val="14"/>
                <w:szCs w:val="14"/>
                <w:color w:val="auto"/>
              </w:rPr>
              <w:t>resources functions to:</w:t>
            </w:r>
          </w:p>
        </w:tc>
      </w:tr>
      <w:tr>
        <w:trPr>
          <w:trHeight w:val="250"/>
        </w:trPr>
        <w:tc>
          <w:tcPr>
            <w:tcW w:w="3200" w:type="dxa"/>
            <w:vAlign w:val="bottom"/>
            <w:shd w:val="clear" w:color="auto" w:fill="DBE5F1"/>
          </w:tcPr>
          <w:p>
            <w:pPr>
              <w:spacing w:after="0"/>
              <w:rPr>
                <w:sz w:val="21"/>
                <w:szCs w:val="21"/>
                <w:color w:val="auto"/>
              </w:rPr>
            </w:pPr>
          </w:p>
        </w:tc>
        <w:tc>
          <w:tcPr>
            <w:tcW w:w="8040" w:type="dxa"/>
            <w:vAlign w:val="bottom"/>
            <w:shd w:val="clear" w:color="auto" w:fill="DBE5F1"/>
          </w:tcPr>
          <w:p>
            <w:pPr>
              <w:ind w:left="760"/>
              <w:spacing w:after="0"/>
              <w:rPr>
                <w:sz w:val="20"/>
                <w:szCs w:val="20"/>
                <w:color w:val="auto"/>
              </w:rPr>
            </w:pPr>
            <w:r>
              <w:rPr>
                <w:rFonts w:ascii="Arial" w:cs="Arial" w:eastAsia="Arial" w:hAnsi="Arial"/>
                <w:sz w:val="14"/>
                <w:szCs w:val="14"/>
                <w:color w:val="auto"/>
              </w:rPr>
              <w:t>•Execute significant joint ventures and divestitures to underpin capital programs and reduce debt.</w:t>
            </w:r>
          </w:p>
        </w:tc>
      </w:tr>
      <w:tr>
        <w:trPr>
          <w:trHeight w:val="172"/>
        </w:trPr>
        <w:tc>
          <w:tcPr>
            <w:tcW w:w="3200" w:type="dxa"/>
            <w:vAlign w:val="bottom"/>
            <w:shd w:val="clear" w:color="auto" w:fill="DBE5F1"/>
          </w:tcPr>
          <w:p>
            <w:pPr>
              <w:spacing w:after="0"/>
              <w:rPr>
                <w:sz w:val="14"/>
                <w:szCs w:val="14"/>
                <w:color w:val="auto"/>
              </w:rPr>
            </w:pPr>
          </w:p>
        </w:tc>
        <w:tc>
          <w:tcPr>
            <w:tcW w:w="8040" w:type="dxa"/>
            <w:vAlign w:val="bottom"/>
            <w:shd w:val="clear" w:color="auto" w:fill="DBE5F1"/>
          </w:tcPr>
          <w:p>
            <w:pPr>
              <w:ind w:left="760"/>
              <w:spacing w:after="0"/>
              <w:rPr>
                <w:sz w:val="20"/>
                <w:szCs w:val="20"/>
                <w:color w:val="auto"/>
              </w:rPr>
            </w:pPr>
            <w:r>
              <w:rPr>
                <w:rFonts w:ascii="Arial" w:cs="Arial" w:eastAsia="Arial" w:hAnsi="Arial"/>
                <w:sz w:val="14"/>
                <w:szCs w:val="14"/>
                <w:color w:val="auto"/>
              </w:rPr>
              <w:t>•Collaborate with operations leadership to implement significant organizational redesign, workforce</w:t>
            </w:r>
          </w:p>
        </w:tc>
      </w:tr>
      <w:tr>
        <w:trPr>
          <w:trHeight w:val="152"/>
        </w:trPr>
        <w:tc>
          <w:tcPr>
            <w:tcW w:w="3200" w:type="dxa"/>
            <w:vAlign w:val="bottom"/>
            <w:shd w:val="clear" w:color="auto" w:fill="DBE5F1"/>
          </w:tcPr>
          <w:p>
            <w:pPr>
              <w:spacing w:after="0"/>
              <w:rPr>
                <w:sz w:val="13"/>
                <w:szCs w:val="13"/>
                <w:color w:val="auto"/>
              </w:rPr>
            </w:pPr>
          </w:p>
        </w:tc>
        <w:tc>
          <w:tcPr>
            <w:tcW w:w="8040" w:type="dxa"/>
            <w:vAlign w:val="bottom"/>
            <w:shd w:val="clear" w:color="auto" w:fill="DBE5F1"/>
          </w:tcPr>
          <w:p>
            <w:pPr>
              <w:ind w:left="1080"/>
              <w:spacing w:after="0" w:line="152" w:lineRule="exact"/>
              <w:rPr>
                <w:sz w:val="20"/>
                <w:szCs w:val="20"/>
                <w:color w:val="auto"/>
              </w:rPr>
            </w:pPr>
            <w:r>
              <w:rPr>
                <w:rFonts w:ascii="Arial" w:cs="Arial" w:eastAsia="Arial" w:hAnsi="Arial"/>
                <w:sz w:val="14"/>
                <w:szCs w:val="14"/>
                <w:color w:val="auto"/>
              </w:rPr>
              <w:t>development, training and diversity initiatives.</w:t>
            </w:r>
          </w:p>
        </w:tc>
      </w:tr>
      <w:tr>
        <w:trPr>
          <w:trHeight w:val="162"/>
        </w:trPr>
        <w:tc>
          <w:tcPr>
            <w:tcW w:w="3200" w:type="dxa"/>
            <w:vAlign w:val="bottom"/>
            <w:shd w:val="clear" w:color="auto" w:fill="DBE5F1"/>
          </w:tcPr>
          <w:p>
            <w:pPr>
              <w:spacing w:after="0"/>
              <w:rPr>
                <w:sz w:val="14"/>
                <w:szCs w:val="14"/>
                <w:color w:val="auto"/>
              </w:rPr>
            </w:pPr>
          </w:p>
        </w:tc>
        <w:tc>
          <w:tcPr>
            <w:tcW w:w="8040" w:type="dxa"/>
            <w:vAlign w:val="bottom"/>
            <w:shd w:val="clear" w:color="auto" w:fill="DBE5F1"/>
          </w:tcPr>
          <w:p>
            <w:pPr>
              <w:ind w:left="760"/>
              <w:spacing w:after="0"/>
              <w:rPr>
                <w:sz w:val="20"/>
                <w:szCs w:val="20"/>
                <w:color w:val="auto"/>
              </w:rPr>
            </w:pPr>
            <w:r>
              <w:rPr>
                <w:rFonts w:ascii="Arial" w:cs="Arial" w:eastAsia="Arial" w:hAnsi="Arial"/>
                <w:sz w:val="14"/>
                <w:szCs w:val="14"/>
                <w:color w:val="auto"/>
              </w:rPr>
              <w:t>•Implement office consolidation initiatives to increase collaboration and efficiency and reduce costs.</w:t>
            </w:r>
          </w:p>
        </w:tc>
      </w:tr>
      <w:tr>
        <w:trPr>
          <w:trHeight w:val="172"/>
        </w:trPr>
        <w:tc>
          <w:tcPr>
            <w:tcW w:w="3200" w:type="dxa"/>
            <w:vAlign w:val="bottom"/>
            <w:shd w:val="clear" w:color="auto" w:fill="DBE5F1"/>
          </w:tcPr>
          <w:p>
            <w:pPr>
              <w:spacing w:after="0"/>
              <w:rPr>
                <w:sz w:val="14"/>
                <w:szCs w:val="14"/>
                <w:color w:val="auto"/>
              </w:rPr>
            </w:pPr>
          </w:p>
        </w:tc>
        <w:tc>
          <w:tcPr>
            <w:tcW w:w="8040" w:type="dxa"/>
            <w:vAlign w:val="bottom"/>
            <w:shd w:val="clear" w:color="auto" w:fill="DBE5F1"/>
          </w:tcPr>
          <w:p>
            <w:pPr>
              <w:ind w:left="760"/>
              <w:spacing w:after="0"/>
              <w:rPr>
                <w:sz w:val="20"/>
                <w:szCs w:val="20"/>
                <w:color w:val="auto"/>
              </w:rPr>
            </w:pPr>
            <w:r>
              <w:rPr>
                <w:rFonts w:ascii="Arial" w:cs="Arial" w:eastAsia="Arial" w:hAnsi="Arial"/>
                <w:sz w:val="14"/>
                <w:szCs w:val="14"/>
                <w:color w:val="auto"/>
              </w:rPr>
              <w:t>•Execute on hedging strategy, delivering robust realized product prices and substantial natural gas trading</w:t>
            </w:r>
          </w:p>
        </w:tc>
      </w:tr>
      <w:tr>
        <w:trPr>
          <w:trHeight w:val="172"/>
        </w:trPr>
        <w:tc>
          <w:tcPr>
            <w:tcW w:w="3200" w:type="dxa"/>
            <w:vAlign w:val="bottom"/>
            <w:shd w:val="clear" w:color="auto" w:fill="DBE5F1"/>
          </w:tcPr>
          <w:p>
            <w:pPr>
              <w:spacing w:after="0"/>
              <w:rPr>
                <w:sz w:val="14"/>
                <w:szCs w:val="14"/>
                <w:color w:val="auto"/>
              </w:rPr>
            </w:pPr>
          </w:p>
        </w:tc>
        <w:tc>
          <w:tcPr>
            <w:tcW w:w="8040" w:type="dxa"/>
            <w:vAlign w:val="bottom"/>
            <w:shd w:val="clear" w:color="auto" w:fill="DBE5F1"/>
          </w:tcPr>
          <w:p>
            <w:pPr>
              <w:ind w:left="1080"/>
              <w:spacing w:after="0"/>
              <w:rPr>
                <w:sz w:val="20"/>
                <w:szCs w:val="20"/>
                <w:color w:val="auto"/>
              </w:rPr>
            </w:pPr>
            <w:r>
              <w:rPr>
                <w:rFonts w:ascii="Arial" w:cs="Arial" w:eastAsia="Arial" w:hAnsi="Arial"/>
                <w:sz w:val="14"/>
                <w:szCs w:val="14"/>
                <w:color w:val="auto"/>
              </w:rPr>
              <w:t>revenue.</w:t>
            </w:r>
          </w:p>
        </w:tc>
      </w:tr>
      <w:tr>
        <w:trPr>
          <w:trHeight w:val="133"/>
        </w:trPr>
        <w:tc>
          <w:tcPr>
            <w:tcW w:w="3200" w:type="dxa"/>
            <w:vAlign w:val="bottom"/>
            <w:shd w:val="clear" w:color="auto" w:fill="DBE5F1"/>
          </w:tcPr>
          <w:p>
            <w:pPr>
              <w:spacing w:after="0"/>
              <w:rPr>
                <w:sz w:val="11"/>
                <w:szCs w:val="11"/>
                <w:color w:val="auto"/>
              </w:rPr>
            </w:pPr>
          </w:p>
        </w:tc>
        <w:tc>
          <w:tcPr>
            <w:tcW w:w="8040" w:type="dxa"/>
            <w:vAlign w:val="bottom"/>
            <w:shd w:val="clear" w:color="auto" w:fill="DBE5F1"/>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28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jc w:val="both"/>
        <w:ind w:left="3640" w:right="160" w:hanging="3626"/>
        <w:spacing w:after="0" w:line="258" w:lineRule="auto"/>
        <w:rPr>
          <w:sz w:val="20"/>
          <w:szCs w:val="20"/>
          <w:color w:val="auto"/>
        </w:rPr>
      </w:pPr>
      <w:r>
        <w:rPr>
          <w:rFonts w:ascii="Arial" w:cs="Arial" w:eastAsia="Arial" w:hAnsi="Arial"/>
          <w:sz w:val="14"/>
          <w:szCs w:val="14"/>
          <w:color w:val="auto"/>
        </w:rPr>
        <w:t>Ongoing and planned regulatory approval processes Regulatory team worked with operations to deliver robust permit inventory in support of drilling program as well as proactive interaction with regulators to ensure regulatory compliance.</w:t>
      </w:r>
    </w:p>
    <w:p>
      <w:pPr>
        <w:spacing w:after="0" w:line="21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Compensation Committee assessed the CEO’s performance against his Strategic and Individual objectives as exceptional, but decided to limit his individual component result to approximately target due to CRC’s negative shareholder return for the year. The CEO’s assessments of the other NEOs against their respective Strategic and Individual objectives also exceeded expectations, but were similarly limited. As a result, the Compensation Committee approved the following 2019 annual incentive payouts: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center"/>
              <w:ind w:right="228"/>
              <w:spacing w:after="0"/>
              <w:rPr>
                <w:sz w:val="20"/>
                <w:szCs w:val="20"/>
                <w:color w:val="auto"/>
              </w:rPr>
            </w:pPr>
            <w:r>
              <w:rPr>
                <w:rFonts w:ascii="Arial" w:cs="Arial" w:eastAsia="Arial" w:hAnsi="Arial"/>
                <w:sz w:val="14"/>
                <w:szCs w:val="14"/>
                <w:b w:val="1"/>
                <w:bCs w:val="1"/>
                <w:color w:val="auto"/>
              </w:rPr>
              <w:t>(b)</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Individual</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rPr>
              <w:t>(e)</w:t>
            </w:r>
          </w:p>
        </w:tc>
        <w:tc>
          <w:tcPr>
            <w:tcW w:w="94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Target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4"/>
                <w:szCs w:val="14"/>
                <w:color w:val="auto"/>
              </w:rPr>
            </w:pPr>
          </w:p>
        </w:tc>
        <w:tc>
          <w:tcPr>
            <w:tcW w:w="1380" w:type="dxa"/>
            <w:vAlign w:val="bottom"/>
          </w:tcPr>
          <w:p>
            <w:pPr>
              <w:jc w:val="center"/>
              <w:ind w:right="228"/>
              <w:spacing w:after="0"/>
              <w:rPr>
                <w:sz w:val="20"/>
                <w:szCs w:val="20"/>
                <w:color w:val="auto"/>
              </w:rPr>
            </w:pPr>
            <w:r>
              <w:rPr>
                <w:rFonts w:ascii="Arial" w:cs="Arial" w:eastAsia="Arial" w:hAnsi="Arial"/>
                <w:sz w:val="14"/>
                <w:szCs w:val="14"/>
                <w:b w:val="1"/>
                <w:bCs w:val="1"/>
                <w:color w:val="auto"/>
              </w:rPr>
              <w:t>Quantitative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Component</w:t>
            </w:r>
          </w:p>
        </w:tc>
        <w:tc>
          <w:tcPr>
            <w:tcW w:w="280" w:type="dxa"/>
            <w:vAlign w:val="bottom"/>
          </w:tcPr>
          <w:p>
            <w:pPr>
              <w:spacing w:after="0"/>
              <w:rPr>
                <w:sz w:val="14"/>
                <w:szCs w:val="14"/>
                <w:color w:val="auto"/>
              </w:rPr>
            </w:pPr>
          </w:p>
        </w:tc>
        <w:tc>
          <w:tcPr>
            <w:tcW w:w="980" w:type="dxa"/>
            <w:vAlign w:val="bottom"/>
          </w:tcPr>
          <w:p>
            <w:pPr>
              <w:jc w:val="center"/>
              <w:ind w:right="168"/>
              <w:spacing w:after="0"/>
              <w:rPr>
                <w:sz w:val="20"/>
                <w:szCs w:val="20"/>
                <w:color w:val="auto"/>
              </w:rPr>
            </w:pPr>
            <w:r>
              <w:rPr>
                <w:rFonts w:ascii="Arial" w:cs="Arial" w:eastAsia="Arial" w:hAnsi="Arial"/>
                <w:sz w:val="14"/>
                <w:szCs w:val="14"/>
                <w:b w:val="1"/>
                <w:bCs w:val="1"/>
                <w:color w:val="auto"/>
              </w:rPr>
              <w:t>(d)</w:t>
            </w:r>
          </w:p>
        </w:tc>
        <w:tc>
          <w:tcPr>
            <w:tcW w:w="26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Total %</w:t>
            </w:r>
          </w:p>
        </w:tc>
      </w:tr>
      <w:tr>
        <w:trPr>
          <w:trHeight w:val="162"/>
        </w:trPr>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Base</w:t>
            </w:r>
          </w:p>
        </w:tc>
        <w:tc>
          <w:tcPr>
            <w:tcW w:w="860" w:type="dxa"/>
            <w:vAlign w:val="bottom"/>
          </w:tcPr>
          <w:p>
            <w:pPr>
              <w:jc w:val="center"/>
              <w:ind w:left="68"/>
              <w:spacing w:after="0"/>
              <w:rPr>
                <w:sz w:val="20"/>
                <w:szCs w:val="20"/>
                <w:color w:val="auto"/>
              </w:rPr>
            </w:pPr>
            <w:r>
              <w:rPr>
                <w:rFonts w:ascii="Arial" w:cs="Arial" w:eastAsia="Arial" w:hAnsi="Arial"/>
                <w:sz w:val="14"/>
                <w:szCs w:val="14"/>
                <w:b w:val="1"/>
                <w:bCs w:val="1"/>
                <w:color w:val="auto"/>
              </w:rPr>
              <w:t>(%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Target in</w:t>
            </w:r>
          </w:p>
        </w:tc>
        <w:tc>
          <w:tcPr>
            <w:tcW w:w="300" w:type="dxa"/>
            <w:vAlign w:val="bottom"/>
          </w:tcPr>
          <w:p>
            <w:pPr>
              <w:spacing w:after="0"/>
              <w:rPr>
                <w:sz w:val="14"/>
                <w:szCs w:val="14"/>
                <w:color w:val="auto"/>
              </w:rPr>
            </w:pPr>
          </w:p>
        </w:tc>
        <w:tc>
          <w:tcPr>
            <w:tcW w:w="1380" w:type="dxa"/>
            <w:vAlign w:val="bottom"/>
          </w:tcPr>
          <w:p>
            <w:pPr>
              <w:jc w:val="center"/>
              <w:ind w:right="228"/>
              <w:spacing w:after="0"/>
              <w:rPr>
                <w:sz w:val="20"/>
                <w:szCs w:val="20"/>
                <w:color w:val="auto"/>
              </w:rPr>
            </w:pPr>
            <w:r>
              <w:rPr>
                <w:rFonts w:ascii="Arial" w:cs="Arial" w:eastAsia="Arial" w:hAnsi="Arial"/>
                <w:sz w:val="14"/>
                <w:szCs w:val="14"/>
                <w:b w:val="1"/>
                <w:bCs w:val="1"/>
                <w:color w:val="auto"/>
              </w:rPr>
              <w:t>Component $</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Result (% of</w:t>
            </w:r>
          </w:p>
        </w:tc>
        <w:tc>
          <w:tcPr>
            <w:tcW w:w="280" w:type="dxa"/>
            <w:vAlign w:val="bottom"/>
          </w:tcPr>
          <w:p>
            <w:pPr>
              <w:spacing w:after="0"/>
              <w:rPr>
                <w:sz w:val="14"/>
                <w:szCs w:val="14"/>
                <w:color w:val="auto"/>
              </w:rPr>
            </w:pPr>
          </w:p>
        </w:tc>
        <w:tc>
          <w:tcPr>
            <w:tcW w:w="980" w:type="dxa"/>
            <w:vAlign w:val="bottom"/>
          </w:tcPr>
          <w:p>
            <w:pPr>
              <w:jc w:val="center"/>
              <w:ind w:right="168"/>
              <w:spacing w:after="0"/>
              <w:rPr>
                <w:sz w:val="20"/>
                <w:szCs w:val="20"/>
                <w:color w:val="auto"/>
              </w:rPr>
            </w:pPr>
            <w:r>
              <w:rPr>
                <w:rFonts w:ascii="Arial" w:cs="Arial" w:eastAsia="Arial" w:hAnsi="Arial"/>
                <w:sz w:val="14"/>
                <w:szCs w:val="14"/>
                <w:b w:val="1"/>
                <w:bCs w:val="1"/>
                <w:color w:val="auto"/>
              </w:rPr>
              <w:t>Individual</w:t>
            </w:r>
          </w:p>
        </w:tc>
        <w:tc>
          <w:tcPr>
            <w:tcW w:w="260" w:type="dxa"/>
            <w:vAlign w:val="bottom"/>
          </w:tcPr>
          <w:p>
            <w:pPr>
              <w:spacing w:after="0"/>
              <w:rPr>
                <w:sz w:val="14"/>
                <w:szCs w:val="14"/>
                <w:color w:val="auto"/>
              </w:rPr>
            </w:pPr>
          </w:p>
        </w:tc>
        <w:tc>
          <w:tcPr>
            <w:tcW w:w="920" w:type="dxa"/>
            <w:vAlign w:val="bottom"/>
          </w:tcPr>
          <w:p>
            <w:pPr>
              <w:jc w:val="center"/>
              <w:ind w:right="168"/>
              <w:spacing w:after="0"/>
              <w:rPr>
                <w:sz w:val="20"/>
                <w:szCs w:val="20"/>
                <w:color w:val="auto"/>
              </w:rPr>
            </w:pPr>
            <w:r>
              <w:rPr>
                <w:rFonts w:ascii="Arial" w:cs="Arial" w:eastAsia="Arial" w:hAnsi="Arial"/>
                <w:sz w:val="14"/>
                <w:szCs w:val="14"/>
                <w:b w:val="1"/>
                <w:bCs w:val="1"/>
                <w:color w:val="auto"/>
              </w:rPr>
              <w:t>Payout $</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 Target</w:t>
            </w:r>
          </w:p>
        </w:tc>
      </w:tr>
      <w:tr>
        <w:trPr>
          <w:trHeight w:val="175"/>
        </w:trPr>
        <w:tc>
          <w:tcPr>
            <w:tcW w:w="236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auto"/>
              </w:rPr>
              <w:t>Name</w:t>
            </w:r>
          </w:p>
        </w:tc>
        <w:tc>
          <w:tcPr>
            <w:tcW w:w="300" w:type="dxa"/>
            <w:vAlign w:val="bottom"/>
            <w:tcBorders>
              <w:bottom w:val="single" w:sz="8" w:color="0075C9"/>
            </w:tcBorders>
          </w:tcPr>
          <w:p>
            <w:pPr>
              <w:spacing w:after="0"/>
              <w:rPr>
                <w:sz w:val="15"/>
                <w:szCs w:val="15"/>
                <w:color w:val="auto"/>
              </w:rPr>
            </w:pPr>
          </w:p>
        </w:tc>
        <w:tc>
          <w:tcPr>
            <w:tcW w:w="640" w:type="dxa"/>
            <w:vAlign w:val="bottom"/>
            <w:tcBorders>
              <w:bottom w:val="single" w:sz="8" w:color="0075C9"/>
            </w:tcBorders>
          </w:tcPr>
          <w:p>
            <w:pPr>
              <w:ind w:left="40"/>
              <w:spacing w:after="0"/>
              <w:rPr>
                <w:sz w:val="20"/>
                <w:szCs w:val="20"/>
                <w:color w:val="auto"/>
              </w:rPr>
            </w:pPr>
            <w:r>
              <w:rPr>
                <w:rFonts w:ascii="Arial" w:cs="Arial" w:eastAsia="Arial" w:hAnsi="Arial"/>
                <w:sz w:val="14"/>
                <w:szCs w:val="14"/>
                <w:b w:val="1"/>
                <w:bCs w:val="1"/>
                <w:color w:val="auto"/>
              </w:rPr>
              <w:t>Salary</w:t>
            </w:r>
          </w:p>
        </w:tc>
        <w:tc>
          <w:tcPr>
            <w:tcW w:w="860" w:type="dxa"/>
            <w:vAlign w:val="bottom"/>
            <w:tcBorders>
              <w:bottom w:val="single" w:sz="8" w:color="0075C9"/>
            </w:tcBorders>
          </w:tcPr>
          <w:p>
            <w:pPr>
              <w:jc w:val="center"/>
              <w:ind w:left="68"/>
              <w:spacing w:after="0"/>
              <w:rPr>
                <w:sz w:val="20"/>
                <w:szCs w:val="20"/>
                <w:color w:val="auto"/>
              </w:rPr>
            </w:pPr>
            <w:r>
              <w:rPr>
                <w:rFonts w:ascii="Arial" w:cs="Arial" w:eastAsia="Arial" w:hAnsi="Arial"/>
                <w:sz w:val="14"/>
                <w:szCs w:val="14"/>
                <w:b w:val="1"/>
                <w:bCs w:val="1"/>
                <w:color w:val="auto"/>
              </w:rPr>
              <w:t>Salary)</w:t>
            </w:r>
          </w:p>
        </w:tc>
        <w:tc>
          <w:tcPr>
            <w:tcW w:w="90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0075C9"/>
            </w:tcBorders>
            <w:gridSpan w:val="2"/>
          </w:tcPr>
          <w:p>
            <w:pPr>
              <w:ind w:left="160"/>
              <w:spacing w:after="0"/>
              <w:rPr>
                <w:sz w:val="20"/>
                <w:szCs w:val="20"/>
                <w:color w:val="auto"/>
              </w:rPr>
            </w:pPr>
            <w:r>
              <w:rPr>
                <w:rFonts w:ascii="Arial" w:cs="Arial" w:eastAsia="Arial" w:hAnsi="Arial"/>
                <w:sz w:val="14"/>
                <w:szCs w:val="14"/>
                <w:b w:val="1"/>
                <w:bCs w:val="1"/>
                <w:color w:val="auto"/>
              </w:rPr>
              <w:t>[80% * (a) * 143.94%]</w:t>
            </w: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auto"/>
              </w:rPr>
              <w:t>target)</w:t>
            </w:r>
          </w:p>
        </w:tc>
        <w:tc>
          <w:tcPr>
            <w:tcW w:w="1260" w:type="dxa"/>
            <w:vAlign w:val="bottom"/>
            <w:tcBorders>
              <w:bottom w:val="single" w:sz="8" w:color="0075C9"/>
            </w:tcBorders>
            <w:gridSpan w:val="2"/>
          </w:tcPr>
          <w:p>
            <w:pPr>
              <w:jc w:val="center"/>
              <w:spacing w:after="0"/>
              <w:rPr>
                <w:sz w:val="20"/>
                <w:szCs w:val="20"/>
                <w:color w:val="auto"/>
              </w:rPr>
            </w:pPr>
            <w:r>
              <w:rPr>
                <w:rFonts w:ascii="Arial" w:cs="Arial" w:eastAsia="Arial" w:hAnsi="Arial"/>
                <w:sz w:val="14"/>
                <w:szCs w:val="14"/>
                <w:b w:val="1"/>
                <w:bCs w:val="1"/>
                <w:color w:val="auto"/>
              </w:rPr>
              <w:t>Component $</w:t>
            </w:r>
          </w:p>
        </w:tc>
        <w:tc>
          <w:tcPr>
            <w:tcW w:w="260" w:type="dxa"/>
            <w:vAlign w:val="bottom"/>
            <w:tcBorders>
              <w:bottom w:val="single" w:sz="8" w:color="0075C9"/>
            </w:tcBorders>
          </w:tcPr>
          <w:p>
            <w:pPr>
              <w:spacing w:after="0"/>
              <w:rPr>
                <w:sz w:val="15"/>
                <w:szCs w:val="15"/>
                <w:color w:val="auto"/>
              </w:rPr>
            </w:pPr>
          </w:p>
        </w:tc>
        <w:tc>
          <w:tcPr>
            <w:tcW w:w="920" w:type="dxa"/>
            <w:vAlign w:val="bottom"/>
            <w:tcBorders>
              <w:bottom w:val="single" w:sz="8" w:color="0075C9"/>
            </w:tcBorders>
          </w:tcPr>
          <w:p>
            <w:pPr>
              <w:jc w:val="center"/>
              <w:ind w:right="148"/>
              <w:spacing w:after="0"/>
              <w:rPr>
                <w:sz w:val="20"/>
                <w:szCs w:val="20"/>
                <w:color w:val="auto"/>
              </w:rPr>
            </w:pPr>
            <w:r>
              <w:rPr>
                <w:rFonts w:ascii="Arial" w:cs="Arial" w:eastAsia="Arial" w:hAnsi="Arial"/>
                <w:sz w:val="14"/>
                <w:szCs w:val="14"/>
                <w:b w:val="1"/>
                <w:bCs w:val="1"/>
                <w:color w:val="auto"/>
              </w:rPr>
              <w:t>[(b) + (d)]</w:t>
            </w:r>
          </w:p>
        </w:tc>
        <w:tc>
          <w:tcPr>
            <w:tcW w:w="9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auto"/>
              </w:rPr>
              <w:t>[(e) / (a)]</w:t>
            </w:r>
          </w:p>
        </w:tc>
      </w:tr>
      <w:tr>
        <w:trPr>
          <w:trHeight w:val="169"/>
        </w:trPr>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2360" w:type="dxa"/>
            <w:vAlign w:val="bottom"/>
            <w:shd w:val="clear" w:color="auto" w:fill="EBEBEC"/>
          </w:tcPr>
          <w:p>
            <w:pPr>
              <w:ind w:left="140"/>
              <w:spacing w:after="0"/>
              <w:rPr>
                <w:sz w:val="20"/>
                <w:szCs w:val="20"/>
                <w:color w:val="auto"/>
              </w:rPr>
            </w:pPr>
            <w:r>
              <w:rPr>
                <w:rFonts w:ascii="Arial" w:cs="Arial" w:eastAsia="Arial" w:hAnsi="Arial"/>
                <w:sz w:val="14"/>
                <w:szCs w:val="14"/>
                <w:color w:val="auto"/>
              </w:rPr>
              <w:t>Todd A. Stevens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BEBEC"/>
          </w:tcPr>
          <w:p>
            <w:pPr>
              <w:ind w:left="60"/>
              <w:spacing w:after="0"/>
              <w:rPr>
                <w:sz w:val="20"/>
                <w:szCs w:val="20"/>
                <w:color w:val="auto"/>
              </w:rPr>
            </w:pPr>
            <w:r>
              <w:rPr>
                <w:rFonts w:ascii="Arial" w:cs="Arial" w:eastAsia="Arial" w:hAnsi="Arial"/>
                <w:sz w:val="14"/>
                <w:szCs w:val="14"/>
                <w:color w:val="auto"/>
              </w:rPr>
              <w:t>875,000</w:t>
            </w:r>
          </w:p>
        </w:tc>
        <w:tc>
          <w:tcPr>
            <w:tcW w:w="860" w:type="dxa"/>
            <w:vAlign w:val="bottom"/>
            <w:shd w:val="clear" w:color="auto" w:fill="EBEBEC"/>
          </w:tcPr>
          <w:p>
            <w:pPr>
              <w:jc w:val="center"/>
              <w:ind w:left="68"/>
              <w:spacing w:after="0"/>
              <w:rPr>
                <w:sz w:val="20"/>
                <w:szCs w:val="20"/>
                <w:color w:val="auto"/>
              </w:rPr>
            </w:pPr>
            <w:r>
              <w:rPr>
                <w:rFonts w:ascii="Arial" w:cs="Arial" w:eastAsia="Arial" w:hAnsi="Arial"/>
                <w:sz w:val="14"/>
                <w:szCs w:val="14"/>
                <w:color w:val="auto"/>
              </w:rPr>
              <w:t>110%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$ 962,500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EBEBEC"/>
          </w:tcPr>
          <w:p>
            <w:pPr>
              <w:jc w:val="center"/>
              <w:ind w:right="108"/>
              <w:spacing w:after="0"/>
              <w:rPr>
                <w:sz w:val="20"/>
                <w:szCs w:val="20"/>
                <w:color w:val="auto"/>
              </w:rPr>
            </w:pPr>
            <w:r>
              <w:rPr>
                <w:rFonts w:ascii="Arial" w:cs="Arial" w:eastAsia="Arial" w:hAnsi="Arial"/>
                <w:sz w:val="14"/>
                <w:szCs w:val="14"/>
                <w:color w:val="auto"/>
              </w:rPr>
              <w:t>1,108,300</w:t>
            </w:r>
          </w:p>
        </w:tc>
        <w:tc>
          <w:tcPr>
            <w:tcW w:w="11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192,700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1,301,000</w:t>
            </w:r>
          </w:p>
        </w:tc>
        <w:tc>
          <w:tcPr>
            <w:tcW w:w="9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135%</w:t>
            </w:r>
          </w:p>
        </w:tc>
      </w:tr>
      <w:tr>
        <w:trPr>
          <w:trHeight w:val="189"/>
        </w:trPr>
        <w:tc>
          <w:tcPr>
            <w:tcW w:w="2360" w:type="dxa"/>
            <w:vAlign w:val="bottom"/>
            <w:shd w:val="clear" w:color="auto" w:fill="EBEBEC"/>
          </w:tcPr>
          <w:p>
            <w:pPr>
              <w:ind w:left="140"/>
              <w:spacing w:after="0"/>
              <w:rPr>
                <w:sz w:val="20"/>
                <w:szCs w:val="20"/>
                <w:color w:val="auto"/>
              </w:rPr>
            </w:pPr>
            <w:r>
              <w:rPr>
                <w:rFonts w:ascii="Arial" w:cs="Arial" w:eastAsia="Arial" w:hAnsi="Arial"/>
                <w:sz w:val="14"/>
                <w:szCs w:val="14"/>
                <w:color w:val="auto"/>
              </w:rPr>
              <w:t>Marshall D. Smith</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BEBEC"/>
          </w:tcPr>
          <w:p>
            <w:pPr>
              <w:ind w:left="60"/>
              <w:spacing w:after="0"/>
              <w:rPr>
                <w:sz w:val="20"/>
                <w:szCs w:val="20"/>
                <w:color w:val="auto"/>
              </w:rPr>
            </w:pPr>
            <w:r>
              <w:rPr>
                <w:rFonts w:ascii="Arial" w:cs="Arial" w:eastAsia="Arial" w:hAnsi="Arial"/>
                <w:sz w:val="14"/>
                <w:szCs w:val="14"/>
                <w:color w:val="auto"/>
              </w:rPr>
              <w:t>600,000</w:t>
            </w:r>
          </w:p>
        </w:tc>
        <w:tc>
          <w:tcPr>
            <w:tcW w:w="860" w:type="dxa"/>
            <w:vAlign w:val="bottom"/>
            <w:shd w:val="clear" w:color="auto" w:fill="EBEBEC"/>
          </w:tcPr>
          <w:p>
            <w:pPr>
              <w:jc w:val="center"/>
              <w:ind w:left="68"/>
              <w:spacing w:after="0"/>
              <w:rPr>
                <w:sz w:val="20"/>
                <w:szCs w:val="20"/>
                <w:color w:val="auto"/>
              </w:rPr>
            </w:pPr>
            <w:r>
              <w:rPr>
                <w:rFonts w:ascii="Arial" w:cs="Arial" w:eastAsia="Arial" w:hAnsi="Arial"/>
                <w:sz w:val="14"/>
                <w:szCs w:val="14"/>
                <w:color w:val="auto"/>
              </w:rPr>
              <w:t>100%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$ 600,000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EBEBEC"/>
          </w:tcPr>
          <w:p>
            <w:pPr>
              <w:jc w:val="center"/>
              <w:ind w:right="108"/>
              <w:spacing w:after="0"/>
              <w:rPr>
                <w:sz w:val="20"/>
                <w:szCs w:val="20"/>
                <w:color w:val="auto"/>
              </w:rPr>
            </w:pPr>
            <w:r>
              <w:rPr>
                <w:rFonts w:ascii="Arial" w:cs="Arial" w:eastAsia="Arial" w:hAnsi="Arial"/>
                <w:sz w:val="14"/>
                <w:szCs w:val="14"/>
                <w:color w:val="auto"/>
              </w:rPr>
              <w:t>690,900</w:t>
            </w:r>
          </w:p>
        </w:tc>
        <w:tc>
          <w:tcPr>
            <w:tcW w:w="11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120,100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811,000</w:t>
            </w:r>
          </w:p>
        </w:tc>
        <w:tc>
          <w:tcPr>
            <w:tcW w:w="9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135%</w:t>
            </w:r>
          </w:p>
        </w:tc>
      </w:tr>
      <w:tr>
        <w:trPr>
          <w:trHeight w:val="189"/>
        </w:trPr>
        <w:tc>
          <w:tcPr>
            <w:tcW w:w="2360" w:type="dxa"/>
            <w:vAlign w:val="bottom"/>
            <w:shd w:val="clear" w:color="auto" w:fill="EBEBEC"/>
          </w:tcPr>
          <w:p>
            <w:pPr>
              <w:ind w:left="140"/>
              <w:spacing w:after="0"/>
              <w:rPr>
                <w:sz w:val="20"/>
                <w:szCs w:val="20"/>
                <w:color w:val="auto"/>
              </w:rPr>
            </w:pPr>
            <w:r>
              <w:rPr>
                <w:rFonts w:ascii="Arial" w:cs="Arial" w:eastAsia="Arial" w:hAnsi="Arial"/>
                <w:sz w:val="14"/>
                <w:szCs w:val="14"/>
                <w:color w:val="auto"/>
              </w:rPr>
              <w:t>Darren Williams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BEBEC"/>
          </w:tcPr>
          <w:p>
            <w:pPr>
              <w:ind w:left="60"/>
              <w:spacing w:after="0"/>
              <w:rPr>
                <w:sz w:val="20"/>
                <w:szCs w:val="20"/>
                <w:color w:val="auto"/>
              </w:rPr>
            </w:pPr>
            <w:r>
              <w:rPr>
                <w:rFonts w:ascii="Arial" w:cs="Arial" w:eastAsia="Arial" w:hAnsi="Arial"/>
                <w:sz w:val="14"/>
                <w:szCs w:val="14"/>
                <w:color w:val="auto"/>
              </w:rPr>
              <w:t>450,000</w:t>
            </w:r>
          </w:p>
        </w:tc>
        <w:tc>
          <w:tcPr>
            <w:tcW w:w="860" w:type="dxa"/>
            <w:vAlign w:val="bottom"/>
            <w:shd w:val="clear" w:color="auto" w:fill="EBEBEC"/>
          </w:tcPr>
          <w:p>
            <w:pPr>
              <w:jc w:val="center"/>
              <w:ind w:left="68"/>
              <w:spacing w:after="0"/>
              <w:rPr>
                <w:sz w:val="20"/>
                <w:szCs w:val="20"/>
                <w:color w:val="auto"/>
              </w:rPr>
            </w:pPr>
            <w:r>
              <w:rPr>
                <w:rFonts w:ascii="Arial" w:cs="Arial" w:eastAsia="Arial" w:hAnsi="Arial"/>
                <w:sz w:val="14"/>
                <w:szCs w:val="14"/>
                <w:color w:val="auto"/>
                <w:w w:val="99"/>
              </w:rPr>
              <w:t>90%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$ 405,000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EBEBEC"/>
          </w:tcPr>
          <w:p>
            <w:pPr>
              <w:jc w:val="center"/>
              <w:ind w:right="108"/>
              <w:spacing w:after="0"/>
              <w:rPr>
                <w:sz w:val="20"/>
                <w:szCs w:val="20"/>
                <w:color w:val="auto"/>
              </w:rPr>
            </w:pPr>
            <w:r>
              <w:rPr>
                <w:rFonts w:ascii="Arial" w:cs="Arial" w:eastAsia="Arial" w:hAnsi="Arial"/>
                <w:sz w:val="14"/>
                <w:szCs w:val="14"/>
                <w:color w:val="auto"/>
              </w:rPr>
              <w:t>466,400</w:t>
            </w:r>
          </w:p>
        </w:tc>
        <w:tc>
          <w:tcPr>
            <w:tcW w:w="11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101%</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81,600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548,000</w:t>
            </w:r>
          </w:p>
        </w:tc>
        <w:tc>
          <w:tcPr>
            <w:tcW w:w="9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135%</w:t>
            </w:r>
          </w:p>
        </w:tc>
      </w:tr>
      <w:tr>
        <w:trPr>
          <w:trHeight w:val="189"/>
        </w:trPr>
        <w:tc>
          <w:tcPr>
            <w:tcW w:w="2360" w:type="dxa"/>
            <w:vAlign w:val="bottom"/>
            <w:shd w:val="clear" w:color="auto" w:fill="EBEBEC"/>
          </w:tcPr>
          <w:p>
            <w:pPr>
              <w:ind w:left="140"/>
              <w:spacing w:after="0"/>
              <w:rPr>
                <w:sz w:val="20"/>
                <w:szCs w:val="20"/>
                <w:color w:val="auto"/>
              </w:rPr>
            </w:pPr>
            <w:r>
              <w:rPr>
                <w:rFonts w:ascii="Arial" w:cs="Arial" w:eastAsia="Arial" w:hAnsi="Arial"/>
                <w:sz w:val="14"/>
                <w:szCs w:val="14"/>
                <w:color w:val="auto"/>
              </w:rPr>
              <w:t>Charles F. Weiss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BEBEC"/>
          </w:tcPr>
          <w:p>
            <w:pPr>
              <w:ind w:left="60"/>
              <w:spacing w:after="0"/>
              <w:rPr>
                <w:sz w:val="20"/>
                <w:szCs w:val="20"/>
                <w:color w:val="auto"/>
              </w:rPr>
            </w:pPr>
            <w:r>
              <w:rPr>
                <w:rFonts w:ascii="Arial" w:cs="Arial" w:eastAsia="Arial" w:hAnsi="Arial"/>
                <w:sz w:val="14"/>
                <w:szCs w:val="14"/>
                <w:color w:val="auto"/>
              </w:rPr>
              <w:t>440,000</w:t>
            </w:r>
          </w:p>
        </w:tc>
        <w:tc>
          <w:tcPr>
            <w:tcW w:w="860" w:type="dxa"/>
            <w:vAlign w:val="bottom"/>
            <w:shd w:val="clear" w:color="auto" w:fill="EBEBEC"/>
          </w:tcPr>
          <w:p>
            <w:pPr>
              <w:jc w:val="center"/>
              <w:ind w:left="68"/>
              <w:spacing w:after="0"/>
              <w:rPr>
                <w:sz w:val="20"/>
                <w:szCs w:val="20"/>
                <w:color w:val="auto"/>
              </w:rPr>
            </w:pPr>
            <w:r>
              <w:rPr>
                <w:rFonts w:ascii="Arial" w:cs="Arial" w:eastAsia="Arial" w:hAnsi="Arial"/>
                <w:sz w:val="14"/>
                <w:szCs w:val="14"/>
                <w:color w:val="auto"/>
                <w:w w:val="99"/>
              </w:rPr>
              <w:t>80%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$ 352,000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EBEBEC"/>
          </w:tcPr>
          <w:p>
            <w:pPr>
              <w:jc w:val="center"/>
              <w:ind w:right="108"/>
              <w:spacing w:after="0"/>
              <w:rPr>
                <w:sz w:val="20"/>
                <w:szCs w:val="20"/>
                <w:color w:val="auto"/>
              </w:rPr>
            </w:pPr>
            <w:r>
              <w:rPr>
                <w:rFonts w:ascii="Arial" w:cs="Arial" w:eastAsia="Arial" w:hAnsi="Arial"/>
                <w:sz w:val="14"/>
                <w:szCs w:val="14"/>
                <w:color w:val="auto"/>
              </w:rPr>
              <w:t>405,300</w:t>
            </w:r>
          </w:p>
        </w:tc>
        <w:tc>
          <w:tcPr>
            <w:tcW w:w="11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106%</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74,700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480,000</w:t>
            </w:r>
          </w:p>
        </w:tc>
        <w:tc>
          <w:tcPr>
            <w:tcW w:w="9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136%</w:t>
            </w:r>
          </w:p>
        </w:tc>
      </w:tr>
      <w:tr>
        <w:trPr>
          <w:trHeight w:val="189"/>
        </w:trPr>
        <w:tc>
          <w:tcPr>
            <w:tcW w:w="2360" w:type="dxa"/>
            <w:vAlign w:val="bottom"/>
            <w:shd w:val="clear" w:color="auto" w:fill="EBEBEC"/>
          </w:tcPr>
          <w:p>
            <w:pPr>
              <w:ind w:left="140"/>
              <w:spacing w:after="0"/>
              <w:rPr>
                <w:sz w:val="20"/>
                <w:szCs w:val="20"/>
                <w:color w:val="auto"/>
              </w:rPr>
            </w:pPr>
            <w:r>
              <w:rPr>
                <w:rFonts w:ascii="Arial" w:cs="Arial" w:eastAsia="Arial" w:hAnsi="Arial"/>
                <w:sz w:val="14"/>
                <w:szCs w:val="14"/>
                <w:color w:val="auto"/>
              </w:rPr>
              <w:t>Michael L. Preston</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BEBEC"/>
          </w:tcPr>
          <w:p>
            <w:pPr>
              <w:ind w:left="60"/>
              <w:spacing w:after="0"/>
              <w:rPr>
                <w:sz w:val="20"/>
                <w:szCs w:val="20"/>
                <w:color w:val="auto"/>
              </w:rPr>
            </w:pPr>
            <w:r>
              <w:rPr>
                <w:rFonts w:ascii="Arial" w:cs="Arial" w:eastAsia="Arial" w:hAnsi="Arial"/>
                <w:sz w:val="14"/>
                <w:szCs w:val="14"/>
                <w:color w:val="auto"/>
              </w:rPr>
              <w:t>440,000</w:t>
            </w:r>
          </w:p>
        </w:tc>
        <w:tc>
          <w:tcPr>
            <w:tcW w:w="860" w:type="dxa"/>
            <w:vAlign w:val="bottom"/>
            <w:shd w:val="clear" w:color="auto" w:fill="EBEBEC"/>
          </w:tcPr>
          <w:p>
            <w:pPr>
              <w:jc w:val="center"/>
              <w:ind w:left="68"/>
              <w:spacing w:after="0"/>
              <w:rPr>
                <w:sz w:val="20"/>
                <w:szCs w:val="20"/>
                <w:color w:val="auto"/>
              </w:rPr>
            </w:pPr>
            <w:r>
              <w:rPr>
                <w:rFonts w:ascii="Arial" w:cs="Arial" w:eastAsia="Arial" w:hAnsi="Arial"/>
                <w:sz w:val="14"/>
                <w:szCs w:val="14"/>
                <w:color w:val="auto"/>
                <w:w w:val="99"/>
              </w:rPr>
              <w:t>85%</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$ 374,000</w:t>
            </w:r>
          </w:p>
        </w:tc>
        <w:tc>
          <w:tcPr>
            <w:tcW w:w="30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EBEBEC"/>
          </w:tcPr>
          <w:p>
            <w:pPr>
              <w:jc w:val="center"/>
              <w:ind w:right="108"/>
              <w:spacing w:after="0"/>
              <w:rPr>
                <w:sz w:val="20"/>
                <w:szCs w:val="20"/>
                <w:color w:val="auto"/>
              </w:rPr>
            </w:pPr>
            <w:r>
              <w:rPr>
                <w:rFonts w:ascii="Arial" w:cs="Arial" w:eastAsia="Arial" w:hAnsi="Arial"/>
                <w:sz w:val="14"/>
                <w:szCs w:val="14"/>
                <w:color w:val="auto"/>
              </w:rPr>
              <w:t>430,700</w:t>
            </w:r>
          </w:p>
        </w:tc>
        <w:tc>
          <w:tcPr>
            <w:tcW w:w="11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101%</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75,300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506,000</w:t>
            </w:r>
          </w:p>
        </w:tc>
        <w:tc>
          <w:tcPr>
            <w:tcW w:w="9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2" w:name="page53"/>
    <w:bookmarkEnd w:id="5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Long-Term Incentives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For 2019, the long-term incentives consisted of a mix of time-vested restricted stock unit awards and performance-based awards, to promote retention and pay for performance. The total grant date values were allocated 40% to time -vested restricted stock unit awards and 60% to performance-based awards. The performance-based awards consisted of performance stock unit awards and premium-priced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207645</wp:posOffset>
            </wp:positionV>
            <wp:extent cx="3651885" cy="2169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651885"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i w:val="1"/>
          <w:iCs w:val="1"/>
          <w:color w:val="auto"/>
        </w:rPr>
        <w:t xml:space="preserve">2019 Restricted Stock Unit Award </w:t>
      </w:r>
      <w:r>
        <w:rPr>
          <w:rFonts w:ascii="Arial" w:cs="Arial" w:eastAsia="Arial" w:hAnsi="Arial"/>
          <w:sz w:val="18"/>
          <w:szCs w:val="18"/>
          <w:color w:val="auto"/>
        </w:rPr>
        <w:t>– The 2019 Restricted Stock Unit Award (RSU Award) is a stock-based, stock- and cash- settled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incentive award intended to primarily promote retention and enhance alignment with stockholder interests through development of ownership in the Company with time -vested payouts. One-third of the RSU Award vests at the end of each year during the three-year period commencing at the grant date. The RSU Award will be settled 50% in shares and 50% in cash with required tax withholding taken first from the cash portion of the payout, in order to manage the remaining shares available for awards under the Long-Term Incentive Plan (LTIP).</w:t>
      </w:r>
    </w:p>
    <w:p>
      <w:pPr>
        <w:spacing w:after="0" w:line="17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2019 Performance Stock Unit Award </w:t>
      </w:r>
      <w:r>
        <w:rPr>
          <w:rFonts w:ascii="Arial" w:cs="Arial" w:eastAsia="Arial" w:hAnsi="Arial"/>
          <w:sz w:val="18"/>
          <w:szCs w:val="18"/>
          <w:color w:val="auto"/>
        </w:rPr>
        <w:t>– The 2019 Performance Stock Unit Award (PSU Award) is a stock -based, stock- and cash-settled long-term performance award with performance measures based 50% on relative total shareholder return and 50% on VCI, both measured over a three-year period. For payouts up to the target number of units, the PSU Award will be settled 50% in stock and 50% in cash. For payouts greater than the target number of units subject to the PSU Award, the payout of such excess of units will be settled in cash. Required tax withholding on settlements will be taken first from the cash portion of the payouts.</w:t>
      </w:r>
    </w:p>
    <w:p>
      <w:pPr>
        <w:spacing w:after="0" w:line="19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performance measures for the 2019 PSU Award continue to focus the management team on making decisions that will enhance stockholder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total shareholder return measure directly ties compensation to shareholder returns.</w:t>
      </w:r>
    </w:p>
    <w:p>
      <w:pPr>
        <w:spacing w:after="0" w:line="20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peer companies chosen for the relative total shareholder return performance measure under these awards are the same as those selected by the Compensation Committee for the 2019 Peer Group as shown on page 36.</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3" w:name="page54"/>
    <w:bookmarkEnd w:id="53"/>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PSU Award will vest at the end of three years from the grant date contingent on the Compensation Committee’s certification of achievement of the performance measures shown below:</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0075C9"/>
        </w:rPr>
        <w:t>Key Features of the 2019 Performance Stock Unit Award</w:t>
      </w:r>
    </w:p>
    <w:p>
      <w:pPr>
        <w:spacing w:after="0" w:line="293" w:lineRule="exact"/>
        <w:rPr>
          <w:sz w:val="20"/>
          <w:szCs w:val="20"/>
          <w:color w:val="auto"/>
        </w:rPr>
      </w:pPr>
    </w:p>
    <w:tbl>
      <w:tblPr>
        <w:tblLayout w:type="fixed"/>
        <w:tblInd w:w="97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Relative Total Shareholder Return Component</w:t>
            </w:r>
          </w:p>
        </w:tc>
        <w:tc>
          <w:tcPr>
            <w:tcW w:w="3220" w:type="dxa"/>
            <w:vAlign w:val="bottom"/>
          </w:tcPr>
          <w:p>
            <w:pPr>
              <w:ind w:left="860"/>
              <w:spacing w:after="0"/>
              <w:rPr>
                <w:sz w:val="20"/>
                <w:szCs w:val="20"/>
                <w:color w:val="auto"/>
              </w:rPr>
            </w:pPr>
            <w:r>
              <w:rPr>
                <w:rFonts w:ascii="Arial" w:cs="Arial" w:eastAsia="Arial" w:hAnsi="Arial"/>
                <w:sz w:val="14"/>
                <w:szCs w:val="14"/>
                <w:b w:val="1"/>
                <w:bCs w:val="1"/>
                <w:color w:val="auto"/>
              </w:rPr>
              <w:t>Value Creation Index</w:t>
            </w:r>
          </w:p>
        </w:tc>
        <w:tc>
          <w:tcPr>
            <w:tcW w:w="0" w:type="dxa"/>
            <w:vAlign w:val="bottom"/>
          </w:tcPr>
          <w:p>
            <w:pPr>
              <w:spacing w:after="0"/>
              <w:rPr>
                <w:sz w:val="1"/>
                <w:szCs w:val="1"/>
                <w:color w:val="auto"/>
              </w:rPr>
            </w:pPr>
          </w:p>
        </w:tc>
      </w:tr>
      <w:tr>
        <w:trPr>
          <w:trHeight w:val="136"/>
        </w:trPr>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Award Feature</w:t>
            </w:r>
          </w:p>
        </w:tc>
        <w:tc>
          <w:tcPr>
            <w:tcW w:w="220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(VCI) Component</w:t>
            </w:r>
          </w:p>
        </w:tc>
        <w:tc>
          <w:tcPr>
            <w:tcW w:w="0" w:type="dxa"/>
            <w:vAlign w:val="bottom"/>
          </w:tcPr>
          <w:p>
            <w:pPr>
              <w:spacing w:after="0"/>
              <w:rPr>
                <w:sz w:val="1"/>
                <w:szCs w:val="1"/>
                <w:color w:val="auto"/>
              </w:rPr>
            </w:pPr>
          </w:p>
        </w:tc>
      </w:tr>
      <w:tr>
        <w:trPr>
          <w:trHeight w:val="54"/>
        </w:trPr>
        <w:tc>
          <w:tcPr>
            <w:tcW w:w="1160" w:type="dxa"/>
            <w:vAlign w:val="bottom"/>
            <w:gridSpan w:val="2"/>
            <w:vMerge w:val="continue"/>
          </w:tcPr>
          <w:p>
            <w:pPr>
              <w:spacing w:after="0"/>
              <w:rPr>
                <w:sz w:val="4"/>
                <w:szCs w:val="4"/>
                <w:color w:val="auto"/>
              </w:rPr>
            </w:pPr>
          </w:p>
        </w:tc>
        <w:tc>
          <w:tcPr>
            <w:tcW w:w="22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3360" w:type="dxa"/>
            <w:vAlign w:val="bottom"/>
            <w:tcBorders>
              <w:bottom w:val="single" w:sz="8" w:color="auto"/>
            </w:tcBorders>
            <w:gridSpan w:val="3"/>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336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Component Weight</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53"/>
        </w:trPr>
        <w:tc>
          <w:tcPr>
            <w:tcW w:w="3360" w:type="dxa"/>
            <w:vAlign w:val="bottom"/>
            <w:tcBorders>
              <w:left w:val="single" w:sz="8" w:color="auto"/>
              <w:bottom w:val="single" w:sz="8" w:color="auto"/>
              <w:right w:val="single" w:sz="8" w:color="auto"/>
            </w:tcBorders>
            <w:gridSpan w:val="3"/>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36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Performance Period</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January 1, 2019 –</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January 1, 2019 –</w:t>
            </w:r>
          </w:p>
        </w:tc>
        <w:tc>
          <w:tcPr>
            <w:tcW w:w="0" w:type="dxa"/>
            <w:vAlign w:val="bottom"/>
          </w:tcPr>
          <w:p>
            <w:pPr>
              <w:spacing w:after="0"/>
              <w:rPr>
                <w:sz w:val="1"/>
                <w:szCs w:val="1"/>
                <w:color w:val="auto"/>
              </w:rPr>
            </w:pPr>
          </w:p>
        </w:tc>
      </w:tr>
      <w:tr>
        <w:trPr>
          <w:trHeight w:val="172"/>
        </w:trPr>
        <w:tc>
          <w:tcPr>
            <w:tcW w:w="110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December 31, 2021</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53"/>
        </w:trPr>
        <w:tc>
          <w:tcPr>
            <w:tcW w:w="3360" w:type="dxa"/>
            <w:vAlign w:val="bottom"/>
            <w:tcBorders>
              <w:left w:val="single" w:sz="8" w:color="auto"/>
              <w:bottom w:val="single" w:sz="8" w:color="auto"/>
              <w:right w:val="single" w:sz="8" w:color="auto"/>
            </w:tcBorders>
            <w:gridSpan w:val="3"/>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36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Performance Measure</w:t>
            </w:r>
          </w:p>
        </w:tc>
        <w:tc>
          <w:tcPr>
            <w:tcW w:w="3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Relative total shareholder return (TSR) based on 30-</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Cumulative VCI calculated as the weighted</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vMerge w:val="continue"/>
          </w:tcPr>
          <w:p>
            <w:pPr>
              <w:spacing w:after="0"/>
              <w:rPr>
                <w:sz w:val="7"/>
                <w:szCs w:val="7"/>
                <w:color w:val="auto"/>
              </w:rPr>
            </w:pPr>
          </w:p>
        </w:tc>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average of the VCI results for 2019, 2020,</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day average prices at the beginning and end of the</w:t>
            </w:r>
          </w:p>
        </w:tc>
        <w:tc>
          <w:tcPr>
            <w:tcW w:w="3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vMerge w:val="continue"/>
          </w:tcPr>
          <w:p>
            <w:pPr>
              <w:spacing w:after="0"/>
              <w:rPr>
                <w:sz w:val="7"/>
                <w:szCs w:val="7"/>
                <w:color w:val="auto"/>
              </w:rPr>
            </w:pPr>
          </w:p>
        </w:tc>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and 2021, weighted based on discounted</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Performance Period.</w:t>
            </w:r>
          </w:p>
        </w:tc>
        <w:tc>
          <w:tcPr>
            <w:tcW w:w="3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vMerge w:val="continue"/>
          </w:tcPr>
          <w:p>
            <w:pPr>
              <w:spacing w:after="0"/>
              <w:rPr>
                <w:sz w:val="7"/>
                <w:szCs w:val="7"/>
                <w:color w:val="auto"/>
              </w:rPr>
            </w:pPr>
          </w:p>
        </w:tc>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capital invested for each year.</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tcPr>
          <w:p>
            <w:pPr>
              <w:spacing w:after="0"/>
              <w:rPr>
                <w:sz w:val="7"/>
                <w:szCs w:val="7"/>
                <w:color w:val="auto"/>
              </w:rPr>
            </w:pPr>
          </w:p>
        </w:tc>
        <w:tc>
          <w:tcPr>
            <w:tcW w:w="3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10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0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Threshold Payout</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 of Target</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 of Target</w:t>
            </w:r>
          </w:p>
        </w:tc>
        <w:tc>
          <w:tcPr>
            <w:tcW w:w="0" w:type="dxa"/>
            <w:vAlign w:val="bottom"/>
          </w:tcPr>
          <w:p>
            <w:pPr>
              <w:spacing w:after="0"/>
              <w:rPr>
                <w:sz w:val="1"/>
                <w:szCs w:val="1"/>
                <w:color w:val="auto"/>
              </w:rPr>
            </w:pPr>
          </w:p>
        </w:tc>
      </w:tr>
      <w:tr>
        <w:trPr>
          <w:trHeight w:val="53"/>
        </w:trPr>
        <w:tc>
          <w:tcPr>
            <w:tcW w:w="1100" w:type="dxa"/>
            <w:vAlign w:val="bottom"/>
            <w:tcBorders>
              <w:left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Performance Resulting in</w:t>
            </w:r>
          </w:p>
        </w:tc>
        <w:tc>
          <w:tcPr>
            <w:tcW w:w="3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Relative TSR 25</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w:t>
            </w:r>
          </w:p>
        </w:tc>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Cumulative VCI of 1.2</w:t>
            </w: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Threshold Payout</w:t>
            </w:r>
          </w:p>
        </w:tc>
        <w:tc>
          <w:tcPr>
            <w:tcW w:w="3680" w:type="dxa"/>
            <w:vAlign w:val="bottom"/>
            <w:tcBorders>
              <w:right w:val="single" w:sz="8" w:color="auto"/>
            </w:tcBorders>
            <w:vMerge w:val="continue"/>
          </w:tcPr>
          <w:p>
            <w:pPr>
              <w:spacing w:after="0"/>
              <w:rPr>
                <w:sz w:val="11"/>
                <w:szCs w:val="11"/>
                <w:color w:val="auto"/>
              </w:rPr>
            </w:pPr>
          </w:p>
        </w:tc>
        <w:tc>
          <w:tcPr>
            <w:tcW w:w="3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100" w:type="dxa"/>
            <w:vAlign w:val="bottom"/>
            <w:tcBorders>
              <w:left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0" w:type="dxa"/>
            <w:vAlign w:val="bottom"/>
            <w:tcBorders>
              <w:right w:val="single" w:sz="8" w:color="auto"/>
            </w:tcBorders>
            <w:vMerge w:val="continue"/>
          </w:tcPr>
          <w:p>
            <w:pPr>
              <w:spacing w:after="0"/>
              <w:rPr>
                <w:sz w:val="3"/>
                <w:szCs w:val="3"/>
                <w:color w:val="auto"/>
              </w:rPr>
            </w:pPr>
          </w:p>
        </w:tc>
        <w:tc>
          <w:tcPr>
            <w:tcW w:w="3680" w:type="dxa"/>
            <w:vAlign w:val="bottom"/>
            <w:tcBorders>
              <w:right w:val="single" w:sz="8" w:color="auto"/>
            </w:tcBorders>
          </w:tcPr>
          <w:p>
            <w:pPr>
              <w:spacing w:after="0"/>
              <w:rPr>
                <w:sz w:val="3"/>
                <w:szCs w:val="3"/>
                <w:color w:val="auto"/>
              </w:rPr>
            </w:pPr>
          </w:p>
        </w:tc>
        <w:tc>
          <w:tcPr>
            <w:tcW w:w="3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100" w:type="dxa"/>
            <w:vAlign w:val="bottom"/>
            <w:tcBorders>
              <w:left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0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Target Payout</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 of Target</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 of Target</w:t>
            </w:r>
          </w:p>
        </w:tc>
        <w:tc>
          <w:tcPr>
            <w:tcW w:w="0" w:type="dxa"/>
            <w:vAlign w:val="bottom"/>
          </w:tcPr>
          <w:p>
            <w:pPr>
              <w:spacing w:after="0"/>
              <w:rPr>
                <w:sz w:val="1"/>
                <w:szCs w:val="1"/>
                <w:color w:val="auto"/>
              </w:rPr>
            </w:pPr>
          </w:p>
        </w:tc>
      </w:tr>
      <w:tr>
        <w:trPr>
          <w:trHeight w:val="53"/>
        </w:trPr>
        <w:tc>
          <w:tcPr>
            <w:tcW w:w="1100" w:type="dxa"/>
            <w:vAlign w:val="bottom"/>
            <w:tcBorders>
              <w:left w:val="single" w:sz="8" w:color="auto"/>
              <w:right w:val="single" w:sz="8" w:color="auto"/>
            </w:tcBorders>
            <w:vMerge w:val="restart"/>
          </w:tcPr>
          <w:p>
            <w:pPr>
              <w:ind w:left="100"/>
              <w:spacing w:after="0" w:line="158" w:lineRule="exact"/>
              <w:rPr>
                <w:sz w:val="20"/>
                <w:szCs w:val="20"/>
                <w:color w:val="auto"/>
              </w:rPr>
            </w:pPr>
            <w:r>
              <w:rPr>
                <w:rFonts w:ascii="Arial" w:cs="Arial" w:eastAsia="Arial" w:hAnsi="Arial"/>
                <w:sz w:val="14"/>
                <w:szCs w:val="14"/>
                <w:color w:val="auto"/>
              </w:rPr>
              <w:t>Payout Range</w:t>
            </w:r>
          </w:p>
        </w:tc>
        <w:tc>
          <w:tcPr>
            <w:tcW w:w="6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100" w:type="dxa"/>
            <w:vAlign w:val="bottom"/>
            <w:tcBorders>
              <w:left w:val="single" w:sz="8" w:color="auto"/>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Performance Resulting in</w:t>
            </w:r>
          </w:p>
        </w:tc>
        <w:tc>
          <w:tcPr>
            <w:tcW w:w="3680" w:type="dxa"/>
            <w:vAlign w:val="bottom"/>
            <w:tcBorders>
              <w:right w:val="single" w:sz="8" w:color="auto"/>
            </w:tcBorders>
          </w:tcPr>
          <w:p>
            <w:pPr>
              <w:spacing w:after="0"/>
              <w:rPr>
                <w:sz w:val="7"/>
                <w:szCs w:val="7"/>
                <w:color w:val="auto"/>
              </w:rPr>
            </w:pPr>
          </w:p>
        </w:tc>
        <w:tc>
          <w:tcPr>
            <w:tcW w:w="3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2200" w:type="dxa"/>
            <w:vAlign w:val="bottom"/>
            <w:tcBorders>
              <w:right w:val="single" w:sz="8" w:color="auto"/>
            </w:tcBorders>
            <w:vMerge w:val="continue"/>
          </w:tcPr>
          <w:p>
            <w:pPr>
              <w:spacing w:after="0"/>
              <w:rPr>
                <w:sz w:val="13"/>
                <w:szCs w:val="13"/>
                <w:color w:val="auto"/>
              </w:rPr>
            </w:pPr>
          </w:p>
        </w:tc>
        <w:tc>
          <w:tcPr>
            <w:tcW w:w="3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Relative TSR 50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w:t>
            </w:r>
          </w:p>
        </w:tc>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Cumulative VCI of 1.4</w:t>
            </w: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Target Payout</w:t>
            </w:r>
          </w:p>
        </w:tc>
        <w:tc>
          <w:tcPr>
            <w:tcW w:w="3680" w:type="dxa"/>
            <w:vAlign w:val="bottom"/>
            <w:tcBorders>
              <w:right w:val="single" w:sz="8" w:color="auto"/>
            </w:tcBorders>
            <w:vMerge w:val="continue"/>
          </w:tcPr>
          <w:p>
            <w:pPr>
              <w:spacing w:after="0"/>
              <w:rPr>
                <w:sz w:val="11"/>
                <w:szCs w:val="11"/>
                <w:color w:val="auto"/>
              </w:rPr>
            </w:pPr>
          </w:p>
        </w:tc>
        <w:tc>
          <w:tcPr>
            <w:tcW w:w="3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100" w:type="dxa"/>
            <w:vAlign w:val="bottom"/>
            <w:tcBorders>
              <w:left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0" w:type="dxa"/>
            <w:vAlign w:val="bottom"/>
            <w:tcBorders>
              <w:right w:val="single" w:sz="8" w:color="auto"/>
            </w:tcBorders>
            <w:vMerge w:val="continue"/>
          </w:tcPr>
          <w:p>
            <w:pPr>
              <w:spacing w:after="0"/>
              <w:rPr>
                <w:sz w:val="3"/>
                <w:szCs w:val="3"/>
                <w:color w:val="auto"/>
              </w:rPr>
            </w:pPr>
          </w:p>
        </w:tc>
        <w:tc>
          <w:tcPr>
            <w:tcW w:w="3680" w:type="dxa"/>
            <w:vAlign w:val="bottom"/>
            <w:tcBorders>
              <w:right w:val="single" w:sz="8" w:color="auto"/>
            </w:tcBorders>
          </w:tcPr>
          <w:p>
            <w:pPr>
              <w:spacing w:after="0"/>
              <w:rPr>
                <w:sz w:val="3"/>
                <w:szCs w:val="3"/>
                <w:color w:val="auto"/>
              </w:rPr>
            </w:pPr>
          </w:p>
        </w:tc>
        <w:tc>
          <w:tcPr>
            <w:tcW w:w="3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100" w:type="dxa"/>
            <w:vAlign w:val="bottom"/>
            <w:tcBorders>
              <w:left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Maximum Payout</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xml:space="preserve">200% of Target </w:t>
            </w:r>
            <w:r>
              <w:rPr>
                <w:rFonts w:ascii="Arial" w:cs="Arial" w:eastAsia="Arial" w:hAnsi="Arial"/>
                <w:sz w:val="24"/>
                <w:szCs w:val="24"/>
                <w:color w:val="auto"/>
                <w:vertAlign w:val="superscript"/>
              </w:rPr>
              <w:t>(2)</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 of Target</w:t>
            </w: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Performance Resulting in</w:t>
            </w:r>
          </w:p>
        </w:tc>
        <w:tc>
          <w:tcPr>
            <w:tcW w:w="3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Relative TSR 90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or higher percentile</w:t>
            </w:r>
          </w:p>
        </w:tc>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Cumulative VCI of 1.6 or higher</w:t>
            </w: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Maximum Payout</w:t>
            </w:r>
          </w:p>
        </w:tc>
        <w:tc>
          <w:tcPr>
            <w:tcW w:w="3680" w:type="dxa"/>
            <w:vAlign w:val="bottom"/>
            <w:tcBorders>
              <w:right w:val="single" w:sz="8" w:color="auto"/>
            </w:tcBorders>
            <w:vMerge w:val="continue"/>
          </w:tcPr>
          <w:p>
            <w:pPr>
              <w:spacing w:after="0"/>
              <w:rPr>
                <w:sz w:val="11"/>
                <w:szCs w:val="11"/>
                <w:color w:val="auto"/>
              </w:rPr>
            </w:pPr>
          </w:p>
        </w:tc>
        <w:tc>
          <w:tcPr>
            <w:tcW w:w="3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100" w:type="dxa"/>
            <w:vAlign w:val="bottom"/>
            <w:tcBorders>
              <w:left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0" w:type="dxa"/>
            <w:vAlign w:val="bottom"/>
            <w:tcBorders>
              <w:right w:val="single" w:sz="8" w:color="auto"/>
            </w:tcBorders>
            <w:vMerge w:val="continue"/>
          </w:tcPr>
          <w:p>
            <w:pPr>
              <w:spacing w:after="0"/>
              <w:rPr>
                <w:sz w:val="3"/>
                <w:szCs w:val="3"/>
                <w:color w:val="auto"/>
              </w:rPr>
            </w:pPr>
          </w:p>
        </w:tc>
        <w:tc>
          <w:tcPr>
            <w:tcW w:w="3680" w:type="dxa"/>
            <w:vAlign w:val="bottom"/>
            <w:tcBorders>
              <w:right w:val="single" w:sz="8" w:color="auto"/>
            </w:tcBorders>
          </w:tcPr>
          <w:p>
            <w:pPr>
              <w:spacing w:after="0"/>
              <w:rPr>
                <w:sz w:val="3"/>
                <w:szCs w:val="3"/>
                <w:color w:val="auto"/>
              </w:rPr>
            </w:pPr>
          </w:p>
        </w:tc>
        <w:tc>
          <w:tcPr>
            <w:tcW w:w="3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110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Payouts interpolated for performance results between threshold and target or target and maximum, with no payout for performance results below threshold.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Payout limited to 100% of Target if absolute TSR is negative, regardless of relative TSR 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b w:val="1"/>
          <w:bCs w:val="1"/>
          <w:i w:val="1"/>
          <w:iCs w:val="1"/>
          <w:color w:val="auto"/>
        </w:rPr>
        <w:t xml:space="preserve">2019 Stock Options </w:t>
      </w:r>
      <w:r>
        <w:rPr>
          <w:rFonts w:ascii="Arial" w:cs="Arial" w:eastAsia="Arial" w:hAnsi="Arial"/>
          <w:sz w:val="18"/>
          <w:szCs w:val="18"/>
          <w:color w:val="auto"/>
        </w:rPr>
        <w:t>– The Compensation Committee granted stock options as part of the 2019 long-term incentive awards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 executives with stockholders. The 2019 stock options were premium -priced, granted with an exercise price that was 10% above stock price on the grant date. The options will vest one-third at the end of each year during the three-year period commencing on the grant date and remain exercisable until the end of the seventh year following the grant date.</w:t>
      </w:r>
    </w:p>
    <w:p>
      <w:pPr>
        <w:spacing w:after="0" w:line="196"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Compensation Committee reviewed the long-term incentive grant date target values of the NEOs to determine if they remained appropriately positioned against the Peer Group data and internally aligned. The Compensation Committee increased the long-term incentive grant date values for the CEO and other NEOs based on the individual’s performance and position relative to peer group compensation data. Mr. Preston was not an NEO in 2018, so his 2018 value is not disclosed.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075C9"/>
              </w:rPr>
              <w:t>2019 LTI Grant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075C9"/>
              </w:rPr>
              <w:t>2018 LTI Grant</w:t>
            </w: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075C9"/>
              </w:rPr>
              <w:t>Date Target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075C9"/>
              </w:rPr>
              <w:t>Date Target</w:t>
            </w: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88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166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Value</w:t>
            </w:r>
          </w:p>
        </w:tc>
        <w:tc>
          <w:tcPr>
            <w:tcW w:w="208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Value</w:t>
            </w:r>
          </w:p>
        </w:tc>
        <w:tc>
          <w:tcPr>
            <w:tcW w:w="5620" w:type="dxa"/>
            <w:vAlign w:val="bottom"/>
            <w:tcBorders>
              <w:bottom w:val="single" w:sz="8" w:color="0070C0"/>
            </w:tcBorders>
          </w:tcPr>
          <w:p>
            <w:pPr>
              <w:ind w:left="120"/>
              <w:spacing w:after="0"/>
              <w:rPr>
                <w:sz w:val="20"/>
                <w:szCs w:val="20"/>
                <w:color w:val="auto"/>
              </w:rPr>
            </w:pPr>
            <w:r>
              <w:rPr>
                <w:rFonts w:ascii="Arial" w:cs="Arial" w:eastAsia="Arial" w:hAnsi="Arial"/>
                <w:sz w:val="14"/>
                <w:szCs w:val="14"/>
                <w:b w:val="1"/>
                <w:bCs w:val="1"/>
                <w:color w:val="0075C9"/>
              </w:rPr>
              <w:t>Rationale for Action</w:t>
            </w:r>
          </w:p>
        </w:tc>
        <w:tc>
          <w:tcPr>
            <w:tcW w:w="20" w:type="dxa"/>
            <w:vAlign w:val="bottom"/>
            <w:tcBorders>
              <w:bottom w:val="single" w:sz="8" w:color="0070C0"/>
            </w:tcBorders>
          </w:tcPr>
          <w:p>
            <w:pPr>
              <w:spacing w:after="0"/>
              <w:rPr>
                <w:sz w:val="15"/>
                <w:szCs w:val="15"/>
                <w:color w:val="auto"/>
              </w:rPr>
            </w:pPr>
          </w:p>
        </w:tc>
      </w:tr>
      <w:tr>
        <w:trPr>
          <w:trHeight w:val="155"/>
        </w:trPr>
        <w:tc>
          <w:tcPr>
            <w:tcW w:w="1880" w:type="dxa"/>
            <w:vAlign w:val="bottom"/>
            <w:shd w:val="clear" w:color="auto" w:fill="EBEBEC"/>
          </w:tcPr>
          <w:p>
            <w:pPr>
              <w:ind w:left="20"/>
              <w:spacing w:after="0" w:line="155" w:lineRule="exact"/>
              <w:rPr>
                <w:sz w:val="20"/>
                <w:szCs w:val="20"/>
                <w:color w:val="auto"/>
              </w:rPr>
            </w:pPr>
            <w:r>
              <w:rPr>
                <w:rFonts w:ascii="Arial" w:cs="Arial" w:eastAsia="Arial" w:hAnsi="Arial"/>
                <w:sz w:val="14"/>
                <w:szCs w:val="14"/>
                <w:b w:val="1"/>
                <w:bCs w:val="1"/>
                <w:color w:val="0075C9"/>
              </w:rPr>
              <w:t>Todd A. Stevens</w:t>
            </w:r>
          </w:p>
        </w:tc>
        <w:tc>
          <w:tcPr>
            <w:tcW w:w="166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$5,400,000</w:t>
            </w:r>
          </w:p>
        </w:tc>
        <w:tc>
          <w:tcPr>
            <w:tcW w:w="208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$5,200,000</w:t>
            </w:r>
          </w:p>
        </w:tc>
        <w:tc>
          <w:tcPr>
            <w:tcW w:w="5620" w:type="dxa"/>
            <w:vAlign w:val="bottom"/>
            <w:shd w:val="clear" w:color="auto" w:fill="EBEBEC"/>
          </w:tcPr>
          <w:p>
            <w:pPr>
              <w:ind w:left="140"/>
              <w:spacing w:after="0" w:line="155" w:lineRule="exact"/>
              <w:rPr>
                <w:sz w:val="20"/>
                <w:szCs w:val="20"/>
                <w:color w:val="auto"/>
              </w:rPr>
            </w:pPr>
            <w:r>
              <w:rPr>
                <w:rFonts w:ascii="Arial" w:cs="Arial" w:eastAsia="Arial" w:hAnsi="Arial"/>
                <w:sz w:val="14"/>
                <w:szCs w:val="14"/>
                <w:color w:val="auto"/>
              </w:rPr>
              <w:t>Performance and position relative to peer group</w:t>
            </w:r>
          </w:p>
        </w:tc>
        <w:tc>
          <w:tcPr>
            <w:tcW w:w="20" w:type="dxa"/>
            <w:vAlign w:val="bottom"/>
          </w:tcPr>
          <w:p>
            <w:pPr>
              <w:spacing w:after="0"/>
              <w:rPr>
                <w:sz w:val="13"/>
                <w:szCs w:val="13"/>
                <w:color w:val="auto"/>
              </w:rPr>
            </w:pPr>
          </w:p>
        </w:tc>
      </w:tr>
      <w:tr>
        <w:trPr>
          <w:trHeight w:val="175"/>
        </w:trPr>
        <w:tc>
          <w:tcPr>
            <w:tcW w:w="18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1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$2,000,000</w:t>
            </w:r>
          </w:p>
        </w:tc>
        <w:tc>
          <w:tcPr>
            <w:tcW w:w="20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$1,900,000</w:t>
            </w:r>
          </w:p>
        </w:tc>
        <w:tc>
          <w:tcPr>
            <w:tcW w:w="56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Performance and position relative to peer group</w:t>
            </w:r>
          </w:p>
        </w:tc>
        <w:tc>
          <w:tcPr>
            <w:tcW w:w="20" w:type="dxa"/>
            <w:vAlign w:val="bottom"/>
          </w:tcPr>
          <w:p>
            <w:pPr>
              <w:spacing w:after="0"/>
              <w:rPr>
                <w:sz w:val="15"/>
                <w:szCs w:val="15"/>
                <w:color w:val="auto"/>
              </w:rPr>
            </w:pPr>
          </w:p>
        </w:tc>
      </w:tr>
      <w:tr>
        <w:trPr>
          <w:trHeight w:val="175"/>
        </w:trPr>
        <w:tc>
          <w:tcPr>
            <w:tcW w:w="18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1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$1,100,000</w:t>
            </w:r>
          </w:p>
        </w:tc>
        <w:tc>
          <w:tcPr>
            <w:tcW w:w="20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$1,050,000</w:t>
            </w:r>
          </w:p>
        </w:tc>
        <w:tc>
          <w:tcPr>
            <w:tcW w:w="56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Performance and position relative to peer group</w:t>
            </w:r>
          </w:p>
        </w:tc>
        <w:tc>
          <w:tcPr>
            <w:tcW w:w="20" w:type="dxa"/>
            <w:vAlign w:val="bottom"/>
          </w:tcPr>
          <w:p>
            <w:pPr>
              <w:spacing w:after="0"/>
              <w:rPr>
                <w:sz w:val="15"/>
                <w:szCs w:val="15"/>
                <w:color w:val="auto"/>
              </w:rPr>
            </w:pPr>
          </w:p>
        </w:tc>
      </w:tr>
      <w:tr>
        <w:trPr>
          <w:trHeight w:val="176"/>
        </w:trPr>
        <w:tc>
          <w:tcPr>
            <w:tcW w:w="18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1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$1,150,000</w:t>
            </w:r>
          </w:p>
        </w:tc>
        <w:tc>
          <w:tcPr>
            <w:tcW w:w="20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$1,100,000</w:t>
            </w:r>
          </w:p>
        </w:tc>
        <w:tc>
          <w:tcPr>
            <w:tcW w:w="56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Performance and position relative to peer group</w:t>
            </w:r>
          </w:p>
        </w:tc>
        <w:tc>
          <w:tcPr>
            <w:tcW w:w="20" w:type="dxa"/>
            <w:vAlign w:val="bottom"/>
          </w:tcPr>
          <w:p>
            <w:pPr>
              <w:spacing w:after="0"/>
              <w:rPr>
                <w:sz w:val="15"/>
                <w:szCs w:val="15"/>
                <w:color w:val="auto"/>
              </w:rPr>
            </w:pPr>
          </w:p>
        </w:tc>
      </w:tr>
      <w:tr>
        <w:trPr>
          <w:trHeight w:val="175"/>
        </w:trPr>
        <w:tc>
          <w:tcPr>
            <w:tcW w:w="18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1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$1,075,000</w:t>
            </w:r>
          </w:p>
        </w:tc>
        <w:tc>
          <w:tcPr>
            <w:tcW w:w="2080" w:type="dxa"/>
            <w:vAlign w:val="bottom"/>
            <w:shd w:val="clear" w:color="auto" w:fill="EBEBEC"/>
          </w:tcPr>
          <w:p>
            <w:pPr>
              <w:jc w:val="center"/>
              <w:spacing w:after="0"/>
              <w:rPr>
                <w:sz w:val="20"/>
                <w:szCs w:val="20"/>
                <w:color w:val="auto"/>
              </w:rPr>
            </w:pPr>
            <w:r>
              <w:rPr>
                <w:rFonts w:ascii="Arial" w:cs="Arial" w:eastAsia="Arial" w:hAnsi="Arial"/>
                <w:sz w:val="14"/>
                <w:szCs w:val="14"/>
                <w:b w:val="1"/>
                <w:bCs w:val="1"/>
                <w:color w:val="auto"/>
              </w:rPr>
              <w:t>-</w:t>
            </w:r>
          </w:p>
        </w:tc>
        <w:tc>
          <w:tcPr>
            <w:tcW w:w="56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Scope of responsibilities and internal alignment</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40575" cy="5657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0575" cy="5657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54" w:name="page55"/>
    <w:bookmarkEnd w:id="5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ind w:left="7940"/>
        <w:spacing w:after="0"/>
        <w:rPr>
          <w:sz w:val="20"/>
          <w:szCs w:val="20"/>
          <w:color w:val="auto"/>
        </w:rPr>
      </w:pPr>
      <w:r>
        <w:rPr>
          <w:rFonts w:ascii="Arial" w:cs="Arial" w:eastAsia="Arial" w:hAnsi="Arial"/>
          <w:sz w:val="14"/>
          <w:szCs w:val="14"/>
          <w:color w:val="auto"/>
        </w:rPr>
        <w:t>Compensation Discussion and Analysis</w:t>
      </w:r>
    </w:p>
    <w:p>
      <w:pPr>
        <w:spacing w:after="0" w:line="189" w:lineRule="exact"/>
        <w:rPr>
          <w:sz w:val="20"/>
          <w:szCs w:val="20"/>
          <w:color w:val="auto"/>
        </w:rPr>
      </w:pPr>
    </w:p>
    <w:p>
      <w:pPr>
        <w:ind w:left="480" w:right="40" w:hanging="223"/>
        <w:spacing w:after="0" w:line="247" w:lineRule="auto"/>
        <w:rPr>
          <w:sz w:val="20"/>
          <w:szCs w:val="20"/>
          <w:color w:val="auto"/>
        </w:rPr>
      </w:pPr>
      <w:r>
        <w:rPr>
          <w:rFonts w:ascii="Arial" w:cs="Arial" w:eastAsia="Arial" w:hAnsi="Arial"/>
          <w:sz w:val="18"/>
          <w:szCs w:val="18"/>
          <w:b w:val="1"/>
          <w:bCs w:val="1"/>
          <w:i w:val="1"/>
          <w:iCs w:val="1"/>
          <w:color w:val="auto"/>
        </w:rPr>
        <w:t xml:space="preserve">Payouts Under 2016 Performance Incentive Award </w:t>
      </w:r>
      <w:r>
        <w:rPr>
          <w:rFonts w:ascii="Arial" w:cs="Arial" w:eastAsia="Arial" w:hAnsi="Arial"/>
          <w:sz w:val="18"/>
          <w:szCs w:val="18"/>
          <w:color w:val="auto"/>
        </w:rPr>
        <w:t>– In August, 2019, the 2016 cash- based Performance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vested and were paid in cash. Performance under the award was based 50% on a relative Cost per Boe measure and 50% on a weighted-average VCI metric during the three-year performance period. The Compensation Committee certified the following performance under the award:</w:t>
      </w:r>
    </w:p>
    <w:p>
      <w:pPr>
        <w:spacing w:after="0" w:line="178" w:lineRule="exact"/>
        <w:rPr>
          <w:sz w:val="20"/>
          <w:szCs w:val="20"/>
          <w:color w:val="auto"/>
        </w:rPr>
      </w:pPr>
    </w:p>
    <w:p>
      <w:pPr>
        <w:ind w:left="240" w:right="220" w:hanging="229"/>
        <w:spacing w:after="0" w:line="238" w:lineRule="auto"/>
        <w:rPr>
          <w:sz w:val="20"/>
          <w:szCs w:val="20"/>
          <w:color w:val="auto"/>
        </w:rPr>
      </w:pPr>
      <w:r>
        <w:rPr>
          <w:rFonts w:ascii="Arial" w:cs="Arial" w:eastAsia="Arial" w:hAnsi="Arial"/>
          <w:sz w:val="18"/>
          <w:szCs w:val="18"/>
          <w:i w:val="1"/>
          <w:iCs w:val="1"/>
          <w:color w:val="auto"/>
        </w:rPr>
        <w:t xml:space="preserve">Cost per Boe Portion: </w:t>
      </w:r>
      <w:r>
        <w:rPr>
          <w:rFonts w:ascii="Arial" w:cs="Arial" w:eastAsia="Arial" w:hAnsi="Arial"/>
          <w:sz w:val="18"/>
          <w:szCs w:val="18"/>
          <w:color w:val="auto"/>
        </w:rPr>
        <w:t>This portion was based on the change in CRC’s Cost per Boe of production compared to the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Cost per Boe of production for the peer group. Cost per Boe is the sum of the production costs and general and administrative expenses, both measured on a per Boe basis for the applicable period. CRC’s three -year weighted average Cost per Boe increased by 0.2%, while the peer groups’ three-year average weighted Cost per Boe decreased by 7.5%, resulting in a net 7.7% increase. Under the terms of the award, this performance resulted in the following payout factor of</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80.66% of target for the Cost per Boe portion of the award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134620</wp:posOffset>
            </wp:positionV>
            <wp:extent cx="4560570" cy="394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60570" cy="394335"/>
                    </a:xfrm>
                    <a:prstGeom prst="rect">
                      <a:avLst/>
                    </a:prstGeom>
                    <a:noFill/>
                  </pic:spPr>
                </pic:pic>
              </a:graphicData>
            </a:graphic>
          </wp:anchor>
        </w:drawing>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288"/>
        </w:trPr>
        <w:tc>
          <w:tcPr>
            <w:tcW w:w="4040" w:type="dxa"/>
            <w:vAlign w:val="bottom"/>
            <w:shd w:val="clear" w:color="auto" w:fill="4F81BD"/>
          </w:tcPr>
          <w:p>
            <w:pPr>
              <w:ind w:left="140"/>
              <w:spacing w:after="0"/>
              <w:rPr>
                <w:sz w:val="20"/>
                <w:szCs w:val="20"/>
                <w:color w:val="auto"/>
              </w:rPr>
            </w:pPr>
            <w:r>
              <w:rPr>
                <w:rFonts w:ascii="Arial" w:cs="Arial" w:eastAsia="Arial" w:hAnsi="Arial"/>
                <w:sz w:val="18"/>
                <w:szCs w:val="18"/>
                <w:b w:val="1"/>
                <w:bCs w:val="1"/>
                <w:color w:val="FFFFFF"/>
              </w:rPr>
              <w:t>Change in CRC Cost per BOE Minus</w:t>
            </w:r>
          </w:p>
        </w:tc>
        <w:tc>
          <w:tcPr>
            <w:tcW w:w="3140" w:type="dxa"/>
            <w:vAlign w:val="bottom"/>
            <w:shd w:val="clear" w:color="auto" w:fill="4F81BD"/>
          </w:tcPr>
          <w:p>
            <w:pPr>
              <w:spacing w:after="0"/>
              <w:rPr>
                <w:sz w:val="24"/>
                <w:szCs w:val="24"/>
                <w:color w:val="auto"/>
              </w:rPr>
            </w:pPr>
          </w:p>
        </w:tc>
      </w:tr>
      <w:tr>
        <w:trPr>
          <w:trHeight w:val="239"/>
        </w:trPr>
        <w:tc>
          <w:tcPr>
            <w:tcW w:w="4040" w:type="dxa"/>
            <w:vAlign w:val="bottom"/>
            <w:shd w:val="clear" w:color="auto" w:fill="4F81BD"/>
          </w:tcPr>
          <w:p>
            <w:pPr>
              <w:ind w:left="140"/>
              <w:spacing w:after="0"/>
              <w:rPr>
                <w:sz w:val="20"/>
                <w:szCs w:val="20"/>
                <w:color w:val="auto"/>
              </w:rPr>
            </w:pPr>
            <w:r>
              <w:rPr>
                <w:rFonts w:ascii="Arial" w:cs="Arial" w:eastAsia="Arial" w:hAnsi="Arial"/>
                <w:sz w:val="18"/>
                <w:szCs w:val="18"/>
                <w:b w:val="1"/>
                <w:bCs w:val="1"/>
                <w:color w:val="FFFFFF"/>
              </w:rPr>
              <w:t>Change in Peer Group Cost per BOE</w:t>
            </w:r>
          </w:p>
        </w:tc>
        <w:tc>
          <w:tcPr>
            <w:tcW w:w="3140" w:type="dxa"/>
            <w:vAlign w:val="bottom"/>
            <w:shd w:val="clear" w:color="auto" w:fill="4F81BD"/>
          </w:tcPr>
          <w:p>
            <w:pPr>
              <w:ind w:left="780"/>
              <w:spacing w:after="0"/>
              <w:rPr>
                <w:sz w:val="20"/>
                <w:szCs w:val="20"/>
                <w:color w:val="auto"/>
              </w:rPr>
            </w:pPr>
            <w:r>
              <w:rPr>
                <w:rFonts w:ascii="Arial" w:cs="Arial" w:eastAsia="Arial" w:hAnsi="Arial"/>
                <w:sz w:val="18"/>
                <w:szCs w:val="18"/>
                <w:b w:val="1"/>
                <w:bCs w:val="1"/>
                <w:color w:val="FFFFFF"/>
              </w:rPr>
              <w:t>Payout as % of Target</w:t>
            </w:r>
          </w:p>
        </w:tc>
      </w:tr>
      <w:tr>
        <w:trPr>
          <w:trHeight w:val="68"/>
        </w:trPr>
        <w:tc>
          <w:tcPr>
            <w:tcW w:w="4040" w:type="dxa"/>
            <w:vAlign w:val="bottom"/>
            <w:shd w:val="clear" w:color="auto" w:fill="4F81BD"/>
          </w:tcPr>
          <w:p>
            <w:pPr>
              <w:spacing w:after="0"/>
              <w:rPr>
                <w:sz w:val="5"/>
                <w:szCs w:val="5"/>
                <w:color w:val="auto"/>
              </w:rPr>
            </w:pPr>
          </w:p>
        </w:tc>
        <w:tc>
          <w:tcPr>
            <w:tcW w:w="3140" w:type="dxa"/>
            <w:vAlign w:val="bottom"/>
            <w:shd w:val="clear" w:color="auto" w:fill="4F81BD"/>
          </w:tcPr>
          <w:p>
            <w:pPr>
              <w:spacing w:after="0"/>
              <w:rPr>
                <w:sz w:val="5"/>
                <w:szCs w:val="5"/>
                <w:color w:val="auto"/>
              </w:rPr>
            </w:pPr>
          </w:p>
        </w:tc>
      </w:tr>
      <w:tr>
        <w:trPr>
          <w:trHeight w:val="224"/>
        </w:trPr>
        <w:tc>
          <w:tcPr>
            <w:tcW w:w="4040" w:type="dxa"/>
            <w:vAlign w:val="bottom"/>
          </w:tcPr>
          <w:p>
            <w:pPr>
              <w:ind w:left="140"/>
              <w:spacing w:after="0"/>
              <w:rPr>
                <w:sz w:val="20"/>
                <w:szCs w:val="20"/>
                <w:color w:val="auto"/>
              </w:rPr>
            </w:pPr>
            <w:r>
              <w:rPr>
                <w:rFonts w:ascii="Arial" w:cs="Arial" w:eastAsia="Arial" w:hAnsi="Arial"/>
                <w:sz w:val="16"/>
                <w:szCs w:val="16"/>
                <w:color w:val="auto"/>
              </w:rPr>
              <w:t>Less than or equal to -10%</w:t>
            </w:r>
          </w:p>
        </w:tc>
        <w:tc>
          <w:tcPr>
            <w:tcW w:w="3140" w:type="dxa"/>
            <w:vAlign w:val="bottom"/>
          </w:tcPr>
          <w:p>
            <w:pPr>
              <w:jc w:val="center"/>
              <w:ind w:left="278"/>
              <w:spacing w:after="0"/>
              <w:rPr>
                <w:sz w:val="20"/>
                <w:szCs w:val="20"/>
                <w:color w:val="auto"/>
              </w:rPr>
            </w:pPr>
            <w:r>
              <w:rPr>
                <w:rFonts w:ascii="Arial" w:cs="Arial" w:eastAsia="Arial" w:hAnsi="Arial"/>
                <w:sz w:val="16"/>
                <w:szCs w:val="16"/>
                <w:color w:val="auto"/>
              </w:rPr>
              <w:t>200%</w:t>
            </w:r>
          </w:p>
        </w:tc>
      </w:tr>
      <w:tr>
        <w:trPr>
          <w:trHeight w:val="190"/>
        </w:trPr>
        <w:tc>
          <w:tcPr>
            <w:tcW w:w="4040" w:type="dxa"/>
            <w:vAlign w:val="bottom"/>
          </w:tcPr>
          <w:p>
            <w:pPr>
              <w:ind w:left="140"/>
              <w:spacing w:after="0"/>
              <w:rPr>
                <w:sz w:val="20"/>
                <w:szCs w:val="20"/>
                <w:color w:val="auto"/>
              </w:rPr>
            </w:pPr>
            <w:r>
              <w:rPr>
                <w:rFonts w:ascii="Arial" w:cs="Arial" w:eastAsia="Arial" w:hAnsi="Arial"/>
                <w:sz w:val="16"/>
                <w:szCs w:val="16"/>
                <w:color w:val="auto"/>
              </w:rPr>
              <w:t>0%</w:t>
            </w:r>
          </w:p>
        </w:tc>
        <w:tc>
          <w:tcPr>
            <w:tcW w:w="3140" w:type="dxa"/>
            <w:vAlign w:val="bottom"/>
          </w:tcPr>
          <w:p>
            <w:pPr>
              <w:jc w:val="center"/>
              <w:ind w:left="278"/>
              <w:spacing w:after="0"/>
              <w:rPr>
                <w:sz w:val="20"/>
                <w:szCs w:val="20"/>
                <w:color w:val="auto"/>
              </w:rPr>
            </w:pPr>
            <w:r>
              <w:rPr>
                <w:rFonts w:ascii="Arial" w:cs="Arial" w:eastAsia="Arial" w:hAnsi="Arial"/>
                <w:sz w:val="16"/>
                <w:szCs w:val="16"/>
                <w:color w:val="auto"/>
              </w:rPr>
              <w:t>100%</w:t>
            </w:r>
          </w:p>
        </w:tc>
      </w:tr>
      <w:tr>
        <w:trPr>
          <w:trHeight w:val="215"/>
        </w:trPr>
        <w:tc>
          <w:tcPr>
            <w:tcW w:w="4040" w:type="dxa"/>
            <w:vAlign w:val="bottom"/>
          </w:tcPr>
          <w:p>
            <w:pPr>
              <w:ind w:left="140"/>
              <w:spacing w:after="0"/>
              <w:rPr>
                <w:sz w:val="20"/>
                <w:szCs w:val="20"/>
                <w:color w:val="auto"/>
              </w:rPr>
            </w:pPr>
            <w:r>
              <w:rPr>
                <w:rFonts w:ascii="Arial" w:cs="Arial" w:eastAsia="Arial" w:hAnsi="Arial"/>
                <w:sz w:val="16"/>
                <w:szCs w:val="16"/>
                <w:b w:val="1"/>
                <w:bCs w:val="1"/>
                <w:color w:val="auto"/>
              </w:rPr>
              <w:t>Actual Result: 7.7%</w:t>
            </w:r>
          </w:p>
        </w:tc>
        <w:tc>
          <w:tcPr>
            <w:tcW w:w="3140" w:type="dxa"/>
            <w:vAlign w:val="bottom"/>
          </w:tcPr>
          <w:p>
            <w:pPr>
              <w:jc w:val="center"/>
              <w:ind w:left="258"/>
              <w:spacing w:after="0"/>
              <w:rPr>
                <w:sz w:val="20"/>
                <w:szCs w:val="20"/>
                <w:color w:val="auto"/>
              </w:rPr>
            </w:pPr>
            <w:r>
              <w:rPr>
                <w:rFonts w:ascii="Arial" w:cs="Arial" w:eastAsia="Arial" w:hAnsi="Arial"/>
                <w:sz w:val="16"/>
                <w:szCs w:val="16"/>
                <w:b w:val="1"/>
                <w:bCs w:val="1"/>
                <w:color w:val="auto"/>
              </w:rPr>
              <w:t>80.66%</w:t>
            </w:r>
          </w:p>
        </w:tc>
      </w:tr>
      <w:tr>
        <w:trPr>
          <w:trHeight w:val="203"/>
        </w:trPr>
        <w:tc>
          <w:tcPr>
            <w:tcW w:w="4040" w:type="dxa"/>
            <w:vAlign w:val="bottom"/>
          </w:tcPr>
          <w:p>
            <w:pPr>
              <w:ind w:left="140"/>
              <w:spacing w:after="0"/>
              <w:rPr>
                <w:sz w:val="20"/>
                <w:szCs w:val="20"/>
                <w:color w:val="auto"/>
              </w:rPr>
            </w:pPr>
            <w:r>
              <w:rPr>
                <w:rFonts w:ascii="Arial" w:cs="Arial" w:eastAsia="Arial" w:hAnsi="Arial"/>
                <w:sz w:val="16"/>
                <w:szCs w:val="16"/>
                <w:color w:val="auto"/>
              </w:rPr>
              <w:t>10%</w:t>
            </w:r>
          </w:p>
        </w:tc>
        <w:tc>
          <w:tcPr>
            <w:tcW w:w="3140" w:type="dxa"/>
            <w:vAlign w:val="bottom"/>
          </w:tcPr>
          <w:p>
            <w:pPr>
              <w:jc w:val="center"/>
              <w:ind w:left="258"/>
              <w:spacing w:after="0"/>
              <w:rPr>
                <w:sz w:val="20"/>
                <w:szCs w:val="20"/>
                <w:color w:val="auto"/>
              </w:rPr>
            </w:pPr>
            <w:r>
              <w:rPr>
                <w:rFonts w:ascii="Arial" w:cs="Arial" w:eastAsia="Arial" w:hAnsi="Arial"/>
                <w:sz w:val="16"/>
                <w:szCs w:val="16"/>
                <w:color w:val="auto"/>
                <w:w w:val="99"/>
              </w:rPr>
              <w:t>75%</w:t>
            </w:r>
          </w:p>
        </w:tc>
      </w:tr>
      <w:tr>
        <w:trPr>
          <w:trHeight w:val="203"/>
        </w:trPr>
        <w:tc>
          <w:tcPr>
            <w:tcW w:w="4040" w:type="dxa"/>
            <w:vAlign w:val="bottom"/>
          </w:tcPr>
          <w:p>
            <w:pPr>
              <w:ind w:left="140"/>
              <w:spacing w:after="0"/>
              <w:rPr>
                <w:sz w:val="20"/>
                <w:szCs w:val="20"/>
                <w:color w:val="auto"/>
              </w:rPr>
            </w:pPr>
            <w:r>
              <w:rPr>
                <w:rFonts w:ascii="Arial" w:cs="Arial" w:eastAsia="Arial" w:hAnsi="Arial"/>
                <w:sz w:val="16"/>
                <w:szCs w:val="16"/>
                <w:color w:val="auto"/>
              </w:rPr>
              <w:t>Greater than 10%</w:t>
            </w:r>
          </w:p>
        </w:tc>
        <w:tc>
          <w:tcPr>
            <w:tcW w:w="3140" w:type="dxa"/>
            <w:vAlign w:val="bottom"/>
          </w:tcPr>
          <w:p>
            <w:pPr>
              <w:jc w:val="center"/>
              <w:ind w:left="258"/>
              <w:spacing w:after="0"/>
              <w:rPr>
                <w:sz w:val="20"/>
                <w:szCs w:val="20"/>
                <w:color w:val="auto"/>
              </w:rPr>
            </w:pPr>
            <w:r>
              <w:rPr>
                <w:rFonts w:ascii="Arial" w:cs="Arial" w:eastAsia="Arial" w:hAnsi="Arial"/>
                <w:sz w:val="16"/>
                <w:szCs w:val="16"/>
                <w:color w:val="auto"/>
              </w:rPr>
              <w:t>0%</w:t>
            </w:r>
          </w:p>
        </w:tc>
      </w:tr>
    </w:tbl>
    <w:p>
      <w:pPr>
        <w:spacing w:after="0" w:line="203" w:lineRule="exact"/>
        <w:rPr>
          <w:sz w:val="20"/>
          <w:szCs w:val="20"/>
          <w:color w:val="auto"/>
        </w:rPr>
      </w:pPr>
    </w:p>
    <w:p>
      <w:pPr>
        <w:jc w:val="right"/>
        <w:ind w:right="20"/>
        <w:spacing w:after="0" w:line="267" w:lineRule="auto"/>
        <w:rPr>
          <w:sz w:val="20"/>
          <w:szCs w:val="20"/>
          <w:color w:val="auto"/>
        </w:rPr>
      </w:pPr>
      <w:r>
        <w:rPr>
          <w:rFonts w:ascii="Arial" w:cs="Arial" w:eastAsia="Arial" w:hAnsi="Arial"/>
          <w:sz w:val="18"/>
          <w:szCs w:val="18"/>
          <w:i w:val="1"/>
          <w:iCs w:val="1"/>
          <w:color w:val="auto"/>
        </w:rPr>
        <w:t xml:space="preserve">Cumulative VCI Portion: </w:t>
      </w:r>
      <w:r>
        <w:rPr>
          <w:rFonts w:ascii="Arial" w:cs="Arial" w:eastAsia="Arial" w:hAnsi="Arial"/>
          <w:sz w:val="18"/>
          <w:szCs w:val="18"/>
          <w:color w:val="auto"/>
        </w:rPr>
        <w:t>This portion was based on the weighted-average VCI results for 2016, 2017 and 2018. The weighted-average VCI result of 1.53 produced a payout of 200% of target for the cumulative VCI portion of the award,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113665</wp:posOffset>
            </wp:positionV>
            <wp:extent cx="456057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60570" cy="240030"/>
                    </a:xfrm>
                    <a:prstGeom prst="rect">
                      <a:avLst/>
                    </a:prstGeom>
                    <a:noFill/>
                  </pic:spPr>
                </pic:pic>
              </a:graphicData>
            </a:graphic>
          </wp:anchor>
        </w:drawing>
      </w:r>
    </w:p>
    <w:p>
      <w:pPr>
        <w:spacing w:after="0" w:line="159" w:lineRule="exact"/>
        <w:rPr>
          <w:sz w:val="20"/>
          <w:szCs w:val="20"/>
          <w:color w:val="auto"/>
        </w:rPr>
      </w:pPr>
    </w:p>
    <w:tbl>
      <w:tblPr>
        <w:tblLayout w:type="fixed"/>
        <w:tblInd w:w="1440" w:type="dxa"/>
        <w:tblCellMar>
          <w:top w:w="0" w:type="dxa"/>
          <w:left w:w="0" w:type="dxa"/>
          <w:bottom w:w="0" w:type="dxa"/>
          <w:right w:w="0" w:type="dxa"/>
        </w:tblCellMar>
      </w:tblPr>
      <w:tr>
        <w:trPr>
          <w:trHeight w:val="283"/>
        </w:trPr>
        <w:tc>
          <w:tcPr>
            <w:tcW w:w="3440" w:type="dxa"/>
            <w:vAlign w:val="bottom"/>
            <w:shd w:val="clear" w:color="auto" w:fill="4F81BD"/>
          </w:tcPr>
          <w:p>
            <w:pPr>
              <w:ind w:left="140"/>
              <w:spacing w:after="0"/>
              <w:rPr>
                <w:sz w:val="20"/>
                <w:szCs w:val="20"/>
                <w:color w:val="auto"/>
              </w:rPr>
            </w:pPr>
            <w:r>
              <w:rPr>
                <w:rFonts w:ascii="Arial" w:cs="Arial" w:eastAsia="Arial" w:hAnsi="Arial"/>
                <w:sz w:val="18"/>
                <w:szCs w:val="18"/>
                <w:b w:val="1"/>
                <w:bCs w:val="1"/>
                <w:color w:val="FFFFFF"/>
              </w:rPr>
              <w:t>Cumulative VCI Result</w:t>
            </w:r>
          </w:p>
        </w:tc>
        <w:tc>
          <w:tcPr>
            <w:tcW w:w="3740" w:type="dxa"/>
            <w:vAlign w:val="bottom"/>
            <w:shd w:val="clear" w:color="auto" w:fill="4F81BD"/>
          </w:tcPr>
          <w:p>
            <w:pPr>
              <w:ind w:left="1380"/>
              <w:spacing w:after="0"/>
              <w:rPr>
                <w:sz w:val="20"/>
                <w:szCs w:val="20"/>
                <w:color w:val="auto"/>
              </w:rPr>
            </w:pPr>
            <w:r>
              <w:rPr>
                <w:rFonts w:ascii="Arial" w:cs="Arial" w:eastAsia="Arial" w:hAnsi="Arial"/>
                <w:sz w:val="18"/>
                <w:szCs w:val="18"/>
                <w:b w:val="1"/>
                <w:bCs w:val="1"/>
                <w:color w:val="FFFFFF"/>
              </w:rPr>
              <w:t>Payout as % of Target</w:t>
            </w:r>
          </w:p>
        </w:tc>
      </w:tr>
      <w:tr>
        <w:trPr>
          <w:trHeight w:val="68"/>
        </w:trPr>
        <w:tc>
          <w:tcPr>
            <w:tcW w:w="3440" w:type="dxa"/>
            <w:vAlign w:val="bottom"/>
            <w:shd w:val="clear" w:color="auto" w:fill="4F81BD"/>
          </w:tcPr>
          <w:p>
            <w:pPr>
              <w:spacing w:after="0"/>
              <w:rPr>
                <w:sz w:val="5"/>
                <w:szCs w:val="5"/>
                <w:color w:val="auto"/>
              </w:rPr>
            </w:pPr>
          </w:p>
        </w:tc>
        <w:tc>
          <w:tcPr>
            <w:tcW w:w="3740" w:type="dxa"/>
            <w:vAlign w:val="bottom"/>
            <w:shd w:val="clear" w:color="auto" w:fill="4F81BD"/>
          </w:tcPr>
          <w:p>
            <w:pPr>
              <w:spacing w:after="0"/>
              <w:rPr>
                <w:sz w:val="5"/>
                <w:szCs w:val="5"/>
                <w:color w:val="auto"/>
              </w:rPr>
            </w:pPr>
          </w:p>
        </w:tc>
      </w:tr>
      <w:tr>
        <w:trPr>
          <w:trHeight w:val="223"/>
        </w:trPr>
        <w:tc>
          <w:tcPr>
            <w:tcW w:w="3440" w:type="dxa"/>
            <w:vAlign w:val="bottom"/>
          </w:tcPr>
          <w:p>
            <w:pPr>
              <w:ind w:left="140"/>
              <w:spacing w:after="0"/>
              <w:rPr>
                <w:sz w:val="20"/>
                <w:szCs w:val="20"/>
                <w:color w:val="auto"/>
              </w:rPr>
            </w:pPr>
            <w:r>
              <w:rPr>
                <w:rFonts w:ascii="Arial" w:cs="Arial" w:eastAsia="Arial" w:hAnsi="Arial"/>
                <w:sz w:val="16"/>
                <w:szCs w:val="16"/>
                <w:b w:val="1"/>
                <w:bCs w:val="1"/>
                <w:color w:val="auto"/>
              </w:rPr>
              <w:t>1.5 or greater</w:t>
            </w:r>
          </w:p>
        </w:tc>
        <w:tc>
          <w:tcPr>
            <w:tcW w:w="3740" w:type="dxa"/>
            <w:vAlign w:val="bottom"/>
          </w:tcPr>
          <w:p>
            <w:pPr>
              <w:jc w:val="center"/>
              <w:ind w:left="877"/>
              <w:spacing w:after="0"/>
              <w:rPr>
                <w:sz w:val="20"/>
                <w:szCs w:val="20"/>
                <w:color w:val="auto"/>
              </w:rPr>
            </w:pPr>
            <w:r>
              <w:rPr>
                <w:rFonts w:ascii="Arial" w:cs="Arial" w:eastAsia="Arial" w:hAnsi="Arial"/>
                <w:sz w:val="16"/>
                <w:szCs w:val="16"/>
                <w:b w:val="1"/>
                <w:bCs w:val="1"/>
                <w:color w:val="auto"/>
              </w:rPr>
              <w:t>200%</w:t>
            </w:r>
          </w:p>
        </w:tc>
      </w:tr>
      <w:tr>
        <w:trPr>
          <w:trHeight w:val="203"/>
        </w:trPr>
        <w:tc>
          <w:tcPr>
            <w:tcW w:w="3440" w:type="dxa"/>
            <w:vAlign w:val="bottom"/>
          </w:tcPr>
          <w:p>
            <w:pPr>
              <w:ind w:left="140"/>
              <w:spacing w:after="0"/>
              <w:rPr>
                <w:sz w:val="20"/>
                <w:szCs w:val="20"/>
                <w:color w:val="auto"/>
              </w:rPr>
            </w:pPr>
            <w:r>
              <w:rPr>
                <w:rFonts w:ascii="Arial" w:cs="Arial" w:eastAsia="Arial" w:hAnsi="Arial"/>
                <w:sz w:val="16"/>
                <w:szCs w:val="16"/>
                <w:color w:val="auto"/>
              </w:rPr>
              <w:t>1.3</w:t>
            </w:r>
          </w:p>
        </w:tc>
        <w:tc>
          <w:tcPr>
            <w:tcW w:w="3740" w:type="dxa"/>
            <w:vAlign w:val="bottom"/>
          </w:tcPr>
          <w:p>
            <w:pPr>
              <w:jc w:val="center"/>
              <w:ind w:left="877"/>
              <w:spacing w:after="0"/>
              <w:rPr>
                <w:sz w:val="20"/>
                <w:szCs w:val="20"/>
                <w:color w:val="auto"/>
              </w:rPr>
            </w:pPr>
            <w:r>
              <w:rPr>
                <w:rFonts w:ascii="Arial" w:cs="Arial" w:eastAsia="Arial" w:hAnsi="Arial"/>
                <w:sz w:val="16"/>
                <w:szCs w:val="16"/>
                <w:color w:val="auto"/>
              </w:rPr>
              <w:t>100%</w:t>
            </w:r>
          </w:p>
        </w:tc>
      </w:tr>
      <w:tr>
        <w:trPr>
          <w:trHeight w:val="203"/>
        </w:trPr>
        <w:tc>
          <w:tcPr>
            <w:tcW w:w="3440" w:type="dxa"/>
            <w:vAlign w:val="bottom"/>
          </w:tcPr>
          <w:p>
            <w:pPr>
              <w:ind w:left="140"/>
              <w:spacing w:after="0"/>
              <w:rPr>
                <w:sz w:val="20"/>
                <w:szCs w:val="20"/>
                <w:color w:val="auto"/>
              </w:rPr>
            </w:pPr>
            <w:r>
              <w:rPr>
                <w:rFonts w:ascii="Arial" w:cs="Arial" w:eastAsia="Arial" w:hAnsi="Arial"/>
                <w:sz w:val="16"/>
                <w:szCs w:val="16"/>
                <w:color w:val="auto"/>
              </w:rPr>
              <w:t>1.1</w:t>
            </w:r>
          </w:p>
        </w:tc>
        <w:tc>
          <w:tcPr>
            <w:tcW w:w="3740" w:type="dxa"/>
            <w:vAlign w:val="bottom"/>
          </w:tcPr>
          <w:p>
            <w:pPr>
              <w:jc w:val="center"/>
              <w:ind w:left="857"/>
              <w:spacing w:after="0"/>
              <w:rPr>
                <w:sz w:val="20"/>
                <w:szCs w:val="20"/>
                <w:color w:val="auto"/>
              </w:rPr>
            </w:pPr>
            <w:r>
              <w:rPr>
                <w:rFonts w:ascii="Arial" w:cs="Arial" w:eastAsia="Arial" w:hAnsi="Arial"/>
                <w:sz w:val="16"/>
                <w:szCs w:val="16"/>
                <w:color w:val="auto"/>
                <w:w w:val="99"/>
              </w:rPr>
              <w:t>75%</w:t>
            </w:r>
          </w:p>
        </w:tc>
      </w:tr>
      <w:tr>
        <w:trPr>
          <w:trHeight w:val="203"/>
        </w:trPr>
        <w:tc>
          <w:tcPr>
            <w:tcW w:w="3440" w:type="dxa"/>
            <w:vAlign w:val="bottom"/>
          </w:tcPr>
          <w:p>
            <w:pPr>
              <w:ind w:left="140"/>
              <w:spacing w:after="0"/>
              <w:rPr>
                <w:sz w:val="20"/>
                <w:szCs w:val="20"/>
                <w:color w:val="auto"/>
              </w:rPr>
            </w:pPr>
            <w:r>
              <w:rPr>
                <w:rFonts w:ascii="Arial" w:cs="Arial" w:eastAsia="Arial" w:hAnsi="Arial"/>
                <w:sz w:val="16"/>
                <w:szCs w:val="16"/>
                <w:color w:val="auto"/>
              </w:rPr>
              <w:t>Less than 1.1</w:t>
            </w:r>
          </w:p>
        </w:tc>
        <w:tc>
          <w:tcPr>
            <w:tcW w:w="3740" w:type="dxa"/>
            <w:vAlign w:val="bottom"/>
          </w:tcPr>
          <w:p>
            <w:pPr>
              <w:jc w:val="center"/>
              <w:ind w:left="857"/>
              <w:spacing w:after="0"/>
              <w:rPr>
                <w:sz w:val="20"/>
                <w:szCs w:val="20"/>
                <w:color w:val="auto"/>
              </w:rPr>
            </w:pPr>
            <w:r>
              <w:rPr>
                <w:rFonts w:ascii="Arial" w:cs="Arial" w:eastAsia="Arial" w:hAnsi="Arial"/>
                <w:sz w:val="16"/>
                <w:szCs w:val="16"/>
                <w:color w:val="auto"/>
              </w:rPr>
              <w:t>0%</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Payout Calculation: </w:t>
      </w:r>
      <w:r>
        <w:rPr>
          <w:rFonts w:ascii="Arial" w:cs="Arial" w:eastAsia="Arial" w:hAnsi="Arial"/>
          <w:sz w:val="18"/>
          <w:szCs w:val="18"/>
          <w:color w:val="auto"/>
        </w:rPr>
        <w:t>The resulting payout was 140.3% of target incentive amounts, calculated as follows:</w:t>
      </w: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 * 80.66% (Cost per Barrel)] + [50% * 200% (Cumulative VCI)]</w:t>
      </w:r>
    </w:p>
    <w:p>
      <w:pPr>
        <w:spacing w:after="0" w:line="200" w:lineRule="exact"/>
        <w:rPr>
          <w:sz w:val="20"/>
          <w:szCs w:val="20"/>
          <w:color w:val="auto"/>
        </w:rPr>
      </w:pPr>
    </w:p>
    <w:p>
      <w:pPr>
        <w:spacing w:after="0" w:line="228" w:lineRule="exact"/>
        <w:rPr>
          <w:sz w:val="20"/>
          <w:szCs w:val="20"/>
          <w:color w:val="auto"/>
        </w:rPr>
      </w:pPr>
    </w:p>
    <w:p>
      <w:pPr>
        <w:ind w:left="480" w:right="320" w:hanging="223"/>
        <w:spacing w:after="0" w:line="246" w:lineRule="auto"/>
        <w:rPr>
          <w:sz w:val="20"/>
          <w:szCs w:val="20"/>
          <w:color w:val="auto"/>
        </w:rPr>
      </w:pPr>
      <w:r>
        <w:rPr>
          <w:rFonts w:ascii="Arial" w:cs="Arial" w:eastAsia="Arial" w:hAnsi="Arial"/>
          <w:sz w:val="18"/>
          <w:szCs w:val="18"/>
          <w:color w:val="auto"/>
        </w:rPr>
        <w:t>The following amounts were certified and paid in 2019 to the NEOs under the terms of these 2016 Performance Incentive Awards:</w:t>
      </w:r>
    </w:p>
    <w:p>
      <w:pPr>
        <w:spacing w:after="0" w:line="157"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1580" w:type="dxa"/>
            <w:vAlign w:val="bottom"/>
          </w:tcPr>
          <w:p>
            <w:pPr>
              <w:spacing w:after="0"/>
              <w:rPr>
                <w:sz w:val="20"/>
                <w:szCs w:val="20"/>
                <w:color w:val="auto"/>
              </w:rPr>
            </w:pPr>
            <w:r>
              <w:rPr>
                <w:rFonts w:ascii="Arial" w:cs="Arial" w:eastAsia="Arial" w:hAnsi="Arial"/>
                <w:sz w:val="14"/>
                <w:szCs w:val="14"/>
                <w:b w:val="1"/>
                <w:bCs w:val="1"/>
                <w:color w:val="0075C9"/>
              </w:rPr>
              <w:t>Name</w:t>
            </w: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0075C9"/>
              </w:rPr>
              <w:t>Target Incentive Amount</w:t>
            </w:r>
          </w:p>
        </w:tc>
        <w:tc>
          <w:tcPr>
            <w:tcW w:w="2280" w:type="dxa"/>
            <w:vAlign w:val="bottom"/>
            <w:vMerge w:val="restart"/>
          </w:tcPr>
          <w:p>
            <w:pPr>
              <w:ind w:left="40"/>
              <w:spacing w:after="0"/>
              <w:rPr>
                <w:sz w:val="20"/>
                <w:szCs w:val="20"/>
                <w:color w:val="auto"/>
              </w:rPr>
            </w:pPr>
            <w:r>
              <w:rPr>
                <w:rFonts w:ascii="Arial" w:cs="Arial" w:eastAsia="Arial" w:hAnsi="Arial"/>
                <w:sz w:val="14"/>
                <w:szCs w:val="14"/>
                <w:b w:val="1"/>
                <w:bCs w:val="1"/>
                <w:color w:val="0075C9"/>
              </w:rPr>
              <w:t>Earned Incentive Amount Paid</w:t>
            </w:r>
          </w:p>
        </w:tc>
        <w:tc>
          <w:tcPr>
            <w:tcW w:w="0" w:type="dxa"/>
            <w:vAlign w:val="bottom"/>
          </w:tcPr>
          <w:p>
            <w:pPr>
              <w:spacing w:after="0"/>
              <w:rPr>
                <w:sz w:val="1"/>
                <w:szCs w:val="1"/>
                <w:color w:val="auto"/>
              </w:rPr>
            </w:pPr>
          </w:p>
        </w:tc>
      </w:tr>
      <w:tr>
        <w:trPr>
          <w:trHeight w:val="39"/>
        </w:trPr>
        <w:tc>
          <w:tcPr>
            <w:tcW w:w="1580" w:type="dxa"/>
            <w:vAlign w:val="bottom"/>
            <w:tcBorders>
              <w:bottom w:val="single" w:sz="8" w:color="0070C0"/>
            </w:tcBorders>
          </w:tcPr>
          <w:p>
            <w:pPr>
              <w:spacing w:after="0"/>
              <w:rPr>
                <w:sz w:val="3"/>
                <w:szCs w:val="3"/>
                <w:color w:val="auto"/>
              </w:rPr>
            </w:pPr>
          </w:p>
        </w:tc>
        <w:tc>
          <w:tcPr>
            <w:tcW w:w="2140" w:type="dxa"/>
            <w:vAlign w:val="bottom"/>
            <w:tcBorders>
              <w:bottom w:val="single" w:sz="8" w:color="0070C0"/>
            </w:tcBorders>
            <w:vMerge w:val="continue"/>
          </w:tcPr>
          <w:p>
            <w:pPr>
              <w:spacing w:after="0"/>
              <w:rPr>
                <w:sz w:val="3"/>
                <w:szCs w:val="3"/>
                <w:color w:val="auto"/>
              </w:rPr>
            </w:pPr>
          </w:p>
        </w:tc>
        <w:tc>
          <w:tcPr>
            <w:tcW w:w="2280" w:type="dxa"/>
            <w:vAlign w:val="bottom"/>
            <w:tcBorders>
              <w:bottom w:val="single" w:sz="8" w:color="0070C0"/>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Todd A. Stevens</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$1,750,000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$2,455,250</w:t>
            </w:r>
          </w:p>
        </w:tc>
        <w:tc>
          <w:tcPr>
            <w:tcW w:w="0" w:type="dxa"/>
            <w:vAlign w:val="bottom"/>
          </w:tcPr>
          <w:p>
            <w:pPr>
              <w:spacing w:after="0"/>
              <w:rPr>
                <w:sz w:val="1"/>
                <w:szCs w:val="1"/>
                <w:color w:val="auto"/>
              </w:rPr>
            </w:pPr>
          </w:p>
        </w:tc>
      </w:tr>
      <w:tr>
        <w:trPr>
          <w:trHeight w:val="216"/>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$900,000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$1,262,700</w:t>
            </w:r>
          </w:p>
        </w:tc>
        <w:tc>
          <w:tcPr>
            <w:tcW w:w="0" w:type="dxa"/>
            <w:vAlign w:val="bottom"/>
          </w:tcPr>
          <w:p>
            <w:pPr>
              <w:spacing w:after="0"/>
              <w:rPr>
                <w:sz w:val="1"/>
                <w:szCs w:val="1"/>
                <w:color w:val="auto"/>
              </w:rPr>
            </w:pPr>
          </w:p>
        </w:tc>
      </w:tr>
      <w:tr>
        <w:trPr>
          <w:trHeight w:val="216"/>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$525,000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$736,575</w:t>
            </w:r>
          </w:p>
        </w:tc>
        <w:tc>
          <w:tcPr>
            <w:tcW w:w="0" w:type="dxa"/>
            <w:vAlign w:val="bottom"/>
          </w:tcPr>
          <w:p>
            <w:pPr>
              <w:spacing w:after="0"/>
              <w:rPr>
                <w:sz w:val="1"/>
                <w:szCs w:val="1"/>
                <w:color w:val="auto"/>
              </w:rPr>
            </w:pPr>
          </w:p>
        </w:tc>
      </w:tr>
      <w:tr>
        <w:trPr>
          <w:trHeight w:val="230"/>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$481,250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$675,194</w:t>
            </w:r>
          </w:p>
        </w:tc>
        <w:tc>
          <w:tcPr>
            <w:tcW w:w="0" w:type="dxa"/>
            <w:vAlign w:val="bottom"/>
          </w:tcPr>
          <w:p>
            <w:pPr>
              <w:spacing w:after="0"/>
              <w:rPr>
                <w:sz w:val="1"/>
                <w:szCs w:val="1"/>
                <w:color w:val="auto"/>
              </w:rPr>
            </w:pPr>
          </w:p>
        </w:tc>
      </w:tr>
      <w:tr>
        <w:trPr>
          <w:trHeight w:val="216"/>
        </w:trPr>
        <w:tc>
          <w:tcPr>
            <w:tcW w:w="15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2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$415,000</w:t>
            </w:r>
          </w:p>
        </w:tc>
        <w:tc>
          <w:tcPr>
            <w:tcW w:w="22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$582,245</w:t>
            </w:r>
          </w:p>
        </w:tc>
        <w:tc>
          <w:tcPr>
            <w:tcW w:w="0" w:type="dxa"/>
            <w:vAlign w:val="bottom"/>
          </w:tcPr>
          <w:p>
            <w:pPr>
              <w:spacing w:after="0"/>
              <w:rPr>
                <w:sz w:val="1"/>
                <w:szCs w:val="1"/>
                <w:color w:val="auto"/>
              </w:rPr>
            </w:pPr>
          </w:p>
        </w:tc>
      </w:tr>
      <w:tr>
        <w:trPr>
          <w:trHeight w:val="25"/>
        </w:trPr>
        <w:tc>
          <w:tcPr>
            <w:tcW w:w="1580" w:type="dxa"/>
            <w:vAlign w:val="bottom"/>
            <w:shd w:val="clear" w:color="auto" w:fill="EBEBEC"/>
          </w:tcPr>
          <w:p>
            <w:pPr>
              <w:spacing w:after="0"/>
              <w:rPr>
                <w:sz w:val="2"/>
                <w:szCs w:val="2"/>
                <w:color w:val="auto"/>
              </w:rPr>
            </w:pPr>
          </w:p>
        </w:tc>
        <w:tc>
          <w:tcPr>
            <w:tcW w:w="2140" w:type="dxa"/>
            <w:vAlign w:val="bottom"/>
            <w:shd w:val="clear" w:color="auto" w:fill="EBEBEC"/>
          </w:tcPr>
          <w:p>
            <w:pPr>
              <w:spacing w:after="0"/>
              <w:rPr>
                <w:sz w:val="2"/>
                <w:szCs w:val="2"/>
                <w:color w:val="auto"/>
              </w:rPr>
            </w:pPr>
          </w:p>
        </w:tc>
        <w:tc>
          <w:tcPr>
            <w:tcW w:w="2280" w:type="dxa"/>
            <w:vAlign w:val="bottom"/>
            <w:shd w:val="clear" w:color="auto" w:fill="EBEB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-702310</wp:posOffset>
            </wp:positionV>
            <wp:extent cx="3806190" cy="7112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06190" cy="711200"/>
                    </a:xfrm>
                    <a:prstGeom prst="rect">
                      <a:avLst/>
                    </a:prstGeom>
                    <a:noFill/>
                  </pic:spPr>
                </pic:pic>
              </a:graphicData>
            </a:graphic>
          </wp:anchor>
        </w:drawing>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66040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40"/>
          </w:cols>
          <w:pgMar w:left="920" w:top="387" w:right="339" w:bottom="1440" w:gutter="0" w:footer="0" w:header="0"/>
        </w:sectPr>
      </w:pPr>
    </w:p>
    <w:bookmarkStart w:id="55" w:name="page56"/>
    <w:bookmarkEnd w:id="5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and Benefits</w:t>
      </w:r>
    </w:p>
    <w:p>
      <w:pPr>
        <w:spacing w:after="0" w:line="12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In addition to the components of the executive compensation program described above, we provided the following programs to our NEOs.</w:t>
      </w:r>
    </w:p>
    <w:p>
      <w:pPr>
        <w:spacing w:after="0" w:line="17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 xml:space="preserve">Qualified Defined Contribution Plan </w:t>
      </w:r>
      <w:r>
        <w:rPr>
          <w:rFonts w:ascii="Arial" w:cs="Arial" w:eastAsia="Arial" w:hAnsi="Arial"/>
          <w:sz w:val="18"/>
          <w:szCs w:val="18"/>
          <w:color w:val="auto"/>
        </w:rPr>
        <w:t>– All of our employees, including our NEOs, were eligible to participate in a tax-qualified,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(“IRS”). Employees were able to direct their account balances to a variety of investments.</w:t>
      </w:r>
    </w:p>
    <w:p>
      <w:pPr>
        <w:spacing w:after="0" w:line="17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Nonqualified Defined Contribution Plans </w:t>
      </w:r>
      <w:r>
        <w:rPr>
          <w:rFonts w:ascii="Arial" w:cs="Arial" w:eastAsia="Arial" w:hAnsi="Arial"/>
          <w:sz w:val="18"/>
          <w:szCs w:val="18"/>
          <w:color w:val="auto"/>
        </w:rPr>
        <w:t>– Substantially all employees, including our NEOs, whose participation in our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contribution plan was limited by applicable tax laws were eligible to participate in our supplemental savings plan (the “SSP”), a nonqualified defined contribution plan, which provided additional retirement benefits outside of those limitations.</w:t>
      </w:r>
    </w:p>
    <w:p>
      <w:pPr>
        <w:spacing w:after="0" w:line="191"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spacing w:after="0" w:line="200" w:lineRule="exact"/>
        <w:rPr>
          <w:sz w:val="20"/>
          <w:szCs w:val="20"/>
          <w:color w:val="auto"/>
        </w:rPr>
      </w:pP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Interest on SSP account balances was allocated monthly to each participant’s account based on the yield on five-year U.S. Treasury Constant Maturities plus 2% converted to a monthly allocation factor.</w:t>
      </w:r>
    </w:p>
    <w:p>
      <w:pPr>
        <w:spacing w:after="0" w:line="1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addition, we sponsored a supplemental retirement plan (the “SRP II”), which was established for purposes of the assumption by us of certain liabilities under the Occidental Petroleum Corporation Supplemental Retirement Plan II, including those for all of our NEOs. All account balances under the SRP II were fully vested at all times and are credited with interest on a monthly basis based on the yield on five -year U.S. Treasury Constant Maturities plus 2% converted to a monthly allocation factor. No additional allocations were made under the SRP II other than the crediting of interest.</w:t>
      </w:r>
    </w:p>
    <w:p>
      <w:pPr>
        <w:spacing w:after="0" w:line="20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8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b w:val="1"/>
          <w:bCs w:val="1"/>
          <w:i w:val="1"/>
          <w:iCs w:val="1"/>
          <w:color w:val="auto"/>
        </w:rPr>
        <w:t xml:space="preserve">Nonqualified Deferred Compensation Plan </w:t>
      </w:r>
      <w:r>
        <w:rPr>
          <w:rFonts w:ascii="Arial" w:cs="Arial" w:eastAsia="Arial" w:hAnsi="Arial"/>
          <w:sz w:val="18"/>
          <w:szCs w:val="18"/>
          <w:color w:val="auto"/>
        </w:rPr>
        <w:t>– Certain management and other highly compensated employees (including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were eligible to participate in our nonqualified deferred compensation plan (the “DCP”) . Under the DCP, participants were able to elect to defer a portion of their base salary and annual bonus for a given year. For the year of deferral, we allocated an additional amount to a participant’s account equal to the sum of 7% (which is immediately vested) and 12%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Tax Preparation and Financial Planning </w:t>
      </w:r>
      <w:r>
        <w:rPr>
          <w:rFonts w:ascii="Arial" w:cs="Arial" w:eastAsia="Arial" w:hAnsi="Arial"/>
          <w:sz w:val="18"/>
          <w:szCs w:val="18"/>
          <w:color w:val="auto"/>
        </w:rPr>
        <w:t>– Our executives, including each of the NEOs, were eligible to receive reimbursement,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annual limits, for income tax preparation, financial planning and investment advice, including legal advice related to tax and financial matters.</w:t>
      </w:r>
    </w:p>
    <w:p>
      <w:pPr>
        <w:spacing w:after="0" w:line="19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6" w:name="page57"/>
    <w:bookmarkEnd w:id="5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 We offered a variety of health coverage options to all employees. NEOs participated in these plans on the same terms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employees. In addition, for executives, including the NEOs, we paid for an annual comprehensive physical examination. We provided all employees with life insurance equal to twice the employee’s base salary. We also provided executives, including the NEOs, with excess liability insurance coverage.</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Severance Benefits </w:t>
      </w:r>
      <w:r>
        <w:rPr>
          <w:rFonts w:ascii="Arial" w:cs="Arial" w:eastAsia="Arial" w:hAnsi="Arial"/>
          <w:sz w:val="18"/>
          <w:szCs w:val="18"/>
          <w:color w:val="auto"/>
        </w:rPr>
        <w:t>– We maintained a notice and severance pay plan that, in connection with a qualifying termination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for up to 12 months of base salary and other insurance coverage, depending on years of service, for non-bargained employees, including the NEOs.</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adopted the California Resources Corporation 2014 Employee Stock Purchase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“ESPP”), effective January 1, 2015, which provided our employees (including our NEOs) the ability to purchase shares of our common stock at a price equal to 85% of the closing price of a share of our common stock as of either the first day of each offering period or the last day of each offering period, whichever amount was less.</w:t>
      </w:r>
    </w:p>
    <w:p>
      <w:pPr>
        <w:spacing w:after="0" w:line="196"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The maximum number of shares of our common stock authorized to be issued pursuant to the ESPP is 1.5 million, subject to adjustment pursuant to the terms of the ESPP. In addition, participants in the ESPP were subject to certain limits on the number of shares that could be purchased in any given year and during any given offering period (a calendar quarter) under the ESPP.</w:t>
      </w:r>
    </w:p>
    <w:p>
      <w:pPr>
        <w:spacing w:after="0" w:line="18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 xml:space="preserve">Corporate Aircraft Use </w:t>
      </w:r>
      <w:r>
        <w:rPr>
          <w:rFonts w:ascii="Arial" w:cs="Arial" w:eastAsia="Arial" w:hAnsi="Arial"/>
          <w:sz w:val="18"/>
          <w:szCs w:val="18"/>
          <w:color w:val="auto"/>
        </w:rPr>
        <w:t>– Executives and directors could use the Company’s fractional interest in aircraft for personal travel, if 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available. The executives and directors reimbursed CRC for personal use of the Company’s fractional interest in aircraft, including any guests accompanying them, at not less than the standard industry fare level rate (which is determined annually by the IRS), or income was imputed and the executive or director was reimbursed for related taxes.</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7" w:name="page58"/>
    <w:bookmarkEnd w:id="5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2020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February 2020, the Compensation Committee made 2020 compensation program design decisions continuing to focus on paying for performance, retention of the current management team and managing shareholder dilution with a continued low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Changes Made for 2020</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considered the favorable feedback received through stockholder outreach regarding the changes to the compensation program made in 2019 and determined that the structure of the program remained appropriate for 2020 with the following changes to the performance metrics under the program’s annual incentive awards:</w:t>
      </w:r>
    </w:p>
    <w:p>
      <w:pPr>
        <w:spacing w:after="0" w:line="95" w:lineRule="exact"/>
        <w:rPr>
          <w:sz w:val="20"/>
          <w:szCs w:val="20"/>
          <w:color w:val="auto"/>
        </w:rPr>
      </w:pPr>
    </w:p>
    <w:p>
      <w:pPr>
        <w:ind w:left="580" w:hanging="34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weighting of EBITDAX component from 25% to 20%</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Added a Sustainability Project Milestone component with a weighting of 5% to drive progress on our 2030 Sustainability Goals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Compensation Program Elements</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2020 compensation program for our CEO and other NEOs is comprised of the following elements, which are discussed in more detail below:</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5C9"/>
        </w:rPr>
        <w:t>2020 COMPENSATION PROGRAM ELEMENTS</w:t>
      </w:r>
    </w:p>
    <w:p>
      <w:pPr>
        <w:spacing w:after="0" w:line="18" w:lineRule="exact"/>
        <w:rPr>
          <w:sz w:val="20"/>
          <w:szCs w:val="20"/>
          <w:color w:val="auto"/>
        </w:rPr>
      </w:pPr>
    </w:p>
    <w:p>
      <w:pPr>
        <w:jc w:val="center"/>
        <w:spacing w:after="0" w:line="234" w:lineRule="auto"/>
        <w:rPr>
          <w:sz w:val="20"/>
          <w:szCs w:val="20"/>
          <w:color w:val="auto"/>
        </w:rPr>
      </w:pPr>
      <w:r>
        <w:rPr>
          <w:rFonts w:ascii="Arial" w:cs="Arial" w:eastAsia="Arial" w:hAnsi="Arial"/>
          <w:sz w:val="18"/>
          <w:szCs w:val="18"/>
          <w:color w:val="auto"/>
        </w:rPr>
        <w:t>Restricted Stock (40% of LTI) Time -vested 1/3 per year Stock- and cash - settled Long-Term Incentive (LTI) Annual Incentive Base Salary Performance Stock (50% of LTI) 3-year performance period 50% VCI (three-year average) 50% Relative Total Shareholder Return (TSR) – CRC vs. 2020 Peer Companies Stock-based, stock- and cash-settled Stock Options (10% of LTI) Vest 1/3 per year 7-</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exercise period Exercise price 10% above grant date price Annual Incentive Award VCI (current year) EBITDAX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74930</wp:posOffset>
            </wp:positionV>
            <wp:extent cx="5477510" cy="33261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7751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8" w:name="page59"/>
    <w:bookmarkEnd w:id="5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Annual Incentive Design</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annual incentive component of our 2020 compensation program was designed to promote the achievement of financial, operating and strategic results that are aligned with creation of stockholder value. Based on feedback from stockholders to emphasize the quantitative portion of the award, the performance measures are comprised of quantitative financial and operational measures for 80% of the target annual incentive and qualitative individual objective measures for 20% of the target annual incentive.</w:t>
      </w:r>
    </w:p>
    <w:p>
      <w:pPr>
        <w:spacing w:after="0" w:line="20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Aligning performance criteria with our strategic areas of focus for the year, the Compensation Committee approved performance measures designed to encourage decision making that will enhance stockholder value creation. The Compensation Committee approved performance criteria based on expected results under CRC’s business plan at the time the criteria were established in February 2020. Target performance criteria were set at levels that would represent successful execution of the 2020 business plan, and maximum performance criteria were set at levels that would represent significant outperformance against the 2020 business plan.</w:t>
      </w:r>
    </w:p>
    <w:p>
      <w:pPr>
        <w:spacing w:after="0" w:line="202"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Project milestones relating to water recycling, renewable energy, methane capture, carbon capture, workforce diversity and development and community partnerships were added for 2020 to drive progress toward our 2030 Sustainability Goals. Many of our 2030 Sustainability Goals are multi-year efforts, so the project milestone approach allows us to track interim progress during the current year against multi-year goals.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weightings for each performance measure as established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120" w:type="dxa"/>
            <w:vAlign w:val="bottom"/>
            <w:shd w:val="clear" w:color="auto" w:fill="0070C0"/>
          </w:tcPr>
          <w:p>
            <w:pPr>
              <w:ind w:left="40"/>
              <w:spacing w:after="0"/>
              <w:rPr>
                <w:sz w:val="20"/>
                <w:szCs w:val="20"/>
                <w:color w:val="auto"/>
              </w:rPr>
            </w:pPr>
            <w:r>
              <w:rPr>
                <w:rFonts w:ascii="Arial" w:cs="Arial" w:eastAsia="Arial" w:hAnsi="Arial"/>
                <w:sz w:val="16"/>
                <w:szCs w:val="16"/>
                <w:b w:val="1"/>
                <w:bCs w:val="1"/>
                <w:color w:val="FFFFFF"/>
              </w:rPr>
              <w:t>Performance</w:t>
            </w:r>
          </w:p>
        </w:tc>
        <w:tc>
          <w:tcPr>
            <w:tcW w:w="1620" w:type="dxa"/>
            <w:vAlign w:val="bottom"/>
            <w:gridSpan w:val="4"/>
            <w:shd w:val="clear" w:color="auto" w:fill="0070C0"/>
          </w:tcPr>
          <w:p>
            <w:pPr>
              <w:jc w:val="center"/>
              <w:spacing w:after="0"/>
              <w:rPr>
                <w:sz w:val="20"/>
                <w:szCs w:val="20"/>
                <w:color w:val="auto"/>
              </w:rPr>
            </w:pPr>
            <w:r>
              <w:rPr>
                <w:rFonts w:ascii="Arial" w:cs="Arial" w:eastAsia="Arial" w:hAnsi="Arial"/>
                <w:sz w:val="16"/>
                <w:szCs w:val="16"/>
                <w:b w:val="1"/>
                <w:bCs w:val="1"/>
                <w:color w:val="FFFFFF"/>
              </w:rPr>
              <w:t>Component</w:t>
            </w:r>
          </w:p>
        </w:tc>
      </w:tr>
      <w:tr>
        <w:trPr>
          <w:trHeight w:val="255"/>
        </w:trPr>
        <w:tc>
          <w:tcPr>
            <w:tcW w:w="5120" w:type="dxa"/>
            <w:vAlign w:val="bottom"/>
            <w:tcBorders>
              <w:bottom w:val="single" w:sz="8" w:color="0070C0"/>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Measure (1)</w:t>
            </w:r>
          </w:p>
        </w:tc>
        <w:tc>
          <w:tcPr>
            <w:tcW w:w="1620" w:type="dxa"/>
            <w:vAlign w:val="bottom"/>
            <w:tcBorders>
              <w:bottom w:val="single" w:sz="8" w:color="0070C0"/>
            </w:tcBorders>
            <w:gridSpan w:val="4"/>
            <w:shd w:val="clear" w:color="auto" w:fill="0070C0"/>
          </w:tcPr>
          <w:p>
            <w:pPr>
              <w:jc w:val="center"/>
              <w:spacing w:after="0"/>
              <w:rPr>
                <w:sz w:val="20"/>
                <w:szCs w:val="20"/>
                <w:color w:val="auto"/>
              </w:rPr>
            </w:pPr>
            <w:r>
              <w:rPr>
                <w:rFonts w:ascii="Arial" w:cs="Arial" w:eastAsia="Arial" w:hAnsi="Arial"/>
                <w:sz w:val="16"/>
                <w:szCs w:val="16"/>
                <w:b w:val="1"/>
                <w:bCs w:val="1"/>
                <w:color w:val="FFFFFF"/>
              </w:rPr>
              <w:t>Weighting</w:t>
            </w:r>
          </w:p>
        </w:tc>
      </w:tr>
      <w:tr>
        <w:trPr>
          <w:trHeight w:val="191"/>
        </w:trPr>
        <w:tc>
          <w:tcPr>
            <w:tcW w:w="5120" w:type="dxa"/>
            <w:vAlign w:val="bottom"/>
          </w:tcPr>
          <w:p>
            <w:pPr>
              <w:ind w:left="100"/>
              <w:spacing w:after="0"/>
              <w:rPr>
                <w:sz w:val="20"/>
                <w:szCs w:val="20"/>
                <w:color w:val="auto"/>
              </w:rPr>
            </w:pPr>
            <w:r>
              <w:rPr>
                <w:rFonts w:ascii="Arial" w:cs="Arial" w:eastAsia="Arial" w:hAnsi="Arial"/>
                <w:sz w:val="16"/>
                <w:szCs w:val="16"/>
                <w:b w:val="1"/>
                <w:bCs w:val="1"/>
                <w:color w:val="auto"/>
              </w:rPr>
              <w:t>Investment</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1"/>
        </w:trPr>
        <w:tc>
          <w:tcPr>
            <w:tcW w:w="5120" w:type="dxa"/>
            <w:vAlign w:val="bottom"/>
          </w:tcPr>
          <w:p>
            <w:pPr>
              <w:ind w:left="100"/>
              <w:spacing w:after="0"/>
              <w:rPr>
                <w:sz w:val="20"/>
                <w:szCs w:val="20"/>
                <w:color w:val="auto"/>
              </w:rPr>
            </w:pPr>
            <w:r>
              <w:rPr>
                <w:rFonts w:ascii="Arial" w:cs="Arial" w:eastAsia="Arial" w:hAnsi="Arial"/>
                <w:sz w:val="16"/>
                <w:szCs w:val="16"/>
                <w:color w:val="auto"/>
              </w:rPr>
              <w:t>Value Creation Index (VCI) – current year</w:t>
            </w:r>
          </w:p>
        </w:tc>
        <w:tc>
          <w:tcPr>
            <w:tcW w:w="960" w:type="dxa"/>
            <w:vAlign w:val="bottom"/>
            <w:gridSpan w:val="2"/>
          </w:tcPr>
          <w:p>
            <w:pPr>
              <w:jc w:val="center"/>
              <w:ind w:left="559"/>
              <w:spacing w:after="0"/>
              <w:rPr>
                <w:sz w:val="20"/>
                <w:szCs w:val="20"/>
                <w:color w:val="auto"/>
              </w:rPr>
            </w:pPr>
            <w:r>
              <w:rPr>
                <w:rFonts w:ascii="Arial" w:cs="Arial" w:eastAsia="Arial" w:hAnsi="Arial"/>
                <w:sz w:val="16"/>
                <w:szCs w:val="16"/>
                <w:color w:val="auto"/>
                <w:w w:val="99"/>
              </w:rPr>
              <w:t>25%</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5"/>
        </w:trPr>
        <w:tc>
          <w:tcPr>
            <w:tcW w:w="5120" w:type="dxa"/>
            <w:vAlign w:val="bottom"/>
            <w:shd w:val="clear" w:color="auto" w:fill="F2F2F2"/>
          </w:tcPr>
          <w:p>
            <w:pPr>
              <w:ind w:left="100"/>
              <w:spacing w:after="0"/>
              <w:rPr>
                <w:sz w:val="20"/>
                <w:szCs w:val="20"/>
                <w:color w:val="auto"/>
              </w:rPr>
            </w:pPr>
            <w:r>
              <w:rPr>
                <w:rFonts w:ascii="Arial" w:cs="Arial" w:eastAsia="Arial" w:hAnsi="Arial"/>
                <w:sz w:val="16"/>
                <w:szCs w:val="16"/>
                <w:b w:val="1"/>
                <w:bCs w:val="1"/>
                <w:color w:val="auto"/>
              </w:rPr>
              <w:t>Sustainability</w:t>
            </w:r>
          </w:p>
        </w:tc>
        <w:tc>
          <w:tcPr>
            <w:tcW w:w="640" w:type="dxa"/>
            <w:vAlign w:val="bottom"/>
            <w:shd w:val="clear" w:color="auto" w:fill="F2F2F2"/>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640" w:type="dxa"/>
            <w:vAlign w:val="bottom"/>
            <w:shd w:val="clear" w:color="auto" w:fill="F2F2F2"/>
          </w:tcPr>
          <w:p>
            <w:pPr>
              <w:spacing w:after="0"/>
              <w:rPr>
                <w:sz w:val="18"/>
                <w:szCs w:val="18"/>
                <w:color w:val="auto"/>
              </w:rPr>
            </w:pPr>
          </w:p>
        </w:tc>
      </w:tr>
      <w:tr>
        <w:trPr>
          <w:trHeight w:val="381"/>
        </w:trPr>
        <w:tc>
          <w:tcPr>
            <w:tcW w:w="5120" w:type="dxa"/>
            <w:vAlign w:val="bottom"/>
            <w:shd w:val="clear" w:color="auto" w:fill="F2F2F2"/>
          </w:tcPr>
          <w:p>
            <w:pPr>
              <w:ind w:left="220"/>
              <w:spacing w:after="0"/>
              <w:rPr>
                <w:sz w:val="20"/>
                <w:szCs w:val="20"/>
                <w:color w:val="auto"/>
              </w:rPr>
            </w:pPr>
            <w:r>
              <w:rPr>
                <w:rFonts w:ascii="Arial" w:cs="Arial" w:eastAsia="Arial" w:hAnsi="Arial"/>
                <w:sz w:val="16"/>
                <w:szCs w:val="16"/>
                <w:color w:val="auto"/>
              </w:rPr>
              <w:t>- Safety - combined IIR</w:t>
            </w:r>
          </w:p>
        </w:tc>
        <w:tc>
          <w:tcPr>
            <w:tcW w:w="1620" w:type="dxa"/>
            <w:vAlign w:val="bottom"/>
            <w:gridSpan w:val="4"/>
            <w:shd w:val="clear" w:color="auto" w:fill="F2F2F2"/>
          </w:tcPr>
          <w:p>
            <w:pPr>
              <w:jc w:val="center"/>
              <w:spacing w:after="0"/>
              <w:rPr>
                <w:sz w:val="20"/>
                <w:szCs w:val="20"/>
                <w:color w:val="auto"/>
              </w:rPr>
            </w:pPr>
            <w:r>
              <w:rPr>
                <w:rFonts w:ascii="Arial" w:cs="Arial" w:eastAsia="Arial" w:hAnsi="Arial"/>
                <w:sz w:val="16"/>
                <w:szCs w:val="16"/>
                <w:color w:val="auto"/>
              </w:rPr>
              <w:t>3.33%</w:t>
            </w:r>
          </w:p>
        </w:tc>
      </w:tr>
      <w:tr>
        <w:trPr>
          <w:trHeight w:val="189"/>
        </w:trPr>
        <w:tc>
          <w:tcPr>
            <w:tcW w:w="5120" w:type="dxa"/>
            <w:vAlign w:val="bottom"/>
            <w:shd w:val="clear" w:color="auto" w:fill="F2F2F2"/>
          </w:tcPr>
          <w:p>
            <w:pPr>
              <w:ind w:left="220"/>
              <w:spacing w:after="0"/>
              <w:rPr>
                <w:sz w:val="20"/>
                <w:szCs w:val="20"/>
                <w:color w:val="auto"/>
              </w:rPr>
            </w:pPr>
            <w:r>
              <w:rPr>
                <w:rFonts w:ascii="Arial" w:cs="Arial" w:eastAsia="Arial" w:hAnsi="Arial"/>
                <w:sz w:val="16"/>
                <w:szCs w:val="16"/>
                <w:color w:val="auto"/>
              </w:rPr>
              <w:t>- Spill prevention rate</w:t>
            </w:r>
          </w:p>
        </w:tc>
        <w:tc>
          <w:tcPr>
            <w:tcW w:w="1620" w:type="dxa"/>
            <w:vAlign w:val="bottom"/>
            <w:gridSpan w:val="4"/>
            <w:shd w:val="clear" w:color="auto" w:fill="F2F2F2"/>
          </w:tcPr>
          <w:p>
            <w:pPr>
              <w:jc w:val="center"/>
              <w:spacing w:after="0"/>
              <w:rPr>
                <w:sz w:val="20"/>
                <w:szCs w:val="20"/>
                <w:color w:val="auto"/>
              </w:rPr>
            </w:pPr>
            <w:r>
              <w:rPr>
                <w:rFonts w:ascii="Arial" w:cs="Arial" w:eastAsia="Arial" w:hAnsi="Arial"/>
                <w:sz w:val="16"/>
                <w:szCs w:val="16"/>
                <w:color w:val="auto"/>
              </w:rPr>
              <w:t>3.33%</w:t>
            </w:r>
          </w:p>
        </w:tc>
      </w:tr>
      <w:tr>
        <w:trPr>
          <w:trHeight w:val="189"/>
        </w:trPr>
        <w:tc>
          <w:tcPr>
            <w:tcW w:w="5120" w:type="dxa"/>
            <w:vAlign w:val="bottom"/>
            <w:shd w:val="clear" w:color="auto" w:fill="F2F2F2"/>
          </w:tcPr>
          <w:p>
            <w:pPr>
              <w:ind w:left="220"/>
              <w:spacing w:after="0"/>
              <w:rPr>
                <w:sz w:val="20"/>
                <w:szCs w:val="20"/>
                <w:color w:val="auto"/>
              </w:rPr>
            </w:pPr>
            <w:r>
              <w:rPr>
                <w:rFonts w:ascii="Arial" w:cs="Arial" w:eastAsia="Arial" w:hAnsi="Arial"/>
                <w:sz w:val="16"/>
                <w:szCs w:val="16"/>
                <w:color w:val="auto"/>
              </w:rPr>
              <w:t>- Net water supplied to Ag</w:t>
            </w:r>
          </w:p>
        </w:tc>
        <w:tc>
          <w:tcPr>
            <w:tcW w:w="1620" w:type="dxa"/>
            <w:vAlign w:val="bottom"/>
            <w:gridSpan w:val="4"/>
            <w:shd w:val="clear" w:color="auto" w:fill="F2F2F2"/>
          </w:tcPr>
          <w:p>
            <w:pPr>
              <w:jc w:val="center"/>
              <w:spacing w:after="0"/>
              <w:rPr>
                <w:sz w:val="20"/>
                <w:szCs w:val="20"/>
                <w:color w:val="auto"/>
              </w:rPr>
            </w:pPr>
            <w:r>
              <w:rPr>
                <w:rFonts w:ascii="Arial" w:cs="Arial" w:eastAsia="Arial" w:hAnsi="Arial"/>
                <w:sz w:val="16"/>
                <w:szCs w:val="16"/>
                <w:color w:val="auto"/>
              </w:rPr>
              <w:t>3.33%</w:t>
            </w:r>
          </w:p>
        </w:tc>
      </w:tr>
      <w:tr>
        <w:trPr>
          <w:trHeight w:val="189"/>
        </w:trPr>
        <w:tc>
          <w:tcPr>
            <w:tcW w:w="5120" w:type="dxa"/>
            <w:vAlign w:val="bottom"/>
            <w:shd w:val="clear" w:color="auto" w:fill="F2F2F2"/>
          </w:tcPr>
          <w:p>
            <w:pPr>
              <w:ind w:left="220"/>
              <w:spacing w:after="0"/>
              <w:rPr>
                <w:sz w:val="20"/>
                <w:szCs w:val="20"/>
                <w:color w:val="auto"/>
              </w:rPr>
            </w:pPr>
            <w:r>
              <w:rPr>
                <w:rFonts w:ascii="Arial" w:cs="Arial" w:eastAsia="Arial" w:hAnsi="Arial"/>
                <w:sz w:val="16"/>
                <w:szCs w:val="16"/>
                <w:color w:val="auto"/>
              </w:rPr>
              <w:t>- Project milestones relating to:</w:t>
            </w:r>
          </w:p>
        </w:tc>
        <w:tc>
          <w:tcPr>
            <w:tcW w:w="960" w:type="dxa"/>
            <w:vAlign w:val="bottom"/>
            <w:gridSpan w:val="2"/>
            <w:shd w:val="clear" w:color="auto" w:fill="F2F2F2"/>
          </w:tcPr>
          <w:p>
            <w:pPr>
              <w:jc w:val="center"/>
              <w:ind w:left="559"/>
              <w:spacing w:after="0"/>
              <w:rPr>
                <w:sz w:val="20"/>
                <w:szCs w:val="20"/>
                <w:color w:val="auto"/>
              </w:rPr>
            </w:pPr>
            <w:r>
              <w:rPr>
                <w:rFonts w:ascii="Arial" w:cs="Arial" w:eastAsia="Arial" w:hAnsi="Arial"/>
                <w:sz w:val="16"/>
                <w:szCs w:val="16"/>
                <w:color w:val="auto"/>
              </w:rPr>
              <w:t>5%</w:t>
            </w:r>
          </w:p>
        </w:tc>
        <w:tc>
          <w:tcPr>
            <w:tcW w:w="2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r>
      <w:tr>
        <w:trPr>
          <w:trHeight w:val="195"/>
        </w:trPr>
        <w:tc>
          <w:tcPr>
            <w:tcW w:w="5120" w:type="dxa"/>
            <w:vAlign w:val="bottom"/>
            <w:shd w:val="clear" w:color="auto" w:fill="F2F2F2"/>
          </w:tcPr>
          <w:p>
            <w:pPr>
              <w:ind w:left="780"/>
              <w:spacing w:after="0"/>
              <w:rPr>
                <w:sz w:val="20"/>
                <w:szCs w:val="20"/>
                <w:color w:val="auto"/>
              </w:rPr>
            </w:pPr>
            <w:r>
              <w:rPr>
                <w:rFonts w:ascii="Arial" w:cs="Arial" w:eastAsia="Arial" w:hAnsi="Arial"/>
                <w:sz w:val="16"/>
                <w:szCs w:val="16"/>
                <w:color w:val="auto"/>
              </w:rPr>
              <w:t>Water recycling</w:t>
            </w:r>
          </w:p>
        </w:tc>
        <w:tc>
          <w:tcPr>
            <w:tcW w:w="64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r>
      <w:tr>
        <w:trPr>
          <w:trHeight w:val="202"/>
        </w:trPr>
        <w:tc>
          <w:tcPr>
            <w:tcW w:w="5120" w:type="dxa"/>
            <w:vAlign w:val="bottom"/>
            <w:shd w:val="clear" w:color="auto" w:fill="F2F2F2"/>
          </w:tcPr>
          <w:p>
            <w:pPr>
              <w:ind w:left="780"/>
              <w:spacing w:after="0"/>
              <w:rPr>
                <w:sz w:val="20"/>
                <w:szCs w:val="20"/>
                <w:color w:val="auto"/>
              </w:rPr>
            </w:pPr>
            <w:r>
              <w:rPr>
                <w:rFonts w:ascii="Arial" w:cs="Arial" w:eastAsia="Arial" w:hAnsi="Arial"/>
                <w:sz w:val="16"/>
                <w:szCs w:val="16"/>
                <w:color w:val="auto"/>
              </w:rPr>
              <w:t>Renewable energy</w:t>
            </w:r>
          </w:p>
        </w:tc>
        <w:tc>
          <w:tcPr>
            <w:tcW w:w="640" w:type="dxa"/>
            <w:vAlign w:val="bottom"/>
            <w:shd w:val="clear" w:color="auto" w:fill="F2F2F2"/>
          </w:tcPr>
          <w:p>
            <w:pPr>
              <w:spacing w:after="0"/>
              <w:rPr>
                <w:sz w:val="17"/>
                <w:szCs w:val="17"/>
                <w:color w:val="auto"/>
              </w:rPr>
            </w:pPr>
          </w:p>
        </w:tc>
        <w:tc>
          <w:tcPr>
            <w:tcW w:w="32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r>
      <w:tr>
        <w:trPr>
          <w:trHeight w:val="203"/>
        </w:trPr>
        <w:tc>
          <w:tcPr>
            <w:tcW w:w="5120" w:type="dxa"/>
            <w:vAlign w:val="bottom"/>
            <w:shd w:val="clear" w:color="auto" w:fill="F2F2F2"/>
          </w:tcPr>
          <w:p>
            <w:pPr>
              <w:ind w:left="780"/>
              <w:spacing w:after="0"/>
              <w:rPr>
                <w:sz w:val="20"/>
                <w:szCs w:val="20"/>
                <w:color w:val="auto"/>
              </w:rPr>
            </w:pPr>
            <w:r>
              <w:rPr>
                <w:rFonts w:ascii="Arial" w:cs="Arial" w:eastAsia="Arial" w:hAnsi="Arial"/>
                <w:sz w:val="16"/>
                <w:szCs w:val="16"/>
                <w:color w:val="auto"/>
              </w:rPr>
              <w:t>Methane capture</w:t>
            </w:r>
          </w:p>
        </w:tc>
        <w:tc>
          <w:tcPr>
            <w:tcW w:w="640" w:type="dxa"/>
            <w:vAlign w:val="bottom"/>
            <w:shd w:val="clear" w:color="auto" w:fill="F2F2F2"/>
          </w:tcPr>
          <w:p>
            <w:pPr>
              <w:spacing w:after="0"/>
              <w:rPr>
                <w:sz w:val="17"/>
                <w:szCs w:val="17"/>
                <w:color w:val="auto"/>
              </w:rPr>
            </w:pPr>
          </w:p>
        </w:tc>
        <w:tc>
          <w:tcPr>
            <w:tcW w:w="32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r>
      <w:tr>
        <w:trPr>
          <w:trHeight w:val="203"/>
        </w:trPr>
        <w:tc>
          <w:tcPr>
            <w:tcW w:w="5120" w:type="dxa"/>
            <w:vAlign w:val="bottom"/>
            <w:shd w:val="clear" w:color="auto" w:fill="F2F2F2"/>
          </w:tcPr>
          <w:p>
            <w:pPr>
              <w:ind w:left="780"/>
              <w:spacing w:after="0"/>
              <w:rPr>
                <w:sz w:val="20"/>
                <w:szCs w:val="20"/>
                <w:color w:val="auto"/>
              </w:rPr>
            </w:pPr>
            <w:r>
              <w:rPr>
                <w:rFonts w:ascii="Arial" w:cs="Arial" w:eastAsia="Arial" w:hAnsi="Arial"/>
                <w:sz w:val="16"/>
                <w:szCs w:val="16"/>
                <w:color w:val="auto"/>
              </w:rPr>
              <w:t>Carbon capture</w:t>
            </w:r>
          </w:p>
        </w:tc>
        <w:tc>
          <w:tcPr>
            <w:tcW w:w="640" w:type="dxa"/>
            <w:vAlign w:val="bottom"/>
            <w:shd w:val="clear" w:color="auto" w:fill="F2F2F2"/>
          </w:tcPr>
          <w:p>
            <w:pPr>
              <w:spacing w:after="0"/>
              <w:rPr>
                <w:sz w:val="17"/>
                <w:szCs w:val="17"/>
                <w:color w:val="auto"/>
              </w:rPr>
            </w:pPr>
          </w:p>
        </w:tc>
        <w:tc>
          <w:tcPr>
            <w:tcW w:w="32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r>
      <w:tr>
        <w:trPr>
          <w:trHeight w:val="203"/>
        </w:trPr>
        <w:tc>
          <w:tcPr>
            <w:tcW w:w="5120" w:type="dxa"/>
            <w:vAlign w:val="bottom"/>
            <w:shd w:val="clear" w:color="auto" w:fill="F2F2F2"/>
          </w:tcPr>
          <w:p>
            <w:pPr>
              <w:ind w:left="780"/>
              <w:spacing w:after="0"/>
              <w:rPr>
                <w:sz w:val="20"/>
                <w:szCs w:val="20"/>
                <w:color w:val="auto"/>
              </w:rPr>
            </w:pPr>
            <w:r>
              <w:rPr>
                <w:rFonts w:ascii="Arial" w:cs="Arial" w:eastAsia="Arial" w:hAnsi="Arial"/>
                <w:sz w:val="16"/>
                <w:szCs w:val="16"/>
                <w:color w:val="auto"/>
              </w:rPr>
              <w:t>Workforce diversity and development</w:t>
            </w:r>
          </w:p>
        </w:tc>
        <w:tc>
          <w:tcPr>
            <w:tcW w:w="640" w:type="dxa"/>
            <w:vAlign w:val="bottom"/>
            <w:shd w:val="clear" w:color="auto" w:fill="F2F2F2"/>
          </w:tcPr>
          <w:p>
            <w:pPr>
              <w:spacing w:after="0"/>
              <w:rPr>
                <w:sz w:val="17"/>
                <w:szCs w:val="17"/>
                <w:color w:val="auto"/>
              </w:rPr>
            </w:pPr>
          </w:p>
        </w:tc>
        <w:tc>
          <w:tcPr>
            <w:tcW w:w="32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r>
      <w:tr>
        <w:trPr>
          <w:trHeight w:val="209"/>
        </w:trPr>
        <w:tc>
          <w:tcPr>
            <w:tcW w:w="5120" w:type="dxa"/>
            <w:vAlign w:val="bottom"/>
            <w:shd w:val="clear" w:color="auto" w:fill="F2F2F2"/>
          </w:tcPr>
          <w:p>
            <w:pPr>
              <w:ind w:left="780"/>
              <w:spacing w:after="0"/>
              <w:rPr>
                <w:sz w:val="20"/>
                <w:szCs w:val="20"/>
                <w:color w:val="auto"/>
              </w:rPr>
            </w:pPr>
            <w:r>
              <w:rPr>
                <w:rFonts w:ascii="Arial" w:cs="Arial" w:eastAsia="Arial" w:hAnsi="Arial"/>
                <w:sz w:val="16"/>
                <w:szCs w:val="16"/>
                <w:color w:val="auto"/>
              </w:rPr>
              <w:t>Community partnerships</w:t>
            </w:r>
          </w:p>
        </w:tc>
        <w:tc>
          <w:tcPr>
            <w:tcW w:w="640" w:type="dxa"/>
            <w:vAlign w:val="bottom"/>
            <w:shd w:val="clear" w:color="auto" w:fill="F2F2F2"/>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640" w:type="dxa"/>
            <w:vAlign w:val="bottom"/>
            <w:shd w:val="clear" w:color="auto" w:fill="F2F2F2"/>
          </w:tcPr>
          <w:p>
            <w:pPr>
              <w:spacing w:after="0"/>
              <w:rPr>
                <w:sz w:val="18"/>
                <w:szCs w:val="18"/>
                <w:color w:val="auto"/>
              </w:rPr>
            </w:pPr>
          </w:p>
        </w:tc>
      </w:tr>
      <w:tr>
        <w:trPr>
          <w:trHeight w:val="191"/>
        </w:trPr>
        <w:tc>
          <w:tcPr>
            <w:tcW w:w="5120" w:type="dxa"/>
            <w:vAlign w:val="bottom"/>
          </w:tcPr>
          <w:p>
            <w:pPr>
              <w:ind w:left="100"/>
              <w:spacing w:after="0"/>
              <w:rPr>
                <w:sz w:val="20"/>
                <w:szCs w:val="20"/>
                <w:color w:val="auto"/>
              </w:rPr>
            </w:pPr>
            <w:r>
              <w:rPr>
                <w:rFonts w:ascii="Arial" w:cs="Arial" w:eastAsia="Arial" w:hAnsi="Arial"/>
                <w:sz w:val="16"/>
                <w:szCs w:val="16"/>
                <w:b w:val="1"/>
                <w:bCs w:val="1"/>
                <w:color w:val="auto"/>
              </w:rPr>
              <w:t>Liquidity</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5120" w:type="dxa"/>
            <w:vAlign w:val="bottom"/>
          </w:tcPr>
          <w:p>
            <w:pPr>
              <w:ind w:left="100"/>
              <w:spacing w:after="0"/>
              <w:rPr>
                <w:sz w:val="20"/>
                <w:szCs w:val="20"/>
                <w:color w:val="auto"/>
              </w:rPr>
            </w:pPr>
            <w:r>
              <w:rPr>
                <w:rFonts w:ascii="Arial" w:cs="Arial" w:eastAsia="Arial" w:hAnsi="Arial"/>
                <w:sz w:val="16"/>
                <w:szCs w:val="16"/>
                <w:color w:val="auto"/>
              </w:rPr>
              <w:t>Adjusted EBITDAX</w:t>
            </w:r>
          </w:p>
        </w:tc>
        <w:tc>
          <w:tcPr>
            <w:tcW w:w="960" w:type="dxa"/>
            <w:vAlign w:val="bottom"/>
            <w:gridSpan w:val="2"/>
          </w:tcPr>
          <w:p>
            <w:pPr>
              <w:jc w:val="center"/>
              <w:ind w:left="559"/>
              <w:spacing w:after="0"/>
              <w:rPr>
                <w:sz w:val="20"/>
                <w:szCs w:val="20"/>
                <w:color w:val="auto"/>
              </w:rPr>
            </w:pPr>
            <w:r>
              <w:rPr>
                <w:rFonts w:ascii="Arial" w:cs="Arial" w:eastAsia="Arial" w:hAnsi="Arial"/>
                <w:sz w:val="16"/>
                <w:szCs w:val="16"/>
                <w:color w:val="auto"/>
                <w:w w:val="99"/>
              </w:rPr>
              <w:t>20%</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1"/>
        </w:trPr>
        <w:tc>
          <w:tcPr>
            <w:tcW w:w="5120" w:type="dxa"/>
            <w:vAlign w:val="bottom"/>
          </w:tcPr>
          <w:p>
            <w:pPr>
              <w:ind w:left="100"/>
              <w:spacing w:after="0" w:line="174" w:lineRule="exact"/>
              <w:rPr>
                <w:sz w:val="20"/>
                <w:szCs w:val="20"/>
                <w:color w:val="auto"/>
              </w:rPr>
            </w:pPr>
            <w:r>
              <w:rPr>
                <w:rFonts w:ascii="Arial" w:cs="Arial" w:eastAsia="Arial" w:hAnsi="Arial"/>
                <w:sz w:val="16"/>
                <w:szCs w:val="16"/>
                <w:color w:val="auto"/>
              </w:rPr>
              <w:t>Net Debt</w:t>
            </w:r>
          </w:p>
        </w:tc>
        <w:tc>
          <w:tcPr>
            <w:tcW w:w="640" w:type="dxa"/>
            <w:vAlign w:val="bottom"/>
          </w:tcPr>
          <w:p>
            <w:pPr>
              <w:spacing w:after="0"/>
              <w:rPr>
                <w:sz w:val="15"/>
                <w:szCs w:val="15"/>
                <w:color w:val="auto"/>
              </w:rPr>
            </w:pPr>
          </w:p>
        </w:tc>
        <w:tc>
          <w:tcPr>
            <w:tcW w:w="32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6"/>
                <w:szCs w:val="16"/>
                <w:color w:val="auto"/>
                <w:w w:val="99"/>
              </w:rPr>
              <w:t>20%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9"/>
        </w:trPr>
        <w:tc>
          <w:tcPr>
            <w:tcW w:w="512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0075C9"/>
              </w:rPr>
              <w:t>Total Quantitative Performance Measures</w:t>
            </w:r>
          </w:p>
        </w:tc>
        <w:tc>
          <w:tcPr>
            <w:tcW w:w="960" w:type="dxa"/>
            <w:vAlign w:val="bottom"/>
            <w:gridSpan w:val="2"/>
            <w:shd w:val="clear" w:color="auto" w:fill="F2F2F2"/>
          </w:tcPr>
          <w:p>
            <w:pPr>
              <w:jc w:val="center"/>
              <w:ind w:left="559"/>
              <w:spacing w:after="0"/>
              <w:rPr>
                <w:sz w:val="20"/>
                <w:szCs w:val="20"/>
                <w:color w:val="auto"/>
              </w:rPr>
            </w:pPr>
            <w:r>
              <w:rPr>
                <w:rFonts w:ascii="Arial" w:cs="Arial" w:eastAsia="Arial" w:hAnsi="Arial"/>
                <w:sz w:val="16"/>
                <w:szCs w:val="16"/>
                <w:b w:val="1"/>
                <w:bCs w:val="1"/>
                <w:color w:val="0075C9"/>
                <w:w w:val="99"/>
              </w:rPr>
              <w:t>80%</w:t>
            </w:r>
          </w:p>
        </w:tc>
        <w:tc>
          <w:tcPr>
            <w:tcW w:w="2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r>
      <w:tr>
        <w:trPr>
          <w:trHeight w:val="243"/>
        </w:trPr>
        <w:tc>
          <w:tcPr>
            <w:tcW w:w="512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0075C9"/>
              </w:rPr>
              <w:t>Strategic and Individual Objectives</w:t>
            </w:r>
          </w:p>
        </w:tc>
        <w:tc>
          <w:tcPr>
            <w:tcW w:w="960" w:type="dxa"/>
            <w:vAlign w:val="bottom"/>
            <w:gridSpan w:val="2"/>
            <w:shd w:val="clear" w:color="auto" w:fill="F2F2F2"/>
          </w:tcPr>
          <w:p>
            <w:pPr>
              <w:jc w:val="center"/>
              <w:ind w:left="559"/>
              <w:spacing w:after="0"/>
              <w:rPr>
                <w:sz w:val="20"/>
                <w:szCs w:val="20"/>
                <w:color w:val="auto"/>
              </w:rPr>
            </w:pPr>
            <w:r>
              <w:rPr>
                <w:rFonts w:ascii="Arial" w:cs="Arial" w:eastAsia="Arial" w:hAnsi="Arial"/>
                <w:sz w:val="16"/>
                <w:szCs w:val="16"/>
                <w:b w:val="1"/>
                <w:bCs w:val="1"/>
                <w:color w:val="0075C9"/>
                <w:w w:val="99"/>
              </w:rPr>
              <w:t>20%</w:t>
            </w:r>
          </w:p>
        </w:tc>
        <w:tc>
          <w:tcPr>
            <w:tcW w:w="20" w:type="dxa"/>
            <w:vAlign w:val="bottom"/>
            <w:shd w:val="clear" w:color="auto" w:fill="F2F2F2"/>
          </w:tcPr>
          <w:p>
            <w:pPr>
              <w:spacing w:after="0"/>
              <w:rPr>
                <w:sz w:val="21"/>
                <w:szCs w:val="21"/>
                <w:color w:val="auto"/>
              </w:rPr>
            </w:pPr>
          </w:p>
        </w:tc>
        <w:tc>
          <w:tcPr>
            <w:tcW w:w="640" w:type="dxa"/>
            <w:vAlign w:val="bottom"/>
            <w:shd w:val="clear" w:color="auto" w:fill="F2F2F2"/>
          </w:tcPr>
          <w:p>
            <w:pPr>
              <w:spacing w:after="0"/>
              <w:rPr>
                <w:sz w:val="21"/>
                <w:szCs w:val="21"/>
                <w:color w:val="auto"/>
              </w:rPr>
            </w:pPr>
          </w:p>
        </w:tc>
      </w:tr>
      <w:tr>
        <w:trPr>
          <w:trHeight w:val="129"/>
        </w:trPr>
        <w:tc>
          <w:tcPr>
            <w:tcW w:w="5120" w:type="dxa"/>
            <w:vAlign w:val="bottom"/>
            <w:tcBorders>
              <w:top w:val="single" w:sz="8" w:color="F2F2F2"/>
            </w:tcBorders>
            <w:shd w:val="clear" w:color="auto" w:fill="F2F2F2"/>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top w:val="single" w:sz="8" w:color="F2F2F2"/>
            </w:tcBorders>
            <w:shd w:val="clear" w:color="auto" w:fill="F2F2F2"/>
          </w:tcPr>
          <w:p>
            <w:pPr>
              <w:spacing w:after="0"/>
              <w:rPr>
                <w:sz w:val="11"/>
                <w:szCs w:val="11"/>
                <w:color w:val="auto"/>
              </w:rPr>
            </w:pPr>
          </w:p>
        </w:tc>
        <w:tc>
          <w:tcPr>
            <w:tcW w:w="340" w:type="dxa"/>
            <w:vAlign w:val="bottom"/>
            <w:tcBorders>
              <w:top w:val="single" w:sz="8" w:color="0075C9"/>
            </w:tcBorders>
            <w:gridSpan w:val="2"/>
            <w:shd w:val="clear" w:color="auto" w:fill="F2F2F2"/>
          </w:tcPr>
          <w:p>
            <w:pPr>
              <w:jc w:val="center"/>
              <w:spacing w:after="0" w:line="129" w:lineRule="exact"/>
              <w:rPr>
                <w:sz w:val="20"/>
                <w:szCs w:val="20"/>
                <w:color w:val="auto"/>
              </w:rPr>
            </w:pPr>
            <w:r>
              <w:rPr>
                <w:rFonts w:ascii="Arial" w:cs="Arial" w:eastAsia="Arial" w:hAnsi="Arial"/>
                <w:sz w:val="14"/>
                <w:szCs w:val="14"/>
                <w:b w:val="1"/>
                <w:bCs w:val="1"/>
                <w:color w:val="auto"/>
                <w:w w:val="94"/>
              </w:rPr>
              <w:t>100%</w:t>
            </w:r>
          </w:p>
        </w:tc>
        <w:tc>
          <w:tcPr>
            <w:tcW w:w="640" w:type="dxa"/>
            <w:vAlign w:val="bottom"/>
            <w:tcBorders>
              <w:top w:val="single" w:sz="8" w:color="F2F2F2"/>
            </w:tcBorders>
            <w:shd w:val="clear" w:color="auto" w:fill="F2F2F2"/>
          </w:tcPr>
          <w:p>
            <w:pPr>
              <w:spacing w:after="0"/>
              <w:rPr>
                <w:sz w:val="11"/>
                <w:szCs w:val="11"/>
                <w:color w:val="auto"/>
              </w:rPr>
            </w:pPr>
          </w:p>
        </w:tc>
      </w:tr>
    </w:tbl>
    <w:p>
      <w:pPr>
        <w:spacing w:after="0" w:line="22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Descriptions of the quantitative performance measures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Performance Measure</w:t>
            </w:r>
          </w:p>
        </w:tc>
        <w:tc>
          <w:tcPr>
            <w:tcW w:w="674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2"/>
                <w:szCs w:val="12"/>
                <w:color w:val="auto"/>
              </w:rPr>
            </w:pPr>
          </w:p>
        </w:tc>
      </w:tr>
      <w:tr>
        <w:trPr>
          <w:trHeight w:val="123"/>
        </w:trPr>
        <w:tc>
          <w:tcPr>
            <w:tcW w:w="9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Value Creation Index (VCI)</w:t>
            </w:r>
          </w:p>
        </w:tc>
        <w:tc>
          <w:tcPr>
            <w:tcW w:w="67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w w:val="99"/>
              </w:rPr>
              <w:t>We use a Value Creation Index (VCI) for project selection and capital allocation across our portfolio of opportunities.</w:t>
            </w:r>
          </w:p>
        </w:tc>
        <w:tc>
          <w:tcPr>
            <w:tcW w:w="20" w:type="dxa"/>
            <w:vAlign w:val="bottom"/>
          </w:tcPr>
          <w:p>
            <w:pPr>
              <w:spacing w:after="0"/>
              <w:rPr>
                <w:sz w:val="10"/>
                <w:szCs w:val="10"/>
                <w:color w:val="auto"/>
              </w:rPr>
            </w:pP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VCI is a ratio that measures the present value of the future cash flows from all development (new drills and capital</w:t>
            </w:r>
          </w:p>
        </w:tc>
        <w:tc>
          <w:tcPr>
            <w:tcW w:w="20" w:type="dxa"/>
            <w:vAlign w:val="bottom"/>
          </w:tcPr>
          <w:p>
            <w:pPr>
              <w:spacing w:after="0"/>
              <w:rPr>
                <w:sz w:val="11"/>
                <w:szCs w:val="11"/>
                <w:color w:val="auto"/>
              </w:rPr>
            </w:pP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workovers) in each plan year per discounted dollar of investment, calculated as A divided by B where “A” is the</w:t>
            </w:r>
          </w:p>
        </w:tc>
        <w:tc>
          <w:tcPr>
            <w:tcW w:w="20" w:type="dxa"/>
            <w:vAlign w:val="bottom"/>
          </w:tcPr>
          <w:p>
            <w:pPr>
              <w:spacing w:after="0"/>
              <w:rPr>
                <w:sz w:val="11"/>
                <w:szCs w:val="11"/>
                <w:color w:val="auto"/>
              </w:rPr>
            </w:pP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6"/>
              </w:rPr>
              <w:t>discounted expected future cash flows and “B” is the discounted capital invested for the plan year, excluding JV partner</w:t>
            </w:r>
          </w:p>
        </w:tc>
        <w:tc>
          <w:tcPr>
            <w:tcW w:w="20" w:type="dxa"/>
            <w:vAlign w:val="bottom"/>
          </w:tcPr>
          <w:p>
            <w:pPr>
              <w:spacing w:after="0"/>
              <w:rPr>
                <w:sz w:val="11"/>
                <w:szCs w:val="11"/>
                <w:color w:val="auto"/>
              </w:rPr>
            </w:pPr>
          </w:p>
        </w:tc>
      </w:tr>
      <w:tr>
        <w:trPr>
          <w:trHeight w:val="141"/>
        </w:trPr>
        <w:tc>
          <w:tcPr>
            <w:tcW w:w="98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spacing w:after="0"/>
              <w:rPr>
                <w:sz w:val="12"/>
                <w:szCs w:val="12"/>
                <w:color w:val="auto"/>
              </w:rPr>
            </w:pPr>
          </w:p>
        </w:tc>
        <w:tc>
          <w:tcPr>
            <w:tcW w:w="67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funding.</w:t>
            </w:r>
          </w:p>
        </w:tc>
        <w:tc>
          <w:tcPr>
            <w:tcW w:w="20" w:type="dxa"/>
            <w:vAlign w:val="bottom"/>
          </w:tcPr>
          <w:p>
            <w:pPr>
              <w:spacing w:after="0"/>
              <w:rPr>
                <w:sz w:val="12"/>
                <w:szCs w:val="12"/>
                <w:color w:val="auto"/>
              </w:rPr>
            </w:pPr>
          </w:p>
        </w:tc>
      </w:tr>
      <w:tr>
        <w:trPr>
          <w:trHeight w:val="425"/>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ind w:left="2700"/>
              <w:spacing w:after="0"/>
              <w:rPr>
                <w:sz w:val="20"/>
                <w:szCs w:val="20"/>
                <w:color w:val="auto"/>
              </w:rPr>
            </w:pPr>
            <w:r>
              <w:rPr>
                <w:rFonts w:ascii="Arial" w:cs="Arial" w:eastAsia="Arial" w:hAnsi="Arial"/>
                <w:sz w:val="18"/>
                <w:szCs w:val="18"/>
                <w:color w:val="auto"/>
              </w:rPr>
              <w:t>CALIFORNIA RESOURCES CORPORATION  51</w:t>
            </w:r>
          </w:p>
        </w:tc>
        <w:tc>
          <w:tcPr>
            <w:tcW w:w="20" w:type="dxa"/>
            <w:vAlign w:val="bottom"/>
          </w:tcPr>
          <w:p>
            <w:pPr>
              <w:spacing w:after="0"/>
              <w:rPr>
                <w:sz w:val="24"/>
                <w:szCs w:val="24"/>
                <w:color w:val="auto"/>
              </w:rPr>
            </w:pPr>
          </w:p>
        </w:tc>
      </w:tr>
      <w:tr>
        <w:trPr>
          <w:trHeight w:val="101"/>
        </w:trPr>
        <w:tc>
          <w:tcPr>
            <w:tcW w:w="9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6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91"/>
        </w:trPr>
        <w:tc>
          <w:tcPr>
            <w:tcW w:w="980" w:type="dxa"/>
            <w:vAlign w:val="bottom"/>
            <w:tcBorders>
              <w:bottom w:val="single" w:sz="8" w:color="0075C9"/>
              <w:right w:val="single" w:sz="8" w:color="0075C9"/>
            </w:tcBorders>
            <w:shd w:val="clear" w:color="auto" w:fill="0075C9"/>
          </w:tcPr>
          <w:p>
            <w:pPr>
              <w:spacing w:after="0"/>
              <w:rPr>
                <w:sz w:val="24"/>
                <w:szCs w:val="24"/>
                <w:color w:val="auto"/>
              </w:rPr>
            </w:pPr>
          </w:p>
        </w:tc>
        <w:tc>
          <w:tcPr>
            <w:tcW w:w="3520" w:type="dxa"/>
            <w:vAlign w:val="bottom"/>
            <w:tcBorders>
              <w:bottom w:val="single" w:sz="8" w:color="0075C9"/>
              <w:right w:val="single" w:sz="8" w:color="0075C9"/>
            </w:tcBorders>
            <w:shd w:val="clear" w:color="auto" w:fill="0075C9"/>
          </w:tcPr>
          <w:p>
            <w:pPr>
              <w:spacing w:after="0"/>
              <w:rPr>
                <w:sz w:val="24"/>
                <w:szCs w:val="24"/>
                <w:color w:val="auto"/>
              </w:rPr>
            </w:pPr>
          </w:p>
        </w:tc>
        <w:tc>
          <w:tcPr>
            <w:tcW w:w="6740" w:type="dxa"/>
            <w:vAlign w:val="bottom"/>
            <w:tcBorders>
              <w:bottom w:val="single" w:sz="8" w:color="0075C9"/>
              <w:right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2020 PROXY STATEMENT</w:t>
            </w:r>
          </w:p>
        </w:tc>
      </w:tr>
      <w:tr>
        <w:trPr>
          <w:trHeight w:val="190"/>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740" w:type="dxa"/>
            <w:vAlign w:val="bottom"/>
          </w:tcPr>
          <w:p>
            <w:pPr>
              <w:jc w:val="right"/>
              <w:spacing w:after="0"/>
              <w:rPr>
                <w:sz w:val="20"/>
                <w:szCs w:val="20"/>
                <w:color w:val="auto"/>
              </w:rPr>
            </w:pPr>
            <w:r>
              <w:rPr>
                <w:rFonts w:ascii="Arial" w:cs="Arial" w:eastAsia="Arial" w:hAnsi="Arial"/>
                <w:sz w:val="14"/>
                <w:szCs w:val="14"/>
                <w:color w:val="auto"/>
              </w:rPr>
              <w:t>Compensation Discussion and Analysis</w:t>
            </w:r>
          </w:p>
        </w:tc>
      </w:tr>
      <w:tr>
        <w:trPr>
          <w:trHeight w:val="201"/>
        </w:trPr>
        <w:tc>
          <w:tcPr>
            <w:tcW w:w="980" w:type="dxa"/>
            <w:vAlign w:val="bottom"/>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r>
      <w:tr>
        <w:trPr>
          <w:trHeight w:val="129"/>
        </w:trPr>
        <w:tc>
          <w:tcPr>
            <w:tcW w:w="980" w:type="dxa"/>
            <w:vAlign w:val="bottom"/>
            <w:tcBorders>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shd w:val="clear" w:color="auto" w:fill="F2F2F2"/>
          </w:tcPr>
          <w:p>
            <w:pPr>
              <w:ind w:left="80"/>
              <w:spacing w:after="0" w:line="129" w:lineRule="exact"/>
              <w:rPr>
                <w:sz w:val="20"/>
                <w:szCs w:val="20"/>
                <w:color w:val="auto"/>
              </w:rPr>
            </w:pPr>
            <w:r>
              <w:rPr>
                <w:rFonts w:ascii="Arial" w:cs="Arial" w:eastAsia="Arial" w:hAnsi="Arial"/>
                <w:sz w:val="13"/>
                <w:szCs w:val="13"/>
                <w:b w:val="1"/>
                <w:bCs w:val="1"/>
                <w:color w:val="auto"/>
              </w:rPr>
              <w:t>Performance Measure</w:t>
            </w:r>
          </w:p>
        </w:tc>
        <w:tc>
          <w:tcPr>
            <w:tcW w:w="6740" w:type="dxa"/>
            <w:vAlign w:val="bottom"/>
            <w:tcBorders>
              <w:bottom w:val="single" w:sz="8" w:color="auto"/>
              <w:right w:val="single" w:sz="8" w:color="auto"/>
            </w:tcBorders>
            <w:shd w:val="clear" w:color="auto" w:fill="F2F2F2"/>
          </w:tcPr>
          <w:p>
            <w:pPr>
              <w:ind w:left="80"/>
              <w:spacing w:after="0" w:line="129" w:lineRule="exact"/>
              <w:rPr>
                <w:sz w:val="20"/>
                <w:szCs w:val="20"/>
                <w:color w:val="auto"/>
              </w:rPr>
            </w:pPr>
            <w:r>
              <w:rPr>
                <w:rFonts w:ascii="Arial" w:cs="Arial" w:eastAsia="Arial" w:hAnsi="Arial"/>
                <w:sz w:val="13"/>
                <w:szCs w:val="13"/>
                <w:b w:val="1"/>
                <w:bCs w:val="1"/>
                <w:color w:val="auto"/>
              </w:rPr>
              <w:t>Description</w:t>
            </w:r>
          </w:p>
        </w:tc>
      </w:tr>
      <w:tr>
        <w:trPr>
          <w:trHeight w:val="123"/>
        </w:trPr>
        <w:tc>
          <w:tcPr>
            <w:tcW w:w="9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Value Creation Index (VCI) (cont’d)</w:t>
            </w:r>
          </w:p>
        </w:tc>
        <w:tc>
          <w:tcPr>
            <w:tcW w:w="67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The discounted expected future cash flows of the 2020 investments will be calculated by taking our share of future</w:t>
            </w: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revenues minus production costs and production taxes but before any general and administrative charges, interest</w:t>
            </w: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expense, income taxes and other corporate payments. The future cash flow calculations will be based on the SEC</w:t>
            </w: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price for each respective year and include impacts of hedges placed within the calendar year. Discounting will be at</w:t>
            </w: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9"/>
              </w:rPr>
              <w:t>10% (consistent with SEC requirements). Except as otherwise stated, all values will be determined consistently with</w:t>
            </w:r>
          </w:p>
        </w:tc>
      </w:tr>
      <w:tr>
        <w:trPr>
          <w:trHeight w:val="141"/>
        </w:trPr>
        <w:tc>
          <w:tcPr>
            <w:tcW w:w="98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spacing w:after="0"/>
              <w:rPr>
                <w:sz w:val="12"/>
                <w:szCs w:val="12"/>
                <w:color w:val="auto"/>
              </w:rPr>
            </w:pPr>
          </w:p>
        </w:tc>
        <w:tc>
          <w:tcPr>
            <w:tcW w:w="67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SEC regulations.</w:t>
            </w:r>
          </w:p>
        </w:tc>
      </w:tr>
      <w:tr>
        <w:trPr>
          <w:trHeight w:val="128"/>
        </w:trPr>
        <w:tc>
          <w:tcPr>
            <w:tcW w:w="980" w:type="dxa"/>
            <w:vAlign w:val="bottom"/>
            <w:tcBorders>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Safety – Combined IIR</w:t>
            </w:r>
          </w:p>
        </w:tc>
        <w:tc>
          <w:tcPr>
            <w:tcW w:w="6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Injury and illness incidence rate of employees and contractors.</w:t>
            </w:r>
          </w:p>
        </w:tc>
      </w:tr>
      <w:tr>
        <w:trPr>
          <w:trHeight w:val="128"/>
        </w:trPr>
        <w:tc>
          <w:tcPr>
            <w:tcW w:w="980" w:type="dxa"/>
            <w:vAlign w:val="bottom"/>
            <w:tcBorders>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Spill prevention rate</w:t>
            </w:r>
          </w:p>
        </w:tc>
        <w:tc>
          <w:tcPr>
            <w:tcW w:w="6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(Boe produced minus net reportable oil spill volume) divided by Boe produced.</w:t>
            </w:r>
          </w:p>
        </w:tc>
      </w:tr>
      <w:tr>
        <w:trPr>
          <w:trHeight w:val="128"/>
        </w:trPr>
        <w:tc>
          <w:tcPr>
            <w:tcW w:w="980" w:type="dxa"/>
            <w:vAlign w:val="bottom"/>
            <w:tcBorders>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Net water supplied to agriculture</w:t>
            </w:r>
          </w:p>
        </w:tc>
        <w:tc>
          <w:tcPr>
            <w:tcW w:w="6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Water supplied to agriculture divided by fresh water purchased.</w:t>
            </w:r>
          </w:p>
        </w:tc>
      </w:tr>
      <w:tr>
        <w:trPr>
          <w:trHeight w:val="123"/>
        </w:trPr>
        <w:tc>
          <w:tcPr>
            <w:tcW w:w="9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Project milestones relating to</w:t>
            </w:r>
          </w:p>
        </w:tc>
        <w:tc>
          <w:tcPr>
            <w:tcW w:w="67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In order to advance our 2030 Sustainability Goals, which are multi-year endeavors, attainment of these metrics</w:t>
            </w: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ind w:left="460"/>
              <w:spacing w:after="0" w:line="135" w:lineRule="exact"/>
              <w:rPr>
                <w:sz w:val="20"/>
                <w:szCs w:val="20"/>
                <w:color w:val="auto"/>
              </w:rPr>
            </w:pPr>
            <w:r>
              <w:rPr>
                <w:rFonts w:ascii="Arial" w:cs="Arial" w:eastAsia="Arial" w:hAnsi="Arial"/>
                <w:sz w:val="13"/>
                <w:szCs w:val="13"/>
                <w:color w:val="auto"/>
              </w:rPr>
              <w:t>Water recycling</w:t>
            </w: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will be based on specific project milestones achieved during 2020 for each area. See</w:t>
            </w: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ind w:left="460"/>
              <w:spacing w:after="0" w:line="135" w:lineRule="exact"/>
              <w:rPr>
                <w:sz w:val="20"/>
                <w:szCs w:val="20"/>
                <w:color w:val="auto"/>
              </w:rPr>
            </w:pPr>
            <w:r>
              <w:rPr>
                <w:rFonts w:ascii="Arial" w:cs="Arial" w:eastAsia="Arial" w:hAnsi="Arial"/>
                <w:sz w:val="13"/>
                <w:szCs w:val="13"/>
                <w:color w:val="auto"/>
              </w:rPr>
              <w:t>Renewable energy</w:t>
            </w:r>
          </w:p>
        </w:tc>
        <w:tc>
          <w:tcPr>
            <w:tcW w:w="6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www.crc.com/sustainability for more information regarding our 2030 Sustainability Goals.</w:t>
            </w: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ind w:left="460"/>
              <w:spacing w:after="0" w:line="135" w:lineRule="exact"/>
              <w:rPr>
                <w:sz w:val="20"/>
                <w:szCs w:val="20"/>
                <w:color w:val="auto"/>
              </w:rPr>
            </w:pPr>
            <w:r>
              <w:rPr>
                <w:rFonts w:ascii="Arial" w:cs="Arial" w:eastAsia="Arial" w:hAnsi="Arial"/>
                <w:sz w:val="13"/>
                <w:szCs w:val="13"/>
                <w:color w:val="auto"/>
              </w:rPr>
              <w:t>Methane capture</w:t>
            </w:r>
          </w:p>
        </w:tc>
        <w:tc>
          <w:tcPr>
            <w:tcW w:w="6740" w:type="dxa"/>
            <w:vAlign w:val="bottom"/>
            <w:tcBorders>
              <w:right w:val="single" w:sz="8" w:color="auto"/>
            </w:tcBorders>
          </w:tcPr>
          <w:p>
            <w:pPr>
              <w:spacing w:after="0"/>
              <w:rPr>
                <w:sz w:val="11"/>
                <w:szCs w:val="11"/>
                <w:color w:val="auto"/>
              </w:rPr>
            </w:pP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ind w:left="460"/>
              <w:spacing w:after="0" w:line="135" w:lineRule="exact"/>
              <w:rPr>
                <w:sz w:val="20"/>
                <w:szCs w:val="20"/>
                <w:color w:val="auto"/>
              </w:rPr>
            </w:pPr>
            <w:r>
              <w:rPr>
                <w:rFonts w:ascii="Arial" w:cs="Arial" w:eastAsia="Arial" w:hAnsi="Arial"/>
                <w:sz w:val="13"/>
                <w:szCs w:val="13"/>
                <w:color w:val="auto"/>
              </w:rPr>
              <w:t>Carbon capture</w:t>
            </w:r>
          </w:p>
        </w:tc>
        <w:tc>
          <w:tcPr>
            <w:tcW w:w="6740" w:type="dxa"/>
            <w:vAlign w:val="bottom"/>
            <w:tcBorders>
              <w:right w:val="single" w:sz="8" w:color="auto"/>
            </w:tcBorders>
          </w:tcPr>
          <w:p>
            <w:pPr>
              <w:spacing w:after="0"/>
              <w:rPr>
                <w:sz w:val="11"/>
                <w:szCs w:val="11"/>
                <w:color w:val="auto"/>
              </w:rPr>
            </w:pPr>
          </w:p>
        </w:tc>
      </w:tr>
      <w:tr>
        <w:trPr>
          <w:trHeight w:val="135"/>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ind w:left="460"/>
              <w:spacing w:after="0" w:line="135" w:lineRule="exact"/>
              <w:rPr>
                <w:sz w:val="20"/>
                <w:szCs w:val="20"/>
                <w:color w:val="auto"/>
              </w:rPr>
            </w:pPr>
            <w:r>
              <w:rPr>
                <w:rFonts w:ascii="Arial" w:cs="Arial" w:eastAsia="Arial" w:hAnsi="Arial"/>
                <w:sz w:val="13"/>
                <w:szCs w:val="13"/>
                <w:color w:val="auto"/>
              </w:rPr>
              <w:t>Workforce diversity and development</w:t>
            </w:r>
          </w:p>
        </w:tc>
        <w:tc>
          <w:tcPr>
            <w:tcW w:w="6740" w:type="dxa"/>
            <w:vAlign w:val="bottom"/>
            <w:tcBorders>
              <w:right w:val="single" w:sz="8" w:color="auto"/>
            </w:tcBorders>
          </w:tcPr>
          <w:p>
            <w:pPr>
              <w:spacing w:after="0"/>
              <w:rPr>
                <w:sz w:val="11"/>
                <w:szCs w:val="11"/>
                <w:color w:val="auto"/>
              </w:rPr>
            </w:pPr>
          </w:p>
        </w:tc>
      </w:tr>
      <w:tr>
        <w:trPr>
          <w:trHeight w:val="141"/>
        </w:trPr>
        <w:tc>
          <w:tcPr>
            <w:tcW w:w="98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60"/>
              <w:spacing w:after="0" w:line="141" w:lineRule="exact"/>
              <w:rPr>
                <w:sz w:val="20"/>
                <w:szCs w:val="20"/>
                <w:color w:val="auto"/>
              </w:rPr>
            </w:pPr>
            <w:r>
              <w:rPr>
                <w:rFonts w:ascii="Arial" w:cs="Arial" w:eastAsia="Arial" w:hAnsi="Arial"/>
                <w:sz w:val="13"/>
                <w:szCs w:val="13"/>
                <w:color w:val="auto"/>
              </w:rPr>
              <w:t>Community partnerships</w:t>
            </w:r>
          </w:p>
        </w:tc>
        <w:tc>
          <w:tcPr>
            <w:tcW w:w="6740" w:type="dxa"/>
            <w:vAlign w:val="bottom"/>
            <w:tcBorders>
              <w:bottom w:val="single" w:sz="8" w:color="auto"/>
              <w:right w:val="single" w:sz="8" w:color="auto"/>
            </w:tcBorders>
          </w:tcPr>
          <w:p>
            <w:pPr>
              <w:spacing w:after="0"/>
              <w:rPr>
                <w:sz w:val="12"/>
                <w:szCs w:val="12"/>
                <w:color w:val="auto"/>
              </w:rPr>
            </w:pPr>
          </w:p>
        </w:tc>
      </w:tr>
      <w:tr>
        <w:trPr>
          <w:trHeight w:val="128"/>
        </w:trPr>
        <w:tc>
          <w:tcPr>
            <w:tcW w:w="980" w:type="dxa"/>
            <w:vAlign w:val="bottom"/>
            <w:tcBorders>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Adjusted EBITDAX</w:t>
            </w:r>
          </w:p>
        </w:tc>
        <w:tc>
          <w:tcPr>
            <w:tcW w:w="6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See Annex A for an example of CRC’s calculation of adjusted EBITDAX.</w:t>
            </w:r>
          </w:p>
        </w:tc>
      </w:tr>
      <w:tr>
        <w:trPr>
          <w:trHeight w:val="129"/>
        </w:trPr>
        <w:tc>
          <w:tcPr>
            <w:tcW w:w="980" w:type="dxa"/>
            <w:vAlign w:val="bottom"/>
            <w:tcBorders>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Net Debt</w:t>
            </w:r>
          </w:p>
        </w:tc>
        <w:tc>
          <w:tcPr>
            <w:tcW w:w="67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Face value of outstanding debt less unrestricted cash.</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executives are subject to the same Investment, Operations, and Liquidity quantitative measures.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Long-Term Incentives</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For 2020, the long-term incentives consist of a mix of time-vested restricted stock unit awards and performance-based awards, to promote retention and pay for performance. The total grant date values were allocated 40% to time-vested restricted stock unit awards and 60% to performance-based awards. The performance-based awards consist of performance stock unit awards and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223520</wp:posOffset>
            </wp:positionV>
            <wp:extent cx="3651885" cy="2168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5188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0" w:name="page61"/>
    <w:bookmarkEnd w:id="6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3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 xml:space="preserve">2020 Restricted Stock Unit Award </w:t>
      </w:r>
      <w:r>
        <w:rPr>
          <w:rFonts w:ascii="Arial" w:cs="Arial" w:eastAsia="Arial" w:hAnsi="Arial"/>
          <w:sz w:val="18"/>
          <w:szCs w:val="18"/>
          <w:color w:val="auto"/>
        </w:rPr>
        <w:t>– The 2020 Restricted Stock Unit Award (RSU Award) is a stock-based, stock- and cash- settled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incentive award intended to primarily promote retention and enhance alignment with stockholder interests through development of ownership in the Company with time -vested payouts. One-third of the RSU Awards vest at the end of each year during the three-year period commencing at the grant date. The RSU Award will be settled 50% in shares and 50% in cash with required tax withholding taken first from the cash portion of the payout.</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2020 Performance Stock Unit Award </w:t>
      </w:r>
      <w:r>
        <w:rPr>
          <w:rFonts w:ascii="Arial" w:cs="Arial" w:eastAsia="Arial" w:hAnsi="Arial"/>
          <w:sz w:val="18"/>
          <w:szCs w:val="18"/>
          <w:color w:val="auto"/>
        </w:rPr>
        <w:t>– The 2020 Performance Stock Unit Award (PSU Award) is a stock -based, stock- and cash-settled long-term performance award with performance measures based 50% on relative total shareholder return and 50% on VCI, both measured over a three-year period. For payouts up to the target number of units, the PSU Award will be settled 50% in stock and 50% in cash. For payouts greater than the target number of units, the payout of such excess units will be settled in cash. Required tax withholding on payouts will be taken first from the cash portion of the payouts.</w:t>
      </w:r>
    </w:p>
    <w:p>
      <w:pPr>
        <w:spacing w:after="0" w:line="19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performance measures for the 2020 PSU Award continue to focus the management team on making decisions that will enhance stockholder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total shareholder return measure directly ties compensation to shareholder returns.</w:t>
      </w:r>
    </w:p>
    <w:p>
      <w:pPr>
        <w:spacing w:after="0" w:line="205"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peer companies chosen for the relative total shareholder return performance measures under these awards are the same as those selected by the Compensation Committee for the 2020 Compensation Peer Group, as shown on page 37, excluding Carrizo Oil &amp; Gas, Inc., due to its acquisition by Callon Petroleum Company.</w:t>
      </w:r>
    </w:p>
    <w:p>
      <w:pPr>
        <w:spacing w:after="0" w:line="20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The PSU Award will vest at the end of three years from the grant date based on achieved performance against pre-established performance criteria.</w:t>
      </w:r>
    </w:p>
    <w:p>
      <w:pPr>
        <w:spacing w:after="0" w:line="17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 xml:space="preserve">2020 Stock Options </w:t>
      </w:r>
      <w:r>
        <w:rPr>
          <w:rFonts w:ascii="Arial" w:cs="Arial" w:eastAsia="Arial" w:hAnsi="Arial"/>
          <w:sz w:val="18"/>
          <w:szCs w:val="18"/>
          <w:color w:val="auto"/>
        </w:rPr>
        <w:t>– The Compensation Committee granted stock options as part of the 2020 long-term incentive awards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 executives with stockholders. The 2020 stock options were granted with an exercise price that was 10% above stock price on the grant date. The options will vest one-third at the end of each year during the three-year period commencing on the grant date and remain exercisable until the end of the seventh year following the grant date.</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1" w:name="page62"/>
    <w:bookmarkEnd w:id="6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Our Executive Compensation Process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 Meridian Compensation Partners, LLC (“Meridian”). In its oversight role, the committee is responsible for making compensation decisions involving our CEO and other executive officers and evaluating performance for compensatory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CEO, Chairman and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2019, the Compensation Committee held one executive session.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retained Meridian as its independent compensation consultant in January 2015, after considering all factors relevant to Meridian’s independence from our management and members of our Compensation Committee and determining that it was independent and without conflicts of interest under the Securities and Exchange Commission rules and the NYSE Listed Company Manual standards.</w:t>
      </w:r>
    </w:p>
    <w:p>
      <w:pPr>
        <w:spacing w:after="0" w:line="20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2019, Meridian was responsible for reviewing our executive compensation program, assisting in the design of our annual and long-term incentive programs and providing comparative market data and trends on compensation practices and programs based on an analysis of our peer companies and other factors. Representatives of Meridian participated in all meetings of the committee during 2019, including executive sessions without management. Meridian provided no other services to CRC.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Over the course of the year, our Compensation Committee analyzed the comparative total compensation of our executive officers. To facilitate this analysis, Meridian provided the Compensation Committee with comparative Peer Group compensation data that included base salaries, annual incentive opportunities, and long-term incentive opportunities. This information reflected recent publicly available information and other market data. We believe that it provided our Compensation Committee with a sufficient basis to analyze the comparative total compensation of our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Key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Stock Ownership Guidelines</w:t>
      </w:r>
    </w:p>
    <w:p>
      <w:pPr>
        <w:spacing w:after="0" w:line="1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have minimum stock ownership guidelines for senior executives. The target direct and indirect ownership level for the Chief Executive Officer is six times annual base salary, and for the other NEOs, is three times annual base salary. Executives are expected to attain their required ownership levels within five years of assuming their senior executive role. As of December 31, 2019, all of the NEOs were in compliance with the stock ownership guidelines, based on grant/purchase date stock values.</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2" w:name="page63"/>
    <w:bookmarkEnd w:id="6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Clawback Policy</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the Company has the right to require in certain circumstances, and to the extent permitted by applicable law, the reimbursement of incentive compensation by a named executive officer whose fraud or misconduct either caused or contributed to the need for such restatement. Such incentive compensation generally includes any cash, equity, equity-based or other award under the LTIP, or an annual bonus or annual incentive plan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Anti-Hedging and Anti-Pledging Policy</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Company’s Insider Trading Policy, all directors, officers and employees, including the named executive officers,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including named executive officers, may not pledge or mortgage Company securities as collateral for a loan, or hold Company securities in a margin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Compensation Risk Management</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97" w:lineRule="exact"/>
        <w:rPr>
          <w:sz w:val="20"/>
          <w:szCs w:val="20"/>
          <w:color w:val="auto"/>
        </w:rPr>
      </w:pPr>
    </w:p>
    <w:p>
      <w:pPr>
        <w:ind w:left="580" w:right="240" w:hanging="343"/>
        <w:spacing w:after="0" w:line="246"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88" w:lineRule="exact"/>
        <w:rPr>
          <w:rFonts w:ascii="Arial" w:cs="Arial" w:eastAsia="Arial" w:hAnsi="Arial"/>
          <w:sz w:val="18"/>
          <w:szCs w:val="18"/>
          <w:color w:val="auto"/>
        </w:rPr>
      </w:pPr>
    </w:p>
    <w:p>
      <w:pPr>
        <w:ind w:left="580" w:hanging="343"/>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7" w:lineRule="exact"/>
        <w:rPr>
          <w:rFonts w:ascii="Arial" w:cs="Arial" w:eastAsia="Arial" w:hAnsi="Arial"/>
          <w:sz w:val="18"/>
          <w:szCs w:val="18"/>
          <w:color w:val="auto"/>
        </w:rPr>
      </w:pPr>
    </w:p>
    <w:p>
      <w:pPr>
        <w:ind w:left="580" w:right="640" w:hanging="343"/>
        <w:spacing w:after="0" w:line="246"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External performance metrics, such as relative total shareholder return, for a portion of the long-term performance-based incentive awards</w:t>
      </w:r>
    </w:p>
    <w:p>
      <w:pPr>
        <w:spacing w:after="0" w:line="88" w:lineRule="exact"/>
        <w:rPr>
          <w:rFonts w:ascii="Arial" w:cs="Arial" w:eastAsia="Arial" w:hAnsi="Arial"/>
          <w:sz w:val="18"/>
          <w:szCs w:val="18"/>
          <w:color w:val="auto"/>
        </w:rPr>
      </w:pPr>
    </w:p>
    <w:p>
      <w:pPr>
        <w:ind w:left="580" w:right="20" w:hanging="343"/>
        <w:spacing w:after="0" w:line="246"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Forfeiture and clawback provisions for incentive award compensation in the event of a restatement of our financial statements or violation of CRC’s Code of Business Ethics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Tax Considerations</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Together with the Compensation Committee, the Company carefully reviews and takes into account current tax law and regulations as they relate to the design of our compensation programs and related decisions. Prior to the enactment of tax reform legislation signed into law on December 22, 2017, which was originally known as the Tax Cuts and Jobs Act (the “TCJA”), Section 162(m) of the Internal Revenue Code of 1986, as amended (the “Code”), limited a company’s ability to deduct compensation paid in excess of $1 million during any fiscal year to each of certain NEOs, unless the compensation was performance-based as defined under federal tax laws. Subject to certain transitional rules, the TCJA has repealed the exemption for performance-based compensation from the deduction limitation of Section 162(m) of the Code for taxable years beginning after 2017. The Compensation Committee historically reviewed and considered the deductibility of our executive compensation programs; and provided compensation that was not fully deductible when necessary to retain and motivate certain executive officers and when it was in the best interest of the Company and our stockholders. To the extent compensatory awards are not covered by the transitional rules, the performance-based compensation exception to the deduction limitation under Section 162(m) of the Code will no longer be available to the Company and annual compensation paid to certain executives in excess of $1 million will not be deductible.</w:t>
      </w: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3" w:name="page64"/>
    <w:bookmarkEnd w:id="6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91"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1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2020 Annual Meeting of Stockholders.</w:t>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Compensation Committee,</w:t>
      </w:r>
    </w:p>
    <w:p>
      <w:pPr>
        <w:spacing w:after="0" w:line="9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Justin A. Gannon</w:t>
      </w:r>
    </w:p>
    <w:p>
      <w:pPr>
        <w:jc w:val="center"/>
        <w:spacing w:after="0" w:line="234" w:lineRule="auto"/>
        <w:rPr>
          <w:sz w:val="20"/>
          <w:szCs w:val="20"/>
          <w:color w:val="auto"/>
        </w:rPr>
      </w:pPr>
      <w:r>
        <w:rPr>
          <w:rFonts w:ascii="Arial" w:cs="Arial" w:eastAsia="Arial" w:hAnsi="Arial"/>
          <w:sz w:val="18"/>
          <w:szCs w:val="18"/>
          <w:color w:val="auto"/>
        </w:rPr>
        <w:t>Harry T. McMahon</w:t>
      </w:r>
    </w:p>
    <w:p>
      <w:pPr>
        <w:jc w:val="center"/>
        <w:spacing w:after="0" w:line="235" w:lineRule="auto"/>
        <w:rPr>
          <w:sz w:val="20"/>
          <w:szCs w:val="20"/>
          <w:color w:val="auto"/>
        </w:rPr>
      </w:pPr>
      <w:r>
        <w:rPr>
          <w:rFonts w:ascii="Arial" w:cs="Arial" w:eastAsia="Arial" w:hAnsi="Arial"/>
          <w:sz w:val="18"/>
          <w:szCs w:val="18"/>
          <w:color w:val="auto"/>
        </w:rPr>
        <w:t>Avedick B. Poladian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Laurie A. Siegel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4" w:name="page65"/>
    <w:bookmarkEnd w:id="6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5"/>
              </w:rPr>
              <w:t>Change in</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6"/>
              </w:rPr>
              <w:t>Pension Value</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37"/>
              <w:spacing w:after="0"/>
              <w:rPr>
                <w:sz w:val="20"/>
                <w:szCs w:val="20"/>
                <w:color w:val="auto"/>
              </w:rPr>
            </w:pPr>
            <w:r>
              <w:rPr>
                <w:rFonts w:ascii="Arial" w:cs="Arial" w:eastAsia="Arial" w:hAnsi="Arial"/>
                <w:sz w:val="13"/>
                <w:szCs w:val="13"/>
                <w:b w:val="1"/>
                <w:bCs w:val="1"/>
                <w:color w:val="0075C9"/>
                <w:w w:val="94"/>
              </w:rPr>
              <w:t>and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6"/>
              </w:rPr>
              <w:t>Nonqualified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0075C9"/>
                <w:w w:val="98"/>
              </w:rPr>
              <w:t>Non-Equity</w:t>
            </w:r>
          </w:p>
        </w:tc>
        <w:tc>
          <w:tcPr>
            <w:tcW w:w="260" w:type="dxa"/>
            <w:vAlign w:val="bottom"/>
          </w:tcPr>
          <w:p>
            <w:pPr>
              <w:spacing w:after="0"/>
              <w:rPr>
                <w:sz w:val="12"/>
                <w:szCs w:val="12"/>
                <w:color w:val="auto"/>
              </w:rPr>
            </w:pPr>
          </w:p>
        </w:tc>
        <w:tc>
          <w:tcPr>
            <w:tcW w:w="84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7"/>
              </w:rPr>
              <w:t>Deferred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ind w:right="157"/>
              <w:spacing w:after="0"/>
              <w:rPr>
                <w:sz w:val="20"/>
                <w:szCs w:val="20"/>
                <w:color w:val="auto"/>
              </w:rPr>
            </w:pPr>
            <w:r>
              <w:rPr>
                <w:rFonts w:ascii="Arial" w:cs="Arial" w:eastAsia="Arial" w:hAnsi="Arial"/>
                <w:sz w:val="13"/>
                <w:szCs w:val="13"/>
                <w:b w:val="1"/>
                <w:bCs w:val="1"/>
                <w:color w:val="0075C9"/>
                <w:w w:val="95"/>
              </w:rPr>
              <w:t>Stock</w:t>
            </w:r>
          </w:p>
        </w:tc>
        <w:tc>
          <w:tcPr>
            <w:tcW w:w="300" w:type="dxa"/>
            <w:vAlign w:val="bottom"/>
          </w:tcPr>
          <w:p>
            <w:pPr>
              <w:spacing w:after="0"/>
              <w:rPr>
                <w:sz w:val="12"/>
                <w:szCs w:val="12"/>
                <w:color w:val="auto"/>
              </w:rPr>
            </w:pPr>
          </w:p>
        </w:tc>
        <w:tc>
          <w:tcPr>
            <w:tcW w:w="7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5"/>
              </w:rPr>
              <w:t>Option</w:t>
            </w:r>
          </w:p>
        </w:tc>
        <w:tc>
          <w:tcPr>
            <w:tcW w:w="12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0075C9"/>
                <w:w w:val="96"/>
              </w:rPr>
              <w:t>Incentive Plan</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7"/>
              </w:rPr>
              <w:t>Compensation</w:t>
            </w:r>
          </w:p>
        </w:tc>
        <w:tc>
          <w:tcPr>
            <w:tcW w:w="300" w:type="dxa"/>
            <w:vAlign w:val="bottom"/>
          </w:tcPr>
          <w:p>
            <w:pPr>
              <w:spacing w:after="0"/>
              <w:rPr>
                <w:sz w:val="12"/>
                <w:szCs w:val="12"/>
                <w:color w:val="auto"/>
              </w:rPr>
            </w:pPr>
          </w:p>
        </w:tc>
        <w:tc>
          <w:tcPr>
            <w:tcW w:w="840" w:type="dxa"/>
            <w:vAlign w:val="bottom"/>
          </w:tcPr>
          <w:p>
            <w:pPr>
              <w:jc w:val="center"/>
              <w:ind w:right="217"/>
              <w:spacing w:after="0"/>
              <w:rPr>
                <w:sz w:val="20"/>
                <w:szCs w:val="20"/>
                <w:color w:val="auto"/>
              </w:rPr>
            </w:pPr>
            <w:r>
              <w:rPr>
                <w:rFonts w:ascii="Arial" w:cs="Arial" w:eastAsia="Arial" w:hAnsi="Arial"/>
                <w:sz w:val="13"/>
                <w:szCs w:val="13"/>
                <w:b w:val="1"/>
                <w:bCs w:val="1"/>
                <w:color w:val="0075C9"/>
                <w:w w:val="94"/>
              </w:rPr>
              <w:t>All Other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0075C9"/>
                <w:w w:val="93"/>
              </w:rPr>
              <w:t>Awards</w:t>
            </w:r>
          </w:p>
        </w:tc>
        <w:tc>
          <w:tcPr>
            <w:tcW w:w="300" w:type="dxa"/>
            <w:vAlign w:val="bottom"/>
          </w:tcPr>
          <w:p>
            <w:pPr>
              <w:spacing w:after="0"/>
              <w:rPr>
                <w:sz w:val="11"/>
                <w:szCs w:val="11"/>
                <w:color w:val="auto"/>
              </w:rPr>
            </w:pPr>
          </w:p>
        </w:tc>
        <w:tc>
          <w:tcPr>
            <w:tcW w:w="78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7"/>
              </w:rPr>
              <w:t>Awards</w:t>
            </w:r>
          </w:p>
        </w:tc>
        <w:tc>
          <w:tcPr>
            <w:tcW w:w="122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0075C9"/>
                <w:w w:val="97"/>
              </w:rPr>
              <w:t>Compensation</w:t>
            </w:r>
          </w:p>
        </w:tc>
        <w:tc>
          <w:tcPr>
            <w:tcW w:w="260" w:type="dxa"/>
            <w:vAlign w:val="bottom"/>
          </w:tcPr>
          <w:p>
            <w:pPr>
              <w:spacing w:after="0"/>
              <w:rPr>
                <w:sz w:val="11"/>
                <w:szCs w:val="11"/>
                <w:color w:val="auto"/>
              </w:rPr>
            </w:pPr>
          </w:p>
        </w:tc>
        <w:tc>
          <w:tcPr>
            <w:tcW w:w="84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0075C9"/>
                <w:w w:val="96"/>
              </w:rPr>
              <w:t>Earnings</w:t>
            </w:r>
          </w:p>
        </w:tc>
        <w:tc>
          <w:tcPr>
            <w:tcW w:w="11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5C9"/>
                <w:w w:val="97"/>
              </w:rPr>
              <w:t>Compensation</w:t>
            </w:r>
          </w:p>
        </w:tc>
        <w:tc>
          <w:tcPr>
            <w:tcW w:w="240" w:type="dxa"/>
            <w:vAlign w:val="bottom"/>
          </w:tcPr>
          <w:p>
            <w:pPr>
              <w:spacing w:after="0"/>
              <w:rPr>
                <w:sz w:val="11"/>
                <w:szCs w:val="11"/>
                <w:color w:val="auto"/>
              </w:rPr>
            </w:pPr>
          </w:p>
        </w:tc>
        <w:tc>
          <w:tcPr>
            <w:tcW w:w="840" w:type="dxa"/>
            <w:vAlign w:val="bottom"/>
          </w:tcPr>
          <w:p>
            <w:pPr>
              <w:jc w:val="right"/>
              <w:ind w:right="417"/>
              <w:spacing w:after="0" w:line="135" w:lineRule="exact"/>
              <w:rPr>
                <w:sz w:val="20"/>
                <w:szCs w:val="20"/>
                <w:color w:val="auto"/>
              </w:rPr>
            </w:pPr>
            <w:r>
              <w:rPr>
                <w:rFonts w:ascii="Arial" w:cs="Arial" w:eastAsia="Arial" w:hAnsi="Arial"/>
                <w:sz w:val="13"/>
                <w:szCs w:val="13"/>
                <w:b w:val="1"/>
                <w:bCs w:val="1"/>
                <w:color w:val="0075C9"/>
              </w:rPr>
              <w:t>Total</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760" w:type="dxa"/>
            <w:vAlign w:val="bottom"/>
            <w:tcBorders>
              <w:bottom w:val="single" w:sz="8" w:color="0075C9"/>
            </w:tcBorders>
          </w:tcPr>
          <w:p>
            <w:pPr>
              <w:ind w:left="320"/>
              <w:spacing w:after="0"/>
              <w:rPr>
                <w:sz w:val="20"/>
                <w:szCs w:val="20"/>
                <w:color w:val="auto"/>
              </w:rPr>
            </w:pPr>
            <w:r>
              <w:rPr>
                <w:rFonts w:ascii="Arial" w:cs="Arial" w:eastAsia="Arial" w:hAnsi="Arial"/>
                <w:sz w:val="13"/>
                <w:szCs w:val="13"/>
                <w:b w:val="1"/>
                <w:bCs w:val="1"/>
                <w:color w:val="0075C9"/>
              </w:rPr>
              <w:t>Year</w:t>
            </w:r>
          </w:p>
        </w:tc>
        <w:tc>
          <w:tcPr>
            <w:tcW w:w="960" w:type="dxa"/>
            <w:vAlign w:val="bottom"/>
            <w:tcBorders>
              <w:bottom w:val="single" w:sz="8" w:color="0075C9"/>
            </w:tcBorders>
          </w:tcPr>
          <w:p>
            <w:pPr>
              <w:jc w:val="right"/>
              <w:ind w:right="197"/>
              <w:spacing w:after="0"/>
              <w:rPr>
                <w:sz w:val="20"/>
                <w:szCs w:val="20"/>
                <w:color w:val="auto"/>
              </w:rPr>
            </w:pPr>
            <w:r>
              <w:rPr>
                <w:rFonts w:ascii="Arial" w:cs="Arial" w:eastAsia="Arial" w:hAnsi="Arial"/>
                <w:sz w:val="13"/>
                <w:szCs w:val="13"/>
                <w:b w:val="1"/>
                <w:bCs w:val="1"/>
                <w:color w:val="0075C9"/>
              </w:rPr>
              <w:t>Salary</w:t>
            </w:r>
          </w:p>
        </w:tc>
        <w:tc>
          <w:tcPr>
            <w:tcW w:w="820" w:type="dxa"/>
            <w:vAlign w:val="bottom"/>
            <w:tcBorders>
              <w:bottom w:val="single" w:sz="8" w:color="0075C9"/>
            </w:tcBorders>
            <w:gridSpan w:val="2"/>
          </w:tcPr>
          <w:p>
            <w:pPr>
              <w:jc w:val="right"/>
              <w:ind w:right="117"/>
              <w:spacing w:after="0"/>
              <w:rPr>
                <w:sz w:val="20"/>
                <w:szCs w:val="20"/>
                <w:color w:val="auto"/>
              </w:rPr>
            </w:pPr>
            <w:r>
              <w:rPr>
                <w:rFonts w:ascii="Arial" w:cs="Arial" w:eastAsia="Arial" w:hAnsi="Arial"/>
                <w:sz w:val="13"/>
                <w:szCs w:val="13"/>
                <w:b w:val="1"/>
                <w:bCs w:val="1"/>
                <w:color w:val="0075C9"/>
              </w:rPr>
              <w:t>Bonus</w:t>
            </w:r>
          </w:p>
        </w:tc>
        <w:tc>
          <w:tcPr>
            <w:tcW w:w="280" w:type="dxa"/>
            <w:vAlign w:val="bottom"/>
            <w:tcBorders>
              <w:bottom w:val="single" w:sz="8" w:color="0075C9"/>
            </w:tcBorders>
          </w:tcPr>
          <w:p>
            <w:pPr>
              <w:spacing w:after="0"/>
              <w:rPr>
                <w:sz w:val="13"/>
                <w:szCs w:val="13"/>
                <w:color w:val="auto"/>
              </w:rPr>
            </w:pPr>
          </w:p>
        </w:tc>
        <w:tc>
          <w:tcPr>
            <w:tcW w:w="800" w:type="dxa"/>
            <w:vAlign w:val="bottom"/>
            <w:tcBorders>
              <w:bottom w:val="single" w:sz="8" w:color="0075C9"/>
            </w:tcBorders>
          </w:tcPr>
          <w:p>
            <w:pPr>
              <w:jc w:val="center"/>
              <w:ind w:right="137"/>
              <w:spacing w:after="0"/>
              <w:rPr>
                <w:sz w:val="20"/>
                <w:szCs w:val="20"/>
                <w:color w:val="auto"/>
              </w:rPr>
            </w:pPr>
            <w:r>
              <w:rPr>
                <w:rFonts w:ascii="Arial" w:cs="Arial" w:eastAsia="Arial" w:hAnsi="Arial"/>
                <w:sz w:val="13"/>
                <w:szCs w:val="13"/>
                <w:b w:val="1"/>
                <w:bCs w:val="1"/>
                <w:color w:val="0075C9"/>
              </w:rPr>
              <w:t>(2)</w:t>
            </w:r>
          </w:p>
        </w:tc>
        <w:tc>
          <w:tcPr>
            <w:tcW w:w="300" w:type="dxa"/>
            <w:vAlign w:val="bottom"/>
            <w:tcBorders>
              <w:bottom w:val="single" w:sz="8" w:color="0075C9"/>
            </w:tcBorders>
          </w:tcPr>
          <w:p>
            <w:pPr>
              <w:spacing w:after="0"/>
              <w:rPr>
                <w:sz w:val="13"/>
                <w:szCs w:val="13"/>
                <w:color w:val="auto"/>
              </w:rPr>
            </w:pPr>
          </w:p>
        </w:tc>
        <w:tc>
          <w:tcPr>
            <w:tcW w:w="78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rPr>
              <w:t>(2)</w:t>
            </w:r>
          </w:p>
        </w:tc>
        <w:tc>
          <w:tcPr>
            <w:tcW w:w="40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jc w:val="center"/>
              <w:ind w:right="157"/>
              <w:spacing w:after="0"/>
              <w:rPr>
                <w:sz w:val="20"/>
                <w:szCs w:val="20"/>
                <w:color w:val="auto"/>
              </w:rPr>
            </w:pPr>
            <w:r>
              <w:rPr>
                <w:rFonts w:ascii="Arial" w:cs="Arial" w:eastAsia="Arial" w:hAnsi="Arial"/>
                <w:sz w:val="13"/>
                <w:szCs w:val="13"/>
                <w:b w:val="1"/>
                <w:bCs w:val="1"/>
                <w:color w:val="0075C9"/>
              </w:rPr>
              <w:t>(3)</w:t>
            </w:r>
          </w:p>
        </w:tc>
        <w:tc>
          <w:tcPr>
            <w:tcW w:w="26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jc w:val="center"/>
              <w:ind w:right="257"/>
              <w:spacing w:after="0"/>
              <w:rPr>
                <w:sz w:val="20"/>
                <w:szCs w:val="20"/>
                <w:color w:val="auto"/>
              </w:rPr>
            </w:pPr>
            <w:r>
              <w:rPr>
                <w:rFonts w:ascii="Arial" w:cs="Arial" w:eastAsia="Arial" w:hAnsi="Arial"/>
                <w:sz w:val="13"/>
                <w:szCs w:val="13"/>
                <w:b w:val="1"/>
                <w:bCs w:val="1"/>
                <w:color w:val="0075C9"/>
              </w:rPr>
              <w:t>(4)</w:t>
            </w:r>
          </w:p>
        </w:tc>
        <w:tc>
          <w:tcPr>
            <w:tcW w:w="30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jc w:val="center"/>
              <w:ind w:right="217"/>
              <w:spacing w:after="0"/>
              <w:rPr>
                <w:sz w:val="20"/>
                <w:szCs w:val="20"/>
                <w:color w:val="auto"/>
              </w:rPr>
            </w:pPr>
            <w:r>
              <w:rPr>
                <w:rFonts w:ascii="Arial" w:cs="Arial" w:eastAsia="Arial" w:hAnsi="Arial"/>
                <w:sz w:val="13"/>
                <w:szCs w:val="13"/>
                <w:b w:val="1"/>
                <w:bCs w:val="1"/>
                <w:color w:val="0075C9"/>
              </w:rPr>
              <w:t>(5)</w:t>
            </w:r>
          </w:p>
        </w:tc>
        <w:tc>
          <w:tcPr>
            <w:tcW w:w="24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jc w:val="right"/>
              <w:ind w:right="497"/>
              <w:spacing w:after="0"/>
              <w:rPr>
                <w:sz w:val="20"/>
                <w:szCs w:val="20"/>
                <w:color w:val="auto"/>
              </w:rPr>
            </w:pPr>
            <w:r>
              <w:rPr>
                <w:rFonts w:ascii="Arial" w:cs="Arial" w:eastAsia="Arial" w:hAnsi="Arial"/>
                <w:sz w:val="13"/>
                <w:szCs w:val="13"/>
                <w:b w:val="1"/>
                <w:bCs w:val="1"/>
                <w:color w:val="0075C9"/>
              </w:rPr>
              <w:t>(1)</w:t>
            </w:r>
          </w:p>
        </w:tc>
        <w:tc>
          <w:tcPr>
            <w:tcW w:w="0" w:type="dxa"/>
            <w:vAlign w:val="bottom"/>
          </w:tcPr>
          <w:p>
            <w:pPr>
              <w:spacing w:after="0"/>
              <w:rPr>
                <w:sz w:val="1"/>
                <w:szCs w:val="1"/>
                <w:color w:val="auto"/>
              </w:rPr>
            </w:pPr>
          </w:p>
        </w:tc>
      </w:tr>
      <w:tr>
        <w:trPr>
          <w:trHeight w:val="142"/>
        </w:trPr>
        <w:tc>
          <w:tcPr>
            <w:tcW w:w="2000" w:type="dxa"/>
            <w:vAlign w:val="bottom"/>
            <w:shd w:val="clear" w:color="auto" w:fill="EBEBEC"/>
          </w:tcPr>
          <w:p>
            <w:pPr>
              <w:spacing w:after="0" w:line="142" w:lineRule="exact"/>
              <w:rPr>
                <w:sz w:val="20"/>
                <w:szCs w:val="20"/>
                <w:color w:val="auto"/>
              </w:rPr>
            </w:pPr>
            <w:r>
              <w:rPr>
                <w:rFonts w:ascii="Arial" w:cs="Arial" w:eastAsia="Arial" w:hAnsi="Arial"/>
                <w:sz w:val="13"/>
                <w:szCs w:val="13"/>
                <w:b w:val="1"/>
                <w:bCs w:val="1"/>
                <w:color w:val="0075C9"/>
              </w:rPr>
              <w:t>Todd A. Stevens</w:t>
            </w:r>
          </w:p>
        </w:tc>
        <w:tc>
          <w:tcPr>
            <w:tcW w:w="760" w:type="dxa"/>
            <w:vAlign w:val="bottom"/>
            <w:shd w:val="clear" w:color="auto" w:fill="EBEBEC"/>
          </w:tcPr>
          <w:p>
            <w:pPr>
              <w:ind w:left="320"/>
              <w:spacing w:after="0" w:line="142" w:lineRule="exact"/>
              <w:rPr>
                <w:sz w:val="20"/>
                <w:szCs w:val="20"/>
                <w:color w:val="auto"/>
              </w:rPr>
            </w:pPr>
            <w:r>
              <w:rPr>
                <w:rFonts w:ascii="Arial" w:cs="Arial" w:eastAsia="Arial" w:hAnsi="Arial"/>
                <w:sz w:val="13"/>
                <w:szCs w:val="13"/>
                <w:color w:val="auto"/>
              </w:rPr>
              <w:t>2019</w:t>
            </w:r>
          </w:p>
        </w:tc>
        <w:tc>
          <w:tcPr>
            <w:tcW w:w="960" w:type="dxa"/>
            <w:vAlign w:val="bottom"/>
            <w:shd w:val="clear" w:color="auto" w:fill="EBEBEC"/>
          </w:tcPr>
          <w:p>
            <w:pPr>
              <w:jc w:val="right"/>
              <w:ind w:right="157"/>
              <w:spacing w:after="0" w:line="142" w:lineRule="exact"/>
              <w:rPr>
                <w:sz w:val="20"/>
                <w:szCs w:val="20"/>
                <w:color w:val="auto"/>
              </w:rPr>
            </w:pPr>
            <w:r>
              <w:rPr>
                <w:rFonts w:ascii="Arial" w:cs="Arial" w:eastAsia="Arial" w:hAnsi="Arial"/>
                <w:sz w:val="13"/>
                <w:szCs w:val="13"/>
                <w:color w:val="auto"/>
              </w:rPr>
              <w:t>$ 875,000</w:t>
            </w:r>
          </w:p>
        </w:tc>
        <w:tc>
          <w:tcPr>
            <w:tcW w:w="400" w:type="dxa"/>
            <w:vAlign w:val="bottom"/>
            <w:shd w:val="clear" w:color="auto" w:fill="EBEBE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177"/>
              <w:spacing w:after="0" w:line="142" w:lineRule="exact"/>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57"/>
              <w:spacing w:after="0" w:line="142" w:lineRule="exact"/>
              <w:rPr>
                <w:sz w:val="20"/>
                <w:szCs w:val="20"/>
                <w:color w:val="auto"/>
              </w:rPr>
            </w:pPr>
            <w:r>
              <w:rPr>
                <w:rFonts w:ascii="Arial" w:cs="Arial" w:eastAsia="Arial" w:hAnsi="Arial"/>
                <w:sz w:val="13"/>
                <w:szCs w:val="13"/>
                <w:color w:val="auto"/>
                <w:w w:val="96"/>
              </w:rPr>
              <w:t>4,860,022</w:t>
            </w:r>
          </w:p>
        </w:tc>
        <w:tc>
          <w:tcPr>
            <w:tcW w:w="30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line="142" w:lineRule="exact"/>
              <w:rPr>
                <w:sz w:val="20"/>
                <w:szCs w:val="20"/>
                <w:color w:val="auto"/>
              </w:rPr>
            </w:pPr>
            <w:r>
              <w:rPr>
                <w:rFonts w:ascii="Arial" w:cs="Arial" w:eastAsia="Arial" w:hAnsi="Arial"/>
                <w:sz w:val="13"/>
                <w:szCs w:val="13"/>
                <w:color w:val="auto"/>
              </w:rPr>
              <w:t>540,002</w:t>
            </w:r>
          </w:p>
        </w:tc>
        <w:tc>
          <w:tcPr>
            <w:tcW w:w="40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77"/>
              <w:spacing w:after="0" w:line="142" w:lineRule="exact"/>
              <w:rPr>
                <w:sz w:val="20"/>
                <w:szCs w:val="20"/>
                <w:color w:val="auto"/>
              </w:rPr>
            </w:pPr>
            <w:r>
              <w:rPr>
                <w:rFonts w:ascii="Arial" w:cs="Arial" w:eastAsia="Arial" w:hAnsi="Arial"/>
                <w:sz w:val="13"/>
                <w:szCs w:val="13"/>
                <w:color w:val="auto"/>
                <w:w w:val="96"/>
              </w:rPr>
              <w:t>3,756,250</w:t>
            </w:r>
          </w:p>
        </w:tc>
        <w:tc>
          <w:tcPr>
            <w:tcW w:w="26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7"/>
              <w:spacing w:after="0" w:line="142" w:lineRule="exact"/>
              <w:rPr>
                <w:sz w:val="20"/>
                <w:szCs w:val="20"/>
                <w:color w:val="auto"/>
              </w:rPr>
            </w:pPr>
            <w:r>
              <w:rPr>
                <w:rFonts w:ascii="Arial" w:cs="Arial" w:eastAsia="Arial" w:hAnsi="Arial"/>
                <w:sz w:val="13"/>
                <w:szCs w:val="13"/>
                <w:color w:val="auto"/>
              </w:rPr>
              <w:t>34,615</w:t>
            </w:r>
          </w:p>
        </w:tc>
        <w:tc>
          <w:tcPr>
            <w:tcW w:w="30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center"/>
              <w:ind w:right="197"/>
              <w:spacing w:after="0" w:line="142" w:lineRule="exact"/>
              <w:rPr>
                <w:sz w:val="20"/>
                <w:szCs w:val="20"/>
                <w:color w:val="auto"/>
              </w:rPr>
            </w:pPr>
            <w:r>
              <w:rPr>
                <w:rFonts w:ascii="Arial" w:cs="Arial" w:eastAsia="Arial" w:hAnsi="Arial"/>
                <w:sz w:val="13"/>
                <w:szCs w:val="13"/>
                <w:color w:val="auto"/>
                <w:w w:val="97"/>
              </w:rPr>
              <w:t>431,188</w:t>
            </w:r>
          </w:p>
        </w:tc>
        <w:tc>
          <w:tcPr>
            <w:tcW w:w="24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77"/>
              <w:spacing w:after="0" w:line="142" w:lineRule="exact"/>
              <w:rPr>
                <w:sz w:val="20"/>
                <w:szCs w:val="20"/>
                <w:color w:val="auto"/>
              </w:rPr>
            </w:pPr>
            <w:r>
              <w:rPr>
                <w:rFonts w:ascii="Arial" w:cs="Arial" w:eastAsia="Arial" w:hAnsi="Arial"/>
                <w:sz w:val="13"/>
                <w:szCs w:val="13"/>
                <w:color w:val="auto"/>
              </w:rPr>
              <w:t>10,497,077</w:t>
            </w:r>
          </w:p>
        </w:tc>
        <w:tc>
          <w:tcPr>
            <w:tcW w:w="0" w:type="dxa"/>
            <w:vAlign w:val="bottom"/>
          </w:tcPr>
          <w:p>
            <w:pPr>
              <w:spacing w:after="0"/>
              <w:rPr>
                <w:sz w:val="1"/>
                <w:szCs w:val="1"/>
                <w:color w:val="auto"/>
              </w:rPr>
            </w:pPr>
          </w:p>
        </w:tc>
      </w:tr>
      <w:tr>
        <w:trPr>
          <w:trHeight w:val="162"/>
        </w:trPr>
        <w:tc>
          <w:tcPr>
            <w:tcW w:w="2000" w:type="dxa"/>
            <w:vAlign w:val="bottom"/>
            <w:shd w:val="clear" w:color="auto" w:fill="EBEBEC"/>
          </w:tcPr>
          <w:p>
            <w:pPr>
              <w:spacing w:after="0"/>
              <w:rPr>
                <w:sz w:val="20"/>
                <w:szCs w:val="20"/>
                <w:color w:val="auto"/>
              </w:rPr>
            </w:pPr>
            <w:r>
              <w:rPr>
                <w:rFonts w:ascii="Arial" w:cs="Arial" w:eastAsia="Arial" w:hAnsi="Arial"/>
                <w:sz w:val="13"/>
                <w:szCs w:val="13"/>
                <w:color w:val="auto"/>
              </w:rPr>
              <w:t>President and Chief</w:t>
            </w:r>
          </w:p>
        </w:tc>
        <w:tc>
          <w:tcPr>
            <w:tcW w:w="7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2018</w:t>
            </w:r>
          </w:p>
        </w:tc>
        <w:tc>
          <w:tcPr>
            <w:tcW w:w="96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$ 867,308</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6"/>
              </w:rPr>
              <w:t>4,680,020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520,008</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w w:val="96"/>
              </w:rPr>
              <w:t>1,200,000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36,953</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center"/>
              <w:ind w:right="197"/>
              <w:spacing w:after="0"/>
              <w:rPr>
                <w:sz w:val="20"/>
                <w:szCs w:val="20"/>
                <w:color w:val="auto"/>
              </w:rPr>
            </w:pPr>
            <w:r>
              <w:rPr>
                <w:rFonts w:ascii="Arial" w:cs="Arial" w:eastAsia="Arial" w:hAnsi="Arial"/>
                <w:sz w:val="13"/>
                <w:szCs w:val="13"/>
                <w:color w:val="auto"/>
                <w:w w:val="97"/>
              </w:rPr>
              <w:t>430,368</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7,734,657</w:t>
            </w:r>
          </w:p>
        </w:tc>
        <w:tc>
          <w:tcPr>
            <w:tcW w:w="0" w:type="dxa"/>
            <w:vAlign w:val="bottom"/>
          </w:tcPr>
          <w:p>
            <w:pPr>
              <w:spacing w:after="0"/>
              <w:rPr>
                <w:sz w:val="1"/>
                <w:szCs w:val="1"/>
                <w:color w:val="auto"/>
              </w:rPr>
            </w:pPr>
          </w:p>
        </w:tc>
      </w:tr>
      <w:tr>
        <w:trPr>
          <w:trHeight w:val="162"/>
        </w:trPr>
        <w:tc>
          <w:tcPr>
            <w:tcW w:w="2000" w:type="dxa"/>
            <w:vAlign w:val="bottom"/>
            <w:shd w:val="clear" w:color="auto" w:fill="EBEBEC"/>
          </w:tcPr>
          <w:p>
            <w:pPr>
              <w:spacing w:after="0"/>
              <w:rPr>
                <w:sz w:val="20"/>
                <w:szCs w:val="20"/>
                <w:color w:val="auto"/>
              </w:rPr>
            </w:pPr>
            <w:r>
              <w:rPr>
                <w:rFonts w:ascii="Arial" w:cs="Arial" w:eastAsia="Arial" w:hAnsi="Arial"/>
                <w:sz w:val="13"/>
                <w:szCs w:val="13"/>
                <w:color w:val="auto"/>
              </w:rPr>
              <w:t>Executive Officer</w:t>
            </w:r>
          </w:p>
        </w:tc>
        <w:tc>
          <w:tcPr>
            <w:tcW w:w="7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2017</w:t>
            </w:r>
          </w:p>
        </w:tc>
        <w:tc>
          <w:tcPr>
            <w:tcW w:w="96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$ 825,000</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6"/>
              </w:rPr>
              <w:t>2,400,000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w w:val="96"/>
              </w:rPr>
              <w:t>1,170,000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19,178</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center"/>
              <w:ind w:right="197"/>
              <w:spacing w:after="0"/>
              <w:rPr>
                <w:sz w:val="20"/>
                <w:szCs w:val="20"/>
                <w:color w:val="auto"/>
              </w:rPr>
            </w:pPr>
            <w:r>
              <w:rPr>
                <w:rFonts w:ascii="Arial" w:cs="Arial" w:eastAsia="Arial" w:hAnsi="Arial"/>
                <w:sz w:val="13"/>
                <w:szCs w:val="13"/>
                <w:color w:val="auto"/>
                <w:w w:val="97"/>
              </w:rPr>
              <w:t>440,483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4,854,661</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20"/>
                <w:szCs w:val="20"/>
                <w:color w:val="auto"/>
              </w:rPr>
            </w:pPr>
            <w:r>
              <w:rPr>
                <w:rFonts w:ascii="Arial" w:cs="Arial" w:eastAsia="Arial" w:hAnsi="Arial"/>
                <w:sz w:val="13"/>
                <w:szCs w:val="13"/>
                <w:b w:val="1"/>
                <w:bCs w:val="1"/>
                <w:color w:val="0075C9"/>
              </w:rPr>
              <w:t>Marshall D. Smith</w:t>
            </w:r>
          </w:p>
        </w:tc>
        <w:tc>
          <w:tcPr>
            <w:tcW w:w="760" w:type="dxa"/>
            <w:vAlign w:val="bottom"/>
          </w:tcPr>
          <w:p>
            <w:pPr>
              <w:ind w:left="320"/>
              <w:spacing w:after="0"/>
              <w:rPr>
                <w:sz w:val="20"/>
                <w:szCs w:val="20"/>
                <w:color w:val="auto"/>
              </w:rPr>
            </w:pPr>
            <w:r>
              <w:rPr>
                <w:rFonts w:ascii="Arial" w:cs="Arial" w:eastAsia="Arial" w:hAnsi="Arial"/>
                <w:sz w:val="13"/>
                <w:szCs w:val="13"/>
                <w:color w:val="auto"/>
              </w:rPr>
              <w:t>2019</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$ 600,000</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w w:val="96"/>
              </w:rPr>
              <w:t>1,800,020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7"/>
              <w:spacing w:after="0"/>
              <w:rPr>
                <w:sz w:val="20"/>
                <w:szCs w:val="20"/>
                <w:color w:val="auto"/>
              </w:rPr>
            </w:pPr>
            <w:r>
              <w:rPr>
                <w:rFonts w:ascii="Arial" w:cs="Arial" w:eastAsia="Arial" w:hAnsi="Arial"/>
                <w:sz w:val="13"/>
                <w:szCs w:val="13"/>
                <w:color w:val="auto"/>
              </w:rPr>
              <w:t>200,013</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w w:val="96"/>
              </w:rPr>
              <w:t>2,073,700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77"/>
              <w:spacing w:after="0"/>
              <w:rPr>
                <w:sz w:val="20"/>
                <w:szCs w:val="20"/>
                <w:color w:val="auto"/>
              </w:rPr>
            </w:pPr>
            <w:r>
              <w:rPr>
                <w:rFonts w:ascii="Arial" w:cs="Arial" w:eastAsia="Arial" w:hAnsi="Arial"/>
                <w:sz w:val="13"/>
                <w:szCs w:val="13"/>
                <w:color w:val="auto"/>
              </w:rPr>
              <w:t>9,699</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center"/>
              <w:ind w:right="197"/>
              <w:spacing w:after="0"/>
              <w:rPr>
                <w:sz w:val="20"/>
                <w:szCs w:val="20"/>
                <w:color w:val="auto"/>
              </w:rPr>
            </w:pPr>
            <w:r>
              <w:rPr>
                <w:rFonts w:ascii="Arial" w:cs="Arial" w:eastAsia="Arial" w:hAnsi="Arial"/>
                <w:sz w:val="13"/>
                <w:szCs w:val="13"/>
                <w:color w:val="auto"/>
                <w:w w:val="97"/>
              </w:rPr>
              <w:t>271,941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4,955,373</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3"/>
                <w:szCs w:val="13"/>
                <w:color w:val="auto"/>
              </w:rPr>
              <w:t>Senior Executive Vice</w:t>
            </w:r>
          </w:p>
        </w:tc>
        <w:tc>
          <w:tcPr>
            <w:tcW w:w="760" w:type="dxa"/>
            <w:vAlign w:val="bottom"/>
          </w:tcPr>
          <w:p>
            <w:pPr>
              <w:ind w:left="320"/>
              <w:spacing w:after="0"/>
              <w:rPr>
                <w:sz w:val="20"/>
                <w:szCs w:val="20"/>
                <w:color w:val="auto"/>
              </w:rPr>
            </w:pPr>
            <w:r>
              <w:rPr>
                <w:rFonts w:ascii="Arial" w:cs="Arial" w:eastAsia="Arial" w:hAnsi="Arial"/>
                <w:sz w:val="13"/>
                <w:szCs w:val="13"/>
                <w:color w:val="auto"/>
              </w:rPr>
              <w:t>2018</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$ 600,000</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w w:val="96"/>
              </w:rPr>
              <w:t>1,710,022</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7"/>
              <w:spacing w:after="0"/>
              <w:rPr>
                <w:sz w:val="20"/>
                <w:szCs w:val="20"/>
                <w:color w:val="auto"/>
              </w:rPr>
            </w:pPr>
            <w:r>
              <w:rPr>
                <w:rFonts w:ascii="Arial" w:cs="Arial" w:eastAsia="Arial" w:hAnsi="Arial"/>
                <w:sz w:val="13"/>
                <w:szCs w:val="13"/>
                <w:color w:val="auto"/>
              </w:rPr>
              <w:t>190,009</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750,000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77"/>
              <w:spacing w:after="0"/>
              <w:rPr>
                <w:sz w:val="20"/>
                <w:szCs w:val="20"/>
                <w:color w:val="auto"/>
              </w:rPr>
            </w:pPr>
            <w:r>
              <w:rPr>
                <w:rFonts w:ascii="Arial" w:cs="Arial" w:eastAsia="Arial" w:hAnsi="Arial"/>
                <w:sz w:val="13"/>
                <w:szCs w:val="13"/>
                <w:color w:val="auto"/>
              </w:rPr>
              <w:t>7,648</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center"/>
              <w:ind w:right="197"/>
              <w:spacing w:after="0"/>
              <w:rPr>
                <w:sz w:val="20"/>
                <w:szCs w:val="20"/>
                <w:color w:val="auto"/>
              </w:rPr>
            </w:pPr>
            <w:r>
              <w:rPr>
                <w:rFonts w:ascii="Arial" w:cs="Arial" w:eastAsia="Arial" w:hAnsi="Arial"/>
                <w:sz w:val="13"/>
                <w:szCs w:val="13"/>
                <w:color w:val="auto"/>
                <w:w w:val="97"/>
              </w:rPr>
              <w:t>300,821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3,558,500</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3"/>
                <w:szCs w:val="13"/>
                <w:color w:val="auto"/>
              </w:rPr>
              <w:t>President and</w:t>
            </w:r>
          </w:p>
        </w:tc>
        <w:tc>
          <w:tcPr>
            <w:tcW w:w="760" w:type="dxa"/>
            <w:vAlign w:val="bottom"/>
          </w:tcPr>
          <w:p>
            <w:pPr>
              <w:ind w:left="320"/>
              <w:spacing w:after="0"/>
              <w:rPr>
                <w:sz w:val="20"/>
                <w:szCs w:val="20"/>
                <w:color w:val="auto"/>
              </w:rPr>
            </w:pPr>
            <w:r>
              <w:rPr>
                <w:rFonts w:ascii="Arial" w:cs="Arial" w:eastAsia="Arial" w:hAnsi="Arial"/>
                <w:sz w:val="13"/>
                <w:szCs w:val="13"/>
                <w:color w:val="auto"/>
              </w:rPr>
              <w:t>2017</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$ 600,000</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950,000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850,000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77"/>
              <w:spacing w:after="0"/>
              <w:rPr>
                <w:sz w:val="20"/>
                <w:szCs w:val="20"/>
                <w:color w:val="auto"/>
              </w:rPr>
            </w:pPr>
            <w:r>
              <w:rPr>
                <w:rFonts w:ascii="Arial" w:cs="Arial" w:eastAsia="Arial" w:hAnsi="Arial"/>
                <w:sz w:val="13"/>
                <w:szCs w:val="13"/>
                <w:color w:val="auto"/>
              </w:rPr>
              <w:t>2,783</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center"/>
              <w:ind w:right="197"/>
              <w:spacing w:after="0"/>
              <w:rPr>
                <w:sz w:val="20"/>
                <w:szCs w:val="20"/>
                <w:color w:val="auto"/>
              </w:rPr>
            </w:pPr>
            <w:r>
              <w:rPr>
                <w:rFonts w:ascii="Arial" w:cs="Arial" w:eastAsia="Arial" w:hAnsi="Arial"/>
                <w:sz w:val="13"/>
                <w:szCs w:val="13"/>
                <w:color w:val="auto"/>
                <w:w w:val="97"/>
              </w:rPr>
              <w:t>322,349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2,725,132</w:t>
            </w:r>
          </w:p>
        </w:tc>
        <w:tc>
          <w:tcPr>
            <w:tcW w:w="0" w:type="dxa"/>
            <w:vAlign w:val="bottom"/>
          </w:tcPr>
          <w:p>
            <w:pPr>
              <w:spacing w:after="0"/>
              <w:rPr>
                <w:sz w:val="1"/>
                <w:szCs w:val="1"/>
                <w:color w:val="auto"/>
              </w:rPr>
            </w:pPr>
          </w:p>
        </w:tc>
      </w:tr>
      <w:tr>
        <w:trPr>
          <w:trHeight w:val="151"/>
        </w:trPr>
        <w:tc>
          <w:tcPr>
            <w:tcW w:w="200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Darren Williams</w:t>
            </w:r>
          </w:p>
        </w:tc>
        <w:tc>
          <w:tcPr>
            <w:tcW w:w="7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2019</w:t>
            </w:r>
          </w:p>
        </w:tc>
        <w:tc>
          <w:tcPr>
            <w:tcW w:w="96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$ 450,000</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990,019</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110,010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w w:val="96"/>
              </w:rPr>
              <w:t>1,223,194</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5,958</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center"/>
              <w:ind w:right="197"/>
              <w:spacing w:after="0"/>
              <w:rPr>
                <w:sz w:val="20"/>
                <w:szCs w:val="20"/>
                <w:color w:val="auto"/>
              </w:rPr>
            </w:pPr>
            <w:r>
              <w:rPr>
                <w:rFonts w:ascii="Arial" w:cs="Arial" w:eastAsia="Arial" w:hAnsi="Arial"/>
                <w:sz w:val="13"/>
                <w:szCs w:val="13"/>
                <w:color w:val="auto"/>
                <w:w w:val="97"/>
              </w:rPr>
              <w:t>184,374</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2,963,555</w:t>
            </w:r>
          </w:p>
        </w:tc>
        <w:tc>
          <w:tcPr>
            <w:tcW w:w="0" w:type="dxa"/>
            <w:vAlign w:val="bottom"/>
          </w:tcPr>
          <w:p>
            <w:pPr>
              <w:spacing w:after="0"/>
              <w:rPr>
                <w:sz w:val="1"/>
                <w:szCs w:val="1"/>
                <w:color w:val="auto"/>
              </w:rPr>
            </w:pPr>
          </w:p>
        </w:tc>
      </w:tr>
      <w:tr>
        <w:trPr>
          <w:trHeight w:val="162"/>
        </w:trPr>
        <w:tc>
          <w:tcPr>
            <w:tcW w:w="2000" w:type="dxa"/>
            <w:vAlign w:val="bottom"/>
            <w:shd w:val="clear" w:color="auto" w:fill="EBEBEC"/>
          </w:tcPr>
          <w:p>
            <w:pPr>
              <w:spacing w:after="0"/>
              <w:rPr>
                <w:sz w:val="20"/>
                <w:szCs w:val="20"/>
                <w:color w:val="auto"/>
              </w:rPr>
            </w:pPr>
            <w:r>
              <w:rPr>
                <w:rFonts w:ascii="Arial" w:cs="Arial" w:eastAsia="Arial" w:hAnsi="Arial"/>
                <w:sz w:val="13"/>
                <w:szCs w:val="13"/>
                <w:color w:val="auto"/>
              </w:rPr>
              <w:t>Executive Vice President–</w:t>
            </w:r>
          </w:p>
        </w:tc>
        <w:tc>
          <w:tcPr>
            <w:tcW w:w="7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2018</w:t>
            </w:r>
          </w:p>
        </w:tc>
        <w:tc>
          <w:tcPr>
            <w:tcW w:w="96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$ 450,000</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945,005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105,010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510,000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4,666</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center"/>
              <w:ind w:right="197"/>
              <w:spacing w:after="0"/>
              <w:rPr>
                <w:sz w:val="20"/>
                <w:szCs w:val="20"/>
                <w:color w:val="auto"/>
              </w:rPr>
            </w:pPr>
            <w:r>
              <w:rPr>
                <w:rFonts w:ascii="Arial" w:cs="Arial" w:eastAsia="Arial" w:hAnsi="Arial"/>
                <w:sz w:val="13"/>
                <w:szCs w:val="13"/>
                <w:color w:val="auto"/>
                <w:w w:val="97"/>
              </w:rPr>
              <w:t>200,368</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2,215,049</w:t>
            </w:r>
          </w:p>
        </w:tc>
        <w:tc>
          <w:tcPr>
            <w:tcW w:w="0" w:type="dxa"/>
            <w:vAlign w:val="bottom"/>
          </w:tcPr>
          <w:p>
            <w:pPr>
              <w:spacing w:after="0"/>
              <w:rPr>
                <w:sz w:val="1"/>
                <w:szCs w:val="1"/>
                <w:color w:val="auto"/>
              </w:rPr>
            </w:pPr>
          </w:p>
        </w:tc>
      </w:tr>
      <w:tr>
        <w:trPr>
          <w:trHeight w:val="173"/>
        </w:trPr>
        <w:tc>
          <w:tcPr>
            <w:tcW w:w="2000" w:type="dxa"/>
            <w:vAlign w:val="bottom"/>
            <w:vMerge w:val="restart"/>
            <w:shd w:val="clear" w:color="auto" w:fill="EBEBEC"/>
          </w:tcPr>
          <w:p>
            <w:pPr>
              <w:spacing w:after="0"/>
              <w:rPr>
                <w:sz w:val="20"/>
                <w:szCs w:val="20"/>
                <w:color w:val="auto"/>
              </w:rPr>
            </w:pPr>
            <w:r>
              <w:rPr>
                <w:rFonts w:ascii="Arial" w:cs="Arial" w:eastAsia="Arial" w:hAnsi="Arial"/>
                <w:sz w:val="13"/>
                <w:szCs w:val="13"/>
                <w:color w:val="auto"/>
              </w:rPr>
              <w:t>Operations and Geoscience</w:t>
            </w:r>
          </w:p>
        </w:tc>
        <w:tc>
          <w:tcPr>
            <w:tcW w:w="7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2017</w:t>
            </w:r>
          </w:p>
        </w:tc>
        <w:tc>
          <w:tcPr>
            <w:tcW w:w="96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$ 450,000</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500,000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550,000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1,735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center"/>
              <w:ind w:right="197"/>
              <w:spacing w:after="0"/>
              <w:rPr>
                <w:sz w:val="20"/>
                <w:szCs w:val="20"/>
                <w:color w:val="auto"/>
              </w:rPr>
            </w:pPr>
            <w:r>
              <w:rPr>
                <w:rFonts w:ascii="Arial" w:cs="Arial" w:eastAsia="Arial" w:hAnsi="Arial"/>
                <w:sz w:val="13"/>
                <w:szCs w:val="13"/>
                <w:color w:val="auto"/>
                <w:w w:val="97"/>
              </w:rPr>
              <w:t>202,424</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1,704,159</w:t>
            </w:r>
          </w:p>
        </w:tc>
        <w:tc>
          <w:tcPr>
            <w:tcW w:w="0" w:type="dxa"/>
            <w:vAlign w:val="bottom"/>
          </w:tcPr>
          <w:p>
            <w:pPr>
              <w:spacing w:after="0"/>
              <w:rPr>
                <w:sz w:val="1"/>
                <w:szCs w:val="1"/>
                <w:color w:val="auto"/>
              </w:rPr>
            </w:pPr>
          </w:p>
        </w:tc>
      </w:tr>
      <w:tr>
        <w:trPr>
          <w:trHeight w:val="50"/>
        </w:trPr>
        <w:tc>
          <w:tcPr>
            <w:tcW w:w="2000" w:type="dxa"/>
            <w:vAlign w:val="bottom"/>
            <w:tcBorders>
              <w:bottom w:val="single" w:sz="8" w:color="EBEBEC"/>
            </w:tcBorders>
            <w:vMerge w:val="continue"/>
            <w:shd w:val="clear" w:color="auto" w:fill="EBEBEC"/>
          </w:tcPr>
          <w:p>
            <w:pPr>
              <w:spacing w:after="0"/>
              <w:rPr>
                <w:sz w:val="4"/>
                <w:szCs w:val="4"/>
                <w:color w:val="auto"/>
              </w:rPr>
            </w:pPr>
          </w:p>
        </w:tc>
        <w:tc>
          <w:tcPr>
            <w:tcW w:w="760" w:type="dxa"/>
            <w:vAlign w:val="bottom"/>
            <w:tcBorders>
              <w:bottom w:val="single" w:sz="8" w:color="EBEBEC"/>
            </w:tcBorders>
            <w:shd w:val="clear" w:color="auto" w:fill="EBEBEC"/>
          </w:tcPr>
          <w:p>
            <w:pPr>
              <w:spacing w:after="0"/>
              <w:rPr>
                <w:sz w:val="4"/>
                <w:szCs w:val="4"/>
                <w:color w:val="auto"/>
              </w:rPr>
            </w:pPr>
          </w:p>
        </w:tc>
        <w:tc>
          <w:tcPr>
            <w:tcW w:w="960" w:type="dxa"/>
            <w:vAlign w:val="bottom"/>
            <w:tcBorders>
              <w:bottom w:val="single" w:sz="8" w:color="EBEBEC"/>
            </w:tcBorders>
            <w:shd w:val="clear" w:color="auto" w:fill="EBEBEC"/>
          </w:tcPr>
          <w:p>
            <w:pPr>
              <w:spacing w:after="0"/>
              <w:rPr>
                <w:sz w:val="4"/>
                <w:szCs w:val="4"/>
                <w:color w:val="auto"/>
              </w:rPr>
            </w:pPr>
          </w:p>
        </w:tc>
        <w:tc>
          <w:tcPr>
            <w:tcW w:w="400" w:type="dxa"/>
            <w:vAlign w:val="bottom"/>
            <w:tcBorders>
              <w:bottom w:val="single" w:sz="8" w:color="EBEBEC"/>
            </w:tcBorders>
            <w:shd w:val="clear" w:color="auto" w:fill="EBEBEC"/>
          </w:tcPr>
          <w:p>
            <w:pPr>
              <w:spacing w:after="0"/>
              <w:rPr>
                <w:sz w:val="4"/>
                <w:szCs w:val="4"/>
                <w:color w:val="auto"/>
              </w:rPr>
            </w:pPr>
          </w:p>
        </w:tc>
        <w:tc>
          <w:tcPr>
            <w:tcW w:w="420" w:type="dxa"/>
            <w:vAlign w:val="bottom"/>
            <w:tcBorders>
              <w:bottom w:val="single" w:sz="8" w:color="EBEBEC"/>
            </w:tcBorders>
            <w:shd w:val="clear" w:color="auto" w:fill="EBEBEC"/>
          </w:tcPr>
          <w:p>
            <w:pPr>
              <w:spacing w:after="0"/>
              <w:rPr>
                <w:sz w:val="4"/>
                <w:szCs w:val="4"/>
                <w:color w:val="auto"/>
              </w:rPr>
            </w:pPr>
          </w:p>
        </w:tc>
        <w:tc>
          <w:tcPr>
            <w:tcW w:w="280" w:type="dxa"/>
            <w:vAlign w:val="bottom"/>
            <w:tcBorders>
              <w:bottom w:val="single" w:sz="8" w:color="EBEBEC"/>
            </w:tcBorders>
            <w:shd w:val="clear" w:color="auto" w:fill="EBEBEC"/>
          </w:tcPr>
          <w:p>
            <w:pPr>
              <w:spacing w:after="0"/>
              <w:rPr>
                <w:sz w:val="4"/>
                <w:szCs w:val="4"/>
                <w:color w:val="auto"/>
              </w:rPr>
            </w:pPr>
          </w:p>
        </w:tc>
        <w:tc>
          <w:tcPr>
            <w:tcW w:w="800" w:type="dxa"/>
            <w:vAlign w:val="bottom"/>
            <w:tcBorders>
              <w:bottom w:val="single" w:sz="8" w:color="EBEBEC"/>
            </w:tcBorders>
            <w:shd w:val="clear" w:color="auto" w:fill="EBEBEC"/>
          </w:tcPr>
          <w:p>
            <w:pPr>
              <w:spacing w:after="0"/>
              <w:rPr>
                <w:sz w:val="4"/>
                <w:szCs w:val="4"/>
                <w:color w:val="auto"/>
              </w:rPr>
            </w:pPr>
          </w:p>
        </w:tc>
        <w:tc>
          <w:tcPr>
            <w:tcW w:w="300" w:type="dxa"/>
            <w:vAlign w:val="bottom"/>
            <w:tcBorders>
              <w:bottom w:val="single" w:sz="8" w:color="EBEBEC"/>
            </w:tcBorders>
            <w:shd w:val="clear" w:color="auto" w:fill="EBEBEC"/>
          </w:tcPr>
          <w:p>
            <w:pPr>
              <w:spacing w:after="0"/>
              <w:rPr>
                <w:sz w:val="4"/>
                <w:szCs w:val="4"/>
                <w:color w:val="auto"/>
              </w:rPr>
            </w:pPr>
          </w:p>
        </w:tc>
        <w:tc>
          <w:tcPr>
            <w:tcW w:w="780" w:type="dxa"/>
            <w:vAlign w:val="bottom"/>
            <w:tcBorders>
              <w:bottom w:val="single" w:sz="8" w:color="EBEBEC"/>
            </w:tcBorders>
            <w:shd w:val="clear" w:color="auto" w:fill="EBEBEC"/>
          </w:tcPr>
          <w:p>
            <w:pPr>
              <w:spacing w:after="0"/>
              <w:rPr>
                <w:sz w:val="4"/>
                <w:szCs w:val="4"/>
                <w:color w:val="auto"/>
              </w:rPr>
            </w:pPr>
          </w:p>
        </w:tc>
        <w:tc>
          <w:tcPr>
            <w:tcW w:w="400" w:type="dxa"/>
            <w:vAlign w:val="bottom"/>
            <w:tcBorders>
              <w:bottom w:val="single" w:sz="8" w:color="EBEBEC"/>
            </w:tcBorders>
            <w:shd w:val="clear" w:color="auto" w:fill="EBEBEC"/>
          </w:tcPr>
          <w:p>
            <w:pPr>
              <w:spacing w:after="0"/>
              <w:rPr>
                <w:sz w:val="4"/>
                <w:szCs w:val="4"/>
                <w:color w:val="auto"/>
              </w:rPr>
            </w:pPr>
          </w:p>
        </w:tc>
        <w:tc>
          <w:tcPr>
            <w:tcW w:w="820" w:type="dxa"/>
            <w:vAlign w:val="bottom"/>
            <w:tcBorders>
              <w:bottom w:val="single" w:sz="8" w:color="EBEBEC"/>
            </w:tcBorders>
            <w:shd w:val="clear" w:color="auto" w:fill="EBEBEC"/>
          </w:tcPr>
          <w:p>
            <w:pPr>
              <w:spacing w:after="0"/>
              <w:rPr>
                <w:sz w:val="4"/>
                <w:szCs w:val="4"/>
                <w:color w:val="auto"/>
              </w:rPr>
            </w:pPr>
          </w:p>
        </w:tc>
        <w:tc>
          <w:tcPr>
            <w:tcW w:w="260" w:type="dxa"/>
            <w:vAlign w:val="bottom"/>
            <w:tcBorders>
              <w:bottom w:val="single" w:sz="8" w:color="EBEBEC"/>
            </w:tcBorders>
            <w:shd w:val="clear" w:color="auto" w:fill="EBEBEC"/>
          </w:tcPr>
          <w:p>
            <w:pPr>
              <w:spacing w:after="0"/>
              <w:rPr>
                <w:sz w:val="4"/>
                <w:szCs w:val="4"/>
                <w:color w:val="auto"/>
              </w:rPr>
            </w:pPr>
          </w:p>
        </w:tc>
        <w:tc>
          <w:tcPr>
            <w:tcW w:w="840" w:type="dxa"/>
            <w:vAlign w:val="bottom"/>
            <w:tcBorders>
              <w:bottom w:val="single" w:sz="8" w:color="EBEBEC"/>
            </w:tcBorders>
            <w:shd w:val="clear" w:color="auto" w:fill="EBEBEC"/>
          </w:tcPr>
          <w:p>
            <w:pPr>
              <w:spacing w:after="0"/>
              <w:rPr>
                <w:sz w:val="4"/>
                <w:szCs w:val="4"/>
                <w:color w:val="auto"/>
              </w:rPr>
            </w:pPr>
          </w:p>
        </w:tc>
        <w:tc>
          <w:tcPr>
            <w:tcW w:w="300" w:type="dxa"/>
            <w:vAlign w:val="bottom"/>
            <w:tcBorders>
              <w:bottom w:val="single" w:sz="8" w:color="EBEBEC"/>
            </w:tcBorders>
            <w:shd w:val="clear" w:color="auto" w:fill="EBEBEC"/>
          </w:tcPr>
          <w:p>
            <w:pPr>
              <w:spacing w:after="0"/>
              <w:rPr>
                <w:sz w:val="4"/>
                <w:szCs w:val="4"/>
                <w:color w:val="auto"/>
              </w:rPr>
            </w:pPr>
          </w:p>
        </w:tc>
        <w:tc>
          <w:tcPr>
            <w:tcW w:w="840" w:type="dxa"/>
            <w:vAlign w:val="bottom"/>
            <w:tcBorders>
              <w:bottom w:val="single" w:sz="8" w:color="EBEBEC"/>
            </w:tcBorders>
            <w:shd w:val="clear" w:color="auto" w:fill="EBEBEC"/>
          </w:tcPr>
          <w:p>
            <w:pPr>
              <w:spacing w:after="0"/>
              <w:rPr>
                <w:sz w:val="4"/>
                <w:szCs w:val="4"/>
                <w:color w:val="auto"/>
              </w:rPr>
            </w:pPr>
          </w:p>
        </w:tc>
        <w:tc>
          <w:tcPr>
            <w:tcW w:w="240" w:type="dxa"/>
            <w:vAlign w:val="bottom"/>
            <w:tcBorders>
              <w:bottom w:val="single" w:sz="8" w:color="EBEBEC"/>
            </w:tcBorders>
            <w:shd w:val="clear" w:color="auto" w:fill="EBEBEC"/>
          </w:tcPr>
          <w:p>
            <w:pPr>
              <w:spacing w:after="0"/>
              <w:rPr>
                <w:sz w:val="4"/>
                <w:szCs w:val="4"/>
                <w:color w:val="auto"/>
              </w:rPr>
            </w:pPr>
          </w:p>
        </w:tc>
        <w:tc>
          <w:tcPr>
            <w:tcW w:w="840" w:type="dxa"/>
            <w:vAlign w:val="bottom"/>
            <w:tcBorders>
              <w:bottom w:val="single" w:sz="8" w:color="EBEBEC"/>
            </w:tcBorders>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00" w:type="dxa"/>
            <w:vAlign w:val="bottom"/>
          </w:tcPr>
          <w:p>
            <w:pPr>
              <w:spacing w:after="0"/>
              <w:rPr>
                <w:sz w:val="20"/>
                <w:szCs w:val="20"/>
                <w:color w:val="auto"/>
              </w:rPr>
            </w:pPr>
            <w:r>
              <w:rPr>
                <w:rFonts w:ascii="Arial" w:cs="Arial" w:eastAsia="Arial" w:hAnsi="Arial"/>
                <w:sz w:val="13"/>
                <w:szCs w:val="13"/>
                <w:b w:val="1"/>
                <w:bCs w:val="1"/>
                <w:color w:val="0075C9"/>
              </w:rPr>
              <w:t>Charles F. Weiss</w:t>
            </w:r>
          </w:p>
        </w:tc>
        <w:tc>
          <w:tcPr>
            <w:tcW w:w="760" w:type="dxa"/>
            <w:vAlign w:val="bottom"/>
          </w:tcPr>
          <w:p>
            <w:pPr>
              <w:ind w:left="320"/>
              <w:spacing w:after="0"/>
              <w:rPr>
                <w:sz w:val="20"/>
                <w:szCs w:val="20"/>
                <w:color w:val="auto"/>
              </w:rPr>
            </w:pPr>
            <w:r>
              <w:rPr>
                <w:rFonts w:ascii="Arial" w:cs="Arial" w:eastAsia="Arial" w:hAnsi="Arial"/>
                <w:sz w:val="13"/>
                <w:szCs w:val="13"/>
                <w:color w:val="auto"/>
              </w:rPr>
              <w:t>2019</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$ 440,000</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w w:val="96"/>
              </w:rPr>
              <w:t>1,035,024</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7"/>
              <w:spacing w:after="0"/>
              <w:rPr>
                <w:sz w:val="20"/>
                <w:szCs w:val="20"/>
                <w:color w:val="auto"/>
              </w:rPr>
            </w:pPr>
            <w:r>
              <w:rPr>
                <w:rFonts w:ascii="Arial" w:cs="Arial" w:eastAsia="Arial" w:hAnsi="Arial"/>
                <w:sz w:val="13"/>
                <w:szCs w:val="13"/>
                <w:color w:val="auto"/>
              </w:rPr>
              <w:t>115,009</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w w:val="96"/>
              </w:rPr>
              <w:t>1,216,575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77"/>
              <w:spacing w:after="0"/>
              <w:rPr>
                <w:sz w:val="20"/>
                <w:szCs w:val="20"/>
                <w:color w:val="auto"/>
              </w:rPr>
            </w:pPr>
            <w:r>
              <w:rPr>
                <w:rFonts w:ascii="Arial" w:cs="Arial" w:eastAsia="Arial" w:hAnsi="Arial"/>
                <w:sz w:val="13"/>
                <w:szCs w:val="13"/>
                <w:color w:val="auto"/>
              </w:rPr>
              <w:t>15,159</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center"/>
              <w:ind w:right="197"/>
              <w:spacing w:after="0"/>
              <w:rPr>
                <w:sz w:val="20"/>
                <w:szCs w:val="20"/>
                <w:color w:val="auto"/>
              </w:rPr>
            </w:pPr>
            <w:r>
              <w:rPr>
                <w:rFonts w:ascii="Arial" w:cs="Arial" w:eastAsia="Arial" w:hAnsi="Arial"/>
                <w:sz w:val="13"/>
                <w:szCs w:val="13"/>
                <w:color w:val="auto"/>
                <w:w w:val="97"/>
              </w:rPr>
              <w:t>181,850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3,003,617</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3"/>
                <w:szCs w:val="13"/>
                <w:color w:val="auto"/>
              </w:rPr>
              <w:t>Executive Vice President–</w:t>
            </w:r>
          </w:p>
        </w:tc>
        <w:tc>
          <w:tcPr>
            <w:tcW w:w="760" w:type="dxa"/>
            <w:vAlign w:val="bottom"/>
          </w:tcPr>
          <w:p>
            <w:pPr>
              <w:ind w:left="320"/>
              <w:spacing w:after="0"/>
              <w:rPr>
                <w:sz w:val="20"/>
                <w:szCs w:val="20"/>
                <w:color w:val="auto"/>
              </w:rPr>
            </w:pPr>
            <w:r>
              <w:rPr>
                <w:rFonts w:ascii="Arial" w:cs="Arial" w:eastAsia="Arial" w:hAnsi="Arial"/>
                <w:sz w:val="13"/>
                <w:szCs w:val="13"/>
                <w:color w:val="auto"/>
              </w:rPr>
              <w:t>2018</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$ 437,692</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990,030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7"/>
              <w:spacing w:after="0"/>
              <w:rPr>
                <w:sz w:val="20"/>
                <w:szCs w:val="20"/>
                <w:color w:val="auto"/>
              </w:rPr>
            </w:pPr>
            <w:r>
              <w:rPr>
                <w:rFonts w:ascii="Arial" w:cs="Arial" w:eastAsia="Arial" w:hAnsi="Arial"/>
                <w:sz w:val="13"/>
                <w:szCs w:val="13"/>
                <w:color w:val="auto"/>
              </w:rPr>
              <w:t>110,010</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425,000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77"/>
              <w:spacing w:after="0"/>
              <w:rPr>
                <w:sz w:val="20"/>
                <w:szCs w:val="20"/>
                <w:color w:val="auto"/>
              </w:rPr>
            </w:pPr>
            <w:r>
              <w:rPr>
                <w:rFonts w:ascii="Arial" w:cs="Arial" w:eastAsia="Arial" w:hAnsi="Arial"/>
                <w:sz w:val="13"/>
                <w:szCs w:val="13"/>
                <w:color w:val="auto"/>
              </w:rPr>
              <w:t>16,982</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center"/>
              <w:ind w:right="197"/>
              <w:spacing w:after="0"/>
              <w:rPr>
                <w:sz w:val="20"/>
                <w:szCs w:val="20"/>
                <w:color w:val="auto"/>
              </w:rPr>
            </w:pPr>
            <w:r>
              <w:rPr>
                <w:rFonts w:ascii="Arial" w:cs="Arial" w:eastAsia="Arial" w:hAnsi="Arial"/>
                <w:sz w:val="13"/>
                <w:szCs w:val="13"/>
                <w:color w:val="auto"/>
                <w:w w:val="97"/>
              </w:rPr>
              <w:t>188,979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2,168,693</w:t>
            </w:r>
          </w:p>
        </w:tc>
        <w:tc>
          <w:tcPr>
            <w:tcW w:w="0" w:type="dxa"/>
            <w:vAlign w:val="bottom"/>
          </w:tcPr>
          <w:p>
            <w:pPr>
              <w:spacing w:after="0"/>
              <w:rPr>
                <w:sz w:val="1"/>
                <w:szCs w:val="1"/>
                <w:color w:val="auto"/>
              </w:rPr>
            </w:pPr>
          </w:p>
        </w:tc>
      </w:tr>
      <w:tr>
        <w:trPr>
          <w:trHeight w:val="151"/>
        </w:trPr>
        <w:tc>
          <w:tcPr>
            <w:tcW w:w="2000" w:type="dxa"/>
            <w:vAlign w:val="bottom"/>
          </w:tcPr>
          <w:p>
            <w:pPr>
              <w:spacing w:after="0"/>
              <w:rPr>
                <w:sz w:val="20"/>
                <w:szCs w:val="20"/>
                <w:color w:val="auto"/>
              </w:rPr>
            </w:pPr>
            <w:r>
              <w:rPr>
                <w:rFonts w:ascii="Arial" w:cs="Arial" w:eastAsia="Arial" w:hAnsi="Arial"/>
                <w:sz w:val="13"/>
                <w:szCs w:val="13"/>
                <w:color w:val="auto"/>
              </w:rPr>
              <w:t>Public Affairs</w:t>
            </w:r>
          </w:p>
        </w:tc>
        <w:tc>
          <w:tcPr>
            <w:tcW w:w="760" w:type="dxa"/>
            <w:vAlign w:val="bottom"/>
          </w:tcPr>
          <w:p>
            <w:pPr>
              <w:ind w:left="320"/>
              <w:spacing w:after="0"/>
              <w:rPr>
                <w:sz w:val="20"/>
                <w:szCs w:val="20"/>
                <w:color w:val="auto"/>
              </w:rPr>
            </w:pPr>
            <w:r>
              <w:rPr>
                <w:rFonts w:ascii="Arial" w:cs="Arial" w:eastAsia="Arial" w:hAnsi="Arial"/>
                <w:sz w:val="13"/>
                <w:szCs w:val="13"/>
                <w:color w:val="auto"/>
              </w:rPr>
              <w:t>2017</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$ 425,000</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550,000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470,000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77"/>
              <w:spacing w:after="0"/>
              <w:rPr>
                <w:sz w:val="20"/>
                <w:szCs w:val="20"/>
                <w:color w:val="auto"/>
              </w:rPr>
            </w:pPr>
            <w:r>
              <w:rPr>
                <w:rFonts w:ascii="Arial" w:cs="Arial" w:eastAsia="Arial" w:hAnsi="Arial"/>
                <w:sz w:val="13"/>
                <w:szCs w:val="13"/>
                <w:color w:val="auto"/>
              </w:rPr>
              <w:t>9,126</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center"/>
              <w:ind w:right="197"/>
              <w:spacing w:after="0"/>
              <w:rPr>
                <w:sz w:val="20"/>
                <w:szCs w:val="20"/>
                <w:color w:val="auto"/>
              </w:rPr>
            </w:pPr>
            <w:r>
              <w:rPr>
                <w:rFonts w:ascii="Arial" w:cs="Arial" w:eastAsia="Arial" w:hAnsi="Arial"/>
                <w:sz w:val="13"/>
                <w:szCs w:val="13"/>
                <w:color w:val="auto"/>
                <w:w w:val="97"/>
              </w:rPr>
              <w:t>181,450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1,635,576</w:t>
            </w:r>
          </w:p>
        </w:tc>
        <w:tc>
          <w:tcPr>
            <w:tcW w:w="0" w:type="dxa"/>
            <w:vAlign w:val="bottom"/>
          </w:tcPr>
          <w:p>
            <w:pPr>
              <w:spacing w:after="0"/>
              <w:rPr>
                <w:sz w:val="1"/>
                <w:szCs w:val="1"/>
                <w:color w:val="auto"/>
              </w:rPr>
            </w:pPr>
          </w:p>
        </w:tc>
      </w:tr>
      <w:tr>
        <w:trPr>
          <w:trHeight w:val="162"/>
        </w:trPr>
        <w:tc>
          <w:tcPr>
            <w:tcW w:w="200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Michael L. Preston(6)</w:t>
            </w:r>
          </w:p>
        </w:tc>
        <w:tc>
          <w:tcPr>
            <w:tcW w:w="7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2019</w:t>
            </w:r>
          </w:p>
        </w:tc>
        <w:tc>
          <w:tcPr>
            <w:tcW w:w="96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$ 439,231</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967,528</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107,511</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w w:val="96"/>
              </w:rPr>
              <w:t>1,088,245</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14,198</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center"/>
              <w:ind w:right="197"/>
              <w:spacing w:after="0"/>
              <w:rPr>
                <w:sz w:val="20"/>
                <w:szCs w:val="20"/>
                <w:color w:val="auto"/>
              </w:rPr>
            </w:pPr>
            <w:r>
              <w:rPr>
                <w:rFonts w:ascii="Arial" w:cs="Arial" w:eastAsia="Arial" w:hAnsi="Arial"/>
                <w:sz w:val="13"/>
                <w:szCs w:val="13"/>
                <w:color w:val="auto"/>
                <w:w w:val="97"/>
              </w:rPr>
              <w:t>175,530</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2,792,243</w:t>
            </w:r>
          </w:p>
        </w:tc>
        <w:tc>
          <w:tcPr>
            <w:tcW w:w="0" w:type="dxa"/>
            <w:vAlign w:val="bottom"/>
          </w:tcPr>
          <w:p>
            <w:pPr>
              <w:spacing w:after="0"/>
              <w:rPr>
                <w:sz w:val="1"/>
                <w:szCs w:val="1"/>
                <w:color w:val="auto"/>
              </w:rPr>
            </w:pPr>
          </w:p>
        </w:tc>
      </w:tr>
      <w:tr>
        <w:trPr>
          <w:trHeight w:val="156"/>
        </w:trPr>
        <w:tc>
          <w:tcPr>
            <w:tcW w:w="2000" w:type="dxa"/>
            <w:vAlign w:val="bottom"/>
            <w:shd w:val="clear" w:color="auto" w:fill="EBEBEC"/>
          </w:tcPr>
          <w:p>
            <w:pPr>
              <w:spacing w:after="0"/>
              <w:rPr>
                <w:sz w:val="20"/>
                <w:szCs w:val="20"/>
                <w:color w:val="auto"/>
              </w:rPr>
            </w:pPr>
            <w:r>
              <w:rPr>
                <w:rFonts w:ascii="Arial" w:cs="Arial" w:eastAsia="Arial" w:hAnsi="Arial"/>
                <w:sz w:val="13"/>
                <w:szCs w:val="13"/>
                <w:color w:val="auto"/>
              </w:rPr>
              <w:t>Senior Executive Vice President,</w:t>
            </w:r>
          </w:p>
        </w:tc>
        <w:tc>
          <w:tcPr>
            <w:tcW w:w="760" w:type="dxa"/>
            <w:vAlign w:val="bottom"/>
            <w:shd w:val="clear" w:color="auto" w:fill="EBEBEC"/>
          </w:tcPr>
          <w:p>
            <w:pPr>
              <w:spacing w:after="0"/>
              <w:rPr>
                <w:sz w:val="13"/>
                <w:szCs w:val="13"/>
                <w:color w:val="auto"/>
              </w:rPr>
            </w:pPr>
          </w:p>
        </w:tc>
        <w:tc>
          <w:tcPr>
            <w:tcW w:w="96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42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00" w:type="dxa"/>
            <w:vAlign w:val="bottom"/>
            <w:shd w:val="clear" w:color="auto" w:fill="EBEBEC"/>
          </w:tcPr>
          <w:p>
            <w:pPr>
              <w:spacing w:after="0" w:line="141" w:lineRule="exact"/>
              <w:rPr>
                <w:sz w:val="20"/>
                <w:szCs w:val="20"/>
                <w:color w:val="auto"/>
              </w:rPr>
            </w:pPr>
            <w:r>
              <w:rPr>
                <w:rFonts w:ascii="Arial" w:cs="Arial" w:eastAsia="Arial" w:hAnsi="Arial"/>
                <w:sz w:val="13"/>
                <w:szCs w:val="13"/>
                <w:color w:val="auto"/>
              </w:rPr>
              <w:t>Chief</w:t>
            </w:r>
          </w:p>
        </w:tc>
        <w:tc>
          <w:tcPr>
            <w:tcW w:w="7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400" w:type="dxa"/>
            <w:vAlign w:val="bottom"/>
            <w:shd w:val="clear" w:color="auto" w:fill="EBEBEC"/>
          </w:tcPr>
          <w:p>
            <w:pPr>
              <w:spacing w:after="0"/>
              <w:rPr>
                <w:sz w:val="12"/>
                <w:szCs w:val="12"/>
                <w:color w:val="auto"/>
              </w:rPr>
            </w:pPr>
          </w:p>
        </w:tc>
        <w:tc>
          <w:tcPr>
            <w:tcW w:w="4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0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40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8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84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4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EBEBEC"/>
          </w:tcPr>
          <w:p>
            <w:pPr>
              <w:spacing w:after="0"/>
              <w:rPr>
                <w:sz w:val="20"/>
                <w:szCs w:val="20"/>
                <w:color w:val="auto"/>
              </w:rPr>
            </w:pPr>
            <w:r>
              <w:rPr>
                <w:rFonts w:ascii="Arial" w:cs="Arial" w:eastAsia="Arial" w:hAnsi="Arial"/>
                <w:sz w:val="13"/>
                <w:szCs w:val="13"/>
                <w:color w:val="auto"/>
              </w:rPr>
              <w:t>Administrative Officer</w:t>
            </w:r>
          </w:p>
        </w:tc>
        <w:tc>
          <w:tcPr>
            <w:tcW w:w="760" w:type="dxa"/>
            <w:vAlign w:val="bottom"/>
            <w:shd w:val="clear" w:color="auto" w:fill="EBEBEC"/>
          </w:tcPr>
          <w:p>
            <w:pPr>
              <w:spacing w:after="0"/>
              <w:rPr>
                <w:sz w:val="14"/>
                <w:szCs w:val="14"/>
                <w:color w:val="auto"/>
              </w:rPr>
            </w:pPr>
          </w:p>
        </w:tc>
        <w:tc>
          <w:tcPr>
            <w:tcW w:w="96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82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EBEBEC"/>
          </w:tcPr>
          <w:p>
            <w:pPr>
              <w:spacing w:after="0"/>
              <w:rPr>
                <w:sz w:val="20"/>
                <w:szCs w:val="20"/>
                <w:color w:val="auto"/>
              </w:rPr>
            </w:pPr>
            <w:r>
              <w:rPr>
                <w:rFonts w:ascii="Arial" w:cs="Arial" w:eastAsia="Arial" w:hAnsi="Arial"/>
                <w:sz w:val="13"/>
                <w:szCs w:val="13"/>
                <w:color w:val="auto"/>
              </w:rPr>
              <w:t>and General Counsel</w:t>
            </w:r>
          </w:p>
        </w:tc>
        <w:tc>
          <w:tcPr>
            <w:tcW w:w="760" w:type="dxa"/>
            <w:vAlign w:val="bottom"/>
            <w:shd w:val="clear" w:color="auto" w:fill="EBEBEC"/>
          </w:tcPr>
          <w:p>
            <w:pPr>
              <w:spacing w:after="0"/>
              <w:rPr>
                <w:sz w:val="14"/>
                <w:szCs w:val="14"/>
                <w:color w:val="auto"/>
              </w:rPr>
            </w:pPr>
          </w:p>
        </w:tc>
        <w:tc>
          <w:tcPr>
            <w:tcW w:w="96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82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8942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894205"/>
                    </a:xfrm>
                    <a:prstGeom prst="rect">
                      <a:avLst/>
                    </a:prstGeom>
                    <a:noFill/>
                  </pic:spPr>
                </pic:pic>
              </a:graphicData>
            </a:graphic>
          </wp:anchor>
        </w:drawing>
      </w:r>
    </w:p>
    <w:p>
      <w:pPr>
        <w:spacing w:after="0" w:line="133" w:lineRule="exact"/>
        <w:rPr>
          <w:sz w:val="20"/>
          <w:szCs w:val="20"/>
          <w:color w:val="auto"/>
        </w:rPr>
      </w:pPr>
    </w:p>
    <w:p>
      <w:pPr>
        <w:ind w:left="340" w:right="220" w:hanging="332"/>
        <w:spacing w:after="0" w:line="229"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4"/>
          <w:szCs w:val="14"/>
          <w:color w:val="auto"/>
        </w:rPr>
        <w:t>Amounts shown for 2019 and 2017 do not fully reflect the compensation decisions made for those years. See the Narrative Disclosure to Summary Compensation Table and Grants of Plan-Based Awards Table on page 60.</w:t>
      </w:r>
    </w:p>
    <w:p>
      <w:pPr>
        <w:spacing w:after="0" w:line="70" w:lineRule="exact"/>
        <w:rPr>
          <w:rFonts w:ascii="Arial" w:cs="Arial" w:eastAsia="Arial" w:hAnsi="Arial"/>
          <w:sz w:val="12"/>
          <w:szCs w:val="12"/>
          <w:color w:val="auto"/>
        </w:rPr>
      </w:pPr>
    </w:p>
    <w:p>
      <w:pPr>
        <w:ind w:left="340" w:right="60" w:hanging="332"/>
        <w:spacing w:after="0" w:line="207"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amounts shown for each year represent the grant date fair value of the awards granted in that year as computed in accordance with U.S. generally accepted accounting principles (GAAP) and Financial Accounting Standards Board (FASB) Accounting Standards Codification (ASC) Topic 718, as more fully described in Note 11 (for 2019 and 2018) and Note 10 (for 2017) to the Consolidated Financial Statements in CRC’s Form 10-K for the year ended December 31 of the indicated year. For 2019 and 2018, awards reported in the Stock Awards column reflect the value of both time-vested restricted stock units and performance-vested performance stock units. For 2017, amounts reported in the Stock Awards column reflect the grant date value of restricted stock units, the vesting of which is contingent solely on the NEO’s continued service with us. For all years, the ultimate payout value may be significantly more or less than the amount shown in the table, depending on the value of CRC stock on the award certification date. For performance stock units granted in 2019 and 2018, there is a possibility of no payout depending on the outcome of the performance criteria. At the maximum performance payout level, the 2019 amounts would be $ 7,560,031, $2,800,026, $1,540,020, $1,610,035, and $1,505,046, for Messrs. Stevens, Smith, Williams, Weiss, and Preston, respectively, at the grant date share price.</w:t>
      </w:r>
    </w:p>
    <w:p>
      <w:pPr>
        <w:spacing w:after="0" w:line="73" w:lineRule="exact"/>
        <w:rPr>
          <w:rFonts w:ascii="Arial" w:cs="Arial" w:eastAsia="Arial" w:hAnsi="Arial"/>
          <w:sz w:val="12"/>
          <w:szCs w:val="12"/>
          <w:color w:val="auto"/>
        </w:rPr>
      </w:pPr>
    </w:p>
    <w:p>
      <w:pPr>
        <w:ind w:left="340" w:right="240" w:hanging="332"/>
        <w:spacing w:after="0" w:line="219"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amounts shown include the annual incentive award, which was paid in the first quarter of the year following the year in which it was earned. Also, for 2019, the amounts include the payout under the 2016 Performance Incentive Awards, based on performance during the period 2016 – 2019, as shown in the table below. See the Narrative Disclosure to Summary Compensation Table and Grants of Plan-Based Awards Table on page 60.</w:t>
      </w:r>
    </w:p>
    <w:p>
      <w:pPr>
        <w:spacing w:after="0" w:line="140"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1860" w:type="dxa"/>
            <w:vAlign w:val="bottom"/>
            <w:tcBorders>
              <w:bottom w:val="single" w:sz="8" w:color="0070C0"/>
            </w:tcBorders>
          </w:tcPr>
          <w:p>
            <w:pPr>
              <w:spacing w:after="0"/>
              <w:rPr>
                <w:sz w:val="20"/>
                <w:szCs w:val="20"/>
                <w:color w:val="auto"/>
              </w:rPr>
            </w:pPr>
            <w:r>
              <w:rPr>
                <w:rFonts w:ascii="Arial" w:cs="Arial" w:eastAsia="Arial" w:hAnsi="Arial"/>
                <w:sz w:val="13"/>
                <w:szCs w:val="13"/>
                <w:b w:val="1"/>
                <w:bCs w:val="1"/>
                <w:color w:val="0075C9"/>
              </w:rPr>
              <w:t>Name</w:t>
            </w:r>
          </w:p>
        </w:tc>
        <w:tc>
          <w:tcPr>
            <w:tcW w:w="1200" w:type="dxa"/>
            <w:vAlign w:val="bottom"/>
            <w:tcBorders>
              <w:bottom w:val="single" w:sz="8" w:color="0070C0"/>
            </w:tcBorders>
          </w:tcPr>
          <w:p>
            <w:pPr>
              <w:ind w:left="460"/>
              <w:spacing w:after="0"/>
              <w:rPr>
                <w:sz w:val="20"/>
                <w:szCs w:val="20"/>
                <w:color w:val="auto"/>
              </w:rPr>
            </w:pPr>
            <w:r>
              <w:rPr>
                <w:rFonts w:ascii="Arial" w:cs="Arial" w:eastAsia="Arial" w:hAnsi="Arial"/>
                <w:sz w:val="13"/>
                <w:szCs w:val="13"/>
                <w:b w:val="1"/>
                <w:bCs w:val="1"/>
                <w:color w:val="0070C0"/>
              </w:rPr>
              <w:t>Year</w:t>
            </w:r>
          </w:p>
        </w:tc>
        <w:tc>
          <w:tcPr>
            <w:tcW w:w="2800" w:type="dxa"/>
            <w:vAlign w:val="bottom"/>
            <w:tcBorders>
              <w:bottom w:val="single" w:sz="8" w:color="0070C0"/>
            </w:tcBorders>
            <w:gridSpan w:val="2"/>
          </w:tcPr>
          <w:p>
            <w:pPr>
              <w:jc w:val="right"/>
              <w:ind w:right="637"/>
              <w:spacing w:after="0"/>
              <w:rPr>
                <w:sz w:val="20"/>
                <w:szCs w:val="20"/>
                <w:color w:val="auto"/>
              </w:rPr>
            </w:pPr>
            <w:r>
              <w:rPr>
                <w:rFonts w:ascii="Arial" w:cs="Arial" w:eastAsia="Arial" w:hAnsi="Arial"/>
                <w:sz w:val="13"/>
                <w:szCs w:val="13"/>
                <w:b w:val="1"/>
                <w:bCs w:val="1"/>
                <w:color w:val="0070C0"/>
              </w:rPr>
              <w:t>Annual Incentive Award</w:t>
            </w:r>
          </w:p>
        </w:tc>
        <w:tc>
          <w:tcPr>
            <w:tcW w:w="2780" w:type="dxa"/>
            <w:vAlign w:val="bottom"/>
            <w:tcBorders>
              <w:bottom w:val="single" w:sz="8" w:color="0070C0"/>
            </w:tcBorders>
            <w:gridSpan w:val="2"/>
          </w:tcPr>
          <w:p>
            <w:pPr>
              <w:jc w:val="right"/>
              <w:ind w:right="637"/>
              <w:spacing w:after="0"/>
              <w:rPr>
                <w:sz w:val="20"/>
                <w:szCs w:val="20"/>
                <w:color w:val="auto"/>
              </w:rPr>
            </w:pPr>
            <w:r>
              <w:rPr>
                <w:rFonts w:ascii="Arial" w:cs="Arial" w:eastAsia="Arial" w:hAnsi="Arial"/>
                <w:sz w:val="13"/>
                <w:szCs w:val="13"/>
                <w:b w:val="1"/>
                <w:bCs w:val="1"/>
                <w:color w:val="0070C0"/>
              </w:rPr>
              <w:t>2016 PIA Award Payout</w:t>
            </w:r>
          </w:p>
        </w:tc>
      </w:tr>
      <w:tr>
        <w:trPr>
          <w:trHeight w:val="123"/>
        </w:trPr>
        <w:tc>
          <w:tcPr>
            <w:tcW w:w="186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0070C0"/>
              </w:rPr>
              <w:t>Todd A. Stevens</w:t>
            </w:r>
          </w:p>
        </w:tc>
        <w:tc>
          <w:tcPr>
            <w:tcW w:w="1200" w:type="dxa"/>
            <w:vAlign w:val="bottom"/>
            <w:shd w:val="clear" w:color="auto" w:fill="F2F2F2"/>
          </w:tcPr>
          <w:p>
            <w:pPr>
              <w:ind w:left="460"/>
              <w:spacing w:after="0" w:line="123" w:lineRule="exact"/>
              <w:rPr>
                <w:sz w:val="20"/>
                <w:szCs w:val="20"/>
                <w:color w:val="auto"/>
              </w:rPr>
            </w:pPr>
            <w:r>
              <w:rPr>
                <w:rFonts w:ascii="Arial" w:cs="Arial" w:eastAsia="Arial" w:hAnsi="Arial"/>
                <w:sz w:val="13"/>
                <w:szCs w:val="13"/>
                <w:color w:val="auto"/>
              </w:rPr>
              <w:t>2019</w:t>
            </w:r>
          </w:p>
        </w:tc>
        <w:tc>
          <w:tcPr>
            <w:tcW w:w="1160" w:type="dxa"/>
            <w:vAlign w:val="bottom"/>
            <w:shd w:val="clear" w:color="auto" w:fill="F2F2F2"/>
          </w:tcPr>
          <w:p>
            <w:pPr>
              <w:jc w:val="right"/>
              <w:ind w:right="177"/>
              <w:spacing w:after="0" w:line="123" w:lineRule="exact"/>
              <w:rPr>
                <w:sz w:val="20"/>
                <w:szCs w:val="20"/>
                <w:color w:val="auto"/>
              </w:rPr>
            </w:pPr>
            <w:r>
              <w:rPr>
                <w:rFonts w:ascii="Arial" w:cs="Arial" w:eastAsia="Arial" w:hAnsi="Arial"/>
                <w:sz w:val="13"/>
                <w:szCs w:val="13"/>
                <w:color w:val="auto"/>
              </w:rPr>
              <w:t>$</w:t>
            </w:r>
          </w:p>
        </w:tc>
        <w:tc>
          <w:tcPr>
            <w:tcW w:w="1640" w:type="dxa"/>
            <w:vAlign w:val="bottom"/>
            <w:shd w:val="clear" w:color="auto" w:fill="F2F2F2"/>
          </w:tcPr>
          <w:p>
            <w:pPr>
              <w:jc w:val="right"/>
              <w:ind w:right="777"/>
              <w:spacing w:after="0" w:line="123" w:lineRule="exact"/>
              <w:rPr>
                <w:sz w:val="20"/>
                <w:szCs w:val="20"/>
                <w:color w:val="auto"/>
              </w:rPr>
            </w:pPr>
            <w:r>
              <w:rPr>
                <w:rFonts w:ascii="Arial" w:cs="Arial" w:eastAsia="Arial" w:hAnsi="Arial"/>
                <w:sz w:val="13"/>
                <w:szCs w:val="13"/>
                <w:color w:val="auto"/>
              </w:rPr>
              <w:t>1,301,000</w:t>
            </w:r>
          </w:p>
        </w:tc>
        <w:tc>
          <w:tcPr>
            <w:tcW w:w="1320" w:type="dxa"/>
            <w:vAlign w:val="bottom"/>
            <w:shd w:val="clear" w:color="auto" w:fill="F2F2F2"/>
          </w:tcPr>
          <w:p>
            <w:pPr>
              <w:jc w:val="right"/>
              <w:ind w:right="137"/>
              <w:spacing w:after="0" w:line="123" w:lineRule="exact"/>
              <w:rPr>
                <w:sz w:val="20"/>
                <w:szCs w:val="20"/>
                <w:color w:val="auto"/>
              </w:rPr>
            </w:pPr>
            <w:r>
              <w:rPr>
                <w:rFonts w:ascii="Arial" w:cs="Arial" w:eastAsia="Arial" w:hAnsi="Arial"/>
                <w:sz w:val="13"/>
                <w:szCs w:val="13"/>
                <w:color w:val="auto"/>
              </w:rPr>
              <w:t>$</w:t>
            </w:r>
          </w:p>
        </w:tc>
        <w:tc>
          <w:tcPr>
            <w:tcW w:w="1460" w:type="dxa"/>
            <w:vAlign w:val="bottom"/>
            <w:shd w:val="clear" w:color="auto" w:fill="F2F2F2"/>
          </w:tcPr>
          <w:p>
            <w:pPr>
              <w:jc w:val="right"/>
              <w:ind w:right="657"/>
              <w:spacing w:after="0" w:line="123" w:lineRule="exact"/>
              <w:rPr>
                <w:sz w:val="20"/>
                <w:szCs w:val="20"/>
                <w:color w:val="auto"/>
              </w:rPr>
            </w:pPr>
            <w:r>
              <w:rPr>
                <w:rFonts w:ascii="Arial" w:cs="Arial" w:eastAsia="Arial" w:hAnsi="Arial"/>
                <w:sz w:val="13"/>
                <w:szCs w:val="13"/>
                <w:color w:val="auto"/>
              </w:rPr>
              <w:t>2,455,250</w:t>
            </w:r>
          </w:p>
        </w:tc>
      </w:tr>
      <w:tr>
        <w:trPr>
          <w:trHeight w:val="135"/>
        </w:trPr>
        <w:tc>
          <w:tcPr>
            <w:tcW w:w="1860" w:type="dxa"/>
            <w:vAlign w:val="bottom"/>
            <w:shd w:val="clear" w:color="auto" w:fill="F2F2F2"/>
          </w:tcPr>
          <w:p>
            <w:pPr>
              <w:spacing w:after="0"/>
              <w:rPr>
                <w:sz w:val="11"/>
                <w:szCs w:val="11"/>
                <w:color w:val="auto"/>
              </w:rPr>
            </w:pPr>
          </w:p>
        </w:tc>
        <w:tc>
          <w:tcPr>
            <w:tcW w:w="1200" w:type="dxa"/>
            <w:vAlign w:val="bottom"/>
            <w:shd w:val="clear" w:color="auto" w:fill="F2F2F2"/>
          </w:tcPr>
          <w:p>
            <w:pPr>
              <w:ind w:left="460"/>
              <w:spacing w:after="0" w:line="135" w:lineRule="exact"/>
              <w:rPr>
                <w:sz w:val="20"/>
                <w:szCs w:val="20"/>
                <w:color w:val="auto"/>
              </w:rPr>
            </w:pPr>
            <w:r>
              <w:rPr>
                <w:rFonts w:ascii="Arial" w:cs="Arial" w:eastAsia="Arial" w:hAnsi="Arial"/>
                <w:sz w:val="13"/>
                <w:szCs w:val="13"/>
                <w:color w:val="auto"/>
              </w:rPr>
              <w:t>2018</w:t>
            </w:r>
          </w:p>
        </w:tc>
        <w:tc>
          <w:tcPr>
            <w:tcW w:w="1160" w:type="dxa"/>
            <w:vAlign w:val="bottom"/>
            <w:shd w:val="clear" w:color="auto" w:fill="F2F2F2"/>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640" w:type="dxa"/>
            <w:vAlign w:val="bottom"/>
            <w:shd w:val="clear" w:color="auto" w:fill="F2F2F2"/>
          </w:tcPr>
          <w:p>
            <w:pPr>
              <w:jc w:val="right"/>
              <w:ind w:right="777"/>
              <w:spacing w:after="0" w:line="135" w:lineRule="exact"/>
              <w:rPr>
                <w:sz w:val="20"/>
                <w:szCs w:val="20"/>
                <w:color w:val="auto"/>
              </w:rPr>
            </w:pPr>
            <w:r>
              <w:rPr>
                <w:rFonts w:ascii="Arial" w:cs="Arial" w:eastAsia="Arial" w:hAnsi="Arial"/>
                <w:sz w:val="13"/>
                <w:szCs w:val="13"/>
                <w:color w:val="auto"/>
              </w:rPr>
              <w:t>1,200,000</w:t>
            </w:r>
          </w:p>
        </w:tc>
        <w:tc>
          <w:tcPr>
            <w:tcW w:w="132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F2F2F2"/>
          </w:tcPr>
          <w:p>
            <w:pPr>
              <w:jc w:val="right"/>
              <w:ind w:right="657"/>
              <w:spacing w:after="0" w:line="135" w:lineRule="exact"/>
              <w:rPr>
                <w:sz w:val="20"/>
                <w:szCs w:val="20"/>
                <w:color w:val="auto"/>
              </w:rPr>
            </w:pPr>
            <w:r>
              <w:rPr>
                <w:rFonts w:ascii="Arial" w:cs="Arial" w:eastAsia="Arial" w:hAnsi="Arial"/>
                <w:sz w:val="13"/>
                <w:szCs w:val="13"/>
                <w:color w:val="auto"/>
              </w:rPr>
              <w:t>0</w:t>
            </w:r>
          </w:p>
        </w:tc>
      </w:tr>
      <w:tr>
        <w:trPr>
          <w:trHeight w:val="141"/>
        </w:trPr>
        <w:tc>
          <w:tcPr>
            <w:tcW w:w="1860" w:type="dxa"/>
            <w:vAlign w:val="bottom"/>
            <w:shd w:val="clear" w:color="auto" w:fill="F2F2F2"/>
          </w:tcPr>
          <w:p>
            <w:pPr>
              <w:spacing w:after="0"/>
              <w:rPr>
                <w:sz w:val="12"/>
                <w:szCs w:val="12"/>
                <w:color w:val="auto"/>
              </w:rPr>
            </w:pPr>
          </w:p>
        </w:tc>
        <w:tc>
          <w:tcPr>
            <w:tcW w:w="1200" w:type="dxa"/>
            <w:vAlign w:val="bottom"/>
            <w:shd w:val="clear" w:color="auto" w:fill="F2F2F2"/>
          </w:tcPr>
          <w:p>
            <w:pPr>
              <w:ind w:left="460"/>
              <w:spacing w:after="0" w:line="141" w:lineRule="exact"/>
              <w:rPr>
                <w:sz w:val="20"/>
                <w:szCs w:val="20"/>
                <w:color w:val="auto"/>
              </w:rPr>
            </w:pPr>
            <w:r>
              <w:rPr>
                <w:rFonts w:ascii="Arial" w:cs="Arial" w:eastAsia="Arial" w:hAnsi="Arial"/>
                <w:sz w:val="13"/>
                <w:szCs w:val="13"/>
                <w:color w:val="auto"/>
              </w:rPr>
              <w:t>2017</w:t>
            </w:r>
          </w:p>
        </w:tc>
        <w:tc>
          <w:tcPr>
            <w:tcW w:w="1160" w:type="dxa"/>
            <w:vAlign w:val="bottom"/>
            <w:shd w:val="clear" w:color="auto" w:fill="F2F2F2"/>
          </w:tcPr>
          <w:p>
            <w:pPr>
              <w:jc w:val="right"/>
              <w:ind w:right="177"/>
              <w:spacing w:after="0" w:line="141" w:lineRule="exact"/>
              <w:rPr>
                <w:sz w:val="20"/>
                <w:szCs w:val="20"/>
                <w:color w:val="auto"/>
              </w:rPr>
            </w:pPr>
            <w:r>
              <w:rPr>
                <w:rFonts w:ascii="Arial" w:cs="Arial" w:eastAsia="Arial" w:hAnsi="Arial"/>
                <w:sz w:val="13"/>
                <w:szCs w:val="13"/>
                <w:color w:val="auto"/>
              </w:rPr>
              <w:t>$</w:t>
            </w:r>
          </w:p>
        </w:tc>
        <w:tc>
          <w:tcPr>
            <w:tcW w:w="1640" w:type="dxa"/>
            <w:vAlign w:val="bottom"/>
            <w:shd w:val="clear" w:color="auto" w:fill="F2F2F2"/>
          </w:tcPr>
          <w:p>
            <w:pPr>
              <w:jc w:val="right"/>
              <w:ind w:right="777"/>
              <w:spacing w:after="0" w:line="141" w:lineRule="exact"/>
              <w:rPr>
                <w:sz w:val="20"/>
                <w:szCs w:val="20"/>
                <w:color w:val="auto"/>
              </w:rPr>
            </w:pPr>
            <w:r>
              <w:rPr>
                <w:rFonts w:ascii="Arial" w:cs="Arial" w:eastAsia="Arial" w:hAnsi="Arial"/>
                <w:sz w:val="13"/>
                <w:szCs w:val="13"/>
                <w:color w:val="auto"/>
              </w:rPr>
              <w:t>1,170,000</w:t>
            </w:r>
          </w:p>
        </w:tc>
        <w:tc>
          <w:tcPr>
            <w:tcW w:w="1320" w:type="dxa"/>
            <w:vAlign w:val="bottom"/>
            <w:shd w:val="clear" w:color="auto" w:fill="F2F2F2"/>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460" w:type="dxa"/>
            <w:vAlign w:val="bottom"/>
            <w:shd w:val="clear" w:color="auto" w:fill="F2F2F2"/>
          </w:tcPr>
          <w:p>
            <w:pPr>
              <w:jc w:val="right"/>
              <w:ind w:right="657"/>
              <w:spacing w:after="0" w:line="141" w:lineRule="exact"/>
              <w:rPr>
                <w:sz w:val="20"/>
                <w:szCs w:val="20"/>
                <w:color w:val="auto"/>
              </w:rPr>
            </w:pPr>
            <w:r>
              <w:rPr>
                <w:rFonts w:ascii="Arial" w:cs="Arial" w:eastAsia="Arial" w:hAnsi="Arial"/>
                <w:sz w:val="13"/>
                <w:szCs w:val="13"/>
                <w:color w:val="auto"/>
              </w:rPr>
              <w:t>0</w:t>
            </w:r>
          </w:p>
        </w:tc>
      </w:tr>
      <w:tr>
        <w:trPr>
          <w:trHeight w:val="129"/>
        </w:trPr>
        <w:tc>
          <w:tcPr>
            <w:tcW w:w="1860" w:type="dxa"/>
            <w:vAlign w:val="bottom"/>
          </w:tcPr>
          <w:p>
            <w:pPr>
              <w:spacing w:after="0" w:line="129" w:lineRule="exact"/>
              <w:rPr>
                <w:sz w:val="20"/>
                <w:szCs w:val="20"/>
                <w:color w:val="auto"/>
              </w:rPr>
            </w:pPr>
            <w:r>
              <w:rPr>
                <w:rFonts w:ascii="Arial" w:cs="Arial" w:eastAsia="Arial" w:hAnsi="Arial"/>
                <w:sz w:val="13"/>
                <w:szCs w:val="13"/>
                <w:b w:val="1"/>
                <w:bCs w:val="1"/>
                <w:color w:val="0070C0"/>
              </w:rPr>
              <w:t>Marshall D. Smith</w:t>
            </w:r>
          </w:p>
        </w:tc>
        <w:tc>
          <w:tcPr>
            <w:tcW w:w="1200" w:type="dxa"/>
            <w:vAlign w:val="bottom"/>
          </w:tcPr>
          <w:p>
            <w:pPr>
              <w:ind w:left="460"/>
              <w:spacing w:after="0" w:line="129" w:lineRule="exact"/>
              <w:rPr>
                <w:sz w:val="20"/>
                <w:szCs w:val="20"/>
                <w:color w:val="auto"/>
              </w:rPr>
            </w:pPr>
            <w:r>
              <w:rPr>
                <w:rFonts w:ascii="Arial" w:cs="Arial" w:eastAsia="Arial" w:hAnsi="Arial"/>
                <w:sz w:val="13"/>
                <w:szCs w:val="13"/>
                <w:color w:val="auto"/>
              </w:rPr>
              <w:t>2019</w:t>
            </w:r>
          </w:p>
        </w:tc>
        <w:tc>
          <w:tcPr>
            <w:tcW w:w="1160" w:type="dxa"/>
            <w:vAlign w:val="bottom"/>
          </w:tcPr>
          <w:p>
            <w:pPr>
              <w:jc w:val="right"/>
              <w:ind w:right="177"/>
              <w:spacing w:after="0" w:line="129" w:lineRule="exact"/>
              <w:rPr>
                <w:sz w:val="20"/>
                <w:szCs w:val="20"/>
                <w:color w:val="auto"/>
              </w:rPr>
            </w:pPr>
            <w:r>
              <w:rPr>
                <w:rFonts w:ascii="Arial" w:cs="Arial" w:eastAsia="Arial" w:hAnsi="Arial"/>
                <w:sz w:val="13"/>
                <w:szCs w:val="13"/>
                <w:color w:val="auto"/>
              </w:rPr>
              <w:t>$</w:t>
            </w:r>
          </w:p>
        </w:tc>
        <w:tc>
          <w:tcPr>
            <w:tcW w:w="1640" w:type="dxa"/>
            <w:vAlign w:val="bottom"/>
          </w:tcPr>
          <w:p>
            <w:pPr>
              <w:jc w:val="right"/>
              <w:ind w:right="777"/>
              <w:spacing w:after="0" w:line="129" w:lineRule="exact"/>
              <w:rPr>
                <w:sz w:val="20"/>
                <w:szCs w:val="20"/>
                <w:color w:val="auto"/>
              </w:rPr>
            </w:pPr>
            <w:r>
              <w:rPr>
                <w:rFonts w:ascii="Arial" w:cs="Arial" w:eastAsia="Arial" w:hAnsi="Arial"/>
                <w:sz w:val="13"/>
                <w:szCs w:val="13"/>
                <w:color w:val="auto"/>
              </w:rPr>
              <w:t>811,000</w:t>
            </w:r>
          </w:p>
        </w:tc>
        <w:tc>
          <w:tcPr>
            <w:tcW w:w="132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57"/>
              <w:spacing w:after="0" w:line="129" w:lineRule="exact"/>
              <w:rPr>
                <w:sz w:val="20"/>
                <w:szCs w:val="20"/>
                <w:color w:val="auto"/>
              </w:rPr>
            </w:pPr>
            <w:r>
              <w:rPr>
                <w:rFonts w:ascii="Arial" w:cs="Arial" w:eastAsia="Arial" w:hAnsi="Arial"/>
                <w:sz w:val="13"/>
                <w:szCs w:val="13"/>
                <w:color w:val="auto"/>
              </w:rPr>
              <w:t>1,262,700</w:t>
            </w:r>
          </w:p>
        </w:tc>
      </w:tr>
      <w:tr>
        <w:trPr>
          <w:trHeight w:val="135"/>
        </w:trPr>
        <w:tc>
          <w:tcPr>
            <w:tcW w:w="1860" w:type="dxa"/>
            <w:vAlign w:val="bottom"/>
          </w:tcPr>
          <w:p>
            <w:pPr>
              <w:spacing w:after="0"/>
              <w:rPr>
                <w:sz w:val="11"/>
                <w:szCs w:val="11"/>
                <w:color w:val="auto"/>
              </w:rPr>
            </w:pPr>
          </w:p>
        </w:tc>
        <w:tc>
          <w:tcPr>
            <w:tcW w:w="1200" w:type="dxa"/>
            <w:vAlign w:val="bottom"/>
          </w:tcPr>
          <w:p>
            <w:pPr>
              <w:ind w:left="460"/>
              <w:spacing w:after="0" w:line="135" w:lineRule="exact"/>
              <w:rPr>
                <w:sz w:val="20"/>
                <w:szCs w:val="20"/>
                <w:color w:val="auto"/>
              </w:rPr>
            </w:pPr>
            <w:r>
              <w:rPr>
                <w:rFonts w:ascii="Arial" w:cs="Arial" w:eastAsia="Arial" w:hAnsi="Arial"/>
                <w:sz w:val="13"/>
                <w:szCs w:val="13"/>
                <w:color w:val="auto"/>
              </w:rPr>
              <w:t>2018</w:t>
            </w:r>
          </w:p>
        </w:tc>
        <w:tc>
          <w:tcPr>
            <w:tcW w:w="11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640" w:type="dxa"/>
            <w:vAlign w:val="bottom"/>
          </w:tcPr>
          <w:p>
            <w:pPr>
              <w:jc w:val="right"/>
              <w:ind w:right="777"/>
              <w:spacing w:after="0" w:line="135" w:lineRule="exact"/>
              <w:rPr>
                <w:sz w:val="20"/>
                <w:szCs w:val="20"/>
                <w:color w:val="auto"/>
              </w:rPr>
            </w:pPr>
            <w:r>
              <w:rPr>
                <w:rFonts w:ascii="Arial" w:cs="Arial" w:eastAsia="Arial" w:hAnsi="Arial"/>
                <w:sz w:val="13"/>
                <w:szCs w:val="13"/>
                <w:color w:val="auto"/>
              </w:rPr>
              <w:t>750,000</w:t>
            </w:r>
          </w:p>
        </w:tc>
        <w:tc>
          <w:tcPr>
            <w:tcW w:w="13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57"/>
              <w:spacing w:after="0" w:line="135" w:lineRule="exact"/>
              <w:rPr>
                <w:sz w:val="20"/>
                <w:szCs w:val="20"/>
                <w:color w:val="auto"/>
              </w:rPr>
            </w:pPr>
            <w:r>
              <w:rPr>
                <w:rFonts w:ascii="Arial" w:cs="Arial" w:eastAsia="Arial" w:hAnsi="Arial"/>
                <w:sz w:val="13"/>
                <w:szCs w:val="13"/>
                <w:color w:val="auto"/>
              </w:rPr>
              <w:t>0</w:t>
            </w:r>
          </w:p>
        </w:tc>
      </w:tr>
      <w:tr>
        <w:trPr>
          <w:trHeight w:val="141"/>
        </w:trPr>
        <w:tc>
          <w:tcPr>
            <w:tcW w:w="1860" w:type="dxa"/>
            <w:vAlign w:val="bottom"/>
          </w:tcPr>
          <w:p>
            <w:pPr>
              <w:spacing w:after="0"/>
              <w:rPr>
                <w:sz w:val="12"/>
                <w:szCs w:val="12"/>
                <w:color w:val="auto"/>
              </w:rPr>
            </w:pPr>
          </w:p>
        </w:tc>
        <w:tc>
          <w:tcPr>
            <w:tcW w:w="1200" w:type="dxa"/>
            <w:vAlign w:val="bottom"/>
          </w:tcPr>
          <w:p>
            <w:pPr>
              <w:ind w:left="460"/>
              <w:spacing w:after="0" w:line="141" w:lineRule="exact"/>
              <w:rPr>
                <w:sz w:val="20"/>
                <w:szCs w:val="20"/>
                <w:color w:val="auto"/>
              </w:rPr>
            </w:pPr>
            <w:r>
              <w:rPr>
                <w:rFonts w:ascii="Arial" w:cs="Arial" w:eastAsia="Arial" w:hAnsi="Arial"/>
                <w:sz w:val="13"/>
                <w:szCs w:val="13"/>
                <w:color w:val="auto"/>
              </w:rPr>
              <w:t>2017</w:t>
            </w:r>
          </w:p>
        </w:tc>
        <w:tc>
          <w:tcPr>
            <w:tcW w:w="1160" w:type="dxa"/>
            <w:vAlign w:val="bottom"/>
          </w:tcPr>
          <w:p>
            <w:pPr>
              <w:jc w:val="right"/>
              <w:ind w:right="177"/>
              <w:spacing w:after="0" w:line="141" w:lineRule="exact"/>
              <w:rPr>
                <w:sz w:val="20"/>
                <w:szCs w:val="20"/>
                <w:color w:val="auto"/>
              </w:rPr>
            </w:pPr>
            <w:r>
              <w:rPr>
                <w:rFonts w:ascii="Arial" w:cs="Arial" w:eastAsia="Arial" w:hAnsi="Arial"/>
                <w:sz w:val="13"/>
                <w:szCs w:val="13"/>
                <w:color w:val="auto"/>
              </w:rPr>
              <w:t>$</w:t>
            </w:r>
          </w:p>
        </w:tc>
        <w:tc>
          <w:tcPr>
            <w:tcW w:w="1640" w:type="dxa"/>
            <w:vAlign w:val="bottom"/>
          </w:tcPr>
          <w:p>
            <w:pPr>
              <w:jc w:val="right"/>
              <w:ind w:right="777"/>
              <w:spacing w:after="0" w:line="141" w:lineRule="exact"/>
              <w:rPr>
                <w:sz w:val="20"/>
                <w:szCs w:val="20"/>
                <w:color w:val="auto"/>
              </w:rPr>
            </w:pPr>
            <w:r>
              <w:rPr>
                <w:rFonts w:ascii="Arial" w:cs="Arial" w:eastAsia="Arial" w:hAnsi="Arial"/>
                <w:sz w:val="13"/>
                <w:szCs w:val="13"/>
                <w:color w:val="auto"/>
              </w:rPr>
              <w:t>850,000</w:t>
            </w:r>
          </w:p>
        </w:tc>
        <w:tc>
          <w:tcPr>
            <w:tcW w:w="132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57"/>
              <w:spacing w:after="0" w:line="141" w:lineRule="exact"/>
              <w:rPr>
                <w:sz w:val="20"/>
                <w:szCs w:val="20"/>
                <w:color w:val="auto"/>
              </w:rPr>
            </w:pPr>
            <w:r>
              <w:rPr>
                <w:rFonts w:ascii="Arial" w:cs="Arial" w:eastAsia="Arial" w:hAnsi="Arial"/>
                <w:sz w:val="13"/>
                <w:szCs w:val="13"/>
                <w:color w:val="auto"/>
              </w:rPr>
              <w:t>0</w:t>
            </w:r>
          </w:p>
        </w:tc>
      </w:tr>
      <w:tr>
        <w:trPr>
          <w:trHeight w:val="129"/>
        </w:trPr>
        <w:tc>
          <w:tcPr>
            <w:tcW w:w="1860" w:type="dxa"/>
            <w:vAlign w:val="bottom"/>
            <w:shd w:val="clear" w:color="auto" w:fill="F2F2F2"/>
          </w:tcPr>
          <w:p>
            <w:pPr>
              <w:spacing w:after="0" w:line="129" w:lineRule="exact"/>
              <w:rPr>
                <w:sz w:val="20"/>
                <w:szCs w:val="20"/>
                <w:color w:val="auto"/>
              </w:rPr>
            </w:pPr>
            <w:r>
              <w:rPr>
                <w:rFonts w:ascii="Arial" w:cs="Arial" w:eastAsia="Arial" w:hAnsi="Arial"/>
                <w:sz w:val="13"/>
                <w:szCs w:val="13"/>
                <w:b w:val="1"/>
                <w:bCs w:val="1"/>
                <w:color w:val="0070C0"/>
              </w:rPr>
              <w:t>Darren Williams</w:t>
            </w:r>
          </w:p>
        </w:tc>
        <w:tc>
          <w:tcPr>
            <w:tcW w:w="1200" w:type="dxa"/>
            <w:vAlign w:val="bottom"/>
            <w:shd w:val="clear" w:color="auto" w:fill="F2F2F2"/>
          </w:tcPr>
          <w:p>
            <w:pPr>
              <w:ind w:left="460"/>
              <w:spacing w:after="0" w:line="129" w:lineRule="exact"/>
              <w:rPr>
                <w:sz w:val="20"/>
                <w:szCs w:val="20"/>
                <w:color w:val="auto"/>
              </w:rPr>
            </w:pPr>
            <w:r>
              <w:rPr>
                <w:rFonts w:ascii="Arial" w:cs="Arial" w:eastAsia="Arial" w:hAnsi="Arial"/>
                <w:sz w:val="13"/>
                <w:szCs w:val="13"/>
                <w:color w:val="auto"/>
              </w:rPr>
              <w:t>2019</w:t>
            </w:r>
          </w:p>
        </w:tc>
        <w:tc>
          <w:tcPr>
            <w:tcW w:w="1160" w:type="dxa"/>
            <w:vAlign w:val="bottom"/>
            <w:shd w:val="clear" w:color="auto" w:fill="F2F2F2"/>
          </w:tcPr>
          <w:p>
            <w:pPr>
              <w:jc w:val="right"/>
              <w:ind w:right="177"/>
              <w:spacing w:after="0" w:line="129" w:lineRule="exact"/>
              <w:rPr>
                <w:sz w:val="20"/>
                <w:szCs w:val="20"/>
                <w:color w:val="auto"/>
              </w:rPr>
            </w:pPr>
            <w:r>
              <w:rPr>
                <w:rFonts w:ascii="Arial" w:cs="Arial" w:eastAsia="Arial" w:hAnsi="Arial"/>
                <w:sz w:val="13"/>
                <w:szCs w:val="13"/>
                <w:color w:val="auto"/>
              </w:rPr>
              <w:t>$</w:t>
            </w:r>
          </w:p>
        </w:tc>
        <w:tc>
          <w:tcPr>
            <w:tcW w:w="1640" w:type="dxa"/>
            <w:vAlign w:val="bottom"/>
            <w:shd w:val="clear" w:color="auto" w:fill="F2F2F2"/>
          </w:tcPr>
          <w:p>
            <w:pPr>
              <w:jc w:val="right"/>
              <w:ind w:right="777"/>
              <w:spacing w:after="0" w:line="129" w:lineRule="exact"/>
              <w:rPr>
                <w:sz w:val="20"/>
                <w:szCs w:val="20"/>
                <w:color w:val="auto"/>
              </w:rPr>
            </w:pPr>
            <w:r>
              <w:rPr>
                <w:rFonts w:ascii="Arial" w:cs="Arial" w:eastAsia="Arial" w:hAnsi="Arial"/>
                <w:sz w:val="13"/>
                <w:szCs w:val="13"/>
                <w:color w:val="auto"/>
              </w:rPr>
              <w:t>548,000</w:t>
            </w:r>
          </w:p>
        </w:tc>
        <w:tc>
          <w:tcPr>
            <w:tcW w:w="1320" w:type="dxa"/>
            <w:vAlign w:val="bottom"/>
            <w:shd w:val="clear" w:color="auto" w:fill="F2F2F2"/>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1460" w:type="dxa"/>
            <w:vAlign w:val="bottom"/>
            <w:shd w:val="clear" w:color="auto" w:fill="F2F2F2"/>
          </w:tcPr>
          <w:p>
            <w:pPr>
              <w:jc w:val="right"/>
              <w:ind w:right="657"/>
              <w:spacing w:after="0" w:line="129" w:lineRule="exact"/>
              <w:rPr>
                <w:sz w:val="20"/>
                <w:szCs w:val="20"/>
                <w:color w:val="auto"/>
              </w:rPr>
            </w:pPr>
            <w:r>
              <w:rPr>
                <w:rFonts w:ascii="Arial" w:cs="Arial" w:eastAsia="Arial" w:hAnsi="Arial"/>
                <w:sz w:val="13"/>
                <w:szCs w:val="13"/>
                <w:color w:val="auto"/>
              </w:rPr>
              <w:t>675,194</w:t>
            </w:r>
          </w:p>
        </w:tc>
      </w:tr>
      <w:tr>
        <w:trPr>
          <w:trHeight w:val="135"/>
        </w:trPr>
        <w:tc>
          <w:tcPr>
            <w:tcW w:w="1860" w:type="dxa"/>
            <w:vAlign w:val="bottom"/>
            <w:shd w:val="clear" w:color="auto" w:fill="F2F2F2"/>
          </w:tcPr>
          <w:p>
            <w:pPr>
              <w:spacing w:after="0"/>
              <w:rPr>
                <w:sz w:val="11"/>
                <w:szCs w:val="11"/>
                <w:color w:val="auto"/>
              </w:rPr>
            </w:pPr>
          </w:p>
        </w:tc>
        <w:tc>
          <w:tcPr>
            <w:tcW w:w="1200" w:type="dxa"/>
            <w:vAlign w:val="bottom"/>
            <w:shd w:val="clear" w:color="auto" w:fill="F2F2F2"/>
          </w:tcPr>
          <w:p>
            <w:pPr>
              <w:ind w:left="460"/>
              <w:spacing w:after="0" w:line="135" w:lineRule="exact"/>
              <w:rPr>
                <w:sz w:val="20"/>
                <w:szCs w:val="20"/>
                <w:color w:val="auto"/>
              </w:rPr>
            </w:pPr>
            <w:r>
              <w:rPr>
                <w:rFonts w:ascii="Arial" w:cs="Arial" w:eastAsia="Arial" w:hAnsi="Arial"/>
                <w:sz w:val="13"/>
                <w:szCs w:val="13"/>
                <w:color w:val="auto"/>
              </w:rPr>
              <w:t>2018</w:t>
            </w:r>
          </w:p>
        </w:tc>
        <w:tc>
          <w:tcPr>
            <w:tcW w:w="1160" w:type="dxa"/>
            <w:vAlign w:val="bottom"/>
            <w:shd w:val="clear" w:color="auto" w:fill="F2F2F2"/>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640" w:type="dxa"/>
            <w:vAlign w:val="bottom"/>
            <w:shd w:val="clear" w:color="auto" w:fill="F2F2F2"/>
          </w:tcPr>
          <w:p>
            <w:pPr>
              <w:jc w:val="right"/>
              <w:ind w:right="777"/>
              <w:spacing w:after="0" w:line="135" w:lineRule="exact"/>
              <w:rPr>
                <w:sz w:val="20"/>
                <w:szCs w:val="20"/>
                <w:color w:val="auto"/>
              </w:rPr>
            </w:pPr>
            <w:r>
              <w:rPr>
                <w:rFonts w:ascii="Arial" w:cs="Arial" w:eastAsia="Arial" w:hAnsi="Arial"/>
                <w:sz w:val="13"/>
                <w:szCs w:val="13"/>
                <w:color w:val="auto"/>
              </w:rPr>
              <w:t>510,000</w:t>
            </w:r>
          </w:p>
        </w:tc>
        <w:tc>
          <w:tcPr>
            <w:tcW w:w="132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F2F2F2"/>
          </w:tcPr>
          <w:p>
            <w:pPr>
              <w:jc w:val="right"/>
              <w:ind w:right="657"/>
              <w:spacing w:after="0" w:line="135" w:lineRule="exact"/>
              <w:rPr>
                <w:sz w:val="20"/>
                <w:szCs w:val="20"/>
                <w:color w:val="auto"/>
              </w:rPr>
            </w:pPr>
            <w:r>
              <w:rPr>
                <w:rFonts w:ascii="Arial" w:cs="Arial" w:eastAsia="Arial" w:hAnsi="Arial"/>
                <w:sz w:val="13"/>
                <w:szCs w:val="13"/>
                <w:color w:val="auto"/>
              </w:rPr>
              <w:t>0</w:t>
            </w:r>
          </w:p>
        </w:tc>
      </w:tr>
      <w:tr>
        <w:trPr>
          <w:trHeight w:val="141"/>
        </w:trPr>
        <w:tc>
          <w:tcPr>
            <w:tcW w:w="1860" w:type="dxa"/>
            <w:vAlign w:val="bottom"/>
            <w:shd w:val="clear" w:color="auto" w:fill="F2F2F2"/>
          </w:tcPr>
          <w:p>
            <w:pPr>
              <w:spacing w:after="0"/>
              <w:rPr>
                <w:sz w:val="12"/>
                <w:szCs w:val="12"/>
                <w:color w:val="auto"/>
              </w:rPr>
            </w:pPr>
          </w:p>
        </w:tc>
        <w:tc>
          <w:tcPr>
            <w:tcW w:w="1200" w:type="dxa"/>
            <w:vAlign w:val="bottom"/>
            <w:shd w:val="clear" w:color="auto" w:fill="F2F2F2"/>
          </w:tcPr>
          <w:p>
            <w:pPr>
              <w:ind w:left="460"/>
              <w:spacing w:after="0" w:line="141" w:lineRule="exact"/>
              <w:rPr>
                <w:sz w:val="20"/>
                <w:szCs w:val="20"/>
                <w:color w:val="auto"/>
              </w:rPr>
            </w:pPr>
            <w:r>
              <w:rPr>
                <w:rFonts w:ascii="Arial" w:cs="Arial" w:eastAsia="Arial" w:hAnsi="Arial"/>
                <w:sz w:val="13"/>
                <w:szCs w:val="13"/>
                <w:color w:val="auto"/>
              </w:rPr>
              <w:t>2017</w:t>
            </w:r>
          </w:p>
        </w:tc>
        <w:tc>
          <w:tcPr>
            <w:tcW w:w="1160" w:type="dxa"/>
            <w:vAlign w:val="bottom"/>
            <w:shd w:val="clear" w:color="auto" w:fill="F2F2F2"/>
          </w:tcPr>
          <w:p>
            <w:pPr>
              <w:jc w:val="right"/>
              <w:ind w:right="177"/>
              <w:spacing w:after="0" w:line="141" w:lineRule="exact"/>
              <w:rPr>
                <w:sz w:val="20"/>
                <w:szCs w:val="20"/>
                <w:color w:val="auto"/>
              </w:rPr>
            </w:pPr>
            <w:r>
              <w:rPr>
                <w:rFonts w:ascii="Arial" w:cs="Arial" w:eastAsia="Arial" w:hAnsi="Arial"/>
                <w:sz w:val="13"/>
                <w:szCs w:val="13"/>
                <w:color w:val="auto"/>
              </w:rPr>
              <w:t>$</w:t>
            </w:r>
          </w:p>
        </w:tc>
        <w:tc>
          <w:tcPr>
            <w:tcW w:w="1640" w:type="dxa"/>
            <w:vAlign w:val="bottom"/>
            <w:shd w:val="clear" w:color="auto" w:fill="F2F2F2"/>
          </w:tcPr>
          <w:p>
            <w:pPr>
              <w:jc w:val="right"/>
              <w:ind w:right="777"/>
              <w:spacing w:after="0" w:line="141" w:lineRule="exact"/>
              <w:rPr>
                <w:sz w:val="20"/>
                <w:szCs w:val="20"/>
                <w:color w:val="auto"/>
              </w:rPr>
            </w:pPr>
            <w:r>
              <w:rPr>
                <w:rFonts w:ascii="Arial" w:cs="Arial" w:eastAsia="Arial" w:hAnsi="Arial"/>
                <w:sz w:val="13"/>
                <w:szCs w:val="13"/>
                <w:color w:val="auto"/>
              </w:rPr>
              <w:t>550,000</w:t>
            </w:r>
          </w:p>
        </w:tc>
        <w:tc>
          <w:tcPr>
            <w:tcW w:w="1320" w:type="dxa"/>
            <w:vAlign w:val="bottom"/>
            <w:shd w:val="clear" w:color="auto" w:fill="F2F2F2"/>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460" w:type="dxa"/>
            <w:vAlign w:val="bottom"/>
            <w:shd w:val="clear" w:color="auto" w:fill="F2F2F2"/>
          </w:tcPr>
          <w:p>
            <w:pPr>
              <w:jc w:val="right"/>
              <w:ind w:right="657"/>
              <w:spacing w:after="0" w:line="141" w:lineRule="exact"/>
              <w:rPr>
                <w:sz w:val="20"/>
                <w:szCs w:val="20"/>
                <w:color w:val="auto"/>
              </w:rPr>
            </w:pPr>
            <w:r>
              <w:rPr>
                <w:rFonts w:ascii="Arial" w:cs="Arial" w:eastAsia="Arial" w:hAnsi="Arial"/>
                <w:sz w:val="13"/>
                <w:szCs w:val="13"/>
                <w:color w:val="auto"/>
              </w:rPr>
              <w:t>0</w:t>
            </w:r>
          </w:p>
        </w:tc>
      </w:tr>
      <w:tr>
        <w:trPr>
          <w:trHeight w:val="129"/>
        </w:trPr>
        <w:tc>
          <w:tcPr>
            <w:tcW w:w="1860" w:type="dxa"/>
            <w:vAlign w:val="bottom"/>
          </w:tcPr>
          <w:p>
            <w:pPr>
              <w:spacing w:after="0" w:line="129" w:lineRule="exact"/>
              <w:rPr>
                <w:sz w:val="20"/>
                <w:szCs w:val="20"/>
                <w:color w:val="auto"/>
              </w:rPr>
            </w:pPr>
            <w:r>
              <w:rPr>
                <w:rFonts w:ascii="Arial" w:cs="Arial" w:eastAsia="Arial" w:hAnsi="Arial"/>
                <w:sz w:val="13"/>
                <w:szCs w:val="13"/>
                <w:b w:val="1"/>
                <w:bCs w:val="1"/>
                <w:color w:val="0070C0"/>
              </w:rPr>
              <w:t>Charles F. Weiss</w:t>
            </w:r>
          </w:p>
        </w:tc>
        <w:tc>
          <w:tcPr>
            <w:tcW w:w="1200" w:type="dxa"/>
            <w:vAlign w:val="bottom"/>
          </w:tcPr>
          <w:p>
            <w:pPr>
              <w:ind w:left="460"/>
              <w:spacing w:after="0" w:line="129" w:lineRule="exact"/>
              <w:rPr>
                <w:sz w:val="20"/>
                <w:szCs w:val="20"/>
                <w:color w:val="auto"/>
              </w:rPr>
            </w:pPr>
            <w:r>
              <w:rPr>
                <w:rFonts w:ascii="Arial" w:cs="Arial" w:eastAsia="Arial" w:hAnsi="Arial"/>
                <w:sz w:val="13"/>
                <w:szCs w:val="13"/>
                <w:color w:val="auto"/>
              </w:rPr>
              <w:t>2019</w:t>
            </w:r>
          </w:p>
        </w:tc>
        <w:tc>
          <w:tcPr>
            <w:tcW w:w="1160" w:type="dxa"/>
            <w:vAlign w:val="bottom"/>
          </w:tcPr>
          <w:p>
            <w:pPr>
              <w:jc w:val="right"/>
              <w:ind w:right="177"/>
              <w:spacing w:after="0" w:line="129" w:lineRule="exact"/>
              <w:rPr>
                <w:sz w:val="20"/>
                <w:szCs w:val="20"/>
                <w:color w:val="auto"/>
              </w:rPr>
            </w:pPr>
            <w:r>
              <w:rPr>
                <w:rFonts w:ascii="Arial" w:cs="Arial" w:eastAsia="Arial" w:hAnsi="Arial"/>
                <w:sz w:val="13"/>
                <w:szCs w:val="13"/>
                <w:color w:val="auto"/>
              </w:rPr>
              <w:t>$</w:t>
            </w:r>
          </w:p>
        </w:tc>
        <w:tc>
          <w:tcPr>
            <w:tcW w:w="1640" w:type="dxa"/>
            <w:vAlign w:val="bottom"/>
          </w:tcPr>
          <w:p>
            <w:pPr>
              <w:jc w:val="right"/>
              <w:ind w:right="777"/>
              <w:spacing w:after="0" w:line="129" w:lineRule="exact"/>
              <w:rPr>
                <w:sz w:val="20"/>
                <w:szCs w:val="20"/>
                <w:color w:val="auto"/>
              </w:rPr>
            </w:pPr>
            <w:r>
              <w:rPr>
                <w:rFonts w:ascii="Arial" w:cs="Arial" w:eastAsia="Arial" w:hAnsi="Arial"/>
                <w:sz w:val="13"/>
                <w:szCs w:val="13"/>
                <w:color w:val="auto"/>
              </w:rPr>
              <w:t>480,000</w:t>
            </w:r>
          </w:p>
        </w:tc>
        <w:tc>
          <w:tcPr>
            <w:tcW w:w="132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57"/>
              <w:spacing w:after="0" w:line="129" w:lineRule="exact"/>
              <w:rPr>
                <w:sz w:val="20"/>
                <w:szCs w:val="20"/>
                <w:color w:val="auto"/>
              </w:rPr>
            </w:pPr>
            <w:r>
              <w:rPr>
                <w:rFonts w:ascii="Arial" w:cs="Arial" w:eastAsia="Arial" w:hAnsi="Arial"/>
                <w:sz w:val="13"/>
                <w:szCs w:val="13"/>
                <w:color w:val="auto"/>
              </w:rPr>
              <w:t>736,575</w:t>
            </w:r>
          </w:p>
        </w:tc>
      </w:tr>
      <w:tr>
        <w:trPr>
          <w:trHeight w:val="135"/>
        </w:trPr>
        <w:tc>
          <w:tcPr>
            <w:tcW w:w="1860" w:type="dxa"/>
            <w:vAlign w:val="bottom"/>
          </w:tcPr>
          <w:p>
            <w:pPr>
              <w:spacing w:after="0"/>
              <w:rPr>
                <w:sz w:val="11"/>
                <w:szCs w:val="11"/>
                <w:color w:val="auto"/>
              </w:rPr>
            </w:pPr>
          </w:p>
        </w:tc>
        <w:tc>
          <w:tcPr>
            <w:tcW w:w="1200" w:type="dxa"/>
            <w:vAlign w:val="bottom"/>
          </w:tcPr>
          <w:p>
            <w:pPr>
              <w:ind w:left="460"/>
              <w:spacing w:after="0" w:line="135" w:lineRule="exact"/>
              <w:rPr>
                <w:sz w:val="20"/>
                <w:szCs w:val="20"/>
                <w:color w:val="auto"/>
              </w:rPr>
            </w:pPr>
            <w:r>
              <w:rPr>
                <w:rFonts w:ascii="Arial" w:cs="Arial" w:eastAsia="Arial" w:hAnsi="Arial"/>
                <w:sz w:val="13"/>
                <w:szCs w:val="13"/>
                <w:color w:val="auto"/>
              </w:rPr>
              <w:t>2018</w:t>
            </w:r>
          </w:p>
        </w:tc>
        <w:tc>
          <w:tcPr>
            <w:tcW w:w="11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640" w:type="dxa"/>
            <w:vAlign w:val="bottom"/>
          </w:tcPr>
          <w:p>
            <w:pPr>
              <w:jc w:val="right"/>
              <w:ind w:right="777"/>
              <w:spacing w:after="0" w:line="135" w:lineRule="exact"/>
              <w:rPr>
                <w:sz w:val="20"/>
                <w:szCs w:val="20"/>
                <w:color w:val="auto"/>
              </w:rPr>
            </w:pPr>
            <w:r>
              <w:rPr>
                <w:rFonts w:ascii="Arial" w:cs="Arial" w:eastAsia="Arial" w:hAnsi="Arial"/>
                <w:sz w:val="13"/>
                <w:szCs w:val="13"/>
                <w:color w:val="auto"/>
              </w:rPr>
              <w:t>425,000</w:t>
            </w:r>
          </w:p>
        </w:tc>
        <w:tc>
          <w:tcPr>
            <w:tcW w:w="13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57"/>
              <w:spacing w:after="0" w:line="135" w:lineRule="exact"/>
              <w:rPr>
                <w:sz w:val="20"/>
                <w:szCs w:val="20"/>
                <w:color w:val="auto"/>
              </w:rPr>
            </w:pPr>
            <w:r>
              <w:rPr>
                <w:rFonts w:ascii="Arial" w:cs="Arial" w:eastAsia="Arial" w:hAnsi="Arial"/>
                <w:sz w:val="13"/>
                <w:szCs w:val="13"/>
                <w:color w:val="auto"/>
              </w:rPr>
              <w:t>0</w:t>
            </w:r>
          </w:p>
        </w:tc>
      </w:tr>
      <w:tr>
        <w:trPr>
          <w:trHeight w:val="141"/>
        </w:trPr>
        <w:tc>
          <w:tcPr>
            <w:tcW w:w="1860" w:type="dxa"/>
            <w:vAlign w:val="bottom"/>
          </w:tcPr>
          <w:p>
            <w:pPr>
              <w:spacing w:after="0"/>
              <w:rPr>
                <w:sz w:val="12"/>
                <w:szCs w:val="12"/>
                <w:color w:val="auto"/>
              </w:rPr>
            </w:pPr>
          </w:p>
        </w:tc>
        <w:tc>
          <w:tcPr>
            <w:tcW w:w="1200" w:type="dxa"/>
            <w:vAlign w:val="bottom"/>
          </w:tcPr>
          <w:p>
            <w:pPr>
              <w:ind w:left="460"/>
              <w:spacing w:after="0" w:line="141" w:lineRule="exact"/>
              <w:rPr>
                <w:sz w:val="20"/>
                <w:szCs w:val="20"/>
                <w:color w:val="auto"/>
              </w:rPr>
            </w:pPr>
            <w:r>
              <w:rPr>
                <w:rFonts w:ascii="Arial" w:cs="Arial" w:eastAsia="Arial" w:hAnsi="Arial"/>
                <w:sz w:val="13"/>
                <w:szCs w:val="13"/>
                <w:color w:val="auto"/>
              </w:rPr>
              <w:t>2017</w:t>
            </w:r>
          </w:p>
        </w:tc>
        <w:tc>
          <w:tcPr>
            <w:tcW w:w="1160" w:type="dxa"/>
            <w:vAlign w:val="bottom"/>
          </w:tcPr>
          <w:p>
            <w:pPr>
              <w:jc w:val="right"/>
              <w:ind w:right="177"/>
              <w:spacing w:after="0" w:line="141" w:lineRule="exact"/>
              <w:rPr>
                <w:sz w:val="20"/>
                <w:szCs w:val="20"/>
                <w:color w:val="auto"/>
              </w:rPr>
            </w:pPr>
            <w:r>
              <w:rPr>
                <w:rFonts w:ascii="Arial" w:cs="Arial" w:eastAsia="Arial" w:hAnsi="Arial"/>
                <w:sz w:val="13"/>
                <w:szCs w:val="13"/>
                <w:color w:val="auto"/>
              </w:rPr>
              <w:t>$</w:t>
            </w:r>
          </w:p>
        </w:tc>
        <w:tc>
          <w:tcPr>
            <w:tcW w:w="1640" w:type="dxa"/>
            <w:vAlign w:val="bottom"/>
          </w:tcPr>
          <w:p>
            <w:pPr>
              <w:jc w:val="right"/>
              <w:ind w:right="777"/>
              <w:spacing w:after="0" w:line="141" w:lineRule="exact"/>
              <w:rPr>
                <w:sz w:val="20"/>
                <w:szCs w:val="20"/>
                <w:color w:val="auto"/>
              </w:rPr>
            </w:pPr>
            <w:r>
              <w:rPr>
                <w:rFonts w:ascii="Arial" w:cs="Arial" w:eastAsia="Arial" w:hAnsi="Arial"/>
                <w:sz w:val="13"/>
                <w:szCs w:val="13"/>
                <w:color w:val="auto"/>
              </w:rPr>
              <w:t>470,000</w:t>
            </w:r>
          </w:p>
        </w:tc>
        <w:tc>
          <w:tcPr>
            <w:tcW w:w="132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57"/>
              <w:spacing w:after="0" w:line="141" w:lineRule="exact"/>
              <w:rPr>
                <w:sz w:val="20"/>
                <w:szCs w:val="20"/>
                <w:color w:val="auto"/>
              </w:rPr>
            </w:pPr>
            <w:r>
              <w:rPr>
                <w:rFonts w:ascii="Arial" w:cs="Arial" w:eastAsia="Arial" w:hAnsi="Arial"/>
                <w:sz w:val="13"/>
                <w:szCs w:val="13"/>
                <w:color w:val="auto"/>
              </w:rPr>
              <w:t>0</w:t>
            </w:r>
          </w:p>
        </w:tc>
      </w:tr>
      <w:tr>
        <w:trPr>
          <w:trHeight w:val="135"/>
        </w:trPr>
        <w:tc>
          <w:tcPr>
            <w:tcW w:w="1860" w:type="dxa"/>
            <w:vAlign w:val="bottom"/>
            <w:shd w:val="clear" w:color="auto" w:fill="F2F2F2"/>
          </w:tcPr>
          <w:p>
            <w:pPr>
              <w:spacing w:after="0" w:line="135" w:lineRule="exact"/>
              <w:rPr>
                <w:sz w:val="20"/>
                <w:szCs w:val="20"/>
                <w:color w:val="auto"/>
              </w:rPr>
            </w:pPr>
            <w:r>
              <w:rPr>
                <w:rFonts w:ascii="Arial" w:cs="Arial" w:eastAsia="Arial" w:hAnsi="Arial"/>
                <w:sz w:val="13"/>
                <w:szCs w:val="13"/>
                <w:b w:val="1"/>
                <w:bCs w:val="1"/>
                <w:color w:val="0070C0"/>
              </w:rPr>
              <w:t>Michael L. Preston</w:t>
            </w:r>
          </w:p>
        </w:tc>
        <w:tc>
          <w:tcPr>
            <w:tcW w:w="1200" w:type="dxa"/>
            <w:vAlign w:val="bottom"/>
            <w:shd w:val="clear" w:color="auto" w:fill="F2F2F2"/>
          </w:tcPr>
          <w:p>
            <w:pPr>
              <w:ind w:left="460"/>
              <w:spacing w:after="0" w:line="135" w:lineRule="exact"/>
              <w:rPr>
                <w:sz w:val="20"/>
                <w:szCs w:val="20"/>
                <w:color w:val="auto"/>
              </w:rPr>
            </w:pPr>
            <w:r>
              <w:rPr>
                <w:rFonts w:ascii="Arial" w:cs="Arial" w:eastAsia="Arial" w:hAnsi="Arial"/>
                <w:sz w:val="13"/>
                <w:szCs w:val="13"/>
                <w:color w:val="auto"/>
              </w:rPr>
              <w:t>2019</w:t>
            </w:r>
          </w:p>
        </w:tc>
        <w:tc>
          <w:tcPr>
            <w:tcW w:w="1160" w:type="dxa"/>
            <w:vAlign w:val="bottom"/>
            <w:shd w:val="clear" w:color="auto" w:fill="F2F2F2"/>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640" w:type="dxa"/>
            <w:vAlign w:val="bottom"/>
            <w:shd w:val="clear" w:color="auto" w:fill="F2F2F2"/>
          </w:tcPr>
          <w:p>
            <w:pPr>
              <w:jc w:val="right"/>
              <w:ind w:right="777"/>
              <w:spacing w:after="0" w:line="135" w:lineRule="exact"/>
              <w:rPr>
                <w:sz w:val="20"/>
                <w:szCs w:val="20"/>
                <w:color w:val="auto"/>
              </w:rPr>
            </w:pPr>
            <w:r>
              <w:rPr>
                <w:rFonts w:ascii="Arial" w:cs="Arial" w:eastAsia="Arial" w:hAnsi="Arial"/>
                <w:sz w:val="13"/>
                <w:szCs w:val="13"/>
                <w:color w:val="auto"/>
              </w:rPr>
              <w:t>506,000</w:t>
            </w:r>
          </w:p>
        </w:tc>
        <w:tc>
          <w:tcPr>
            <w:tcW w:w="132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F2F2F2"/>
          </w:tcPr>
          <w:p>
            <w:pPr>
              <w:jc w:val="right"/>
              <w:ind w:right="657"/>
              <w:spacing w:after="0" w:line="135" w:lineRule="exact"/>
              <w:rPr>
                <w:sz w:val="20"/>
                <w:szCs w:val="20"/>
                <w:color w:val="auto"/>
              </w:rPr>
            </w:pPr>
            <w:r>
              <w:rPr>
                <w:rFonts w:ascii="Arial" w:cs="Arial" w:eastAsia="Arial" w:hAnsi="Arial"/>
                <w:sz w:val="13"/>
                <w:szCs w:val="13"/>
                <w:color w:val="auto"/>
              </w:rPr>
              <w:t>582,245</w:t>
            </w:r>
          </w:p>
        </w:tc>
      </w:tr>
    </w:tbl>
    <w:p>
      <w:pPr>
        <w:spacing w:after="0" w:line="140" w:lineRule="exact"/>
        <w:rPr>
          <w:sz w:val="20"/>
          <w:szCs w:val="20"/>
          <w:color w:val="auto"/>
        </w:rPr>
      </w:pPr>
    </w:p>
    <w:p>
      <w:pPr>
        <w:ind w:left="340" w:right="100" w:hanging="332"/>
        <w:spacing w:after="0" w:line="229"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187"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36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following table shows “All Other Compensation” amounts for 2019.</w:t>
      </w:r>
    </w:p>
    <w:p>
      <w:pPr>
        <w:spacing w:after="0" w:line="200" w:lineRule="exact"/>
        <w:rPr>
          <w:sz w:val="20"/>
          <w:szCs w:val="20"/>
          <w:color w:val="auto"/>
        </w:rPr>
      </w:pPr>
    </w:p>
    <w:p>
      <w:pPr>
        <w:spacing w:after="0" w:line="3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0075C9"/>
              </w:rPr>
              <w:t>Todd A.</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0075C9"/>
                <w:w w:val="97"/>
              </w:rPr>
              <w:t>Marshall D.</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0075C9"/>
              </w:rPr>
              <w:t>Darren</w:t>
            </w:r>
          </w:p>
        </w:tc>
        <w:tc>
          <w:tcPr>
            <w:tcW w:w="360" w:type="dxa"/>
            <w:vAlign w:val="bottom"/>
          </w:tcPr>
          <w:p>
            <w:pPr>
              <w:spacing w:after="0"/>
              <w:rPr>
                <w:sz w:val="13"/>
                <w:szCs w:val="13"/>
                <w:color w:val="auto"/>
              </w:rPr>
            </w:pPr>
          </w:p>
        </w:tc>
        <w:tc>
          <w:tcPr>
            <w:tcW w:w="96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0075C9"/>
              </w:rPr>
              <w:t>Charles F.</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0075C9"/>
              </w:rPr>
              <w:t>Michael L.</w:t>
            </w:r>
          </w:p>
        </w:tc>
        <w:tc>
          <w:tcPr>
            <w:tcW w:w="360" w:type="dxa"/>
            <w:vAlign w:val="bottom"/>
          </w:tcPr>
          <w:p>
            <w:pPr>
              <w:spacing w:after="0"/>
              <w:rPr>
                <w:sz w:val="13"/>
                <w:szCs w:val="13"/>
                <w:color w:val="auto"/>
              </w:rPr>
            </w:pPr>
          </w:p>
        </w:tc>
      </w:tr>
      <w:tr>
        <w:trPr>
          <w:trHeight w:val="157"/>
        </w:trPr>
        <w:tc>
          <w:tcPr>
            <w:tcW w:w="3140" w:type="dxa"/>
            <w:vAlign w:val="bottom"/>
            <w:tcBorders>
              <w:bottom w:val="single" w:sz="8" w:color="EBEBEC"/>
            </w:tcBorders>
          </w:tcPr>
          <w:p>
            <w:pPr>
              <w:spacing w:after="0"/>
              <w:rPr>
                <w:sz w:val="13"/>
                <w:szCs w:val="13"/>
                <w:color w:val="auto"/>
              </w:rPr>
            </w:pPr>
          </w:p>
        </w:tc>
        <w:tc>
          <w:tcPr>
            <w:tcW w:w="300" w:type="dxa"/>
            <w:vAlign w:val="bottom"/>
            <w:tcBorders>
              <w:bottom w:val="single" w:sz="8" w:color="0075C9"/>
            </w:tcBorders>
          </w:tcPr>
          <w:p>
            <w:pPr>
              <w:spacing w:after="0"/>
              <w:rPr>
                <w:sz w:val="13"/>
                <w:szCs w:val="13"/>
                <w:color w:val="auto"/>
              </w:rPr>
            </w:pPr>
          </w:p>
        </w:tc>
        <w:tc>
          <w:tcPr>
            <w:tcW w:w="60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Stevens</w:t>
            </w:r>
          </w:p>
        </w:tc>
        <w:tc>
          <w:tcPr>
            <w:tcW w:w="420" w:type="dxa"/>
            <w:vAlign w:val="bottom"/>
            <w:tcBorders>
              <w:bottom w:val="single" w:sz="8" w:color="0075C9"/>
            </w:tcBorders>
          </w:tcPr>
          <w:p>
            <w:pPr>
              <w:spacing w:after="0"/>
              <w:rPr>
                <w:sz w:val="13"/>
                <w:szCs w:val="13"/>
                <w:color w:val="auto"/>
              </w:rPr>
            </w:pPr>
          </w:p>
        </w:tc>
        <w:tc>
          <w:tcPr>
            <w:tcW w:w="26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right"/>
              <w:ind w:right="117"/>
              <w:spacing w:after="0"/>
              <w:rPr>
                <w:sz w:val="20"/>
                <w:szCs w:val="20"/>
                <w:color w:val="auto"/>
              </w:rPr>
            </w:pPr>
            <w:r>
              <w:rPr>
                <w:rFonts w:ascii="Arial" w:cs="Arial" w:eastAsia="Arial" w:hAnsi="Arial"/>
                <w:sz w:val="13"/>
                <w:szCs w:val="13"/>
                <w:b w:val="1"/>
                <w:bCs w:val="1"/>
                <w:color w:val="0075C9"/>
              </w:rPr>
              <w:t>Smith</w:t>
            </w:r>
          </w:p>
        </w:tc>
        <w:tc>
          <w:tcPr>
            <w:tcW w:w="340" w:type="dxa"/>
            <w:vAlign w:val="bottom"/>
            <w:tcBorders>
              <w:bottom w:val="single" w:sz="8" w:color="0075C9"/>
            </w:tcBorders>
          </w:tcPr>
          <w:p>
            <w:pPr>
              <w:spacing w:after="0"/>
              <w:rPr>
                <w:sz w:val="13"/>
                <w:szCs w:val="13"/>
                <w:color w:val="auto"/>
              </w:rPr>
            </w:pPr>
          </w:p>
        </w:tc>
        <w:tc>
          <w:tcPr>
            <w:tcW w:w="280" w:type="dxa"/>
            <w:vAlign w:val="bottom"/>
            <w:tcBorders>
              <w:bottom w:val="single" w:sz="8" w:color="0075C9"/>
            </w:tcBorders>
          </w:tcPr>
          <w:p>
            <w:pPr>
              <w:spacing w:after="0"/>
              <w:rPr>
                <w:sz w:val="13"/>
                <w:szCs w:val="13"/>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Williams</w:t>
            </w:r>
          </w:p>
        </w:tc>
        <w:tc>
          <w:tcPr>
            <w:tcW w:w="360" w:type="dxa"/>
            <w:vAlign w:val="bottom"/>
            <w:tcBorders>
              <w:bottom w:val="single" w:sz="8" w:color="0075C9"/>
            </w:tcBorders>
          </w:tcPr>
          <w:p>
            <w:pPr>
              <w:spacing w:after="0"/>
              <w:rPr>
                <w:sz w:val="13"/>
                <w:szCs w:val="13"/>
                <w:color w:val="auto"/>
              </w:rPr>
            </w:pPr>
          </w:p>
        </w:tc>
        <w:tc>
          <w:tcPr>
            <w:tcW w:w="26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tcPr>
          <w:p>
            <w:pPr>
              <w:jc w:val="right"/>
              <w:ind w:right="277"/>
              <w:spacing w:after="0"/>
              <w:rPr>
                <w:sz w:val="20"/>
                <w:szCs w:val="20"/>
                <w:color w:val="auto"/>
              </w:rPr>
            </w:pPr>
            <w:r>
              <w:rPr>
                <w:rFonts w:ascii="Arial" w:cs="Arial" w:eastAsia="Arial" w:hAnsi="Arial"/>
                <w:sz w:val="13"/>
                <w:szCs w:val="13"/>
                <w:b w:val="1"/>
                <w:bCs w:val="1"/>
                <w:color w:val="0075C9"/>
                <w:w w:val="90"/>
              </w:rPr>
              <w:t>Weiss</w:t>
            </w:r>
          </w:p>
        </w:tc>
        <w:tc>
          <w:tcPr>
            <w:tcW w:w="300" w:type="dxa"/>
            <w:vAlign w:val="bottom"/>
            <w:tcBorders>
              <w:bottom w:val="single" w:sz="8" w:color="0075C9"/>
            </w:tcBorders>
          </w:tcPr>
          <w:p>
            <w:pPr>
              <w:spacing w:after="0"/>
              <w:rPr>
                <w:sz w:val="13"/>
                <w:szCs w:val="13"/>
                <w:color w:val="auto"/>
              </w:rPr>
            </w:pPr>
          </w:p>
        </w:tc>
        <w:tc>
          <w:tcPr>
            <w:tcW w:w="26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right"/>
              <w:ind w:right="97"/>
              <w:spacing w:after="0"/>
              <w:rPr>
                <w:sz w:val="20"/>
                <w:szCs w:val="20"/>
                <w:color w:val="auto"/>
              </w:rPr>
            </w:pPr>
            <w:r>
              <w:rPr>
                <w:rFonts w:ascii="Arial" w:cs="Arial" w:eastAsia="Arial" w:hAnsi="Arial"/>
                <w:sz w:val="13"/>
                <w:szCs w:val="13"/>
                <w:b w:val="1"/>
                <w:bCs w:val="1"/>
                <w:color w:val="0075C9"/>
              </w:rPr>
              <w:t>Preston</w:t>
            </w:r>
          </w:p>
        </w:tc>
        <w:tc>
          <w:tcPr>
            <w:tcW w:w="360" w:type="dxa"/>
            <w:vAlign w:val="bottom"/>
            <w:tcBorders>
              <w:bottom w:val="single" w:sz="8" w:color="0075C9"/>
            </w:tcBorders>
          </w:tcPr>
          <w:p>
            <w:pPr>
              <w:spacing w:after="0"/>
              <w:rPr>
                <w:sz w:val="13"/>
                <w:szCs w:val="13"/>
                <w:color w:val="auto"/>
              </w:rPr>
            </w:pPr>
          </w:p>
        </w:tc>
      </w:tr>
      <w:tr>
        <w:trPr>
          <w:trHeight w:val="142"/>
        </w:trPr>
        <w:tc>
          <w:tcPr>
            <w:tcW w:w="3140" w:type="dxa"/>
            <w:vAlign w:val="bottom"/>
            <w:shd w:val="clear" w:color="auto" w:fill="EBEBEC"/>
          </w:tcPr>
          <w:p>
            <w:pPr>
              <w:ind w:left="120"/>
              <w:spacing w:after="0" w:line="142" w:lineRule="exact"/>
              <w:rPr>
                <w:sz w:val="20"/>
                <w:szCs w:val="20"/>
                <w:color w:val="auto"/>
              </w:rPr>
            </w:pPr>
            <w:r>
              <w:rPr>
                <w:rFonts w:ascii="Arial" w:cs="Arial" w:eastAsia="Arial" w:hAnsi="Arial"/>
                <w:sz w:val="13"/>
                <w:szCs w:val="13"/>
                <w:color w:val="auto"/>
              </w:rPr>
              <w:t>Qualified Plan(a)</w:t>
            </w:r>
          </w:p>
        </w:tc>
        <w:tc>
          <w:tcPr>
            <w:tcW w:w="30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37,000</w:t>
            </w:r>
          </w:p>
        </w:tc>
        <w:tc>
          <w:tcPr>
            <w:tcW w:w="42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line="142" w:lineRule="exact"/>
              <w:rPr>
                <w:sz w:val="20"/>
                <w:szCs w:val="20"/>
                <w:color w:val="auto"/>
              </w:rPr>
            </w:pPr>
            <w:r>
              <w:rPr>
                <w:rFonts w:ascii="Arial" w:cs="Arial" w:eastAsia="Arial" w:hAnsi="Arial"/>
                <w:sz w:val="13"/>
                <w:szCs w:val="13"/>
                <w:color w:val="auto"/>
              </w:rPr>
              <w:t>37,000</w:t>
            </w:r>
          </w:p>
        </w:tc>
        <w:tc>
          <w:tcPr>
            <w:tcW w:w="340" w:type="dxa"/>
            <w:vAlign w:val="bottom"/>
            <w:shd w:val="clear" w:color="auto" w:fill="EBEBEC"/>
          </w:tcPr>
          <w:p>
            <w:pPr>
              <w:spacing w:after="0"/>
              <w:rPr>
                <w:sz w:val="12"/>
                <w:szCs w:val="12"/>
                <w:color w:val="auto"/>
              </w:rPr>
            </w:pPr>
          </w:p>
        </w:tc>
        <w:tc>
          <w:tcPr>
            <w:tcW w:w="28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37,000</w:t>
            </w:r>
          </w:p>
        </w:tc>
        <w:tc>
          <w:tcPr>
            <w:tcW w:w="36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37,000</w:t>
            </w:r>
          </w:p>
        </w:tc>
        <w:tc>
          <w:tcPr>
            <w:tcW w:w="30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17"/>
              <w:spacing w:after="0" w:line="142" w:lineRule="exact"/>
              <w:rPr>
                <w:sz w:val="20"/>
                <w:szCs w:val="20"/>
                <w:color w:val="auto"/>
              </w:rPr>
            </w:pPr>
            <w:r>
              <w:rPr>
                <w:rFonts w:ascii="Arial" w:cs="Arial" w:eastAsia="Arial" w:hAnsi="Arial"/>
                <w:sz w:val="13"/>
                <w:szCs w:val="13"/>
                <w:color w:val="auto"/>
              </w:rPr>
              <w:t>17,400</w:t>
            </w:r>
          </w:p>
        </w:tc>
        <w:tc>
          <w:tcPr>
            <w:tcW w:w="360" w:type="dxa"/>
            <w:vAlign w:val="bottom"/>
            <w:shd w:val="clear" w:color="auto" w:fill="EBEBEC"/>
          </w:tcPr>
          <w:p>
            <w:pPr>
              <w:spacing w:after="0"/>
              <w:rPr>
                <w:sz w:val="12"/>
                <w:szCs w:val="12"/>
                <w:color w:val="auto"/>
              </w:rPr>
            </w:pPr>
          </w:p>
        </w:tc>
      </w:tr>
      <w:tr>
        <w:trPr>
          <w:trHeight w:val="162"/>
        </w:trPr>
        <w:tc>
          <w:tcPr>
            <w:tcW w:w="31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Supplemental Plan(b)</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367,658</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223,020</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145,215</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126,262</w:t>
            </w:r>
          </w:p>
        </w:tc>
        <w:tc>
          <w:tcPr>
            <w:tcW w:w="30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155,684</w:t>
            </w:r>
          </w:p>
        </w:tc>
        <w:tc>
          <w:tcPr>
            <w:tcW w:w="360" w:type="dxa"/>
            <w:vAlign w:val="bottom"/>
            <w:shd w:val="clear" w:color="auto" w:fill="EBEBEC"/>
          </w:tcPr>
          <w:p>
            <w:pPr>
              <w:spacing w:after="0"/>
              <w:rPr>
                <w:sz w:val="14"/>
                <w:szCs w:val="14"/>
                <w:color w:val="auto"/>
              </w:rPr>
            </w:pPr>
          </w:p>
        </w:tc>
      </w:tr>
      <w:tr>
        <w:trPr>
          <w:trHeight w:val="162"/>
        </w:trPr>
        <w:tc>
          <w:tcPr>
            <w:tcW w:w="31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Personal Benefits</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26,530</w:t>
            </w:r>
          </w:p>
        </w:tc>
        <w:tc>
          <w:tcPr>
            <w:tcW w:w="420" w:type="dxa"/>
            <w:vAlign w:val="bottom"/>
            <w:shd w:val="clear" w:color="auto" w:fill="EBEBEC"/>
          </w:tcPr>
          <w:p>
            <w:pPr>
              <w:ind w:left="100"/>
              <w:spacing w:after="0"/>
              <w:rPr>
                <w:sz w:val="20"/>
                <w:szCs w:val="20"/>
                <w:color w:val="auto"/>
              </w:rPr>
            </w:pPr>
            <w:r>
              <w:rPr>
                <w:rFonts w:ascii="Arial" w:cs="Arial" w:eastAsia="Arial" w:hAnsi="Arial"/>
                <w:sz w:val="13"/>
                <w:szCs w:val="13"/>
                <w:color w:val="auto"/>
              </w:rPr>
              <w:t>(c)</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5,921</w:t>
            </w:r>
          </w:p>
        </w:tc>
        <w:tc>
          <w:tcPr>
            <w:tcW w:w="340" w:type="dxa"/>
            <w:vAlign w:val="bottom"/>
            <w:shd w:val="clear" w:color="auto" w:fill="EBEBEC"/>
          </w:tcPr>
          <w:p>
            <w:pPr>
              <w:ind w:left="20"/>
              <w:spacing w:after="0"/>
              <w:rPr>
                <w:sz w:val="20"/>
                <w:szCs w:val="20"/>
                <w:color w:val="auto"/>
              </w:rPr>
            </w:pPr>
            <w:r>
              <w:rPr>
                <w:rFonts w:ascii="Arial" w:cs="Arial" w:eastAsia="Arial" w:hAnsi="Arial"/>
                <w:sz w:val="13"/>
                <w:szCs w:val="13"/>
                <w:color w:val="auto"/>
              </w:rPr>
              <w:t>(d)</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2,159</w:t>
            </w:r>
          </w:p>
        </w:tc>
        <w:tc>
          <w:tcPr>
            <w:tcW w:w="360" w:type="dxa"/>
            <w:vAlign w:val="bottom"/>
            <w:shd w:val="clear" w:color="auto" w:fill="EBEBEC"/>
          </w:tcPr>
          <w:p>
            <w:pPr>
              <w:ind w:left="60"/>
              <w:spacing w:after="0"/>
              <w:rPr>
                <w:sz w:val="20"/>
                <w:szCs w:val="20"/>
                <w:color w:val="auto"/>
              </w:rPr>
            </w:pPr>
            <w:r>
              <w:rPr>
                <w:rFonts w:ascii="Arial" w:cs="Arial" w:eastAsia="Arial" w:hAnsi="Arial"/>
                <w:sz w:val="13"/>
                <w:szCs w:val="13"/>
                <w:color w:val="auto"/>
              </w:rPr>
              <w:t>(e)</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18,588</w:t>
            </w:r>
          </w:p>
        </w:tc>
        <w:tc>
          <w:tcPr>
            <w:tcW w:w="300" w:type="dxa"/>
            <w:vAlign w:val="bottom"/>
            <w:shd w:val="clear" w:color="auto" w:fill="EBEBEC"/>
          </w:tcPr>
          <w:p>
            <w:pPr>
              <w:ind w:left="60"/>
              <w:spacing w:after="0"/>
              <w:rPr>
                <w:sz w:val="20"/>
                <w:szCs w:val="20"/>
                <w:color w:val="auto"/>
              </w:rPr>
            </w:pPr>
            <w:r>
              <w:rPr>
                <w:rFonts w:ascii="Arial" w:cs="Arial" w:eastAsia="Arial" w:hAnsi="Arial"/>
                <w:sz w:val="13"/>
                <w:szCs w:val="13"/>
                <w:color w:val="auto"/>
              </w:rPr>
              <w:t>(f)</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2,446</w:t>
            </w:r>
          </w:p>
        </w:tc>
        <w:tc>
          <w:tcPr>
            <w:tcW w:w="360" w:type="dxa"/>
            <w:vAlign w:val="bottom"/>
            <w:shd w:val="clear" w:color="auto" w:fill="EBEBEC"/>
          </w:tcPr>
          <w:p>
            <w:pPr>
              <w:ind w:left="40"/>
              <w:spacing w:after="0"/>
              <w:rPr>
                <w:sz w:val="20"/>
                <w:szCs w:val="20"/>
                <w:color w:val="auto"/>
              </w:rPr>
            </w:pPr>
            <w:r>
              <w:rPr>
                <w:rFonts w:ascii="Arial" w:cs="Arial" w:eastAsia="Arial" w:hAnsi="Arial"/>
                <w:sz w:val="13"/>
                <w:szCs w:val="13"/>
                <w:color w:val="auto"/>
              </w:rPr>
              <w:t>(g)</w:t>
            </w:r>
          </w:p>
        </w:tc>
      </w:tr>
      <w:tr>
        <w:trPr>
          <w:trHeight w:val="162"/>
        </w:trPr>
        <w:tc>
          <w:tcPr>
            <w:tcW w:w="31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Relocation Benefits</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6,000</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spacing w:after="0"/>
              <w:rPr>
                <w:sz w:val="14"/>
                <w:szCs w:val="14"/>
                <w:color w:val="auto"/>
              </w:rPr>
            </w:pPr>
          </w:p>
        </w:tc>
      </w:tr>
      <w:tr>
        <w:trPr>
          <w:trHeight w:val="162"/>
        </w:trPr>
        <w:tc>
          <w:tcPr>
            <w:tcW w:w="31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431,188</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271,941</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184,374</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181,850</w:t>
            </w:r>
          </w:p>
        </w:tc>
        <w:tc>
          <w:tcPr>
            <w:tcW w:w="30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175,530</w:t>
            </w:r>
          </w:p>
        </w:tc>
        <w:tc>
          <w:tcPr>
            <w:tcW w:w="36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-102235</wp:posOffset>
            </wp:positionV>
            <wp:extent cx="61379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-205105</wp:posOffset>
            </wp:positionV>
            <wp:extent cx="613791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-307975</wp:posOffset>
            </wp:positionV>
            <wp:extent cx="61379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3791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-410845</wp:posOffset>
            </wp:positionV>
            <wp:extent cx="61379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376" w:lineRule="exact"/>
        <w:rPr>
          <w:sz w:val="20"/>
          <w:szCs w:val="20"/>
          <w:color w:val="auto"/>
        </w:rPr>
      </w:pPr>
    </w:p>
    <w:p>
      <w:pPr>
        <w:ind w:left="720" w:right="160" w:hanging="348"/>
        <w:spacing w:after="0" w:line="229" w:lineRule="auto"/>
        <w:tabs>
          <w:tab w:leader="none" w:pos="7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retirement contributions to the qualified defined contribution savings plan–the California Resources Corporation Savings Plan (the “Qualified Plan”).</w:t>
      </w:r>
    </w:p>
    <w:p>
      <w:pPr>
        <w:spacing w:after="0" w:line="111" w:lineRule="exact"/>
        <w:rPr>
          <w:rFonts w:ascii="Arial" w:cs="Arial" w:eastAsia="Arial" w:hAnsi="Arial"/>
          <w:sz w:val="14"/>
          <w:szCs w:val="14"/>
          <w:color w:val="auto"/>
        </w:rPr>
      </w:pPr>
    </w:p>
    <w:p>
      <w:pPr>
        <w:ind w:left="720" w:right="140" w:hanging="348"/>
        <w:spacing w:after="0" w:line="229" w:lineRule="auto"/>
        <w:tabs>
          <w:tab w:leader="none" w:pos="7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IRS limits on the Qualified Plan.</w:t>
      </w:r>
    </w:p>
    <w:p>
      <w:pPr>
        <w:spacing w:after="0" w:line="111" w:lineRule="exact"/>
        <w:rPr>
          <w:rFonts w:ascii="Arial" w:cs="Arial" w:eastAsia="Arial" w:hAnsi="Arial"/>
          <w:sz w:val="14"/>
          <w:szCs w:val="14"/>
          <w:color w:val="auto"/>
        </w:rPr>
      </w:pPr>
    </w:p>
    <w:p>
      <w:pPr>
        <w:ind w:left="720" w:hanging="348"/>
        <w:spacing w:after="0"/>
        <w:tabs>
          <w:tab w:leader="none" w:pos="7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($25,230) and excess liability insurance.</w:t>
      </w:r>
    </w:p>
    <w:p>
      <w:pPr>
        <w:spacing w:after="0" w:line="122" w:lineRule="exact"/>
        <w:rPr>
          <w:rFonts w:ascii="Arial" w:cs="Arial" w:eastAsia="Arial" w:hAnsi="Arial"/>
          <w:sz w:val="14"/>
          <w:szCs w:val="14"/>
          <w:color w:val="auto"/>
        </w:rPr>
      </w:pPr>
    </w:p>
    <w:p>
      <w:pPr>
        <w:ind w:left="720" w:hanging="348"/>
        <w:spacing w:after="0"/>
        <w:tabs>
          <w:tab w:leader="none" w:pos="7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and excess liability insurance.</w:t>
      </w:r>
    </w:p>
    <w:p>
      <w:pPr>
        <w:spacing w:after="0" w:line="122" w:lineRule="exact"/>
        <w:rPr>
          <w:rFonts w:ascii="Arial" w:cs="Arial" w:eastAsia="Arial" w:hAnsi="Arial"/>
          <w:sz w:val="14"/>
          <w:szCs w:val="14"/>
          <w:color w:val="auto"/>
        </w:rPr>
      </w:pPr>
    </w:p>
    <w:p>
      <w:pPr>
        <w:ind w:left="720" w:hanging="348"/>
        <w:spacing w:after="0"/>
        <w:tabs>
          <w:tab w:leader="none" w:pos="7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and excess liability insurance.</w:t>
      </w:r>
    </w:p>
    <w:p>
      <w:pPr>
        <w:spacing w:after="0" w:line="122" w:lineRule="exact"/>
        <w:rPr>
          <w:rFonts w:ascii="Arial" w:cs="Arial" w:eastAsia="Arial" w:hAnsi="Arial"/>
          <w:sz w:val="14"/>
          <w:szCs w:val="14"/>
          <w:color w:val="auto"/>
        </w:rPr>
      </w:pPr>
    </w:p>
    <w:p>
      <w:pPr>
        <w:ind w:left="720" w:hanging="348"/>
        <w:spacing w:after="0"/>
        <w:tabs>
          <w:tab w:leader="none" w:pos="7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($17,917) and excess liability insurance.</w:t>
      </w:r>
    </w:p>
    <w:p>
      <w:pPr>
        <w:spacing w:after="0" w:line="122" w:lineRule="exact"/>
        <w:rPr>
          <w:rFonts w:ascii="Arial" w:cs="Arial" w:eastAsia="Arial" w:hAnsi="Arial"/>
          <w:sz w:val="14"/>
          <w:szCs w:val="14"/>
          <w:color w:val="auto"/>
        </w:rPr>
      </w:pPr>
    </w:p>
    <w:p>
      <w:pPr>
        <w:ind w:left="720" w:hanging="348"/>
        <w:spacing w:after="0"/>
        <w:tabs>
          <w:tab w:leader="none" w:pos="7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and excess liability insurance.</w:t>
      </w:r>
    </w:p>
    <w:p>
      <w:pPr>
        <w:spacing w:after="0" w:line="122"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2"/>
          <w:szCs w:val="12"/>
          <w:color w:val="auto"/>
        </w:rPr>
      </w:pPr>
      <w:r>
        <w:rPr>
          <w:rFonts w:ascii="Arial" w:cs="Arial" w:eastAsia="Arial" w:hAnsi="Arial"/>
          <w:sz w:val="14"/>
          <w:szCs w:val="14"/>
          <w:color w:val="auto"/>
        </w:rPr>
        <w:t>Mr. Preston was not an NEO in 2018 or 2017. Compensation paid for years in which the executive was not an NEO are not disclosed in the SCT.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4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table below summarizes the following plan-based awards granted in 2019 to our NEOs: Annual Incentive Awards, Restricted Stock Unit Awards (RSU), Performance Stock Unit Awards (PSU), and Stock Option Awards (Options).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0075C9"/>
              </w:rPr>
              <w:t>Exercise</w:t>
            </w: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0075C9"/>
                <w:w w:val="97"/>
              </w:rPr>
              <w:t>Grant Date</w:t>
            </w: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0075C9"/>
                <w:w w:val="98"/>
              </w:rPr>
              <w:t>All Other</w:t>
            </w:r>
          </w:p>
        </w:tc>
        <w:tc>
          <w:tcPr>
            <w:tcW w:w="96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0075C9"/>
                <w:w w:val="95"/>
              </w:rPr>
              <w:t>or Base</w:t>
            </w:r>
          </w:p>
        </w:tc>
        <w:tc>
          <w:tcPr>
            <w:tcW w:w="180" w:type="dxa"/>
            <w:vAlign w:val="bottom"/>
          </w:tcPr>
          <w:p>
            <w:pPr>
              <w:spacing w:after="0"/>
              <w:rPr>
                <w:sz w:val="12"/>
                <w:szCs w:val="12"/>
                <w:color w:val="auto"/>
              </w:rPr>
            </w:pPr>
          </w:p>
        </w:tc>
        <w:tc>
          <w:tcPr>
            <w:tcW w:w="740" w:type="dxa"/>
            <w:vAlign w:val="bottom"/>
          </w:tcPr>
          <w:p>
            <w:pPr>
              <w:jc w:val="center"/>
              <w:ind w:right="122"/>
              <w:spacing w:after="0"/>
              <w:rPr>
                <w:sz w:val="20"/>
                <w:szCs w:val="20"/>
                <w:color w:val="auto"/>
              </w:rPr>
            </w:pPr>
            <w:r>
              <w:rPr>
                <w:rFonts w:ascii="Arial" w:cs="Arial" w:eastAsia="Arial" w:hAnsi="Arial"/>
                <w:sz w:val="12"/>
                <w:szCs w:val="12"/>
                <w:b w:val="1"/>
                <w:bCs w:val="1"/>
                <w:color w:val="0075C9"/>
                <w:w w:val="97"/>
              </w:rPr>
              <w:t>Fair Value</w:t>
            </w: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left="382"/>
              <w:spacing w:after="0"/>
              <w:rPr>
                <w:sz w:val="20"/>
                <w:szCs w:val="20"/>
                <w:color w:val="auto"/>
              </w:rPr>
            </w:pPr>
            <w:r>
              <w:rPr>
                <w:rFonts w:ascii="Arial" w:cs="Arial" w:eastAsia="Arial" w:hAnsi="Arial"/>
                <w:sz w:val="12"/>
                <w:szCs w:val="12"/>
                <w:b w:val="1"/>
                <w:bCs w:val="1"/>
                <w:color w:val="0075C9"/>
                <w:w w:val="97"/>
              </w:rPr>
              <w:t>Estimated Future Payouts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gridSpan w:val="2"/>
          </w:tcPr>
          <w:p>
            <w:pPr>
              <w:jc w:val="center"/>
              <w:spacing w:after="0"/>
              <w:rPr>
                <w:sz w:val="20"/>
                <w:szCs w:val="20"/>
                <w:color w:val="auto"/>
              </w:rPr>
            </w:pPr>
            <w:r>
              <w:rPr>
                <w:rFonts w:ascii="Arial" w:cs="Arial" w:eastAsia="Arial" w:hAnsi="Arial"/>
                <w:sz w:val="12"/>
                <w:szCs w:val="12"/>
                <w:b w:val="1"/>
                <w:bCs w:val="1"/>
                <w:color w:val="0075C9"/>
                <w:w w:val="97"/>
              </w:rPr>
              <w:t>Estimated Future Payouts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0075C9"/>
                <w:w w:val="98"/>
              </w:rPr>
              <w:t>Stock Awards:</w:t>
            </w:r>
          </w:p>
        </w:tc>
        <w:tc>
          <w:tcPr>
            <w:tcW w:w="96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0075C9"/>
                <w:w w:val="95"/>
              </w:rPr>
              <w:t>Price of</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0075C9"/>
              </w:rPr>
              <w:t>of Stock and</w:t>
            </w: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5"/>
          </w:tcPr>
          <w:p>
            <w:pPr>
              <w:jc w:val="center"/>
              <w:ind w:right="42"/>
              <w:spacing w:after="0"/>
              <w:rPr>
                <w:sz w:val="20"/>
                <w:szCs w:val="20"/>
                <w:color w:val="auto"/>
              </w:rPr>
            </w:pPr>
            <w:r>
              <w:rPr>
                <w:rFonts w:ascii="Arial" w:cs="Arial" w:eastAsia="Arial" w:hAnsi="Arial"/>
                <w:sz w:val="12"/>
                <w:szCs w:val="12"/>
                <w:b w:val="1"/>
                <w:bCs w:val="1"/>
                <w:color w:val="0075C9"/>
                <w:w w:val="96"/>
              </w:rPr>
              <w:t>Under Non-Equity Incentive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gridSpan w:val="2"/>
          </w:tcPr>
          <w:p>
            <w:pPr>
              <w:jc w:val="center"/>
              <w:spacing w:after="0"/>
              <w:rPr>
                <w:sz w:val="20"/>
                <w:szCs w:val="20"/>
                <w:color w:val="auto"/>
              </w:rPr>
            </w:pPr>
            <w:r>
              <w:rPr>
                <w:rFonts w:ascii="Arial" w:cs="Arial" w:eastAsia="Arial" w:hAnsi="Arial"/>
                <w:sz w:val="12"/>
                <w:szCs w:val="12"/>
                <w:b w:val="1"/>
                <w:bCs w:val="1"/>
                <w:color w:val="0075C9"/>
                <w:w w:val="96"/>
              </w:rPr>
              <w:t>Under Equity Incentive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0075C9"/>
                <w:w w:val="96"/>
              </w:rPr>
              <w:t>Number of</w:t>
            </w:r>
          </w:p>
        </w:tc>
        <w:tc>
          <w:tcPr>
            <w:tcW w:w="180" w:type="dxa"/>
            <w:vAlign w:val="bottom"/>
          </w:tcPr>
          <w:p>
            <w:pPr>
              <w:spacing w:after="0"/>
              <w:rPr>
                <w:sz w:val="12"/>
                <w:szCs w:val="12"/>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0075C9"/>
                <w:w w:val="98"/>
              </w:rPr>
              <w:t>Option</w:t>
            </w:r>
          </w:p>
        </w:tc>
        <w:tc>
          <w:tcPr>
            <w:tcW w:w="180" w:type="dxa"/>
            <w:vAlign w:val="bottom"/>
          </w:tcPr>
          <w:p>
            <w:pPr>
              <w:spacing w:after="0"/>
              <w:rPr>
                <w:sz w:val="12"/>
                <w:szCs w:val="12"/>
                <w:color w:val="auto"/>
              </w:rPr>
            </w:pPr>
          </w:p>
        </w:tc>
        <w:tc>
          <w:tcPr>
            <w:tcW w:w="740" w:type="dxa"/>
            <w:vAlign w:val="bottom"/>
          </w:tcPr>
          <w:p>
            <w:pPr>
              <w:jc w:val="center"/>
              <w:ind w:right="142"/>
              <w:spacing w:after="0"/>
              <w:rPr>
                <w:sz w:val="20"/>
                <w:szCs w:val="20"/>
                <w:color w:val="auto"/>
              </w:rPr>
            </w:pPr>
            <w:r>
              <w:rPr>
                <w:rFonts w:ascii="Arial" w:cs="Arial" w:eastAsia="Arial" w:hAnsi="Arial"/>
                <w:sz w:val="12"/>
                <w:szCs w:val="12"/>
                <w:b w:val="1"/>
                <w:bCs w:val="1"/>
                <w:color w:val="0075C9"/>
                <w:w w:val="98"/>
              </w:rPr>
              <w:t>Option</w:t>
            </w:r>
          </w:p>
        </w:tc>
      </w:tr>
      <w:tr>
        <w:trPr>
          <w:trHeight w:val="147"/>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0075C9"/>
            </w:tcBorders>
          </w:tcPr>
          <w:p>
            <w:pPr>
              <w:spacing w:after="0"/>
              <w:rPr>
                <w:sz w:val="12"/>
                <w:szCs w:val="12"/>
                <w:color w:val="auto"/>
              </w:rPr>
            </w:pPr>
          </w:p>
        </w:tc>
        <w:tc>
          <w:tcPr>
            <w:tcW w:w="460" w:type="dxa"/>
            <w:vAlign w:val="bottom"/>
            <w:tcBorders>
              <w:bottom w:val="single" w:sz="8" w:color="0075C9"/>
            </w:tcBorders>
          </w:tcPr>
          <w:p>
            <w:pPr>
              <w:spacing w:after="0"/>
              <w:rPr>
                <w:sz w:val="12"/>
                <w:szCs w:val="12"/>
                <w:color w:val="auto"/>
              </w:rPr>
            </w:pPr>
          </w:p>
        </w:tc>
        <w:tc>
          <w:tcPr>
            <w:tcW w:w="1140" w:type="dxa"/>
            <w:vAlign w:val="bottom"/>
            <w:tcBorders>
              <w:bottom w:val="single" w:sz="8" w:color="0075C9"/>
            </w:tcBorders>
            <w:gridSpan w:val="2"/>
          </w:tcPr>
          <w:p>
            <w:pPr>
              <w:jc w:val="center"/>
              <w:ind w:left="222"/>
              <w:spacing w:after="0"/>
              <w:rPr>
                <w:sz w:val="20"/>
                <w:szCs w:val="20"/>
                <w:color w:val="auto"/>
              </w:rPr>
            </w:pPr>
            <w:r>
              <w:rPr>
                <w:rFonts w:ascii="Arial" w:cs="Arial" w:eastAsia="Arial" w:hAnsi="Arial"/>
                <w:sz w:val="12"/>
                <w:szCs w:val="12"/>
                <w:b w:val="1"/>
                <w:bCs w:val="1"/>
                <w:color w:val="0075C9"/>
                <w:w w:val="97"/>
              </w:rPr>
              <w:t>Plan Awards</w:t>
            </w:r>
          </w:p>
        </w:tc>
        <w:tc>
          <w:tcPr>
            <w:tcW w:w="320" w:type="dxa"/>
            <w:vAlign w:val="bottom"/>
            <w:tcBorders>
              <w:bottom w:val="single" w:sz="8" w:color="0075C9"/>
            </w:tcBorders>
          </w:tcPr>
          <w:p>
            <w:pPr>
              <w:spacing w:after="0"/>
              <w:rPr>
                <w:sz w:val="12"/>
                <w:szCs w:val="12"/>
                <w:color w:val="auto"/>
              </w:rPr>
            </w:pPr>
          </w:p>
        </w:tc>
        <w:tc>
          <w:tcPr>
            <w:tcW w:w="540" w:type="dxa"/>
            <w:vAlign w:val="bottom"/>
            <w:tcBorders>
              <w:bottom w:val="single" w:sz="8" w:color="0075C9"/>
            </w:tcBorders>
          </w:tcPr>
          <w:p>
            <w:pPr>
              <w:spacing w:after="0"/>
              <w:rPr>
                <w:sz w:val="12"/>
                <w:szCs w:val="12"/>
                <w:color w:val="auto"/>
              </w:rPr>
            </w:pPr>
          </w:p>
        </w:tc>
        <w:tc>
          <w:tcPr>
            <w:tcW w:w="200" w:type="dxa"/>
            <w:vAlign w:val="bottom"/>
            <w:tcBorders>
              <w:bottom w:val="single" w:sz="8" w:color="0075C9"/>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0075C9"/>
            </w:tcBorders>
          </w:tcPr>
          <w:p>
            <w:pPr>
              <w:spacing w:after="0"/>
              <w:rPr>
                <w:sz w:val="12"/>
                <w:szCs w:val="12"/>
                <w:color w:val="auto"/>
              </w:rPr>
            </w:pPr>
          </w:p>
        </w:tc>
        <w:tc>
          <w:tcPr>
            <w:tcW w:w="1220" w:type="dxa"/>
            <w:vAlign w:val="bottom"/>
            <w:tcBorders>
              <w:bottom w:val="single" w:sz="8" w:color="0075C9"/>
            </w:tcBorders>
          </w:tcPr>
          <w:p>
            <w:pPr>
              <w:jc w:val="center"/>
              <w:ind w:left="262"/>
              <w:spacing w:after="0"/>
              <w:rPr>
                <w:sz w:val="20"/>
                <w:szCs w:val="20"/>
                <w:color w:val="auto"/>
              </w:rPr>
            </w:pPr>
            <w:r>
              <w:rPr>
                <w:rFonts w:ascii="Arial" w:cs="Arial" w:eastAsia="Arial" w:hAnsi="Arial"/>
                <w:sz w:val="12"/>
                <w:szCs w:val="12"/>
                <w:b w:val="1"/>
                <w:bCs w:val="1"/>
                <w:color w:val="0075C9"/>
                <w:w w:val="97"/>
              </w:rPr>
              <w:t>Plan Awards</w:t>
            </w:r>
          </w:p>
        </w:tc>
        <w:tc>
          <w:tcPr>
            <w:tcW w:w="280" w:type="dxa"/>
            <w:vAlign w:val="bottom"/>
            <w:tcBorders>
              <w:bottom w:val="single" w:sz="8" w:color="0075C9"/>
            </w:tcBorders>
          </w:tcPr>
          <w:p>
            <w:pPr>
              <w:spacing w:after="0"/>
              <w:rPr>
                <w:sz w:val="12"/>
                <w:szCs w:val="12"/>
                <w:color w:val="auto"/>
              </w:rPr>
            </w:pPr>
          </w:p>
        </w:tc>
        <w:tc>
          <w:tcPr>
            <w:tcW w:w="700" w:type="dxa"/>
            <w:vAlign w:val="bottom"/>
            <w:tcBorders>
              <w:bottom w:val="single" w:sz="8" w:color="0075C9"/>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0075C9"/>
            </w:tcBorders>
          </w:tcPr>
          <w:p>
            <w:pPr>
              <w:jc w:val="center"/>
              <w:ind w:right="182"/>
              <w:spacing w:after="0"/>
              <w:rPr>
                <w:sz w:val="20"/>
                <w:szCs w:val="20"/>
                <w:color w:val="auto"/>
              </w:rPr>
            </w:pPr>
            <w:r>
              <w:rPr>
                <w:rFonts w:ascii="Arial" w:cs="Arial" w:eastAsia="Arial" w:hAnsi="Arial"/>
                <w:sz w:val="12"/>
                <w:szCs w:val="12"/>
                <w:b w:val="1"/>
                <w:bCs w:val="1"/>
                <w:color w:val="0075C9"/>
                <w:w w:val="96"/>
              </w:rPr>
              <w:t>Shares or Units</w:t>
            </w:r>
          </w:p>
        </w:tc>
        <w:tc>
          <w:tcPr>
            <w:tcW w:w="100" w:type="dxa"/>
            <w:vAlign w:val="bottom"/>
          </w:tcPr>
          <w:p>
            <w:pPr>
              <w:spacing w:after="0"/>
              <w:rPr>
                <w:sz w:val="12"/>
                <w:szCs w:val="12"/>
                <w:color w:val="auto"/>
              </w:rPr>
            </w:pPr>
          </w:p>
        </w:tc>
        <w:tc>
          <w:tcPr>
            <w:tcW w:w="860" w:type="dxa"/>
            <w:vAlign w:val="bottom"/>
            <w:tcBorders>
              <w:bottom w:val="single" w:sz="8" w:color="0075C9"/>
            </w:tcBorders>
            <w:gridSpan w:val="2"/>
          </w:tcPr>
          <w:p>
            <w:pPr>
              <w:jc w:val="center"/>
              <w:ind w:right="62"/>
              <w:spacing w:after="0"/>
              <w:rPr>
                <w:sz w:val="20"/>
                <w:szCs w:val="20"/>
                <w:color w:val="auto"/>
              </w:rPr>
            </w:pPr>
            <w:r>
              <w:rPr>
                <w:rFonts w:ascii="Arial" w:cs="Arial" w:eastAsia="Arial" w:hAnsi="Arial"/>
                <w:sz w:val="12"/>
                <w:szCs w:val="12"/>
                <w:b w:val="1"/>
                <w:bCs w:val="1"/>
                <w:color w:val="0075C9"/>
                <w:w w:val="96"/>
              </w:rPr>
              <w:t>Awards</w:t>
            </w:r>
          </w:p>
        </w:tc>
        <w:tc>
          <w:tcPr>
            <w:tcW w:w="100" w:type="dxa"/>
            <w:vAlign w:val="bottom"/>
          </w:tcPr>
          <w:p>
            <w:pPr>
              <w:spacing w:after="0"/>
              <w:rPr>
                <w:sz w:val="12"/>
                <w:szCs w:val="12"/>
                <w:color w:val="auto"/>
              </w:rPr>
            </w:pPr>
          </w:p>
        </w:tc>
        <w:tc>
          <w:tcPr>
            <w:tcW w:w="18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jc w:val="center"/>
              <w:ind w:right="142"/>
              <w:spacing w:after="0"/>
              <w:rPr>
                <w:sz w:val="20"/>
                <w:szCs w:val="20"/>
                <w:color w:val="auto"/>
              </w:rPr>
            </w:pPr>
            <w:r>
              <w:rPr>
                <w:rFonts w:ascii="Arial" w:cs="Arial" w:eastAsia="Arial" w:hAnsi="Arial"/>
                <w:sz w:val="12"/>
                <w:szCs w:val="12"/>
                <w:b w:val="1"/>
                <w:bCs w:val="1"/>
                <w:color w:val="0075C9"/>
                <w:w w:val="96"/>
              </w:rPr>
              <w:t>Awards</w:t>
            </w:r>
          </w:p>
        </w:tc>
      </w:tr>
      <w:tr>
        <w:trPr>
          <w:trHeight w:val="144"/>
        </w:trPr>
        <w:tc>
          <w:tcPr>
            <w:tcW w:w="1280" w:type="dxa"/>
            <w:vAlign w:val="bottom"/>
          </w:tcPr>
          <w:p>
            <w:pPr>
              <w:ind w:left="140"/>
              <w:spacing w:after="0"/>
              <w:rPr>
                <w:sz w:val="20"/>
                <w:szCs w:val="20"/>
                <w:color w:val="auto"/>
              </w:rPr>
            </w:pPr>
            <w:r>
              <w:rPr>
                <w:rFonts w:ascii="Arial" w:cs="Arial" w:eastAsia="Arial" w:hAnsi="Arial"/>
                <w:sz w:val="12"/>
                <w:szCs w:val="12"/>
                <w:b w:val="1"/>
                <w:bCs w:val="1"/>
                <w:color w:val="0075C9"/>
              </w:rPr>
              <w:t>Name / Type of</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0075C9"/>
                <w:w w:val="99"/>
              </w:rPr>
              <w:t>Grant</w:t>
            </w:r>
          </w:p>
        </w:tc>
        <w:tc>
          <w:tcPr>
            <w:tcW w:w="80" w:type="dxa"/>
            <w:vAlign w:val="bottom"/>
          </w:tcPr>
          <w:p>
            <w:pPr>
              <w:spacing w:after="0"/>
              <w:rPr>
                <w:sz w:val="12"/>
                <w:szCs w:val="12"/>
                <w:color w:val="auto"/>
              </w:rPr>
            </w:pP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0075C9"/>
                <w:w w:val="93"/>
              </w:rPr>
              <w:t>Threshold</w:t>
            </w:r>
          </w:p>
        </w:tc>
        <w:tc>
          <w:tcPr>
            <w:tcW w:w="460" w:type="dxa"/>
            <w:vAlign w:val="bottom"/>
          </w:tcPr>
          <w:p>
            <w:pPr>
              <w:spacing w:after="0"/>
              <w:rPr>
                <w:sz w:val="12"/>
                <w:szCs w:val="12"/>
                <w:color w:val="auto"/>
              </w:rPr>
            </w:pPr>
          </w:p>
        </w:tc>
        <w:tc>
          <w:tcPr>
            <w:tcW w:w="680" w:type="dxa"/>
            <w:vAlign w:val="bottom"/>
          </w:tcPr>
          <w:p>
            <w:pPr>
              <w:jc w:val="center"/>
              <w:ind w:right="222"/>
              <w:spacing w:after="0"/>
              <w:rPr>
                <w:sz w:val="20"/>
                <w:szCs w:val="20"/>
                <w:color w:val="auto"/>
              </w:rPr>
            </w:pPr>
            <w:r>
              <w:rPr>
                <w:rFonts w:ascii="Arial" w:cs="Arial" w:eastAsia="Arial" w:hAnsi="Arial"/>
                <w:sz w:val="12"/>
                <w:szCs w:val="12"/>
                <w:b w:val="1"/>
                <w:bCs w:val="1"/>
                <w:color w:val="0075C9"/>
                <w:w w:val="98"/>
              </w:rPr>
              <w:t>Target</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b w:val="1"/>
                <w:bCs w:val="1"/>
                <w:color w:val="0075C9"/>
              </w:rPr>
              <w:t>Maximum</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b w:val="1"/>
                <w:bCs w:val="1"/>
                <w:color w:val="0075C9"/>
              </w:rPr>
              <w:t>Threshold</w:t>
            </w:r>
          </w:p>
        </w:tc>
        <w:tc>
          <w:tcPr>
            <w:tcW w:w="1220" w:type="dxa"/>
            <w:vAlign w:val="bottom"/>
          </w:tcPr>
          <w:p>
            <w:pPr>
              <w:jc w:val="right"/>
              <w:ind w:right="382"/>
              <w:spacing w:after="0"/>
              <w:rPr>
                <w:sz w:val="20"/>
                <w:szCs w:val="20"/>
                <w:color w:val="auto"/>
              </w:rPr>
            </w:pPr>
            <w:r>
              <w:rPr>
                <w:rFonts w:ascii="Arial" w:cs="Arial" w:eastAsia="Arial" w:hAnsi="Arial"/>
                <w:sz w:val="12"/>
                <w:szCs w:val="12"/>
                <w:b w:val="1"/>
                <w:bCs w:val="1"/>
                <w:color w:val="0075C9"/>
              </w:rPr>
              <w:t>Target</w:t>
            </w:r>
          </w:p>
        </w:tc>
        <w:tc>
          <w:tcPr>
            <w:tcW w:w="1200" w:type="dxa"/>
            <w:vAlign w:val="bottom"/>
            <w:gridSpan w:val="3"/>
          </w:tcPr>
          <w:p>
            <w:pPr>
              <w:ind w:left="140"/>
              <w:spacing w:after="0"/>
              <w:rPr>
                <w:sz w:val="20"/>
                <w:szCs w:val="20"/>
                <w:color w:val="auto"/>
              </w:rPr>
            </w:pPr>
            <w:r>
              <w:rPr>
                <w:rFonts w:ascii="Arial" w:cs="Arial" w:eastAsia="Arial" w:hAnsi="Arial"/>
                <w:sz w:val="12"/>
                <w:szCs w:val="12"/>
                <w:b w:val="1"/>
                <w:bCs w:val="1"/>
                <w:color w:val="0075C9"/>
              </w:rPr>
              <w:t>Maximum</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7"/>
        </w:trPr>
        <w:tc>
          <w:tcPr>
            <w:tcW w:w="1280" w:type="dxa"/>
            <w:vAlign w:val="bottom"/>
            <w:tcBorders>
              <w:bottom w:val="single" w:sz="8" w:color="0075C9"/>
            </w:tcBorders>
          </w:tcPr>
          <w:p>
            <w:pPr>
              <w:ind w:left="140"/>
              <w:spacing w:after="0"/>
              <w:rPr>
                <w:sz w:val="20"/>
                <w:szCs w:val="20"/>
                <w:color w:val="auto"/>
              </w:rPr>
            </w:pPr>
            <w:r>
              <w:rPr>
                <w:rFonts w:ascii="Arial" w:cs="Arial" w:eastAsia="Arial" w:hAnsi="Arial"/>
                <w:sz w:val="12"/>
                <w:szCs w:val="12"/>
                <w:b w:val="1"/>
                <w:bCs w:val="1"/>
                <w:color w:val="0075C9"/>
              </w:rPr>
              <w:t>Grant</w:t>
            </w:r>
          </w:p>
        </w:tc>
        <w:tc>
          <w:tcPr>
            <w:tcW w:w="100" w:type="dxa"/>
            <w:vAlign w:val="bottom"/>
            <w:tcBorders>
              <w:bottom w:val="single" w:sz="8" w:color="0075C9"/>
            </w:tcBorders>
          </w:tcPr>
          <w:p>
            <w:pPr>
              <w:spacing w:after="0"/>
              <w:rPr>
                <w:sz w:val="12"/>
                <w:szCs w:val="12"/>
                <w:color w:val="auto"/>
              </w:rPr>
            </w:pPr>
          </w:p>
        </w:tc>
        <w:tc>
          <w:tcPr>
            <w:tcW w:w="5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9"/>
              </w:rPr>
              <w:t>Date</w:t>
            </w:r>
          </w:p>
        </w:tc>
        <w:tc>
          <w:tcPr>
            <w:tcW w:w="80" w:type="dxa"/>
            <w:vAlign w:val="bottom"/>
            <w:tcBorders>
              <w:bottom w:val="single" w:sz="8" w:color="0075C9"/>
            </w:tcBorders>
          </w:tcPr>
          <w:p>
            <w:pPr>
              <w:spacing w:after="0"/>
              <w:rPr>
                <w:sz w:val="12"/>
                <w:szCs w:val="12"/>
                <w:color w:val="auto"/>
              </w:rPr>
            </w:pPr>
          </w:p>
        </w:tc>
        <w:tc>
          <w:tcPr>
            <w:tcW w:w="200" w:type="dxa"/>
            <w:vAlign w:val="bottom"/>
            <w:tcBorders>
              <w:bottom w:val="single" w:sz="8" w:color="0075C9"/>
            </w:tcBorders>
          </w:tcPr>
          <w:p>
            <w:pPr>
              <w:spacing w:after="0"/>
              <w:rPr>
                <w:sz w:val="12"/>
                <w:szCs w:val="12"/>
                <w:color w:val="auto"/>
              </w:rPr>
            </w:pPr>
          </w:p>
        </w:tc>
        <w:tc>
          <w:tcPr>
            <w:tcW w:w="460" w:type="dxa"/>
            <w:vAlign w:val="bottom"/>
            <w:tcBorders>
              <w:bottom w:val="single" w:sz="8" w:color="0075C9"/>
            </w:tcBorders>
          </w:tcPr>
          <w:p>
            <w:pPr>
              <w:jc w:val="right"/>
              <w:ind w:right="162"/>
              <w:spacing w:after="0"/>
              <w:rPr>
                <w:sz w:val="20"/>
                <w:szCs w:val="20"/>
                <w:color w:val="auto"/>
              </w:rPr>
            </w:pPr>
            <w:r>
              <w:rPr>
                <w:rFonts w:ascii="Arial" w:cs="Arial" w:eastAsia="Arial" w:hAnsi="Arial"/>
                <w:sz w:val="12"/>
                <w:szCs w:val="12"/>
                <w:b w:val="1"/>
                <w:bCs w:val="1"/>
                <w:color w:val="0075C9"/>
              </w:rPr>
              <w:t>($)</w:t>
            </w:r>
          </w:p>
        </w:tc>
        <w:tc>
          <w:tcPr>
            <w:tcW w:w="460" w:type="dxa"/>
            <w:vAlign w:val="bottom"/>
            <w:tcBorders>
              <w:bottom w:val="single" w:sz="8" w:color="0075C9"/>
            </w:tcBorders>
          </w:tcPr>
          <w:p>
            <w:pPr>
              <w:spacing w:after="0"/>
              <w:rPr>
                <w:sz w:val="12"/>
                <w:szCs w:val="12"/>
                <w:color w:val="auto"/>
              </w:rPr>
            </w:pPr>
          </w:p>
        </w:tc>
        <w:tc>
          <w:tcPr>
            <w:tcW w:w="680" w:type="dxa"/>
            <w:vAlign w:val="bottom"/>
            <w:tcBorders>
              <w:bottom w:val="single" w:sz="8" w:color="0075C9"/>
            </w:tcBorders>
          </w:tcPr>
          <w:p>
            <w:pPr>
              <w:jc w:val="right"/>
              <w:ind w:right="342"/>
              <w:spacing w:after="0"/>
              <w:rPr>
                <w:sz w:val="20"/>
                <w:szCs w:val="20"/>
                <w:color w:val="auto"/>
              </w:rPr>
            </w:pPr>
            <w:r>
              <w:rPr>
                <w:rFonts w:ascii="Arial" w:cs="Arial" w:eastAsia="Arial" w:hAnsi="Arial"/>
                <w:sz w:val="12"/>
                <w:szCs w:val="12"/>
                <w:b w:val="1"/>
                <w:bCs w:val="1"/>
                <w:color w:val="0075C9"/>
              </w:rPr>
              <w:t>($)</w:t>
            </w:r>
          </w:p>
        </w:tc>
        <w:tc>
          <w:tcPr>
            <w:tcW w:w="320" w:type="dxa"/>
            <w:vAlign w:val="bottom"/>
            <w:tcBorders>
              <w:bottom w:val="single" w:sz="8" w:color="0075C9"/>
            </w:tcBorders>
          </w:tcPr>
          <w:p>
            <w:pPr>
              <w:spacing w:after="0"/>
              <w:rPr>
                <w:sz w:val="12"/>
                <w:szCs w:val="12"/>
                <w:color w:val="auto"/>
              </w:rPr>
            </w:pPr>
          </w:p>
        </w:tc>
        <w:tc>
          <w:tcPr>
            <w:tcW w:w="540" w:type="dxa"/>
            <w:vAlign w:val="bottom"/>
            <w:tcBorders>
              <w:bottom w:val="single" w:sz="8" w:color="0075C9"/>
            </w:tcBorders>
          </w:tcPr>
          <w:p>
            <w:pPr>
              <w:jc w:val="right"/>
              <w:ind w:right="202"/>
              <w:spacing w:after="0"/>
              <w:rPr>
                <w:sz w:val="20"/>
                <w:szCs w:val="20"/>
                <w:color w:val="auto"/>
              </w:rPr>
            </w:pPr>
            <w:r>
              <w:rPr>
                <w:rFonts w:ascii="Arial" w:cs="Arial" w:eastAsia="Arial" w:hAnsi="Arial"/>
                <w:sz w:val="12"/>
                <w:szCs w:val="12"/>
                <w:b w:val="1"/>
                <w:bCs w:val="1"/>
                <w:color w:val="0075C9"/>
              </w:rPr>
              <w:t>($)</w:t>
            </w:r>
          </w:p>
        </w:tc>
        <w:tc>
          <w:tcPr>
            <w:tcW w:w="20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760" w:type="dxa"/>
            <w:vAlign w:val="bottom"/>
            <w:tcBorders>
              <w:bottom w:val="single" w:sz="8" w:color="0075C9"/>
            </w:tcBorders>
          </w:tcPr>
          <w:p>
            <w:pPr>
              <w:jc w:val="right"/>
              <w:ind w:right="2"/>
              <w:spacing w:after="0"/>
              <w:rPr>
                <w:sz w:val="20"/>
                <w:szCs w:val="20"/>
                <w:color w:val="auto"/>
              </w:rPr>
            </w:pPr>
            <w:r>
              <w:rPr>
                <w:rFonts w:ascii="Arial" w:cs="Arial" w:eastAsia="Arial" w:hAnsi="Arial"/>
                <w:sz w:val="12"/>
                <w:szCs w:val="12"/>
                <w:b w:val="1"/>
                <w:bCs w:val="1"/>
                <w:color w:val="0075C9"/>
              </w:rPr>
              <w:t>(# Shares)</w:t>
            </w:r>
          </w:p>
        </w:tc>
        <w:tc>
          <w:tcPr>
            <w:tcW w:w="1220" w:type="dxa"/>
            <w:vAlign w:val="bottom"/>
            <w:tcBorders>
              <w:bottom w:val="single" w:sz="8" w:color="0075C9"/>
            </w:tcBorders>
          </w:tcPr>
          <w:p>
            <w:pPr>
              <w:jc w:val="right"/>
              <w:ind w:right="242"/>
              <w:spacing w:after="0"/>
              <w:rPr>
                <w:sz w:val="20"/>
                <w:szCs w:val="20"/>
                <w:color w:val="auto"/>
              </w:rPr>
            </w:pPr>
            <w:r>
              <w:rPr>
                <w:rFonts w:ascii="Arial" w:cs="Arial" w:eastAsia="Arial" w:hAnsi="Arial"/>
                <w:sz w:val="12"/>
                <w:szCs w:val="12"/>
                <w:b w:val="1"/>
                <w:bCs w:val="1"/>
                <w:color w:val="0075C9"/>
              </w:rPr>
              <w:t>(# Shares)</w:t>
            </w:r>
          </w:p>
        </w:tc>
        <w:tc>
          <w:tcPr>
            <w:tcW w:w="280" w:type="dxa"/>
            <w:vAlign w:val="bottom"/>
            <w:tcBorders>
              <w:bottom w:val="single" w:sz="8" w:color="0075C9"/>
            </w:tcBorders>
          </w:tcPr>
          <w:p>
            <w:pPr>
              <w:jc w:val="right"/>
              <w:ind w:right="2"/>
              <w:spacing w:after="0"/>
              <w:rPr>
                <w:sz w:val="20"/>
                <w:szCs w:val="20"/>
                <w:color w:val="auto"/>
              </w:rPr>
            </w:pPr>
            <w:r>
              <w:rPr>
                <w:rFonts w:ascii="Arial" w:cs="Arial" w:eastAsia="Arial" w:hAnsi="Arial"/>
                <w:sz w:val="12"/>
                <w:szCs w:val="12"/>
                <w:b w:val="1"/>
                <w:bCs w:val="1"/>
                <w:color w:val="0075C9"/>
              </w:rPr>
              <w:t>(#</w:t>
            </w:r>
          </w:p>
        </w:tc>
        <w:tc>
          <w:tcPr>
            <w:tcW w:w="920" w:type="dxa"/>
            <w:vAlign w:val="bottom"/>
            <w:tcBorders>
              <w:bottom w:val="single" w:sz="8" w:color="0075C9"/>
            </w:tcBorders>
            <w:gridSpan w:val="2"/>
          </w:tcPr>
          <w:p>
            <w:pPr>
              <w:spacing w:after="0"/>
              <w:rPr>
                <w:sz w:val="20"/>
                <w:szCs w:val="20"/>
                <w:color w:val="auto"/>
              </w:rPr>
            </w:pPr>
            <w:r>
              <w:rPr>
                <w:rFonts w:ascii="Arial" w:cs="Arial" w:eastAsia="Arial" w:hAnsi="Arial"/>
                <w:sz w:val="12"/>
                <w:szCs w:val="12"/>
                <w:b w:val="1"/>
                <w:bCs w:val="1"/>
                <w:color w:val="0075C9"/>
              </w:rPr>
              <w:t>Shares)</w:t>
            </w:r>
          </w:p>
        </w:tc>
        <w:tc>
          <w:tcPr>
            <w:tcW w:w="1240" w:type="dxa"/>
            <w:vAlign w:val="bottom"/>
            <w:tcBorders>
              <w:bottom w:val="single" w:sz="8" w:color="0075C9"/>
            </w:tcBorders>
            <w:gridSpan w:val="2"/>
          </w:tcPr>
          <w:p>
            <w:pPr>
              <w:jc w:val="center"/>
              <w:ind w:right="320"/>
              <w:spacing w:after="0"/>
              <w:rPr>
                <w:sz w:val="20"/>
                <w:szCs w:val="20"/>
                <w:color w:val="auto"/>
              </w:rPr>
            </w:pPr>
            <w:r>
              <w:rPr>
                <w:rFonts w:ascii="Arial" w:cs="Arial" w:eastAsia="Arial" w:hAnsi="Arial"/>
                <w:sz w:val="12"/>
                <w:szCs w:val="12"/>
                <w:b w:val="1"/>
                <w:bCs w:val="1"/>
                <w:color w:val="0075C9"/>
                <w:w w:val="96"/>
              </w:rPr>
              <w:t>(# Shares)</w:t>
            </w:r>
          </w:p>
        </w:tc>
        <w:tc>
          <w:tcPr>
            <w:tcW w:w="180" w:type="dxa"/>
            <w:vAlign w:val="bottom"/>
            <w:tcBorders>
              <w:bottom w:val="single" w:sz="8" w:color="0075C9"/>
            </w:tcBorders>
          </w:tcPr>
          <w:p>
            <w:pPr>
              <w:spacing w:after="0"/>
              <w:rPr>
                <w:sz w:val="12"/>
                <w:szCs w:val="12"/>
                <w:color w:val="auto"/>
              </w:rPr>
            </w:pPr>
          </w:p>
        </w:tc>
        <w:tc>
          <w:tcPr>
            <w:tcW w:w="680" w:type="dxa"/>
            <w:vAlign w:val="bottom"/>
            <w:tcBorders>
              <w:bottom w:val="single" w:sz="8" w:color="0075C9"/>
            </w:tcBorders>
          </w:tcPr>
          <w:p>
            <w:pPr>
              <w:jc w:val="center"/>
              <w:ind w:right="242"/>
              <w:spacing w:after="0"/>
              <w:rPr>
                <w:sz w:val="20"/>
                <w:szCs w:val="20"/>
                <w:color w:val="auto"/>
              </w:rPr>
            </w:pPr>
            <w:r>
              <w:rPr>
                <w:rFonts w:ascii="Arial" w:cs="Arial" w:eastAsia="Arial" w:hAnsi="Arial"/>
                <w:sz w:val="12"/>
                <w:szCs w:val="12"/>
                <w:b w:val="1"/>
                <w:bCs w:val="1"/>
                <w:color w:val="0075C9"/>
                <w:w w:val="95"/>
              </w:rPr>
              <w:t>($)</w:t>
            </w:r>
          </w:p>
        </w:tc>
        <w:tc>
          <w:tcPr>
            <w:tcW w:w="100" w:type="dxa"/>
            <w:vAlign w:val="bottom"/>
            <w:tcBorders>
              <w:bottom w:val="single" w:sz="8" w:color="0075C9"/>
            </w:tcBorders>
          </w:tcPr>
          <w:p>
            <w:pPr>
              <w:spacing w:after="0"/>
              <w:rPr>
                <w:sz w:val="12"/>
                <w:szCs w:val="12"/>
                <w:color w:val="auto"/>
              </w:rPr>
            </w:pPr>
          </w:p>
        </w:tc>
        <w:tc>
          <w:tcPr>
            <w:tcW w:w="18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jc w:val="center"/>
              <w:ind w:right="142"/>
              <w:spacing w:after="0"/>
              <w:rPr>
                <w:sz w:val="20"/>
                <w:szCs w:val="20"/>
                <w:color w:val="auto"/>
              </w:rPr>
            </w:pPr>
            <w:r>
              <w:rPr>
                <w:rFonts w:ascii="Arial" w:cs="Arial" w:eastAsia="Arial" w:hAnsi="Arial"/>
                <w:sz w:val="12"/>
                <w:szCs w:val="12"/>
                <w:b w:val="1"/>
                <w:bCs w:val="1"/>
                <w:color w:val="0075C9"/>
                <w:w w:val="95"/>
              </w:rPr>
              <w:t>($)</w:t>
            </w:r>
          </w:p>
        </w:tc>
      </w:tr>
      <w:tr>
        <w:trPr>
          <w:trHeight w:val="142"/>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Todd A. Stevens</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80" w:type="dxa"/>
            <w:vAlign w:val="bottom"/>
            <w:gridSpan w:val="2"/>
            <w:shd w:val="clear" w:color="auto" w:fill="EBEBEC"/>
          </w:tcPr>
          <w:p>
            <w:pPr>
              <w:ind w:left="180"/>
              <w:spacing w:after="0"/>
              <w:rPr>
                <w:sz w:val="20"/>
                <w:szCs w:val="20"/>
                <w:color w:val="auto"/>
              </w:rPr>
            </w:pPr>
            <w:r>
              <w:rPr>
                <w:rFonts w:ascii="Arial" w:cs="Arial" w:eastAsia="Arial" w:hAnsi="Arial"/>
                <w:sz w:val="12"/>
                <w:szCs w:val="12"/>
                <w:color w:val="auto"/>
              </w:rPr>
              <w:t>$</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16,074</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center"/>
              <w:ind w:right="82"/>
              <w:spacing w:after="0"/>
              <w:rPr>
                <w:sz w:val="20"/>
                <w:szCs w:val="20"/>
                <w:color w:val="auto"/>
              </w:rPr>
            </w:pPr>
            <w:r>
              <w:rPr>
                <w:rFonts w:ascii="Arial" w:cs="Arial" w:eastAsia="Arial" w:hAnsi="Arial"/>
                <w:sz w:val="12"/>
                <w:szCs w:val="12"/>
                <w:color w:val="auto"/>
                <w:w w:val="96"/>
              </w:rPr>
              <w:t>962,500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w w:val="97"/>
              </w:rPr>
              <w:t>1,925,000</w:t>
            </w: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9"/>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99,494</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2,160,015</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4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31,092</w:t>
            </w:r>
          </w:p>
        </w:tc>
        <w:tc>
          <w:tcPr>
            <w:tcW w:w="122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rPr>
              <w:t>124,367</w:t>
            </w: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248,734</w:t>
            </w: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2,700,008</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41,699</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23.88</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540,002</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Marshall D. Smith</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ind w:lef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10,020</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center"/>
              <w:ind w:right="82"/>
              <w:spacing w:after="0"/>
              <w:rPr>
                <w:sz w:val="20"/>
                <w:szCs w:val="20"/>
                <w:color w:val="auto"/>
              </w:rPr>
            </w:pPr>
            <w:r>
              <w:rPr>
                <w:rFonts w:ascii="Arial" w:cs="Arial" w:eastAsia="Arial" w:hAnsi="Arial"/>
                <w:sz w:val="12"/>
                <w:szCs w:val="12"/>
                <w:color w:val="auto"/>
                <w:w w:val="96"/>
              </w:rPr>
              <w:t>600,000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w w:val="97"/>
              </w:rPr>
              <w:t>1,200,000</w:t>
            </w: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36,850</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800,014</w:t>
            </w:r>
          </w:p>
        </w:tc>
      </w:tr>
      <w:tr>
        <w:trPr>
          <w:trHeight w:val="149"/>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4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11,516</w:t>
            </w:r>
          </w:p>
        </w:tc>
        <w:tc>
          <w:tcPr>
            <w:tcW w:w="122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rPr>
              <w:t>46,062</w:t>
            </w: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92,124</w:t>
            </w: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1,000,006</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15,445</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23.88</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200,013</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Darren Williams</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ind w:lef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6,764</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center"/>
              <w:ind w:right="82"/>
              <w:spacing w:after="0"/>
              <w:rPr>
                <w:sz w:val="20"/>
                <w:szCs w:val="20"/>
                <w:color w:val="auto"/>
              </w:rPr>
            </w:pPr>
            <w:r>
              <w:rPr>
                <w:rFonts w:ascii="Arial" w:cs="Arial" w:eastAsia="Arial" w:hAnsi="Arial"/>
                <w:sz w:val="12"/>
                <w:szCs w:val="12"/>
                <w:color w:val="auto"/>
                <w:w w:val="96"/>
              </w:rPr>
              <w:t>405,000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810,000</w:t>
            </w: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20,268</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440,018</w:t>
            </w:r>
          </w:p>
        </w:tc>
      </w:tr>
      <w:tr>
        <w:trPr>
          <w:trHeight w:val="149"/>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4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6,334</w:t>
            </w:r>
          </w:p>
        </w:tc>
        <w:tc>
          <w:tcPr>
            <w:tcW w:w="122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rPr>
              <w:t>25,334</w:t>
            </w: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50,668</w:t>
            </w: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550,001</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8,495</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23.88</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110,010</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Charles F. Weiss</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ind w:lef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5,878</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center"/>
              <w:ind w:right="82"/>
              <w:spacing w:after="0"/>
              <w:rPr>
                <w:sz w:val="20"/>
                <w:szCs w:val="20"/>
                <w:color w:val="auto"/>
              </w:rPr>
            </w:pPr>
            <w:r>
              <w:rPr>
                <w:rFonts w:ascii="Arial" w:cs="Arial" w:eastAsia="Arial" w:hAnsi="Arial"/>
                <w:sz w:val="12"/>
                <w:szCs w:val="12"/>
                <w:color w:val="auto"/>
                <w:w w:val="96"/>
              </w:rPr>
              <w:t>352,000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704,000</w:t>
            </w: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21,189</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460,013</w:t>
            </w:r>
          </w:p>
        </w:tc>
      </w:tr>
      <w:tr>
        <w:trPr>
          <w:trHeight w:val="149"/>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4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6,622</w:t>
            </w:r>
          </w:p>
        </w:tc>
        <w:tc>
          <w:tcPr>
            <w:tcW w:w="122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rPr>
              <w:t>26,486</w:t>
            </w: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52,972</w:t>
            </w: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575,011</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8,881</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23.88</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115,009</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Michael L. Preston</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ind w:lef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6,246</w:t>
            </w:r>
          </w:p>
        </w:tc>
        <w:tc>
          <w:tcPr>
            <w:tcW w:w="4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center"/>
              <w:ind w:right="82"/>
              <w:spacing w:after="0"/>
              <w:rPr>
                <w:sz w:val="20"/>
                <w:szCs w:val="20"/>
                <w:color w:val="auto"/>
              </w:rPr>
            </w:pPr>
            <w:r>
              <w:rPr>
                <w:rFonts w:ascii="Arial" w:cs="Arial" w:eastAsia="Arial" w:hAnsi="Arial"/>
                <w:sz w:val="12"/>
                <w:szCs w:val="12"/>
                <w:color w:val="auto"/>
                <w:w w:val="96"/>
              </w:rPr>
              <w:t>374,000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748,000</w:t>
            </w: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19,807</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430,010</w:t>
            </w:r>
          </w:p>
        </w:tc>
      </w:tr>
      <w:tr>
        <w:trPr>
          <w:trHeight w:val="149"/>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6,190</w:t>
            </w:r>
          </w:p>
        </w:tc>
        <w:tc>
          <w:tcPr>
            <w:tcW w:w="122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rPr>
              <w:t>24,759</w:t>
            </w: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49,518</w:t>
            </w: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537,518</w:t>
            </w:r>
          </w:p>
        </w:tc>
      </w:tr>
      <w:tr>
        <w:trPr>
          <w:trHeight w:val="148"/>
        </w:trPr>
        <w:tc>
          <w:tcPr>
            <w:tcW w:w="12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100" w:type="dxa"/>
            <w:vAlign w:val="bottom"/>
            <w:shd w:val="clear" w:color="auto" w:fill="EBEBEC"/>
          </w:tcPr>
          <w:p>
            <w:pPr>
              <w:spacing w:after="0"/>
              <w:rPr>
                <w:sz w:val="12"/>
                <w:szCs w:val="12"/>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2/19/2019</w:t>
            </w:r>
          </w:p>
        </w:tc>
        <w:tc>
          <w:tcPr>
            <w:tcW w:w="8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8,302</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23.88</w:t>
            </w:r>
          </w:p>
        </w:tc>
        <w:tc>
          <w:tcPr>
            <w:tcW w:w="100" w:type="dxa"/>
            <w:vAlign w:val="bottom"/>
            <w:shd w:val="clear" w:color="auto" w:fill="EBEBEC"/>
          </w:tcPr>
          <w:p>
            <w:pPr>
              <w:spacing w:after="0"/>
              <w:rPr>
                <w:sz w:val="12"/>
                <w:szCs w:val="12"/>
                <w:color w:val="auto"/>
              </w:rPr>
            </w:pPr>
          </w:p>
        </w:tc>
        <w:tc>
          <w:tcPr>
            <w:tcW w:w="180" w:type="dxa"/>
            <w:vAlign w:val="bottom"/>
            <w:shd w:val="clear" w:color="auto" w:fill="EBEBEC"/>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107,511</w:t>
            </w:r>
          </w:p>
        </w:tc>
      </w:tr>
    </w:tbl>
    <w:p>
      <w:pPr>
        <w:spacing w:after="0" w:line="288" w:lineRule="exact"/>
        <w:rPr>
          <w:sz w:val="20"/>
          <w:szCs w:val="20"/>
          <w:color w:val="auto"/>
        </w:rPr>
      </w:pPr>
    </w:p>
    <w:p>
      <w:pPr>
        <w:ind w:left="340" w:right="200" w:hanging="332"/>
        <w:spacing w:after="0" w:line="229"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4"/>
          <w:szCs w:val="14"/>
          <w:color w:val="auto"/>
        </w:rPr>
        <w:t>Payout of annual incentive ranges from 0% to 200% of target. Threshold amounts shown at 1.67% of target, calculated based on threshold payout of the lowest weighted performance metric under the award.</w:t>
      </w:r>
    </w:p>
    <w:p>
      <w:pPr>
        <w:spacing w:after="0" w:line="70" w:lineRule="exact"/>
        <w:rPr>
          <w:rFonts w:ascii="Arial" w:cs="Arial" w:eastAsia="Arial" w:hAnsi="Arial"/>
          <w:sz w:val="12"/>
          <w:szCs w:val="12"/>
          <w:color w:val="auto"/>
        </w:rPr>
      </w:pPr>
    </w:p>
    <w:p>
      <w:pPr>
        <w:ind w:left="340" w:right="280" w:hanging="332"/>
        <w:spacing w:after="0" w:line="219"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full number of units granted as computed in accordance with FASB ASC Topic 718, as more fully described in Note 11 to Consolidated Financial Statements in CRC’s Form 10-K for the year ended December 31, 2019. These units become non-forfeitable ratably over the three-year period beginning on the grant date.</w:t>
      </w:r>
    </w:p>
    <w:p>
      <w:pPr>
        <w:spacing w:after="0" w:line="72" w:lineRule="exact"/>
        <w:rPr>
          <w:rFonts w:ascii="Arial" w:cs="Arial" w:eastAsia="Arial" w:hAnsi="Arial"/>
          <w:sz w:val="12"/>
          <w:szCs w:val="12"/>
          <w:color w:val="auto"/>
        </w:rPr>
      </w:pPr>
    </w:p>
    <w:p>
      <w:pPr>
        <w:ind w:left="340" w:right="40" w:hanging="332"/>
        <w:spacing w:after="0" w:line="219"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4"/>
          <w:szCs w:val="14"/>
          <w:color w:val="auto"/>
        </w:rPr>
        <w:t>Payout under the PSU Awards ranges from 0% to 200% of target based on performance during the three-year period from January 1, 2019 through December 31, 2021. The threshold amount is shown at 25% of target, calculated based on threshold payout under one of the two performance metrics under the award. The PSU Awards will vest on February 18, 2022.</w:t>
      </w:r>
    </w:p>
    <w:p>
      <w:pPr>
        <w:spacing w:after="0" w:line="72" w:lineRule="exact"/>
        <w:rPr>
          <w:rFonts w:ascii="Arial" w:cs="Arial" w:eastAsia="Arial" w:hAnsi="Arial"/>
          <w:sz w:val="12"/>
          <w:szCs w:val="12"/>
          <w:color w:val="auto"/>
        </w:rPr>
      </w:pPr>
    </w:p>
    <w:p>
      <w:pPr>
        <w:ind w:left="340" w:right="160" w:hanging="332"/>
        <w:spacing w:after="0" w:line="219"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4"/>
          <w:szCs w:val="14"/>
          <w:color w:val="auto"/>
        </w:rPr>
        <w:t>The Option Awards have an exercise price that is 10% higher than the price on the grant date. The amounts shown represent the estimated grant date fair value of the full number of options granted as computed in accordance with FASB ASC Topic 718, as more fully described in Note 11 to Consolidated Financial Statements in CRC’s Form 10-K for the year ended December 31, 2019.</w:t>
      </w:r>
    </w:p>
    <w:p>
      <w:pPr>
        <w:spacing w:after="0" w:line="188"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Narrative Disclosure to Summary Compensation Table and Grants of Plan-Based Awards Table</w:t>
      </w:r>
    </w:p>
    <w:p>
      <w:pPr>
        <w:spacing w:after="0" w:line="45"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SCT Totals shown for 2019 and 2017 do not reflect the timing of compensation decisions made for those years, since cash-based Performance Incentive Awards (PIA awards) granted in February 2017 and August 2016 are reported in the year paid instead of the year granted.</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PIA awards were granted only in 2017 and 2016 and are not equity-based and, therefore, will instead be reported, to the extent earned, in the SCT for 2020 and 2019, respectively, which will result in higher totals for those payout years. The significant increases in the SCT totals for 2018 compared to 2017 and 2019 compared to 2018 are primarily due to this SCT reporting requirement, not due to significant changes in the compensation packages approved by the Compensation Committee for those years.</w:t>
      </w:r>
    </w:p>
    <w:p>
      <w:pPr>
        <w:spacing w:after="0" w:line="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table below shows alternative totals which remove for 2019 the payout amounts received for the 2016 PIA awards and add the amounts for 2017 for the PIA awards granted in 2017. Mr. Preston’s 2018 and 2017 values are omitted from the table since he was not an NEO in 2018 or 2017 and compensation for those years has not been reported.</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0070C0"/>
                <w:w w:val="97"/>
              </w:rPr>
              <w:t>Combined Incentive</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35"/>
        </w:trPr>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jc w:val="center"/>
              <w:ind w:right="117"/>
              <w:spacing w:after="0" w:line="135" w:lineRule="exact"/>
              <w:rPr>
                <w:sz w:val="20"/>
                <w:szCs w:val="20"/>
                <w:color w:val="auto"/>
              </w:rPr>
            </w:pPr>
            <w:r>
              <w:rPr>
                <w:rFonts w:ascii="Arial" w:cs="Arial" w:eastAsia="Arial" w:hAnsi="Arial"/>
                <w:sz w:val="13"/>
                <w:szCs w:val="13"/>
                <w:b w:val="1"/>
                <w:bCs w:val="1"/>
                <w:color w:val="0070C0"/>
                <w:w w:val="97"/>
              </w:rPr>
              <w:t>Awards (Stock</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Pr>
          <w:p>
            <w:pPr>
              <w:jc w:val="center"/>
              <w:ind w:right="517"/>
              <w:spacing w:after="0" w:line="135" w:lineRule="exact"/>
              <w:rPr>
                <w:sz w:val="20"/>
                <w:szCs w:val="20"/>
                <w:color w:val="auto"/>
              </w:rPr>
            </w:pPr>
            <w:r>
              <w:rPr>
                <w:rFonts w:ascii="Arial" w:cs="Arial" w:eastAsia="Arial" w:hAnsi="Arial"/>
                <w:sz w:val="13"/>
                <w:szCs w:val="13"/>
                <w:b w:val="1"/>
                <w:bCs w:val="1"/>
                <w:color w:val="0070C0"/>
                <w:w w:val="98"/>
              </w:rPr>
              <w:t>Subtract</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jc w:val="center"/>
              <w:ind w:right="117"/>
              <w:spacing w:after="0" w:line="135" w:lineRule="exact"/>
              <w:rPr>
                <w:sz w:val="20"/>
                <w:szCs w:val="20"/>
                <w:color w:val="auto"/>
              </w:rPr>
            </w:pPr>
            <w:r>
              <w:rPr>
                <w:rFonts w:ascii="Arial" w:cs="Arial" w:eastAsia="Arial" w:hAnsi="Arial"/>
                <w:sz w:val="13"/>
                <w:szCs w:val="13"/>
                <w:b w:val="1"/>
                <w:bCs w:val="1"/>
                <w:color w:val="0070C0"/>
                <w:w w:val="95"/>
              </w:rPr>
              <w:t>Awards, Option</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7"/>
              </w:rPr>
              <w:t>Add Long-Term</w:t>
            </w:r>
          </w:p>
        </w:tc>
        <w:tc>
          <w:tcPr>
            <w:tcW w:w="1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6"/>
              </w:rPr>
              <w:t>PIA Award Payout</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jc w:val="center"/>
              <w:ind w:right="77"/>
              <w:spacing w:after="0" w:line="135" w:lineRule="exact"/>
              <w:rPr>
                <w:sz w:val="20"/>
                <w:szCs w:val="20"/>
                <w:color w:val="auto"/>
              </w:rPr>
            </w:pPr>
            <w:r>
              <w:rPr>
                <w:rFonts w:ascii="Arial" w:cs="Arial" w:eastAsia="Arial" w:hAnsi="Arial"/>
                <w:sz w:val="13"/>
                <w:szCs w:val="13"/>
                <w:b w:val="1"/>
                <w:bCs w:val="1"/>
                <w:color w:val="0070C0"/>
                <w:w w:val="97"/>
              </w:rPr>
              <w:t>Awards and Non-</w:t>
            </w:r>
          </w:p>
        </w:tc>
        <w:tc>
          <w:tcPr>
            <w:tcW w:w="420" w:type="dxa"/>
            <w:vAlign w:val="bottom"/>
          </w:tcPr>
          <w:p>
            <w:pPr>
              <w:spacing w:after="0"/>
              <w:rPr>
                <w:sz w:val="11"/>
                <w:szCs w:val="11"/>
                <w:color w:val="auto"/>
              </w:rPr>
            </w:pPr>
          </w:p>
        </w:tc>
        <w:tc>
          <w:tcPr>
            <w:tcW w:w="1060" w:type="dxa"/>
            <w:vAlign w:val="bottom"/>
          </w:tcPr>
          <w:p>
            <w:pPr>
              <w:jc w:val="center"/>
              <w:ind w:right="377"/>
              <w:spacing w:after="0" w:line="135" w:lineRule="exact"/>
              <w:rPr>
                <w:sz w:val="20"/>
                <w:szCs w:val="20"/>
                <w:color w:val="auto"/>
              </w:rPr>
            </w:pPr>
            <w:r>
              <w:rPr>
                <w:rFonts w:ascii="Arial" w:cs="Arial" w:eastAsia="Arial" w:hAnsi="Arial"/>
                <w:sz w:val="13"/>
                <w:szCs w:val="13"/>
                <w:b w:val="1"/>
                <w:bCs w:val="1"/>
                <w:color w:val="0070C0"/>
                <w:w w:val="95"/>
              </w:rPr>
              <w:t>Incentive</w:t>
            </w:r>
          </w:p>
        </w:tc>
        <w:tc>
          <w:tcPr>
            <w:tcW w:w="1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5"/>
              </w:rPr>
              <w:t>Value Included in Year</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jc w:val="center"/>
              <w:ind w:right="117"/>
              <w:spacing w:after="0" w:line="135" w:lineRule="exact"/>
              <w:rPr>
                <w:sz w:val="20"/>
                <w:szCs w:val="20"/>
                <w:color w:val="auto"/>
              </w:rPr>
            </w:pPr>
            <w:r>
              <w:rPr>
                <w:rFonts w:ascii="Arial" w:cs="Arial" w:eastAsia="Arial" w:hAnsi="Arial"/>
                <w:sz w:val="13"/>
                <w:szCs w:val="13"/>
                <w:b w:val="1"/>
                <w:bCs w:val="1"/>
                <w:color w:val="0070C0"/>
                <w:w w:val="96"/>
              </w:rPr>
              <w:t>Equity Incentive</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5"/>
              </w:rPr>
              <w:t>PIA Award Target</w:t>
            </w:r>
          </w:p>
        </w:tc>
        <w:tc>
          <w:tcPr>
            <w:tcW w:w="1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7"/>
              </w:rPr>
              <w:t>of Payout as Non-</w:t>
            </w:r>
          </w:p>
        </w:tc>
        <w:tc>
          <w:tcPr>
            <w:tcW w:w="1760" w:type="dxa"/>
            <w:vAlign w:val="bottom"/>
            <w:gridSpan w:val="2"/>
          </w:tcPr>
          <w:p>
            <w:pPr>
              <w:jc w:val="center"/>
              <w:ind w:right="77"/>
              <w:spacing w:after="0" w:line="135" w:lineRule="exact"/>
              <w:rPr>
                <w:sz w:val="20"/>
                <w:szCs w:val="20"/>
                <w:color w:val="auto"/>
              </w:rPr>
            </w:pPr>
            <w:r>
              <w:rPr>
                <w:rFonts w:ascii="Arial" w:cs="Arial" w:eastAsia="Arial" w:hAnsi="Arial"/>
                <w:sz w:val="13"/>
                <w:szCs w:val="13"/>
                <w:b w:val="1"/>
                <w:bCs w:val="1"/>
                <w:color w:val="0070C0"/>
                <w:w w:val="96"/>
              </w:rPr>
              <w:t>Alternative Combined</w:t>
            </w:r>
          </w:p>
        </w:tc>
        <w:tc>
          <w:tcPr>
            <w:tcW w:w="164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0070C0"/>
                <w:w w:val="95"/>
              </w:rPr>
              <w:t>Alternative Total with</w:t>
            </w:r>
          </w:p>
        </w:tc>
      </w:tr>
      <w:tr>
        <w:trPr>
          <w:trHeight w:val="135"/>
        </w:trPr>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jc w:val="center"/>
              <w:ind w:right="97"/>
              <w:spacing w:after="0" w:line="135" w:lineRule="exact"/>
              <w:rPr>
                <w:sz w:val="20"/>
                <w:szCs w:val="20"/>
                <w:color w:val="auto"/>
              </w:rPr>
            </w:pPr>
            <w:r>
              <w:rPr>
                <w:rFonts w:ascii="Arial" w:cs="Arial" w:eastAsia="Arial" w:hAnsi="Arial"/>
                <w:sz w:val="13"/>
                <w:szCs w:val="13"/>
                <w:b w:val="1"/>
                <w:bCs w:val="1"/>
                <w:color w:val="0070C0"/>
                <w:w w:val="97"/>
              </w:rPr>
              <w:t>Compensation) as</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7"/>
              </w:rPr>
              <w:t>Value Not Included</w:t>
            </w:r>
          </w:p>
        </w:tc>
        <w:tc>
          <w:tcPr>
            <w:tcW w:w="1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6"/>
              </w:rPr>
              <w:t>Equity Incentive</w:t>
            </w:r>
          </w:p>
        </w:tc>
        <w:tc>
          <w:tcPr>
            <w:tcW w:w="176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0070C0"/>
                <w:w w:val="97"/>
              </w:rPr>
              <w:t>Incentive Awards</w:t>
            </w:r>
          </w:p>
        </w:tc>
        <w:tc>
          <w:tcPr>
            <w:tcW w:w="164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0070C0"/>
                <w:w w:val="96"/>
              </w:rPr>
              <w:t>PIA Awards</w:t>
            </w:r>
          </w:p>
        </w:tc>
      </w:tr>
      <w:tr>
        <w:trPr>
          <w:trHeight w:val="135"/>
        </w:trPr>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jc w:val="center"/>
              <w:ind w:right="117"/>
              <w:spacing w:after="0" w:line="135" w:lineRule="exact"/>
              <w:rPr>
                <w:sz w:val="20"/>
                <w:szCs w:val="20"/>
                <w:color w:val="auto"/>
              </w:rPr>
            </w:pPr>
            <w:r>
              <w:rPr>
                <w:rFonts w:ascii="Arial" w:cs="Arial" w:eastAsia="Arial" w:hAnsi="Arial"/>
                <w:sz w:val="13"/>
                <w:szCs w:val="13"/>
                <w:b w:val="1"/>
                <w:bCs w:val="1"/>
                <w:color w:val="0070C0"/>
                <w:w w:val="96"/>
              </w:rPr>
              <w:t>Shown in SCT</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7"/>
              </w:rPr>
              <w:t>in Year of Grant in</w:t>
            </w:r>
          </w:p>
        </w:tc>
        <w:tc>
          <w:tcPr>
            <w:tcW w:w="1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0C0"/>
                <w:w w:val="97"/>
              </w:rPr>
              <w:t>Compensation in SCT</w:t>
            </w:r>
          </w:p>
        </w:tc>
        <w:tc>
          <w:tcPr>
            <w:tcW w:w="176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0070C0"/>
                <w:w w:val="95"/>
              </w:rPr>
              <w:t>Reflecting Timing of</w:t>
            </w:r>
          </w:p>
        </w:tc>
        <w:tc>
          <w:tcPr>
            <w:tcW w:w="164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0070C0"/>
                <w:w w:val="97"/>
              </w:rPr>
              <w:t>Reflected in Year of</w:t>
            </w:r>
          </w:p>
        </w:tc>
      </w:tr>
      <w:tr>
        <w:trPr>
          <w:trHeight w:val="157"/>
        </w:trPr>
        <w:tc>
          <w:tcPr>
            <w:tcW w:w="1540" w:type="dxa"/>
            <w:vAlign w:val="bottom"/>
            <w:tcBorders>
              <w:bottom w:val="single" w:sz="8" w:color="0070C0"/>
            </w:tcBorders>
          </w:tcPr>
          <w:p>
            <w:pPr>
              <w:spacing w:after="0"/>
              <w:rPr>
                <w:sz w:val="20"/>
                <w:szCs w:val="20"/>
                <w:color w:val="auto"/>
              </w:rPr>
            </w:pPr>
            <w:r>
              <w:rPr>
                <w:rFonts w:ascii="Arial" w:cs="Arial" w:eastAsia="Arial" w:hAnsi="Arial"/>
                <w:sz w:val="13"/>
                <w:szCs w:val="13"/>
                <w:b w:val="1"/>
                <w:bCs w:val="1"/>
                <w:color w:val="0075C9"/>
              </w:rPr>
              <w:t>Name</w:t>
            </w:r>
          </w:p>
        </w:tc>
        <w:tc>
          <w:tcPr>
            <w:tcW w:w="500" w:type="dxa"/>
            <w:vAlign w:val="bottom"/>
            <w:tcBorders>
              <w:bottom w:val="single" w:sz="8" w:color="0070C0"/>
            </w:tcBorders>
          </w:tcPr>
          <w:p>
            <w:pPr>
              <w:ind w:left="100"/>
              <w:spacing w:after="0"/>
              <w:rPr>
                <w:sz w:val="20"/>
                <w:szCs w:val="20"/>
                <w:color w:val="auto"/>
              </w:rPr>
            </w:pPr>
            <w:r>
              <w:rPr>
                <w:rFonts w:ascii="Arial" w:cs="Arial" w:eastAsia="Arial" w:hAnsi="Arial"/>
                <w:sz w:val="13"/>
                <w:szCs w:val="13"/>
                <w:b w:val="1"/>
                <w:bCs w:val="1"/>
                <w:color w:val="0070C0"/>
              </w:rPr>
              <w:t>Year</w:t>
            </w:r>
          </w:p>
        </w:tc>
        <w:tc>
          <w:tcPr>
            <w:tcW w:w="540" w:type="dxa"/>
            <w:vAlign w:val="bottom"/>
            <w:tcBorders>
              <w:bottom w:val="single" w:sz="8" w:color="0070C0"/>
            </w:tcBorders>
          </w:tcPr>
          <w:p>
            <w:pPr>
              <w:spacing w:after="0"/>
              <w:rPr>
                <w:sz w:val="13"/>
                <w:szCs w:val="13"/>
                <w:color w:val="auto"/>
              </w:rPr>
            </w:pPr>
          </w:p>
        </w:tc>
        <w:tc>
          <w:tcPr>
            <w:tcW w:w="1120" w:type="dxa"/>
            <w:vAlign w:val="bottom"/>
            <w:tcBorders>
              <w:bottom w:val="single" w:sz="8" w:color="0070C0"/>
            </w:tcBorders>
          </w:tcPr>
          <w:p>
            <w:pPr>
              <w:jc w:val="center"/>
              <w:ind w:right="637"/>
              <w:spacing w:after="0"/>
              <w:rPr>
                <w:sz w:val="20"/>
                <w:szCs w:val="20"/>
                <w:color w:val="auto"/>
              </w:rPr>
            </w:pPr>
            <w:r>
              <w:rPr>
                <w:rFonts w:ascii="Arial" w:cs="Arial" w:eastAsia="Arial" w:hAnsi="Arial"/>
                <w:sz w:val="13"/>
                <w:szCs w:val="13"/>
                <w:b w:val="1"/>
                <w:bCs w:val="1"/>
                <w:color w:val="0070C0"/>
                <w:w w:val="95"/>
              </w:rPr>
              <w:t>Above</w:t>
            </w:r>
          </w:p>
        </w:tc>
        <w:tc>
          <w:tcPr>
            <w:tcW w:w="1480" w:type="dxa"/>
            <w:vAlign w:val="bottom"/>
            <w:tcBorders>
              <w:bottom w:val="single" w:sz="8" w:color="0070C0"/>
            </w:tcBorders>
            <w:gridSpan w:val="2"/>
          </w:tcPr>
          <w:p>
            <w:pPr>
              <w:jc w:val="center"/>
              <w:spacing w:after="0"/>
              <w:rPr>
                <w:sz w:val="20"/>
                <w:szCs w:val="20"/>
                <w:color w:val="auto"/>
              </w:rPr>
            </w:pPr>
            <w:r>
              <w:rPr>
                <w:rFonts w:ascii="Arial" w:cs="Arial" w:eastAsia="Arial" w:hAnsi="Arial"/>
                <w:sz w:val="13"/>
                <w:szCs w:val="13"/>
                <w:b w:val="1"/>
                <w:bCs w:val="1"/>
                <w:color w:val="0070C0"/>
                <w:w w:val="95"/>
              </w:rPr>
              <w:t>SCT Above</w:t>
            </w:r>
          </w:p>
        </w:tc>
        <w:tc>
          <w:tcPr>
            <w:tcW w:w="560" w:type="dxa"/>
            <w:vAlign w:val="bottom"/>
            <w:tcBorders>
              <w:bottom w:val="single" w:sz="8" w:color="0070C0"/>
            </w:tcBorders>
          </w:tcPr>
          <w:p>
            <w:pPr>
              <w:spacing w:after="0"/>
              <w:rPr>
                <w:sz w:val="13"/>
                <w:szCs w:val="13"/>
                <w:color w:val="auto"/>
              </w:rPr>
            </w:pPr>
          </w:p>
        </w:tc>
        <w:tc>
          <w:tcPr>
            <w:tcW w:w="1180" w:type="dxa"/>
            <w:vAlign w:val="bottom"/>
            <w:tcBorders>
              <w:bottom w:val="single" w:sz="8" w:color="0070C0"/>
            </w:tcBorders>
          </w:tcPr>
          <w:p>
            <w:pPr>
              <w:jc w:val="center"/>
              <w:ind w:right="517"/>
              <w:spacing w:after="0"/>
              <w:rPr>
                <w:sz w:val="20"/>
                <w:szCs w:val="20"/>
                <w:color w:val="auto"/>
              </w:rPr>
            </w:pPr>
            <w:r>
              <w:rPr>
                <w:rFonts w:ascii="Arial" w:cs="Arial" w:eastAsia="Arial" w:hAnsi="Arial"/>
                <w:sz w:val="13"/>
                <w:szCs w:val="13"/>
                <w:b w:val="1"/>
                <w:bCs w:val="1"/>
                <w:color w:val="0070C0"/>
              </w:rPr>
              <w:t>Above</w:t>
            </w:r>
          </w:p>
        </w:tc>
        <w:tc>
          <w:tcPr>
            <w:tcW w:w="1760" w:type="dxa"/>
            <w:vAlign w:val="bottom"/>
            <w:tcBorders>
              <w:bottom w:val="single" w:sz="8" w:color="0070C0"/>
            </w:tcBorders>
            <w:gridSpan w:val="2"/>
          </w:tcPr>
          <w:p>
            <w:pPr>
              <w:jc w:val="center"/>
              <w:ind w:right="57"/>
              <w:spacing w:after="0"/>
              <w:rPr>
                <w:sz w:val="20"/>
                <w:szCs w:val="20"/>
                <w:color w:val="auto"/>
              </w:rPr>
            </w:pPr>
            <w:r>
              <w:rPr>
                <w:rFonts w:ascii="Arial" w:cs="Arial" w:eastAsia="Arial" w:hAnsi="Arial"/>
                <w:sz w:val="13"/>
                <w:szCs w:val="13"/>
                <w:b w:val="1"/>
                <w:bCs w:val="1"/>
                <w:color w:val="0070C0"/>
                <w:w w:val="96"/>
              </w:rPr>
              <w:t>Grant Decisions</w:t>
            </w:r>
          </w:p>
        </w:tc>
        <w:tc>
          <w:tcPr>
            <w:tcW w:w="640" w:type="dxa"/>
            <w:vAlign w:val="bottom"/>
            <w:tcBorders>
              <w:bottom w:val="single" w:sz="8" w:color="0070C0"/>
            </w:tcBorders>
          </w:tcPr>
          <w:p>
            <w:pPr>
              <w:spacing w:after="0"/>
              <w:rPr>
                <w:sz w:val="13"/>
                <w:szCs w:val="13"/>
                <w:color w:val="auto"/>
              </w:rPr>
            </w:pPr>
          </w:p>
        </w:tc>
        <w:tc>
          <w:tcPr>
            <w:tcW w:w="1000" w:type="dxa"/>
            <w:vAlign w:val="bottom"/>
            <w:tcBorders>
              <w:bottom w:val="single" w:sz="8" w:color="0070C0"/>
            </w:tcBorders>
          </w:tcPr>
          <w:p>
            <w:pPr>
              <w:jc w:val="center"/>
              <w:ind w:right="437"/>
              <w:spacing w:after="0"/>
              <w:rPr>
                <w:sz w:val="20"/>
                <w:szCs w:val="20"/>
                <w:color w:val="auto"/>
              </w:rPr>
            </w:pPr>
            <w:r>
              <w:rPr>
                <w:rFonts w:ascii="Arial" w:cs="Arial" w:eastAsia="Arial" w:hAnsi="Arial"/>
                <w:sz w:val="13"/>
                <w:szCs w:val="13"/>
                <w:b w:val="1"/>
                <w:bCs w:val="1"/>
                <w:color w:val="0070C0"/>
                <w:w w:val="97"/>
              </w:rPr>
              <w:t>Grant</w:t>
            </w:r>
          </w:p>
        </w:tc>
      </w:tr>
      <w:tr>
        <w:trPr>
          <w:trHeight w:val="123"/>
        </w:trPr>
        <w:tc>
          <w:tcPr>
            <w:tcW w:w="154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0070C0"/>
              </w:rPr>
              <w:t>Todd A. Stevens</w:t>
            </w:r>
          </w:p>
        </w:tc>
        <w:tc>
          <w:tcPr>
            <w:tcW w:w="500" w:type="dxa"/>
            <w:vAlign w:val="bottom"/>
            <w:shd w:val="clear" w:color="auto" w:fill="F2F2F2"/>
          </w:tcPr>
          <w:p>
            <w:pPr>
              <w:ind w:left="100"/>
              <w:spacing w:after="0" w:line="123" w:lineRule="exact"/>
              <w:rPr>
                <w:sz w:val="20"/>
                <w:szCs w:val="20"/>
                <w:color w:val="auto"/>
              </w:rPr>
            </w:pPr>
            <w:r>
              <w:rPr>
                <w:rFonts w:ascii="Arial" w:cs="Arial" w:eastAsia="Arial" w:hAnsi="Arial"/>
                <w:sz w:val="13"/>
                <w:szCs w:val="13"/>
                <w:color w:val="auto"/>
              </w:rPr>
              <w:t>2019</w:t>
            </w:r>
          </w:p>
        </w:tc>
        <w:tc>
          <w:tcPr>
            <w:tcW w:w="540" w:type="dxa"/>
            <w:vAlign w:val="bottom"/>
            <w:shd w:val="clear" w:color="auto" w:fill="F2F2F2"/>
          </w:tcPr>
          <w:p>
            <w:pPr>
              <w:jc w:val="right"/>
              <w:spacing w:after="0" w:line="123" w:lineRule="exact"/>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right"/>
              <w:ind w:right="77"/>
              <w:spacing w:after="0" w:line="123" w:lineRule="exact"/>
              <w:rPr>
                <w:sz w:val="20"/>
                <w:szCs w:val="20"/>
                <w:color w:val="auto"/>
              </w:rPr>
            </w:pPr>
            <w:r>
              <w:rPr>
                <w:rFonts w:ascii="Arial" w:cs="Arial" w:eastAsia="Arial" w:hAnsi="Arial"/>
                <w:sz w:val="13"/>
                <w:szCs w:val="13"/>
                <w:color w:val="auto"/>
              </w:rPr>
              <w:t>9,156,274</w:t>
            </w:r>
          </w:p>
        </w:tc>
        <w:tc>
          <w:tcPr>
            <w:tcW w:w="420" w:type="dxa"/>
            <w:vAlign w:val="bottom"/>
            <w:shd w:val="clear" w:color="auto" w:fill="F2F2F2"/>
          </w:tcPr>
          <w:p>
            <w:pPr>
              <w:jc w:val="right"/>
              <w:spacing w:after="0" w:line="123" w:lineRule="exact"/>
              <w:rPr>
                <w:sz w:val="20"/>
                <w:szCs w:val="20"/>
                <w:color w:val="auto"/>
              </w:rPr>
            </w:pPr>
            <w:r>
              <w:rPr>
                <w:rFonts w:ascii="Arial" w:cs="Arial" w:eastAsia="Arial" w:hAnsi="Arial"/>
                <w:sz w:val="13"/>
                <w:szCs w:val="13"/>
                <w:color w:val="auto"/>
              </w:rPr>
              <w:t>$</w:t>
            </w:r>
          </w:p>
        </w:tc>
        <w:tc>
          <w:tcPr>
            <w:tcW w:w="1060" w:type="dxa"/>
            <w:vAlign w:val="bottom"/>
            <w:shd w:val="clear" w:color="auto" w:fill="F2F2F2"/>
          </w:tcPr>
          <w:p>
            <w:pPr>
              <w:jc w:val="right"/>
              <w:ind w:right="117"/>
              <w:spacing w:after="0" w:line="123"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spacing w:after="0" w:line="123" w:lineRule="exact"/>
              <w:rPr>
                <w:sz w:val="20"/>
                <w:szCs w:val="20"/>
                <w:color w:val="auto"/>
              </w:rPr>
            </w:pPr>
            <w:r>
              <w:rPr>
                <w:rFonts w:ascii="Arial" w:cs="Arial" w:eastAsia="Arial" w:hAnsi="Arial"/>
                <w:sz w:val="13"/>
                <w:szCs w:val="13"/>
                <w:color w:val="auto"/>
              </w:rPr>
              <w:t>$</w:t>
            </w:r>
          </w:p>
        </w:tc>
        <w:tc>
          <w:tcPr>
            <w:tcW w:w="1180" w:type="dxa"/>
            <w:vAlign w:val="bottom"/>
            <w:shd w:val="clear" w:color="auto" w:fill="F2F2F2"/>
          </w:tcPr>
          <w:p>
            <w:pPr>
              <w:jc w:val="right"/>
              <w:ind w:right="97"/>
              <w:spacing w:after="0" w:line="123" w:lineRule="exact"/>
              <w:rPr>
                <w:sz w:val="20"/>
                <w:szCs w:val="20"/>
                <w:color w:val="auto"/>
              </w:rPr>
            </w:pPr>
            <w:r>
              <w:rPr>
                <w:rFonts w:ascii="Arial" w:cs="Arial" w:eastAsia="Arial" w:hAnsi="Arial"/>
                <w:sz w:val="13"/>
                <w:szCs w:val="13"/>
                <w:color w:val="auto"/>
              </w:rPr>
              <w:t>(2,455,250)</w:t>
            </w:r>
          </w:p>
        </w:tc>
        <w:tc>
          <w:tcPr>
            <w:tcW w:w="740" w:type="dxa"/>
            <w:vAlign w:val="bottom"/>
            <w:shd w:val="clear" w:color="auto" w:fill="F2F2F2"/>
          </w:tcPr>
          <w:p>
            <w:pPr>
              <w:jc w:val="right"/>
              <w:ind w:right="137"/>
              <w:spacing w:after="0" w:line="123" w:lineRule="exact"/>
              <w:rPr>
                <w:sz w:val="20"/>
                <w:szCs w:val="20"/>
                <w:color w:val="auto"/>
              </w:rPr>
            </w:pPr>
            <w:r>
              <w:rPr>
                <w:rFonts w:ascii="Arial" w:cs="Arial" w:eastAsia="Arial" w:hAnsi="Arial"/>
                <w:sz w:val="13"/>
                <w:szCs w:val="13"/>
                <w:color w:val="auto"/>
              </w:rPr>
              <w:t>$</w:t>
            </w:r>
          </w:p>
        </w:tc>
        <w:tc>
          <w:tcPr>
            <w:tcW w:w="1020" w:type="dxa"/>
            <w:vAlign w:val="bottom"/>
            <w:shd w:val="clear" w:color="auto" w:fill="F2F2F2"/>
          </w:tcPr>
          <w:p>
            <w:pPr>
              <w:jc w:val="right"/>
              <w:ind w:right="197"/>
              <w:spacing w:after="0" w:line="123" w:lineRule="exact"/>
              <w:rPr>
                <w:sz w:val="20"/>
                <w:szCs w:val="20"/>
                <w:color w:val="auto"/>
              </w:rPr>
            </w:pPr>
            <w:r>
              <w:rPr>
                <w:rFonts w:ascii="Arial" w:cs="Arial" w:eastAsia="Arial" w:hAnsi="Arial"/>
                <w:sz w:val="13"/>
                <w:szCs w:val="13"/>
                <w:color w:val="auto"/>
              </w:rPr>
              <w:t>6,701,024</w:t>
            </w:r>
          </w:p>
        </w:tc>
        <w:tc>
          <w:tcPr>
            <w:tcW w:w="640" w:type="dxa"/>
            <w:vAlign w:val="bottom"/>
            <w:shd w:val="clear" w:color="auto" w:fill="F2F2F2"/>
          </w:tcPr>
          <w:p>
            <w:pPr>
              <w:jc w:val="right"/>
              <w:ind w:right="17"/>
              <w:spacing w:after="0" w:line="123" w:lineRule="exact"/>
              <w:rPr>
                <w:sz w:val="20"/>
                <w:szCs w:val="20"/>
                <w:color w:val="auto"/>
              </w:rPr>
            </w:pPr>
            <w:r>
              <w:rPr>
                <w:rFonts w:ascii="Arial" w:cs="Arial" w:eastAsia="Arial" w:hAnsi="Arial"/>
                <w:sz w:val="13"/>
                <w:szCs w:val="13"/>
                <w:color w:val="auto"/>
              </w:rPr>
              <w:t>$</w:t>
            </w:r>
          </w:p>
        </w:tc>
        <w:tc>
          <w:tcPr>
            <w:tcW w:w="1000" w:type="dxa"/>
            <w:vAlign w:val="bottom"/>
            <w:shd w:val="clear" w:color="auto" w:fill="F2F2F2"/>
          </w:tcPr>
          <w:p>
            <w:pPr>
              <w:jc w:val="right"/>
              <w:spacing w:after="0" w:line="123" w:lineRule="exact"/>
              <w:rPr>
                <w:sz w:val="20"/>
                <w:szCs w:val="20"/>
                <w:color w:val="auto"/>
              </w:rPr>
            </w:pPr>
            <w:r>
              <w:rPr>
                <w:rFonts w:ascii="Arial" w:cs="Arial" w:eastAsia="Arial" w:hAnsi="Arial"/>
                <w:sz w:val="13"/>
                <w:szCs w:val="13"/>
                <w:color w:val="auto"/>
              </w:rPr>
              <w:t>8,041,827</w:t>
            </w:r>
          </w:p>
        </w:tc>
      </w:tr>
      <w:tr>
        <w:trPr>
          <w:trHeight w:val="135"/>
        </w:trPr>
        <w:tc>
          <w:tcPr>
            <w:tcW w:w="1540" w:type="dxa"/>
            <w:vAlign w:val="bottom"/>
            <w:shd w:val="clear" w:color="auto" w:fill="F2F2F2"/>
          </w:tcPr>
          <w:p>
            <w:pPr>
              <w:spacing w:after="0"/>
              <w:rPr>
                <w:sz w:val="11"/>
                <w:szCs w:val="11"/>
                <w:color w:val="auto"/>
              </w:rPr>
            </w:pPr>
          </w:p>
        </w:tc>
        <w:tc>
          <w:tcPr>
            <w:tcW w:w="500" w:type="dxa"/>
            <w:vAlign w:val="bottom"/>
            <w:shd w:val="clear" w:color="auto" w:fill="F2F2F2"/>
          </w:tcPr>
          <w:p>
            <w:pPr>
              <w:ind w:left="100"/>
              <w:spacing w:after="0" w:line="135" w:lineRule="exact"/>
              <w:rPr>
                <w:sz w:val="20"/>
                <w:szCs w:val="20"/>
                <w:color w:val="auto"/>
              </w:rPr>
            </w:pPr>
            <w:r>
              <w:rPr>
                <w:rFonts w:ascii="Arial" w:cs="Arial" w:eastAsia="Arial" w:hAnsi="Arial"/>
                <w:sz w:val="13"/>
                <w:szCs w:val="13"/>
                <w:color w:val="auto"/>
              </w:rPr>
              <w:t>2018</w:t>
            </w:r>
          </w:p>
        </w:tc>
        <w:tc>
          <w:tcPr>
            <w:tcW w:w="54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right"/>
              <w:ind w:right="77"/>
              <w:spacing w:after="0" w:line="135" w:lineRule="exact"/>
              <w:rPr>
                <w:sz w:val="20"/>
                <w:szCs w:val="20"/>
                <w:color w:val="auto"/>
              </w:rPr>
            </w:pPr>
            <w:r>
              <w:rPr>
                <w:rFonts w:ascii="Arial" w:cs="Arial" w:eastAsia="Arial" w:hAnsi="Arial"/>
                <w:sz w:val="13"/>
                <w:szCs w:val="13"/>
                <w:color w:val="auto"/>
              </w:rPr>
              <w:t>6,400,028</w:t>
            </w:r>
          </w:p>
        </w:tc>
        <w:tc>
          <w:tcPr>
            <w:tcW w:w="4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F2F2F2"/>
          </w:tcPr>
          <w:p>
            <w:pPr>
              <w:jc w:val="right"/>
              <w:ind w:right="117"/>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0</w:t>
            </w:r>
          </w:p>
        </w:tc>
        <w:tc>
          <w:tcPr>
            <w:tcW w:w="74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F2F2F2"/>
          </w:tcPr>
          <w:p>
            <w:pPr>
              <w:jc w:val="right"/>
              <w:ind w:right="197"/>
              <w:spacing w:after="0" w:line="135" w:lineRule="exact"/>
              <w:rPr>
                <w:sz w:val="20"/>
                <w:szCs w:val="20"/>
                <w:color w:val="auto"/>
              </w:rPr>
            </w:pPr>
            <w:r>
              <w:rPr>
                <w:rFonts w:ascii="Arial" w:cs="Arial" w:eastAsia="Arial" w:hAnsi="Arial"/>
                <w:sz w:val="13"/>
                <w:szCs w:val="13"/>
                <w:color w:val="auto"/>
              </w:rPr>
              <w:t>6,400,028</w:t>
            </w:r>
          </w:p>
        </w:tc>
        <w:tc>
          <w:tcPr>
            <w:tcW w:w="64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7,734,657</w:t>
            </w:r>
          </w:p>
        </w:tc>
      </w:tr>
      <w:tr>
        <w:trPr>
          <w:trHeight w:val="141"/>
        </w:trPr>
        <w:tc>
          <w:tcPr>
            <w:tcW w:w="1540" w:type="dxa"/>
            <w:vAlign w:val="bottom"/>
            <w:shd w:val="clear" w:color="auto" w:fill="F2F2F2"/>
          </w:tcPr>
          <w:p>
            <w:pPr>
              <w:spacing w:after="0"/>
              <w:rPr>
                <w:sz w:val="12"/>
                <w:szCs w:val="12"/>
                <w:color w:val="auto"/>
              </w:rPr>
            </w:pPr>
          </w:p>
        </w:tc>
        <w:tc>
          <w:tcPr>
            <w:tcW w:w="500" w:type="dxa"/>
            <w:vAlign w:val="bottom"/>
            <w:shd w:val="clear" w:color="auto" w:fill="F2F2F2"/>
          </w:tcPr>
          <w:p>
            <w:pPr>
              <w:ind w:left="100"/>
              <w:spacing w:after="0" w:line="141" w:lineRule="exact"/>
              <w:rPr>
                <w:sz w:val="20"/>
                <w:szCs w:val="20"/>
                <w:color w:val="auto"/>
              </w:rPr>
            </w:pPr>
            <w:r>
              <w:rPr>
                <w:rFonts w:ascii="Arial" w:cs="Arial" w:eastAsia="Arial" w:hAnsi="Arial"/>
                <w:sz w:val="13"/>
                <w:szCs w:val="13"/>
                <w:color w:val="auto"/>
              </w:rPr>
              <w:t>2017</w:t>
            </w:r>
          </w:p>
        </w:tc>
        <w:tc>
          <w:tcPr>
            <w:tcW w:w="54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right"/>
              <w:ind w:right="77"/>
              <w:spacing w:after="0" w:line="141" w:lineRule="exact"/>
              <w:rPr>
                <w:sz w:val="20"/>
                <w:szCs w:val="20"/>
                <w:color w:val="auto"/>
              </w:rPr>
            </w:pPr>
            <w:r>
              <w:rPr>
                <w:rFonts w:ascii="Arial" w:cs="Arial" w:eastAsia="Arial" w:hAnsi="Arial"/>
                <w:sz w:val="13"/>
                <w:szCs w:val="13"/>
                <w:color w:val="auto"/>
              </w:rPr>
              <w:t>3,570,000</w:t>
            </w:r>
          </w:p>
        </w:tc>
        <w:tc>
          <w:tcPr>
            <w:tcW w:w="42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w:t>
            </w:r>
          </w:p>
        </w:tc>
        <w:tc>
          <w:tcPr>
            <w:tcW w:w="1060" w:type="dxa"/>
            <w:vAlign w:val="bottom"/>
            <w:shd w:val="clear" w:color="auto" w:fill="F2F2F2"/>
          </w:tcPr>
          <w:p>
            <w:pPr>
              <w:jc w:val="right"/>
              <w:ind w:right="117"/>
              <w:spacing w:after="0" w:line="141" w:lineRule="exact"/>
              <w:rPr>
                <w:sz w:val="20"/>
                <w:szCs w:val="20"/>
                <w:color w:val="auto"/>
              </w:rPr>
            </w:pPr>
            <w:r>
              <w:rPr>
                <w:rFonts w:ascii="Arial" w:cs="Arial" w:eastAsia="Arial" w:hAnsi="Arial"/>
                <w:sz w:val="13"/>
                <w:szCs w:val="13"/>
                <w:color w:val="auto"/>
              </w:rPr>
              <w:t>2,400,000</w:t>
            </w:r>
          </w:p>
        </w:tc>
        <w:tc>
          <w:tcPr>
            <w:tcW w:w="56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w:t>
            </w:r>
          </w:p>
        </w:tc>
        <w:tc>
          <w:tcPr>
            <w:tcW w:w="1180" w:type="dxa"/>
            <w:vAlign w:val="bottom"/>
            <w:shd w:val="clear" w:color="auto" w:fill="F2F2F2"/>
          </w:tcPr>
          <w:p>
            <w:pPr>
              <w:jc w:val="right"/>
              <w:ind w:right="137"/>
              <w:spacing w:after="0" w:line="141" w:lineRule="exact"/>
              <w:rPr>
                <w:sz w:val="20"/>
                <w:szCs w:val="20"/>
                <w:color w:val="auto"/>
              </w:rPr>
            </w:pPr>
            <w:r>
              <w:rPr>
                <w:rFonts w:ascii="Arial" w:cs="Arial" w:eastAsia="Arial" w:hAnsi="Arial"/>
                <w:sz w:val="13"/>
                <w:szCs w:val="13"/>
                <w:color w:val="auto"/>
              </w:rPr>
              <w:t>0</w:t>
            </w:r>
          </w:p>
        </w:tc>
        <w:tc>
          <w:tcPr>
            <w:tcW w:w="740" w:type="dxa"/>
            <w:vAlign w:val="bottom"/>
            <w:shd w:val="clear" w:color="auto" w:fill="F2F2F2"/>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020" w:type="dxa"/>
            <w:vAlign w:val="bottom"/>
            <w:shd w:val="clear" w:color="auto" w:fill="F2F2F2"/>
          </w:tcPr>
          <w:p>
            <w:pPr>
              <w:jc w:val="right"/>
              <w:ind w:right="197"/>
              <w:spacing w:after="0" w:line="141" w:lineRule="exact"/>
              <w:rPr>
                <w:sz w:val="20"/>
                <w:szCs w:val="20"/>
                <w:color w:val="auto"/>
              </w:rPr>
            </w:pPr>
            <w:r>
              <w:rPr>
                <w:rFonts w:ascii="Arial" w:cs="Arial" w:eastAsia="Arial" w:hAnsi="Arial"/>
                <w:sz w:val="13"/>
                <w:szCs w:val="13"/>
                <w:color w:val="auto"/>
              </w:rPr>
              <w:t>5,970,000</w:t>
            </w:r>
          </w:p>
        </w:tc>
        <w:tc>
          <w:tcPr>
            <w:tcW w:w="640" w:type="dxa"/>
            <w:vAlign w:val="bottom"/>
            <w:shd w:val="clear" w:color="auto" w:fill="F2F2F2"/>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100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7,254,661</w:t>
            </w:r>
          </w:p>
        </w:tc>
      </w:tr>
      <w:tr>
        <w:trPr>
          <w:trHeight w:val="129"/>
        </w:trPr>
        <w:tc>
          <w:tcPr>
            <w:tcW w:w="1540" w:type="dxa"/>
            <w:vAlign w:val="bottom"/>
          </w:tcPr>
          <w:p>
            <w:pPr>
              <w:spacing w:after="0" w:line="129" w:lineRule="exact"/>
              <w:rPr>
                <w:sz w:val="20"/>
                <w:szCs w:val="20"/>
                <w:color w:val="auto"/>
              </w:rPr>
            </w:pPr>
            <w:r>
              <w:rPr>
                <w:rFonts w:ascii="Arial" w:cs="Arial" w:eastAsia="Arial" w:hAnsi="Arial"/>
                <w:sz w:val="13"/>
                <w:szCs w:val="13"/>
                <w:b w:val="1"/>
                <w:bCs w:val="1"/>
                <w:color w:val="0070C0"/>
              </w:rPr>
              <w:t>Marshall D. Smith</w:t>
            </w:r>
          </w:p>
        </w:tc>
        <w:tc>
          <w:tcPr>
            <w:tcW w:w="500" w:type="dxa"/>
            <w:vAlign w:val="bottom"/>
          </w:tcPr>
          <w:p>
            <w:pPr>
              <w:ind w:left="100"/>
              <w:spacing w:after="0" w:line="129" w:lineRule="exact"/>
              <w:rPr>
                <w:sz w:val="20"/>
                <w:szCs w:val="20"/>
                <w:color w:val="auto"/>
              </w:rPr>
            </w:pPr>
            <w:r>
              <w:rPr>
                <w:rFonts w:ascii="Arial" w:cs="Arial" w:eastAsia="Arial" w:hAnsi="Arial"/>
                <w:sz w:val="13"/>
                <w:szCs w:val="13"/>
                <w:color w:val="auto"/>
              </w:rPr>
              <w:t>2019</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line="129" w:lineRule="exact"/>
              <w:rPr>
                <w:sz w:val="20"/>
                <w:szCs w:val="20"/>
                <w:color w:val="auto"/>
              </w:rPr>
            </w:pPr>
            <w:r>
              <w:rPr>
                <w:rFonts w:ascii="Arial" w:cs="Arial" w:eastAsia="Arial" w:hAnsi="Arial"/>
                <w:sz w:val="13"/>
                <w:szCs w:val="13"/>
                <w:color w:val="auto"/>
              </w:rPr>
              <w:t>4,073,733</w:t>
            </w: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0</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97"/>
              <w:spacing w:after="0" w:line="129" w:lineRule="exact"/>
              <w:rPr>
                <w:sz w:val="20"/>
                <w:szCs w:val="20"/>
                <w:color w:val="auto"/>
              </w:rPr>
            </w:pPr>
            <w:r>
              <w:rPr>
                <w:rFonts w:ascii="Arial" w:cs="Arial" w:eastAsia="Arial" w:hAnsi="Arial"/>
                <w:sz w:val="13"/>
                <w:szCs w:val="13"/>
                <w:color w:val="auto"/>
              </w:rPr>
              <w:t>(1,262,700)</w:t>
            </w:r>
          </w:p>
        </w:tc>
        <w:tc>
          <w:tcPr>
            <w:tcW w:w="74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line="129" w:lineRule="exact"/>
              <w:rPr>
                <w:sz w:val="20"/>
                <w:szCs w:val="20"/>
                <w:color w:val="auto"/>
              </w:rPr>
            </w:pPr>
            <w:r>
              <w:rPr>
                <w:rFonts w:ascii="Arial" w:cs="Arial" w:eastAsia="Arial" w:hAnsi="Arial"/>
                <w:sz w:val="13"/>
                <w:szCs w:val="13"/>
                <w:color w:val="auto"/>
              </w:rPr>
              <w:t>2,811,033</w:t>
            </w:r>
          </w:p>
        </w:tc>
        <w:tc>
          <w:tcPr>
            <w:tcW w:w="6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29" w:lineRule="exact"/>
              <w:rPr>
                <w:sz w:val="20"/>
                <w:szCs w:val="20"/>
                <w:color w:val="auto"/>
              </w:rPr>
            </w:pPr>
            <w:r>
              <w:rPr>
                <w:rFonts w:ascii="Arial" w:cs="Arial" w:eastAsia="Arial" w:hAnsi="Arial"/>
                <w:sz w:val="13"/>
                <w:szCs w:val="13"/>
                <w:color w:val="auto"/>
              </w:rPr>
              <w:t>3,692,673</w:t>
            </w:r>
          </w:p>
        </w:tc>
      </w:tr>
      <w:tr>
        <w:trPr>
          <w:trHeight w:val="135"/>
        </w:trPr>
        <w:tc>
          <w:tcPr>
            <w:tcW w:w="154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3"/>
                <w:szCs w:val="13"/>
                <w:color w:val="auto"/>
              </w:rPr>
              <w:t>2018</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2,650,031</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0</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0</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2,650,031</w:t>
            </w: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3,558,500</w:t>
            </w:r>
          </w:p>
        </w:tc>
      </w:tr>
      <w:tr>
        <w:trPr>
          <w:trHeight w:val="141"/>
        </w:trPr>
        <w:tc>
          <w:tcPr>
            <w:tcW w:w="1540" w:type="dxa"/>
            <w:vAlign w:val="bottom"/>
          </w:tcPr>
          <w:p>
            <w:pPr>
              <w:spacing w:after="0"/>
              <w:rPr>
                <w:sz w:val="12"/>
                <w:szCs w:val="12"/>
                <w:color w:val="auto"/>
              </w:rPr>
            </w:pPr>
          </w:p>
        </w:tc>
        <w:tc>
          <w:tcPr>
            <w:tcW w:w="500" w:type="dxa"/>
            <w:vAlign w:val="bottom"/>
          </w:tcPr>
          <w:p>
            <w:pPr>
              <w:ind w:left="100"/>
              <w:spacing w:after="0" w:line="141" w:lineRule="exact"/>
              <w:rPr>
                <w:sz w:val="20"/>
                <w:szCs w:val="20"/>
                <w:color w:val="auto"/>
              </w:rPr>
            </w:pPr>
            <w:r>
              <w:rPr>
                <w:rFonts w:ascii="Arial" w:cs="Arial" w:eastAsia="Arial" w:hAnsi="Arial"/>
                <w:sz w:val="13"/>
                <w:szCs w:val="13"/>
                <w:color w:val="auto"/>
              </w:rPr>
              <w:t>2017</w:t>
            </w: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line="141" w:lineRule="exact"/>
              <w:rPr>
                <w:sz w:val="20"/>
                <w:szCs w:val="20"/>
                <w:color w:val="auto"/>
              </w:rPr>
            </w:pPr>
            <w:r>
              <w:rPr>
                <w:rFonts w:ascii="Arial" w:cs="Arial" w:eastAsia="Arial" w:hAnsi="Arial"/>
                <w:sz w:val="13"/>
                <w:szCs w:val="13"/>
                <w:color w:val="auto"/>
              </w:rPr>
              <w:t>1,800,000</w:t>
            </w:r>
          </w:p>
        </w:tc>
        <w:tc>
          <w:tcPr>
            <w:tcW w:w="4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950,000</w:t>
            </w: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0</w:t>
            </w:r>
          </w:p>
        </w:tc>
        <w:tc>
          <w:tcPr>
            <w:tcW w:w="74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line="141" w:lineRule="exact"/>
              <w:rPr>
                <w:sz w:val="20"/>
                <w:szCs w:val="20"/>
                <w:color w:val="auto"/>
              </w:rPr>
            </w:pPr>
            <w:r>
              <w:rPr>
                <w:rFonts w:ascii="Arial" w:cs="Arial" w:eastAsia="Arial" w:hAnsi="Arial"/>
                <w:sz w:val="13"/>
                <w:szCs w:val="13"/>
                <w:color w:val="auto"/>
              </w:rPr>
              <w:t>2,750,000</w:t>
            </w:r>
          </w:p>
        </w:tc>
        <w:tc>
          <w:tcPr>
            <w:tcW w:w="640" w:type="dxa"/>
            <w:vAlign w:val="bottom"/>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41" w:lineRule="exact"/>
              <w:rPr>
                <w:sz w:val="20"/>
                <w:szCs w:val="20"/>
                <w:color w:val="auto"/>
              </w:rPr>
            </w:pPr>
            <w:r>
              <w:rPr>
                <w:rFonts w:ascii="Arial" w:cs="Arial" w:eastAsia="Arial" w:hAnsi="Arial"/>
                <w:sz w:val="13"/>
                <w:szCs w:val="13"/>
                <w:color w:val="auto"/>
              </w:rPr>
              <w:t>3,675,132</w:t>
            </w:r>
          </w:p>
        </w:tc>
      </w:tr>
      <w:tr>
        <w:trPr>
          <w:trHeight w:val="129"/>
        </w:trPr>
        <w:tc>
          <w:tcPr>
            <w:tcW w:w="1540" w:type="dxa"/>
            <w:vAlign w:val="bottom"/>
            <w:shd w:val="clear" w:color="auto" w:fill="F2F2F2"/>
          </w:tcPr>
          <w:p>
            <w:pPr>
              <w:spacing w:after="0" w:line="129" w:lineRule="exact"/>
              <w:rPr>
                <w:sz w:val="20"/>
                <w:szCs w:val="20"/>
                <w:color w:val="auto"/>
              </w:rPr>
            </w:pPr>
            <w:r>
              <w:rPr>
                <w:rFonts w:ascii="Arial" w:cs="Arial" w:eastAsia="Arial" w:hAnsi="Arial"/>
                <w:sz w:val="13"/>
                <w:szCs w:val="13"/>
                <w:b w:val="1"/>
                <w:bCs w:val="1"/>
                <w:color w:val="0070C0"/>
              </w:rPr>
              <w:t>Darren Williams</w:t>
            </w:r>
          </w:p>
        </w:tc>
        <w:tc>
          <w:tcPr>
            <w:tcW w:w="500" w:type="dxa"/>
            <w:vAlign w:val="bottom"/>
            <w:shd w:val="clear" w:color="auto" w:fill="F2F2F2"/>
          </w:tcPr>
          <w:p>
            <w:pPr>
              <w:ind w:left="100"/>
              <w:spacing w:after="0" w:line="129" w:lineRule="exact"/>
              <w:rPr>
                <w:sz w:val="20"/>
                <w:szCs w:val="20"/>
                <w:color w:val="auto"/>
              </w:rPr>
            </w:pPr>
            <w:r>
              <w:rPr>
                <w:rFonts w:ascii="Arial" w:cs="Arial" w:eastAsia="Arial" w:hAnsi="Arial"/>
                <w:sz w:val="13"/>
                <w:szCs w:val="13"/>
                <w:color w:val="auto"/>
              </w:rPr>
              <w:t>2019</w:t>
            </w:r>
          </w:p>
        </w:tc>
        <w:tc>
          <w:tcPr>
            <w:tcW w:w="540" w:type="dxa"/>
            <w:vAlign w:val="bottom"/>
            <w:shd w:val="clear" w:color="auto" w:fill="F2F2F2"/>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right"/>
              <w:ind w:right="77"/>
              <w:spacing w:after="0" w:line="129" w:lineRule="exact"/>
              <w:rPr>
                <w:sz w:val="20"/>
                <w:szCs w:val="20"/>
                <w:color w:val="auto"/>
              </w:rPr>
            </w:pPr>
            <w:r>
              <w:rPr>
                <w:rFonts w:ascii="Arial" w:cs="Arial" w:eastAsia="Arial" w:hAnsi="Arial"/>
                <w:sz w:val="13"/>
                <w:szCs w:val="13"/>
                <w:color w:val="auto"/>
              </w:rPr>
              <w:t>2,323,223</w:t>
            </w:r>
          </w:p>
        </w:tc>
        <w:tc>
          <w:tcPr>
            <w:tcW w:w="420" w:type="dxa"/>
            <w:vAlign w:val="bottom"/>
            <w:shd w:val="clear" w:color="auto" w:fill="F2F2F2"/>
          </w:tcPr>
          <w:p>
            <w:pPr>
              <w:jc w:val="right"/>
              <w:spacing w:after="0" w:line="129" w:lineRule="exact"/>
              <w:rPr>
                <w:sz w:val="20"/>
                <w:szCs w:val="20"/>
                <w:color w:val="auto"/>
              </w:rPr>
            </w:pPr>
            <w:r>
              <w:rPr>
                <w:rFonts w:ascii="Arial" w:cs="Arial" w:eastAsia="Arial" w:hAnsi="Arial"/>
                <w:sz w:val="13"/>
                <w:szCs w:val="13"/>
                <w:color w:val="auto"/>
              </w:rPr>
              <w:t>$</w:t>
            </w:r>
          </w:p>
        </w:tc>
        <w:tc>
          <w:tcPr>
            <w:tcW w:w="1060" w:type="dxa"/>
            <w:vAlign w:val="bottom"/>
            <w:shd w:val="clear" w:color="auto" w:fill="F2F2F2"/>
          </w:tcPr>
          <w:p>
            <w:pPr>
              <w:jc w:val="right"/>
              <w:ind w:right="117"/>
              <w:spacing w:after="0" w:line="129"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spacing w:after="0" w:line="129" w:lineRule="exact"/>
              <w:rPr>
                <w:sz w:val="20"/>
                <w:szCs w:val="20"/>
                <w:color w:val="auto"/>
              </w:rPr>
            </w:pPr>
            <w:r>
              <w:rPr>
                <w:rFonts w:ascii="Arial" w:cs="Arial" w:eastAsia="Arial" w:hAnsi="Arial"/>
                <w:sz w:val="13"/>
                <w:szCs w:val="13"/>
                <w:color w:val="auto"/>
              </w:rPr>
              <w:t>$</w:t>
            </w:r>
          </w:p>
        </w:tc>
        <w:tc>
          <w:tcPr>
            <w:tcW w:w="1180" w:type="dxa"/>
            <w:vAlign w:val="bottom"/>
            <w:shd w:val="clear" w:color="auto" w:fill="F2F2F2"/>
          </w:tcPr>
          <w:p>
            <w:pPr>
              <w:jc w:val="right"/>
              <w:ind w:right="97"/>
              <w:spacing w:after="0" w:line="129" w:lineRule="exact"/>
              <w:rPr>
                <w:sz w:val="20"/>
                <w:szCs w:val="20"/>
                <w:color w:val="auto"/>
              </w:rPr>
            </w:pPr>
            <w:r>
              <w:rPr>
                <w:rFonts w:ascii="Arial" w:cs="Arial" w:eastAsia="Arial" w:hAnsi="Arial"/>
                <w:sz w:val="13"/>
                <w:szCs w:val="13"/>
                <w:color w:val="auto"/>
              </w:rPr>
              <w:t>(675,194)</w:t>
            </w:r>
          </w:p>
        </w:tc>
        <w:tc>
          <w:tcPr>
            <w:tcW w:w="740" w:type="dxa"/>
            <w:vAlign w:val="bottom"/>
            <w:shd w:val="clear" w:color="auto" w:fill="F2F2F2"/>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1020" w:type="dxa"/>
            <w:vAlign w:val="bottom"/>
            <w:shd w:val="clear" w:color="auto" w:fill="F2F2F2"/>
          </w:tcPr>
          <w:p>
            <w:pPr>
              <w:jc w:val="right"/>
              <w:ind w:right="197"/>
              <w:spacing w:after="0" w:line="129" w:lineRule="exact"/>
              <w:rPr>
                <w:sz w:val="20"/>
                <w:szCs w:val="20"/>
                <w:color w:val="auto"/>
              </w:rPr>
            </w:pPr>
            <w:r>
              <w:rPr>
                <w:rFonts w:ascii="Arial" w:cs="Arial" w:eastAsia="Arial" w:hAnsi="Arial"/>
                <w:sz w:val="13"/>
                <w:szCs w:val="13"/>
                <w:color w:val="auto"/>
              </w:rPr>
              <w:t>1,648,029</w:t>
            </w:r>
          </w:p>
        </w:tc>
        <w:tc>
          <w:tcPr>
            <w:tcW w:w="640" w:type="dxa"/>
            <w:vAlign w:val="bottom"/>
            <w:shd w:val="clear" w:color="auto" w:fill="F2F2F2"/>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000" w:type="dxa"/>
            <w:vAlign w:val="bottom"/>
            <w:shd w:val="clear" w:color="auto" w:fill="F2F2F2"/>
          </w:tcPr>
          <w:p>
            <w:pPr>
              <w:jc w:val="right"/>
              <w:spacing w:after="0" w:line="129" w:lineRule="exact"/>
              <w:rPr>
                <w:sz w:val="20"/>
                <w:szCs w:val="20"/>
                <w:color w:val="auto"/>
              </w:rPr>
            </w:pPr>
            <w:r>
              <w:rPr>
                <w:rFonts w:ascii="Arial" w:cs="Arial" w:eastAsia="Arial" w:hAnsi="Arial"/>
                <w:sz w:val="13"/>
                <w:szCs w:val="13"/>
                <w:color w:val="auto"/>
              </w:rPr>
              <w:t>2,288,361</w:t>
            </w:r>
          </w:p>
        </w:tc>
      </w:tr>
      <w:tr>
        <w:trPr>
          <w:trHeight w:val="135"/>
        </w:trPr>
        <w:tc>
          <w:tcPr>
            <w:tcW w:w="1540" w:type="dxa"/>
            <w:vAlign w:val="bottom"/>
            <w:shd w:val="clear" w:color="auto" w:fill="F2F2F2"/>
          </w:tcPr>
          <w:p>
            <w:pPr>
              <w:spacing w:after="0"/>
              <w:rPr>
                <w:sz w:val="11"/>
                <w:szCs w:val="11"/>
                <w:color w:val="auto"/>
              </w:rPr>
            </w:pPr>
          </w:p>
        </w:tc>
        <w:tc>
          <w:tcPr>
            <w:tcW w:w="500" w:type="dxa"/>
            <w:vAlign w:val="bottom"/>
            <w:shd w:val="clear" w:color="auto" w:fill="F2F2F2"/>
          </w:tcPr>
          <w:p>
            <w:pPr>
              <w:ind w:left="100"/>
              <w:spacing w:after="0" w:line="135" w:lineRule="exact"/>
              <w:rPr>
                <w:sz w:val="20"/>
                <w:szCs w:val="20"/>
                <w:color w:val="auto"/>
              </w:rPr>
            </w:pPr>
            <w:r>
              <w:rPr>
                <w:rFonts w:ascii="Arial" w:cs="Arial" w:eastAsia="Arial" w:hAnsi="Arial"/>
                <w:sz w:val="13"/>
                <w:szCs w:val="13"/>
                <w:color w:val="auto"/>
              </w:rPr>
              <w:t>2018</w:t>
            </w:r>
          </w:p>
        </w:tc>
        <w:tc>
          <w:tcPr>
            <w:tcW w:w="54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right"/>
              <w:ind w:right="77"/>
              <w:spacing w:after="0" w:line="135" w:lineRule="exact"/>
              <w:rPr>
                <w:sz w:val="20"/>
                <w:szCs w:val="20"/>
                <w:color w:val="auto"/>
              </w:rPr>
            </w:pPr>
            <w:r>
              <w:rPr>
                <w:rFonts w:ascii="Arial" w:cs="Arial" w:eastAsia="Arial" w:hAnsi="Arial"/>
                <w:sz w:val="13"/>
                <w:szCs w:val="13"/>
                <w:color w:val="auto"/>
              </w:rPr>
              <w:t>1,560,015</w:t>
            </w:r>
          </w:p>
        </w:tc>
        <w:tc>
          <w:tcPr>
            <w:tcW w:w="4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F2F2F2"/>
          </w:tcPr>
          <w:p>
            <w:pPr>
              <w:jc w:val="right"/>
              <w:ind w:right="117"/>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0</w:t>
            </w:r>
          </w:p>
        </w:tc>
        <w:tc>
          <w:tcPr>
            <w:tcW w:w="74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F2F2F2"/>
          </w:tcPr>
          <w:p>
            <w:pPr>
              <w:jc w:val="right"/>
              <w:ind w:right="197"/>
              <w:spacing w:after="0" w:line="135" w:lineRule="exact"/>
              <w:rPr>
                <w:sz w:val="20"/>
                <w:szCs w:val="20"/>
                <w:color w:val="auto"/>
              </w:rPr>
            </w:pPr>
            <w:r>
              <w:rPr>
                <w:rFonts w:ascii="Arial" w:cs="Arial" w:eastAsia="Arial" w:hAnsi="Arial"/>
                <w:sz w:val="13"/>
                <w:szCs w:val="13"/>
                <w:color w:val="auto"/>
              </w:rPr>
              <w:t>1,560,015</w:t>
            </w:r>
          </w:p>
        </w:tc>
        <w:tc>
          <w:tcPr>
            <w:tcW w:w="64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2,215,049</w:t>
            </w:r>
          </w:p>
        </w:tc>
      </w:tr>
      <w:tr>
        <w:trPr>
          <w:trHeight w:val="141"/>
        </w:trPr>
        <w:tc>
          <w:tcPr>
            <w:tcW w:w="1540" w:type="dxa"/>
            <w:vAlign w:val="bottom"/>
            <w:shd w:val="clear" w:color="auto" w:fill="F2F2F2"/>
          </w:tcPr>
          <w:p>
            <w:pPr>
              <w:spacing w:after="0"/>
              <w:rPr>
                <w:sz w:val="12"/>
                <w:szCs w:val="12"/>
                <w:color w:val="auto"/>
              </w:rPr>
            </w:pPr>
          </w:p>
        </w:tc>
        <w:tc>
          <w:tcPr>
            <w:tcW w:w="500" w:type="dxa"/>
            <w:vAlign w:val="bottom"/>
            <w:shd w:val="clear" w:color="auto" w:fill="F2F2F2"/>
          </w:tcPr>
          <w:p>
            <w:pPr>
              <w:ind w:left="100"/>
              <w:spacing w:after="0" w:line="141" w:lineRule="exact"/>
              <w:rPr>
                <w:sz w:val="20"/>
                <w:szCs w:val="20"/>
                <w:color w:val="auto"/>
              </w:rPr>
            </w:pPr>
            <w:r>
              <w:rPr>
                <w:rFonts w:ascii="Arial" w:cs="Arial" w:eastAsia="Arial" w:hAnsi="Arial"/>
                <w:sz w:val="13"/>
                <w:szCs w:val="13"/>
                <w:color w:val="auto"/>
              </w:rPr>
              <w:t>2017</w:t>
            </w:r>
          </w:p>
        </w:tc>
        <w:tc>
          <w:tcPr>
            <w:tcW w:w="54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right"/>
              <w:ind w:right="77"/>
              <w:spacing w:after="0" w:line="141" w:lineRule="exact"/>
              <w:rPr>
                <w:sz w:val="20"/>
                <w:szCs w:val="20"/>
                <w:color w:val="auto"/>
              </w:rPr>
            </w:pPr>
            <w:r>
              <w:rPr>
                <w:rFonts w:ascii="Arial" w:cs="Arial" w:eastAsia="Arial" w:hAnsi="Arial"/>
                <w:sz w:val="13"/>
                <w:szCs w:val="13"/>
                <w:color w:val="auto"/>
              </w:rPr>
              <w:t>1,050,000</w:t>
            </w:r>
          </w:p>
        </w:tc>
        <w:tc>
          <w:tcPr>
            <w:tcW w:w="42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w:t>
            </w:r>
          </w:p>
        </w:tc>
        <w:tc>
          <w:tcPr>
            <w:tcW w:w="1060" w:type="dxa"/>
            <w:vAlign w:val="bottom"/>
            <w:shd w:val="clear" w:color="auto" w:fill="F2F2F2"/>
          </w:tcPr>
          <w:p>
            <w:pPr>
              <w:jc w:val="right"/>
              <w:ind w:right="117"/>
              <w:spacing w:after="0" w:line="141" w:lineRule="exact"/>
              <w:rPr>
                <w:sz w:val="20"/>
                <w:szCs w:val="20"/>
                <w:color w:val="auto"/>
              </w:rPr>
            </w:pPr>
            <w:r>
              <w:rPr>
                <w:rFonts w:ascii="Arial" w:cs="Arial" w:eastAsia="Arial" w:hAnsi="Arial"/>
                <w:sz w:val="13"/>
                <w:szCs w:val="13"/>
                <w:color w:val="auto"/>
              </w:rPr>
              <w:t>500,000</w:t>
            </w:r>
          </w:p>
        </w:tc>
        <w:tc>
          <w:tcPr>
            <w:tcW w:w="56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w:t>
            </w:r>
          </w:p>
        </w:tc>
        <w:tc>
          <w:tcPr>
            <w:tcW w:w="1180" w:type="dxa"/>
            <w:vAlign w:val="bottom"/>
            <w:shd w:val="clear" w:color="auto" w:fill="F2F2F2"/>
          </w:tcPr>
          <w:p>
            <w:pPr>
              <w:jc w:val="right"/>
              <w:ind w:right="137"/>
              <w:spacing w:after="0" w:line="141" w:lineRule="exact"/>
              <w:rPr>
                <w:sz w:val="20"/>
                <w:szCs w:val="20"/>
                <w:color w:val="auto"/>
              </w:rPr>
            </w:pPr>
            <w:r>
              <w:rPr>
                <w:rFonts w:ascii="Arial" w:cs="Arial" w:eastAsia="Arial" w:hAnsi="Arial"/>
                <w:sz w:val="13"/>
                <w:szCs w:val="13"/>
                <w:color w:val="auto"/>
              </w:rPr>
              <w:t>0</w:t>
            </w:r>
          </w:p>
        </w:tc>
        <w:tc>
          <w:tcPr>
            <w:tcW w:w="740" w:type="dxa"/>
            <w:vAlign w:val="bottom"/>
            <w:shd w:val="clear" w:color="auto" w:fill="F2F2F2"/>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020" w:type="dxa"/>
            <w:vAlign w:val="bottom"/>
            <w:shd w:val="clear" w:color="auto" w:fill="F2F2F2"/>
          </w:tcPr>
          <w:p>
            <w:pPr>
              <w:jc w:val="right"/>
              <w:ind w:right="197"/>
              <w:spacing w:after="0" w:line="141" w:lineRule="exact"/>
              <w:rPr>
                <w:sz w:val="20"/>
                <w:szCs w:val="20"/>
                <w:color w:val="auto"/>
              </w:rPr>
            </w:pPr>
            <w:r>
              <w:rPr>
                <w:rFonts w:ascii="Arial" w:cs="Arial" w:eastAsia="Arial" w:hAnsi="Arial"/>
                <w:sz w:val="13"/>
                <w:szCs w:val="13"/>
                <w:color w:val="auto"/>
              </w:rPr>
              <w:t>1,550,000</w:t>
            </w:r>
          </w:p>
        </w:tc>
        <w:tc>
          <w:tcPr>
            <w:tcW w:w="640" w:type="dxa"/>
            <w:vAlign w:val="bottom"/>
            <w:shd w:val="clear" w:color="auto" w:fill="F2F2F2"/>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100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2,204,159</w:t>
            </w:r>
          </w:p>
        </w:tc>
      </w:tr>
      <w:tr>
        <w:trPr>
          <w:trHeight w:val="129"/>
        </w:trPr>
        <w:tc>
          <w:tcPr>
            <w:tcW w:w="1540" w:type="dxa"/>
            <w:vAlign w:val="bottom"/>
          </w:tcPr>
          <w:p>
            <w:pPr>
              <w:spacing w:after="0" w:line="129" w:lineRule="exact"/>
              <w:rPr>
                <w:sz w:val="20"/>
                <w:szCs w:val="20"/>
                <w:color w:val="auto"/>
              </w:rPr>
            </w:pPr>
            <w:r>
              <w:rPr>
                <w:rFonts w:ascii="Arial" w:cs="Arial" w:eastAsia="Arial" w:hAnsi="Arial"/>
                <w:sz w:val="13"/>
                <w:szCs w:val="13"/>
                <w:b w:val="1"/>
                <w:bCs w:val="1"/>
                <w:color w:val="0070C0"/>
              </w:rPr>
              <w:t>Charles F. Weiss</w:t>
            </w:r>
          </w:p>
        </w:tc>
        <w:tc>
          <w:tcPr>
            <w:tcW w:w="500" w:type="dxa"/>
            <w:vAlign w:val="bottom"/>
          </w:tcPr>
          <w:p>
            <w:pPr>
              <w:ind w:left="100"/>
              <w:spacing w:after="0" w:line="129" w:lineRule="exact"/>
              <w:rPr>
                <w:sz w:val="20"/>
                <w:szCs w:val="20"/>
                <w:color w:val="auto"/>
              </w:rPr>
            </w:pPr>
            <w:r>
              <w:rPr>
                <w:rFonts w:ascii="Arial" w:cs="Arial" w:eastAsia="Arial" w:hAnsi="Arial"/>
                <w:sz w:val="13"/>
                <w:szCs w:val="13"/>
                <w:color w:val="auto"/>
              </w:rPr>
              <w:t>2019</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line="129" w:lineRule="exact"/>
              <w:rPr>
                <w:sz w:val="20"/>
                <w:szCs w:val="20"/>
                <w:color w:val="auto"/>
              </w:rPr>
            </w:pPr>
            <w:r>
              <w:rPr>
                <w:rFonts w:ascii="Arial" w:cs="Arial" w:eastAsia="Arial" w:hAnsi="Arial"/>
                <w:sz w:val="13"/>
                <w:szCs w:val="13"/>
                <w:color w:val="auto"/>
              </w:rPr>
              <w:t>2,366,608</w:t>
            </w: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0</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97"/>
              <w:spacing w:after="0" w:line="129" w:lineRule="exact"/>
              <w:rPr>
                <w:sz w:val="20"/>
                <w:szCs w:val="20"/>
                <w:color w:val="auto"/>
              </w:rPr>
            </w:pPr>
            <w:r>
              <w:rPr>
                <w:rFonts w:ascii="Arial" w:cs="Arial" w:eastAsia="Arial" w:hAnsi="Arial"/>
                <w:sz w:val="13"/>
                <w:szCs w:val="13"/>
                <w:color w:val="auto"/>
              </w:rPr>
              <w:t>(736,575)</w:t>
            </w:r>
          </w:p>
        </w:tc>
        <w:tc>
          <w:tcPr>
            <w:tcW w:w="74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line="129" w:lineRule="exact"/>
              <w:rPr>
                <w:sz w:val="20"/>
                <w:szCs w:val="20"/>
                <w:color w:val="auto"/>
              </w:rPr>
            </w:pPr>
            <w:r>
              <w:rPr>
                <w:rFonts w:ascii="Arial" w:cs="Arial" w:eastAsia="Arial" w:hAnsi="Arial"/>
                <w:sz w:val="13"/>
                <w:szCs w:val="13"/>
                <w:color w:val="auto"/>
              </w:rPr>
              <w:t>1,630,033</w:t>
            </w:r>
          </w:p>
        </w:tc>
        <w:tc>
          <w:tcPr>
            <w:tcW w:w="6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29" w:lineRule="exact"/>
              <w:rPr>
                <w:sz w:val="20"/>
                <w:szCs w:val="20"/>
                <w:color w:val="auto"/>
              </w:rPr>
            </w:pPr>
            <w:r>
              <w:rPr>
                <w:rFonts w:ascii="Arial" w:cs="Arial" w:eastAsia="Arial" w:hAnsi="Arial"/>
                <w:sz w:val="13"/>
                <w:szCs w:val="13"/>
                <w:color w:val="auto"/>
              </w:rPr>
              <w:t>2,267,042</w:t>
            </w:r>
          </w:p>
        </w:tc>
      </w:tr>
      <w:tr>
        <w:trPr>
          <w:trHeight w:val="135"/>
        </w:trPr>
        <w:tc>
          <w:tcPr>
            <w:tcW w:w="154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3"/>
                <w:szCs w:val="13"/>
                <w:color w:val="auto"/>
              </w:rPr>
              <w:t>2018</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1,525,040</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0</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0</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1,525,040</w:t>
            </w: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2,168,693</w:t>
            </w:r>
          </w:p>
        </w:tc>
      </w:tr>
      <w:tr>
        <w:trPr>
          <w:trHeight w:val="141"/>
        </w:trPr>
        <w:tc>
          <w:tcPr>
            <w:tcW w:w="1540" w:type="dxa"/>
            <w:vAlign w:val="bottom"/>
          </w:tcPr>
          <w:p>
            <w:pPr>
              <w:spacing w:after="0"/>
              <w:rPr>
                <w:sz w:val="12"/>
                <w:szCs w:val="12"/>
                <w:color w:val="auto"/>
              </w:rPr>
            </w:pPr>
          </w:p>
        </w:tc>
        <w:tc>
          <w:tcPr>
            <w:tcW w:w="500" w:type="dxa"/>
            <w:vAlign w:val="bottom"/>
          </w:tcPr>
          <w:p>
            <w:pPr>
              <w:ind w:left="100"/>
              <w:spacing w:after="0" w:line="141" w:lineRule="exact"/>
              <w:rPr>
                <w:sz w:val="20"/>
                <w:szCs w:val="20"/>
                <w:color w:val="auto"/>
              </w:rPr>
            </w:pPr>
            <w:r>
              <w:rPr>
                <w:rFonts w:ascii="Arial" w:cs="Arial" w:eastAsia="Arial" w:hAnsi="Arial"/>
                <w:sz w:val="13"/>
                <w:szCs w:val="13"/>
                <w:color w:val="auto"/>
              </w:rPr>
              <w:t>2017</w:t>
            </w: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line="141" w:lineRule="exact"/>
              <w:rPr>
                <w:sz w:val="20"/>
                <w:szCs w:val="20"/>
                <w:color w:val="auto"/>
              </w:rPr>
            </w:pPr>
            <w:r>
              <w:rPr>
                <w:rFonts w:ascii="Arial" w:cs="Arial" w:eastAsia="Arial" w:hAnsi="Arial"/>
                <w:sz w:val="13"/>
                <w:szCs w:val="13"/>
                <w:color w:val="auto"/>
              </w:rPr>
              <w:t>1,020,000</w:t>
            </w:r>
          </w:p>
        </w:tc>
        <w:tc>
          <w:tcPr>
            <w:tcW w:w="4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550,000</w:t>
            </w: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0</w:t>
            </w:r>
          </w:p>
        </w:tc>
        <w:tc>
          <w:tcPr>
            <w:tcW w:w="74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line="141" w:lineRule="exact"/>
              <w:rPr>
                <w:sz w:val="20"/>
                <w:szCs w:val="20"/>
                <w:color w:val="auto"/>
              </w:rPr>
            </w:pPr>
            <w:r>
              <w:rPr>
                <w:rFonts w:ascii="Arial" w:cs="Arial" w:eastAsia="Arial" w:hAnsi="Arial"/>
                <w:sz w:val="13"/>
                <w:szCs w:val="13"/>
                <w:color w:val="auto"/>
              </w:rPr>
              <w:t>1,570,000</w:t>
            </w:r>
          </w:p>
        </w:tc>
        <w:tc>
          <w:tcPr>
            <w:tcW w:w="640" w:type="dxa"/>
            <w:vAlign w:val="bottom"/>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41" w:lineRule="exact"/>
              <w:rPr>
                <w:sz w:val="20"/>
                <w:szCs w:val="20"/>
                <w:color w:val="auto"/>
              </w:rPr>
            </w:pPr>
            <w:r>
              <w:rPr>
                <w:rFonts w:ascii="Arial" w:cs="Arial" w:eastAsia="Arial" w:hAnsi="Arial"/>
                <w:sz w:val="13"/>
                <w:szCs w:val="13"/>
                <w:color w:val="auto"/>
              </w:rPr>
              <w:t>2,185,576</w:t>
            </w:r>
          </w:p>
        </w:tc>
      </w:tr>
      <w:tr>
        <w:trPr>
          <w:trHeight w:val="135"/>
        </w:trPr>
        <w:tc>
          <w:tcPr>
            <w:tcW w:w="1540" w:type="dxa"/>
            <w:vAlign w:val="bottom"/>
            <w:shd w:val="clear" w:color="auto" w:fill="F2F2F2"/>
          </w:tcPr>
          <w:p>
            <w:pPr>
              <w:spacing w:after="0" w:line="135" w:lineRule="exact"/>
              <w:rPr>
                <w:sz w:val="20"/>
                <w:szCs w:val="20"/>
                <w:color w:val="auto"/>
              </w:rPr>
            </w:pPr>
            <w:r>
              <w:rPr>
                <w:rFonts w:ascii="Arial" w:cs="Arial" w:eastAsia="Arial" w:hAnsi="Arial"/>
                <w:sz w:val="13"/>
                <w:szCs w:val="13"/>
                <w:b w:val="1"/>
                <w:bCs w:val="1"/>
                <w:color w:val="0070C0"/>
              </w:rPr>
              <w:t>Michael L. Preston</w:t>
            </w:r>
          </w:p>
        </w:tc>
        <w:tc>
          <w:tcPr>
            <w:tcW w:w="500" w:type="dxa"/>
            <w:vAlign w:val="bottom"/>
            <w:shd w:val="clear" w:color="auto" w:fill="F2F2F2"/>
          </w:tcPr>
          <w:p>
            <w:pPr>
              <w:ind w:left="100"/>
              <w:spacing w:after="0" w:line="135" w:lineRule="exact"/>
              <w:rPr>
                <w:sz w:val="20"/>
                <w:szCs w:val="20"/>
                <w:color w:val="auto"/>
              </w:rPr>
            </w:pPr>
            <w:r>
              <w:rPr>
                <w:rFonts w:ascii="Arial" w:cs="Arial" w:eastAsia="Arial" w:hAnsi="Arial"/>
                <w:sz w:val="13"/>
                <w:szCs w:val="13"/>
                <w:color w:val="auto"/>
              </w:rPr>
              <w:t>2019</w:t>
            </w:r>
          </w:p>
        </w:tc>
        <w:tc>
          <w:tcPr>
            <w:tcW w:w="54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right"/>
              <w:ind w:right="77"/>
              <w:spacing w:after="0" w:line="135" w:lineRule="exact"/>
              <w:rPr>
                <w:sz w:val="20"/>
                <w:szCs w:val="20"/>
                <w:color w:val="auto"/>
              </w:rPr>
            </w:pPr>
            <w:r>
              <w:rPr>
                <w:rFonts w:ascii="Arial" w:cs="Arial" w:eastAsia="Arial" w:hAnsi="Arial"/>
                <w:sz w:val="13"/>
                <w:szCs w:val="13"/>
                <w:color w:val="auto"/>
              </w:rPr>
              <w:t>2,163,284</w:t>
            </w:r>
          </w:p>
        </w:tc>
        <w:tc>
          <w:tcPr>
            <w:tcW w:w="4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F2F2F2"/>
          </w:tcPr>
          <w:p>
            <w:pPr>
              <w:jc w:val="right"/>
              <w:ind w:right="117"/>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F2F2F2"/>
          </w:tcPr>
          <w:p>
            <w:pPr>
              <w:jc w:val="right"/>
              <w:ind w:right="97"/>
              <w:spacing w:after="0" w:line="135" w:lineRule="exact"/>
              <w:rPr>
                <w:sz w:val="20"/>
                <w:szCs w:val="20"/>
                <w:color w:val="auto"/>
              </w:rPr>
            </w:pPr>
            <w:r>
              <w:rPr>
                <w:rFonts w:ascii="Arial" w:cs="Arial" w:eastAsia="Arial" w:hAnsi="Arial"/>
                <w:sz w:val="13"/>
                <w:szCs w:val="13"/>
                <w:color w:val="auto"/>
              </w:rPr>
              <w:t>(582,245)</w:t>
            </w:r>
          </w:p>
        </w:tc>
        <w:tc>
          <w:tcPr>
            <w:tcW w:w="74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F2F2F2"/>
          </w:tcPr>
          <w:p>
            <w:pPr>
              <w:jc w:val="right"/>
              <w:ind w:right="197"/>
              <w:spacing w:after="0" w:line="135" w:lineRule="exact"/>
              <w:rPr>
                <w:sz w:val="20"/>
                <w:szCs w:val="20"/>
                <w:color w:val="auto"/>
              </w:rPr>
            </w:pPr>
            <w:r>
              <w:rPr>
                <w:rFonts w:ascii="Arial" w:cs="Arial" w:eastAsia="Arial" w:hAnsi="Arial"/>
                <w:sz w:val="13"/>
                <w:szCs w:val="13"/>
                <w:color w:val="auto"/>
              </w:rPr>
              <w:t>1,581.039</w:t>
            </w:r>
          </w:p>
        </w:tc>
        <w:tc>
          <w:tcPr>
            <w:tcW w:w="64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2,209,998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2019</w:t>
      </w:r>
    </w:p>
    <w:p>
      <w:pPr>
        <w:spacing w:after="0" w:line="4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table below sets forth the outstanding equity awards held as of December 31, 2019 by our NEOs, including Performance Stock Unit Awards (PSU), Restricted Stock Unit Awards (RSU) and Stock Option Awards (Options).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150" w:type="dxa"/>
            <w:vAlign w:val="bottom"/>
          </w:tcPr>
          <w:p>
            <w:pPr>
              <w:spacing w:after="0"/>
              <w:rPr>
                <w:sz w:val="13"/>
                <w:szCs w:val="13"/>
                <w:color w:val="auto"/>
              </w:rPr>
            </w:pPr>
          </w:p>
        </w:tc>
        <w:tc>
          <w:tcPr>
            <w:tcW w:w="850" w:type="dxa"/>
            <w:vAlign w:val="bottom"/>
          </w:tcPr>
          <w:p>
            <w:pPr>
              <w:spacing w:after="0"/>
              <w:rPr>
                <w:sz w:val="13"/>
                <w:szCs w:val="13"/>
                <w:color w:val="auto"/>
              </w:rPr>
            </w:pPr>
          </w:p>
        </w:tc>
        <w:tc>
          <w:tcPr>
            <w:tcW w:w="1080" w:type="dxa"/>
            <w:vAlign w:val="bottom"/>
            <w:tcBorders>
              <w:bottom w:val="single" w:sz="8" w:color="0075C9"/>
            </w:tcBorders>
          </w:tcPr>
          <w:p>
            <w:pPr>
              <w:spacing w:after="0"/>
              <w:rPr>
                <w:sz w:val="13"/>
                <w:szCs w:val="13"/>
                <w:color w:val="auto"/>
              </w:rPr>
            </w:pPr>
          </w:p>
        </w:tc>
        <w:tc>
          <w:tcPr>
            <w:tcW w:w="1780" w:type="dxa"/>
            <w:vAlign w:val="bottom"/>
            <w:tcBorders>
              <w:bottom w:val="single" w:sz="8" w:color="0075C9"/>
            </w:tcBorders>
            <w:gridSpan w:val="3"/>
          </w:tcPr>
          <w:p>
            <w:pPr>
              <w:jc w:val="right"/>
              <w:ind w:right="317"/>
              <w:spacing w:after="0"/>
              <w:rPr>
                <w:sz w:val="20"/>
                <w:szCs w:val="20"/>
                <w:color w:val="auto"/>
              </w:rPr>
            </w:pPr>
            <w:r>
              <w:rPr>
                <w:rFonts w:ascii="Arial" w:cs="Arial" w:eastAsia="Arial" w:hAnsi="Arial"/>
                <w:sz w:val="13"/>
                <w:szCs w:val="13"/>
                <w:b w:val="1"/>
                <w:bCs w:val="1"/>
                <w:color w:val="0075C9"/>
              </w:rPr>
              <w:t>Option Awards</w:t>
            </w:r>
          </w:p>
        </w:tc>
        <w:tc>
          <w:tcPr>
            <w:tcW w:w="102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tcPr>
          <w:p>
            <w:pPr>
              <w:spacing w:after="0"/>
              <w:rPr>
                <w:sz w:val="13"/>
                <w:szCs w:val="13"/>
                <w:color w:val="auto"/>
              </w:rPr>
            </w:pPr>
          </w:p>
        </w:tc>
        <w:tc>
          <w:tcPr>
            <w:tcW w:w="440" w:type="dxa"/>
            <w:vAlign w:val="bottom"/>
            <w:tcBorders>
              <w:bottom w:val="single" w:sz="8" w:color="0075C9"/>
            </w:tcBorders>
          </w:tcPr>
          <w:p>
            <w:pPr>
              <w:spacing w:after="0"/>
              <w:rPr>
                <w:sz w:val="13"/>
                <w:szCs w:val="13"/>
                <w:color w:val="auto"/>
              </w:rPr>
            </w:pPr>
          </w:p>
        </w:tc>
        <w:tc>
          <w:tcPr>
            <w:tcW w:w="40" w:type="dxa"/>
            <w:vAlign w:val="bottom"/>
            <w:tcBorders>
              <w:bottom w:val="single" w:sz="8" w:color="0075C9"/>
            </w:tcBorders>
          </w:tcPr>
          <w:p>
            <w:pPr>
              <w:spacing w:after="0"/>
              <w:rPr>
                <w:sz w:val="13"/>
                <w:szCs w:val="13"/>
                <w:color w:val="auto"/>
              </w:rPr>
            </w:pPr>
          </w:p>
        </w:tc>
        <w:tc>
          <w:tcPr>
            <w:tcW w:w="1880" w:type="dxa"/>
            <w:vAlign w:val="bottom"/>
            <w:tcBorders>
              <w:bottom w:val="single" w:sz="8" w:color="0075C9"/>
            </w:tcBorders>
            <w:gridSpan w:val="2"/>
          </w:tcPr>
          <w:p>
            <w:pPr>
              <w:jc w:val="right"/>
              <w:ind w:right="677"/>
              <w:spacing w:after="0"/>
              <w:rPr>
                <w:sz w:val="20"/>
                <w:szCs w:val="20"/>
                <w:color w:val="auto"/>
              </w:rPr>
            </w:pPr>
            <w:r>
              <w:rPr>
                <w:rFonts w:ascii="Arial" w:cs="Arial" w:eastAsia="Arial" w:hAnsi="Arial"/>
                <w:sz w:val="13"/>
                <w:szCs w:val="13"/>
                <w:b w:val="1"/>
                <w:bCs w:val="1"/>
                <w:color w:val="0075C9"/>
              </w:rPr>
              <w:t>Stock Awards</w:t>
            </w:r>
          </w:p>
        </w:tc>
        <w:tc>
          <w:tcPr>
            <w:tcW w:w="2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spacing w:after="0"/>
              <w:rPr>
                <w:sz w:val="13"/>
                <w:szCs w:val="13"/>
                <w:color w:val="auto"/>
              </w:rPr>
            </w:pPr>
          </w:p>
        </w:tc>
      </w:tr>
      <w:tr>
        <w:trPr>
          <w:trHeight w:val="134"/>
        </w:trPr>
        <w:tc>
          <w:tcPr>
            <w:tcW w:w="2150" w:type="dxa"/>
            <w:vAlign w:val="bottom"/>
          </w:tcPr>
          <w:p>
            <w:pPr>
              <w:spacing w:after="0"/>
              <w:rPr>
                <w:sz w:val="11"/>
                <w:szCs w:val="11"/>
                <w:color w:val="auto"/>
              </w:rPr>
            </w:pPr>
          </w:p>
        </w:tc>
        <w:tc>
          <w:tcPr>
            <w:tcW w:w="85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gridSpan w:val="2"/>
          </w:tcPr>
          <w:p>
            <w:pPr>
              <w:jc w:val="center"/>
              <w:ind w:right="57"/>
              <w:spacing w:after="0" w:line="134" w:lineRule="exact"/>
              <w:rPr>
                <w:sz w:val="20"/>
                <w:szCs w:val="20"/>
                <w:color w:val="auto"/>
              </w:rPr>
            </w:pPr>
            <w:r>
              <w:rPr>
                <w:rFonts w:ascii="Arial" w:cs="Arial" w:eastAsia="Arial" w:hAnsi="Arial"/>
                <w:sz w:val="13"/>
                <w:szCs w:val="13"/>
                <w:b w:val="1"/>
                <w:bCs w:val="1"/>
                <w:color w:val="0075C9"/>
              </w:rPr>
              <w:t>Equity</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9"/>
              </w:rPr>
              <w:t>Incentive</w:t>
            </w:r>
          </w:p>
        </w:tc>
      </w:tr>
      <w:tr>
        <w:trPr>
          <w:trHeight w:val="149"/>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ind w:right="337"/>
              <w:spacing w:after="0"/>
              <w:rPr>
                <w:sz w:val="20"/>
                <w:szCs w:val="20"/>
                <w:color w:val="auto"/>
              </w:rPr>
            </w:pPr>
            <w:r>
              <w:rPr>
                <w:rFonts w:ascii="Arial" w:cs="Arial" w:eastAsia="Arial" w:hAnsi="Arial"/>
                <w:sz w:val="13"/>
                <w:szCs w:val="13"/>
                <w:b w:val="1"/>
                <w:bCs w:val="1"/>
                <w:color w:val="0075C9"/>
              </w:rPr>
              <w:t>Plan</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Equity</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3"/>
              </w:rPr>
              <w:t>Awards:</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Incentive</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5"/>
              </w:rPr>
              <w:t>Market or</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Number</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4"/>
              </w:rPr>
              <w:t>Plan</w:t>
            </w:r>
          </w:p>
        </w:tc>
        <w:tc>
          <w:tcPr>
            <w:tcW w:w="100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0075C9"/>
                <w:w w:val="96"/>
              </w:rPr>
              <w:t>Payout</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of</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7"/>
              </w:rPr>
              <w:t>Awards:</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4"/>
              </w:rPr>
              <w:t>Value of</w:t>
            </w:r>
          </w:p>
        </w:tc>
      </w:tr>
      <w:tr>
        <w:trPr>
          <w:trHeight w:val="149"/>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ind w:left="317"/>
              <w:spacing w:after="0"/>
              <w:rPr>
                <w:sz w:val="20"/>
                <w:szCs w:val="20"/>
                <w:color w:val="auto"/>
              </w:rPr>
            </w:pPr>
            <w:r>
              <w:rPr>
                <w:rFonts w:ascii="Arial" w:cs="Arial" w:eastAsia="Arial" w:hAnsi="Arial"/>
                <w:sz w:val="13"/>
                <w:szCs w:val="13"/>
                <w:b w:val="1"/>
                <w:bCs w:val="1"/>
                <w:color w:val="0075C9"/>
                <w:w w:val="96"/>
              </w:rPr>
              <w:t>Shares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0075C9"/>
                <w:w w:val="95"/>
              </w:rPr>
              <w:t>Market</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Number of</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9"/>
              </w:rPr>
              <w:t>Unearned</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or Units</w:t>
            </w:r>
          </w:p>
        </w:tc>
        <w:tc>
          <w:tcPr>
            <w:tcW w:w="440" w:type="dxa"/>
            <w:vAlign w:val="bottom"/>
          </w:tcPr>
          <w:p>
            <w:pPr>
              <w:spacing w:after="0"/>
              <w:rPr>
                <w:sz w:val="12"/>
                <w:szCs w:val="12"/>
                <w:color w:val="auto"/>
              </w:rPr>
            </w:pPr>
          </w:p>
        </w:tc>
        <w:tc>
          <w:tcPr>
            <w:tcW w:w="6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0075C9"/>
                <w:w w:val="94"/>
              </w:rPr>
              <w:t>Value of</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6"/>
              </w:rPr>
              <w:t>Unearned</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3"/>
              </w:rPr>
              <w:t>Shares,</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6"/>
              </w:rPr>
              <w:t>Securities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6"/>
              </w:rPr>
              <w:t>Securities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ind w:left="297"/>
              <w:spacing w:after="0"/>
              <w:rPr>
                <w:sz w:val="20"/>
                <w:szCs w:val="20"/>
                <w:color w:val="auto"/>
              </w:rPr>
            </w:pPr>
            <w:r>
              <w:rPr>
                <w:rFonts w:ascii="Arial" w:cs="Arial" w:eastAsia="Arial" w:hAnsi="Arial"/>
                <w:sz w:val="13"/>
                <w:szCs w:val="13"/>
                <w:b w:val="1"/>
                <w:bCs w:val="1"/>
                <w:color w:val="0075C9"/>
                <w:w w:val="93"/>
              </w:rPr>
              <w:t>of Stock</w:t>
            </w:r>
          </w:p>
        </w:tc>
        <w:tc>
          <w:tcPr>
            <w:tcW w:w="1080" w:type="dxa"/>
            <w:vAlign w:val="bottom"/>
            <w:gridSpan w:val="3"/>
          </w:tcPr>
          <w:p>
            <w:pPr>
              <w:jc w:val="center"/>
              <w:ind w:left="317"/>
              <w:spacing w:after="0"/>
              <w:rPr>
                <w:sz w:val="20"/>
                <w:szCs w:val="20"/>
                <w:color w:val="auto"/>
              </w:rPr>
            </w:pPr>
            <w:r>
              <w:rPr>
                <w:rFonts w:ascii="Arial" w:cs="Arial" w:eastAsia="Arial" w:hAnsi="Arial"/>
                <w:sz w:val="13"/>
                <w:szCs w:val="13"/>
                <w:b w:val="1"/>
                <w:bCs w:val="1"/>
                <w:color w:val="0075C9"/>
                <w:w w:val="96"/>
              </w:rPr>
              <w:t>Shares or</w:t>
            </w:r>
          </w:p>
        </w:tc>
        <w:tc>
          <w:tcPr>
            <w:tcW w:w="1280" w:type="dxa"/>
            <w:vAlign w:val="bottom"/>
          </w:tcPr>
          <w:p>
            <w:pPr>
              <w:jc w:val="center"/>
              <w:ind w:left="97"/>
              <w:spacing w:after="0"/>
              <w:rPr>
                <w:sz w:val="20"/>
                <w:szCs w:val="20"/>
                <w:color w:val="auto"/>
              </w:rPr>
            </w:pPr>
            <w:r>
              <w:rPr>
                <w:rFonts w:ascii="Arial" w:cs="Arial" w:eastAsia="Arial" w:hAnsi="Arial"/>
                <w:sz w:val="13"/>
                <w:szCs w:val="13"/>
                <w:b w:val="1"/>
                <w:bCs w:val="1"/>
                <w:color w:val="0075C9"/>
                <w:w w:val="96"/>
              </w:rPr>
              <w:t>Shares, Units</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7"/>
              </w:rPr>
              <w:t>Units or</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7"/>
              </w:rPr>
              <w:t>Underlying</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7"/>
              </w:rPr>
              <w:t>Underlying</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ind w:left="297"/>
              <w:spacing w:after="0"/>
              <w:rPr>
                <w:sz w:val="20"/>
                <w:szCs w:val="20"/>
                <w:color w:val="auto"/>
              </w:rPr>
            </w:pPr>
            <w:r>
              <w:rPr>
                <w:rFonts w:ascii="Arial" w:cs="Arial" w:eastAsia="Arial" w:hAnsi="Arial"/>
                <w:sz w:val="13"/>
                <w:szCs w:val="13"/>
                <w:b w:val="1"/>
                <w:bCs w:val="1"/>
                <w:color w:val="0075C9"/>
              </w:rPr>
              <w:t>That</w:t>
            </w:r>
          </w:p>
        </w:tc>
        <w:tc>
          <w:tcPr>
            <w:tcW w:w="1080" w:type="dxa"/>
            <w:vAlign w:val="bottom"/>
            <w:gridSpan w:val="3"/>
          </w:tcPr>
          <w:p>
            <w:pPr>
              <w:jc w:val="center"/>
              <w:ind w:left="297"/>
              <w:spacing w:after="0"/>
              <w:rPr>
                <w:sz w:val="20"/>
                <w:szCs w:val="20"/>
                <w:color w:val="auto"/>
              </w:rPr>
            </w:pPr>
            <w:r>
              <w:rPr>
                <w:rFonts w:ascii="Arial" w:cs="Arial" w:eastAsia="Arial" w:hAnsi="Arial"/>
                <w:sz w:val="13"/>
                <w:szCs w:val="13"/>
                <w:b w:val="1"/>
                <w:bCs w:val="1"/>
                <w:color w:val="0075C9"/>
                <w:w w:val="94"/>
              </w:rPr>
              <w:t>Units That</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7"/>
              </w:rPr>
              <w:t>or Other</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6"/>
              </w:rPr>
              <w:t>Other Rights</w:t>
            </w:r>
          </w:p>
        </w:tc>
      </w:tr>
      <w:tr>
        <w:trPr>
          <w:trHeight w:val="148"/>
        </w:trPr>
        <w:tc>
          <w:tcPr>
            <w:tcW w:w="215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5"/>
              </w:rPr>
              <w:t>Unexercised</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5"/>
              </w:rPr>
              <w:t>Unexercised</w:t>
            </w:r>
          </w:p>
        </w:tc>
        <w:tc>
          <w:tcPr>
            <w:tcW w:w="7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0075C9"/>
              </w:rPr>
              <w:t>Option</w:t>
            </w:r>
          </w:p>
        </w:tc>
        <w:tc>
          <w:tcPr>
            <w:tcW w:w="1020" w:type="dxa"/>
            <w:vAlign w:val="bottom"/>
          </w:tcPr>
          <w:p>
            <w:pPr>
              <w:jc w:val="center"/>
              <w:ind w:left="297"/>
              <w:spacing w:after="0"/>
              <w:rPr>
                <w:sz w:val="20"/>
                <w:szCs w:val="20"/>
                <w:color w:val="auto"/>
              </w:rPr>
            </w:pPr>
            <w:r>
              <w:rPr>
                <w:rFonts w:ascii="Arial" w:cs="Arial" w:eastAsia="Arial" w:hAnsi="Arial"/>
                <w:sz w:val="13"/>
                <w:szCs w:val="13"/>
                <w:b w:val="1"/>
                <w:bCs w:val="1"/>
                <w:color w:val="0075C9"/>
              </w:rPr>
              <w:t>Option</w:t>
            </w:r>
          </w:p>
        </w:tc>
        <w:tc>
          <w:tcPr>
            <w:tcW w:w="1000" w:type="dxa"/>
            <w:vAlign w:val="bottom"/>
          </w:tcPr>
          <w:p>
            <w:pPr>
              <w:jc w:val="center"/>
              <w:ind w:left="297"/>
              <w:spacing w:after="0"/>
              <w:rPr>
                <w:sz w:val="20"/>
                <w:szCs w:val="20"/>
                <w:color w:val="auto"/>
              </w:rPr>
            </w:pPr>
            <w:r>
              <w:rPr>
                <w:rFonts w:ascii="Arial" w:cs="Arial" w:eastAsia="Arial" w:hAnsi="Arial"/>
                <w:sz w:val="13"/>
                <w:szCs w:val="13"/>
                <w:b w:val="1"/>
                <w:bCs w:val="1"/>
                <w:color w:val="0075C9"/>
                <w:w w:val="99"/>
              </w:rPr>
              <w:t>Have Not</w:t>
            </w:r>
          </w:p>
        </w:tc>
        <w:tc>
          <w:tcPr>
            <w:tcW w:w="440" w:type="dxa"/>
            <w:vAlign w:val="bottom"/>
          </w:tcPr>
          <w:p>
            <w:pPr>
              <w:spacing w:after="0"/>
              <w:rPr>
                <w:sz w:val="12"/>
                <w:szCs w:val="12"/>
                <w:color w:val="auto"/>
              </w:rPr>
            </w:pPr>
          </w:p>
        </w:tc>
        <w:tc>
          <w:tcPr>
            <w:tcW w:w="6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0075C9"/>
                <w:w w:val="99"/>
              </w:rPr>
              <w:t>Have Not</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7"/>
              </w:rPr>
              <w:t>Rights That</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6"/>
              </w:rPr>
              <w:t>That Have</w:t>
            </w:r>
          </w:p>
        </w:tc>
      </w:tr>
      <w:tr>
        <w:trPr>
          <w:trHeight w:val="149"/>
        </w:trPr>
        <w:tc>
          <w:tcPr>
            <w:tcW w:w="2150" w:type="dxa"/>
            <w:vAlign w:val="bottom"/>
          </w:tcPr>
          <w:p>
            <w:pPr>
              <w:ind w:left="140"/>
              <w:spacing w:after="0"/>
              <w:rPr>
                <w:sz w:val="20"/>
                <w:szCs w:val="20"/>
                <w:color w:val="auto"/>
              </w:rPr>
            </w:pPr>
            <w:r>
              <w:rPr>
                <w:rFonts w:ascii="Arial" w:cs="Arial" w:eastAsia="Arial" w:hAnsi="Arial"/>
                <w:sz w:val="13"/>
                <w:szCs w:val="13"/>
                <w:b w:val="1"/>
                <w:bCs w:val="1"/>
                <w:color w:val="0075C9"/>
              </w:rPr>
              <w:t>Name / Type</w:t>
            </w:r>
          </w:p>
        </w:tc>
        <w:tc>
          <w:tcPr>
            <w:tcW w:w="850" w:type="dxa"/>
            <w:vAlign w:val="bottom"/>
          </w:tcPr>
          <w:p>
            <w:pPr>
              <w:jc w:val="center"/>
              <w:ind w:right="47"/>
              <w:spacing w:after="0"/>
              <w:rPr>
                <w:sz w:val="20"/>
                <w:szCs w:val="20"/>
                <w:color w:val="auto"/>
              </w:rPr>
            </w:pPr>
            <w:r>
              <w:rPr>
                <w:rFonts w:ascii="Arial" w:cs="Arial" w:eastAsia="Arial" w:hAnsi="Arial"/>
                <w:sz w:val="13"/>
                <w:szCs w:val="13"/>
                <w:b w:val="1"/>
                <w:bCs w:val="1"/>
                <w:color w:val="0075C9"/>
                <w:w w:val="92"/>
              </w:rPr>
              <w:t>Grant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6"/>
              </w:rPr>
              <w:t>Options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6"/>
              </w:rPr>
              <w:t>Options (#)</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0075C9"/>
                <w:w w:val="97"/>
              </w:rPr>
              <w:t>Exercise</w:t>
            </w:r>
          </w:p>
        </w:tc>
        <w:tc>
          <w:tcPr>
            <w:tcW w:w="102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Expiration</w:t>
            </w:r>
          </w:p>
        </w:tc>
        <w:tc>
          <w:tcPr>
            <w:tcW w:w="1000" w:type="dxa"/>
            <w:vAlign w:val="bottom"/>
          </w:tcPr>
          <w:p>
            <w:pPr>
              <w:jc w:val="center"/>
              <w:ind w:left="297"/>
              <w:spacing w:after="0"/>
              <w:rPr>
                <w:sz w:val="20"/>
                <w:szCs w:val="20"/>
                <w:color w:val="auto"/>
              </w:rPr>
            </w:pPr>
            <w:r>
              <w:rPr>
                <w:rFonts w:ascii="Arial" w:cs="Arial" w:eastAsia="Arial" w:hAnsi="Arial"/>
                <w:sz w:val="13"/>
                <w:szCs w:val="13"/>
                <w:b w:val="1"/>
                <w:bCs w:val="1"/>
                <w:color w:val="0075C9"/>
                <w:w w:val="93"/>
              </w:rPr>
              <w:t>Vested</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0075C9"/>
                <w:w w:val="93"/>
              </w:rPr>
              <w:t>Vested</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Have Not</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4"/>
              </w:rPr>
              <w:t>Not Vested</w:t>
            </w:r>
          </w:p>
        </w:tc>
      </w:tr>
      <w:tr>
        <w:trPr>
          <w:trHeight w:val="157"/>
        </w:trPr>
        <w:tc>
          <w:tcPr>
            <w:tcW w:w="215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of Grant</w:t>
            </w:r>
          </w:p>
        </w:tc>
        <w:tc>
          <w:tcPr>
            <w:tcW w:w="850" w:type="dxa"/>
            <w:vAlign w:val="bottom"/>
            <w:tcBorders>
              <w:bottom w:val="single" w:sz="8" w:color="0075C9"/>
            </w:tcBorders>
          </w:tcPr>
          <w:p>
            <w:pPr>
              <w:jc w:val="center"/>
              <w:ind w:right="47"/>
              <w:spacing w:after="0"/>
              <w:rPr>
                <w:sz w:val="20"/>
                <w:szCs w:val="20"/>
                <w:color w:val="auto"/>
              </w:rPr>
            </w:pPr>
            <w:r>
              <w:rPr>
                <w:rFonts w:ascii="Arial" w:cs="Arial" w:eastAsia="Arial" w:hAnsi="Arial"/>
                <w:sz w:val="13"/>
                <w:szCs w:val="13"/>
                <w:b w:val="1"/>
                <w:bCs w:val="1"/>
                <w:color w:val="0075C9"/>
                <w:w w:val="99"/>
              </w:rPr>
              <w:t>Date</w:t>
            </w:r>
          </w:p>
        </w:tc>
        <w:tc>
          <w:tcPr>
            <w:tcW w:w="10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Exercisable</w:t>
            </w:r>
          </w:p>
        </w:tc>
        <w:tc>
          <w:tcPr>
            <w:tcW w:w="10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Unexercisable</w:t>
            </w:r>
          </w:p>
        </w:tc>
        <w:tc>
          <w:tcPr>
            <w:tcW w:w="740" w:type="dxa"/>
            <w:vAlign w:val="bottom"/>
            <w:tcBorders>
              <w:bottom w:val="single" w:sz="8" w:color="0075C9"/>
            </w:tcBorders>
            <w:gridSpan w:val="2"/>
          </w:tcPr>
          <w:p>
            <w:pPr>
              <w:ind w:left="200"/>
              <w:spacing w:after="0"/>
              <w:rPr>
                <w:sz w:val="20"/>
                <w:szCs w:val="20"/>
                <w:color w:val="auto"/>
              </w:rPr>
            </w:pPr>
            <w:r>
              <w:rPr>
                <w:rFonts w:ascii="Arial" w:cs="Arial" w:eastAsia="Arial" w:hAnsi="Arial"/>
                <w:sz w:val="13"/>
                <w:szCs w:val="13"/>
                <w:b w:val="1"/>
                <w:bCs w:val="1"/>
                <w:color w:val="0075C9"/>
              </w:rPr>
              <w:t>Price ($)</w:t>
            </w:r>
          </w:p>
        </w:tc>
        <w:tc>
          <w:tcPr>
            <w:tcW w:w="102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w w:val="92"/>
              </w:rPr>
              <w:t>Date</w:t>
            </w:r>
          </w:p>
        </w:tc>
        <w:tc>
          <w:tcPr>
            <w:tcW w:w="100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rPr>
              <w:t>(#)</w:t>
            </w:r>
          </w:p>
        </w:tc>
        <w:tc>
          <w:tcPr>
            <w:tcW w:w="440" w:type="dxa"/>
            <w:vAlign w:val="bottom"/>
            <w:tcBorders>
              <w:bottom w:val="single" w:sz="8" w:color="0075C9"/>
            </w:tcBorders>
          </w:tcPr>
          <w:p>
            <w:pPr>
              <w:spacing w:after="0"/>
              <w:rPr>
                <w:sz w:val="13"/>
                <w:szCs w:val="13"/>
                <w:color w:val="auto"/>
              </w:rPr>
            </w:pPr>
          </w:p>
        </w:tc>
        <w:tc>
          <w:tcPr>
            <w:tcW w:w="640" w:type="dxa"/>
            <w:vAlign w:val="bottom"/>
            <w:tcBorders>
              <w:bottom w:val="single" w:sz="8" w:color="0075C9"/>
            </w:tcBorders>
            <w:gridSpan w:val="2"/>
          </w:tcPr>
          <w:p>
            <w:pPr>
              <w:jc w:val="center"/>
              <w:ind w:right="17"/>
              <w:spacing w:after="0"/>
              <w:rPr>
                <w:sz w:val="20"/>
                <w:szCs w:val="20"/>
                <w:color w:val="auto"/>
              </w:rPr>
            </w:pPr>
            <w:r>
              <w:rPr>
                <w:rFonts w:ascii="Arial" w:cs="Arial" w:eastAsia="Arial" w:hAnsi="Arial"/>
                <w:sz w:val="13"/>
                <w:szCs w:val="13"/>
                <w:b w:val="1"/>
                <w:bCs w:val="1"/>
                <w:color w:val="0075C9"/>
              </w:rPr>
              <w:t>($)(1)</w:t>
            </w:r>
          </w:p>
        </w:tc>
        <w:tc>
          <w:tcPr>
            <w:tcW w:w="1280" w:type="dxa"/>
            <w:vAlign w:val="bottom"/>
            <w:tcBorders>
              <w:bottom w:val="single" w:sz="8" w:color="0075C9"/>
            </w:tcBorders>
          </w:tcPr>
          <w:p>
            <w:pPr>
              <w:jc w:val="center"/>
              <w:ind w:left="117"/>
              <w:spacing w:after="0"/>
              <w:rPr>
                <w:sz w:val="20"/>
                <w:szCs w:val="20"/>
                <w:color w:val="auto"/>
              </w:rPr>
            </w:pPr>
            <w:r>
              <w:rPr>
                <w:rFonts w:ascii="Arial" w:cs="Arial" w:eastAsia="Arial" w:hAnsi="Arial"/>
                <w:sz w:val="13"/>
                <w:szCs w:val="13"/>
                <w:b w:val="1"/>
                <w:bCs w:val="1"/>
                <w:color w:val="0075C9"/>
                <w:w w:val="93"/>
              </w:rPr>
              <w:t>Vested (#)</w:t>
            </w:r>
          </w:p>
        </w:tc>
        <w:tc>
          <w:tcPr>
            <w:tcW w:w="2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337"/>
              <w:spacing w:after="0"/>
              <w:rPr>
                <w:sz w:val="20"/>
                <w:szCs w:val="20"/>
                <w:color w:val="auto"/>
              </w:rPr>
            </w:pPr>
            <w:r>
              <w:rPr>
                <w:rFonts w:ascii="Arial" w:cs="Arial" w:eastAsia="Arial" w:hAnsi="Arial"/>
                <w:sz w:val="13"/>
                <w:szCs w:val="13"/>
                <w:b w:val="1"/>
                <w:bCs w:val="1"/>
                <w:color w:val="0075C9"/>
              </w:rPr>
              <w:t>($)(1)</w:t>
            </w:r>
          </w:p>
        </w:tc>
      </w:tr>
      <w:tr>
        <w:trPr>
          <w:trHeight w:val="142"/>
        </w:trPr>
        <w:tc>
          <w:tcPr>
            <w:tcW w:w="2150" w:type="dxa"/>
            <w:vAlign w:val="bottom"/>
            <w:shd w:val="clear" w:color="auto" w:fill="EBEBEC"/>
          </w:tcPr>
          <w:p>
            <w:pPr>
              <w:ind w:left="140"/>
              <w:spacing w:after="0" w:line="142" w:lineRule="exact"/>
              <w:rPr>
                <w:sz w:val="20"/>
                <w:szCs w:val="20"/>
                <w:color w:val="auto"/>
              </w:rPr>
            </w:pPr>
            <w:r>
              <w:rPr>
                <w:rFonts w:ascii="Arial" w:cs="Arial" w:eastAsia="Arial" w:hAnsi="Arial"/>
                <w:sz w:val="13"/>
                <w:szCs w:val="13"/>
                <w:b w:val="1"/>
                <w:bCs w:val="1"/>
                <w:color w:val="0075C9"/>
              </w:rPr>
              <w:t>Todd A. Stevens</w:t>
            </w:r>
          </w:p>
        </w:tc>
        <w:tc>
          <w:tcPr>
            <w:tcW w:w="85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4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4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12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141,767</w:t>
            </w:r>
          </w:p>
        </w:tc>
        <w:tc>
          <w:tcPr>
            <w:tcW w:w="100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$ 1,280,156</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124,367</w:t>
            </w:r>
          </w:p>
        </w:tc>
        <w:tc>
          <w:tcPr>
            <w:tcW w:w="100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$ 1,123,034</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42,530</w:t>
            </w:r>
          </w:p>
        </w:tc>
        <w:tc>
          <w:tcPr>
            <w:tcW w:w="1080" w:type="dxa"/>
            <w:vAlign w:val="bottom"/>
            <w:gridSpan w:val="3"/>
            <w:shd w:val="clear" w:color="auto" w:fill="EBEBEC"/>
          </w:tcPr>
          <w:p>
            <w:pPr>
              <w:jc w:val="right"/>
              <w:ind w:right="57"/>
              <w:spacing w:after="0"/>
              <w:rPr>
                <w:sz w:val="20"/>
                <w:szCs w:val="20"/>
                <w:color w:val="auto"/>
              </w:rPr>
            </w:pPr>
            <w:r>
              <w:rPr>
                <w:rFonts w:ascii="Arial" w:cs="Arial" w:eastAsia="Arial" w:hAnsi="Arial"/>
                <w:sz w:val="13"/>
                <w:szCs w:val="13"/>
                <w:color w:val="auto"/>
              </w:rPr>
              <w:t>$ 384,046</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75,609</w:t>
            </w:r>
          </w:p>
        </w:tc>
        <w:tc>
          <w:tcPr>
            <w:tcW w:w="1080" w:type="dxa"/>
            <w:vAlign w:val="bottom"/>
            <w:gridSpan w:val="3"/>
            <w:shd w:val="clear" w:color="auto" w:fill="EBEBEC"/>
          </w:tcPr>
          <w:p>
            <w:pPr>
              <w:jc w:val="right"/>
              <w:ind w:right="57"/>
              <w:spacing w:after="0"/>
              <w:rPr>
                <w:sz w:val="20"/>
                <w:szCs w:val="20"/>
                <w:color w:val="auto"/>
              </w:rPr>
            </w:pPr>
            <w:r>
              <w:rPr>
                <w:rFonts w:ascii="Arial" w:cs="Arial" w:eastAsia="Arial" w:hAnsi="Arial"/>
                <w:sz w:val="13"/>
                <w:szCs w:val="13"/>
                <w:color w:val="auto"/>
              </w:rPr>
              <w:t>$ 682,749</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RSU(6)</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99,494</w:t>
            </w:r>
          </w:p>
        </w:tc>
        <w:tc>
          <w:tcPr>
            <w:tcW w:w="1080" w:type="dxa"/>
            <w:vAlign w:val="bottom"/>
            <w:gridSpan w:val="3"/>
            <w:shd w:val="clear" w:color="auto" w:fill="EBEBEC"/>
          </w:tcPr>
          <w:p>
            <w:pPr>
              <w:jc w:val="right"/>
              <w:ind w:right="57"/>
              <w:spacing w:after="0"/>
              <w:rPr>
                <w:sz w:val="20"/>
                <w:szCs w:val="20"/>
                <w:color w:val="auto"/>
              </w:rPr>
            </w:pPr>
            <w:r>
              <w:rPr>
                <w:rFonts w:ascii="Arial" w:cs="Arial" w:eastAsia="Arial" w:hAnsi="Arial"/>
                <w:sz w:val="13"/>
                <w:szCs w:val="13"/>
                <w:color w:val="auto"/>
              </w:rPr>
              <w:t>$ 898,431</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151,516</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4"/>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66,667</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Options(9)</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17,299</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34,598</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$ 20.17</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Options(10)</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41,699</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$ 23.88</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2/18/2026</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Marshall D. Smith</w:t>
            </w:r>
          </w:p>
        </w:tc>
        <w:tc>
          <w:tcPr>
            <w:tcW w:w="85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51,800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467,754</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46,062</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415,940</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16,835</w:t>
            </w:r>
          </w:p>
        </w:tc>
        <w:tc>
          <w:tcPr>
            <w:tcW w:w="1080" w:type="dxa"/>
            <w:vAlign w:val="bottom"/>
            <w:gridSpan w:val="3"/>
            <w:shd w:val="clear" w:color="auto" w:fill="EBEBEC"/>
          </w:tcPr>
          <w:p>
            <w:pPr>
              <w:jc w:val="right"/>
              <w:ind w:right="57"/>
              <w:spacing w:after="0"/>
              <w:rPr>
                <w:sz w:val="20"/>
                <w:szCs w:val="20"/>
                <w:color w:val="auto"/>
              </w:rPr>
            </w:pPr>
            <w:r>
              <w:rPr>
                <w:rFonts w:ascii="Arial" w:cs="Arial" w:eastAsia="Arial" w:hAnsi="Arial"/>
                <w:sz w:val="13"/>
                <w:szCs w:val="13"/>
                <w:color w:val="auto"/>
              </w:rPr>
              <w:t>$ 152,020</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27,626</w:t>
            </w:r>
          </w:p>
        </w:tc>
        <w:tc>
          <w:tcPr>
            <w:tcW w:w="1080" w:type="dxa"/>
            <w:vAlign w:val="bottom"/>
            <w:gridSpan w:val="3"/>
            <w:shd w:val="clear" w:color="auto" w:fill="EBEBEC"/>
          </w:tcPr>
          <w:p>
            <w:pPr>
              <w:jc w:val="right"/>
              <w:ind w:right="57"/>
              <w:spacing w:after="0"/>
              <w:rPr>
                <w:sz w:val="20"/>
                <w:szCs w:val="20"/>
                <w:color w:val="auto"/>
              </w:rPr>
            </w:pPr>
            <w:r>
              <w:rPr>
                <w:rFonts w:ascii="Arial" w:cs="Arial" w:eastAsia="Arial" w:hAnsi="Arial"/>
                <w:sz w:val="13"/>
                <w:szCs w:val="13"/>
                <w:color w:val="auto"/>
              </w:rPr>
              <w:t>$ 249,463</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RSU(6)</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36,850</w:t>
            </w:r>
          </w:p>
        </w:tc>
        <w:tc>
          <w:tcPr>
            <w:tcW w:w="1080" w:type="dxa"/>
            <w:vAlign w:val="bottom"/>
            <w:gridSpan w:val="3"/>
            <w:shd w:val="clear" w:color="auto" w:fill="EBEBEC"/>
          </w:tcPr>
          <w:p>
            <w:pPr>
              <w:jc w:val="right"/>
              <w:ind w:right="57"/>
              <w:spacing w:after="0"/>
              <w:rPr>
                <w:sz w:val="20"/>
                <w:szCs w:val="20"/>
                <w:color w:val="auto"/>
              </w:rPr>
            </w:pPr>
            <w:r>
              <w:rPr>
                <w:rFonts w:ascii="Arial" w:cs="Arial" w:eastAsia="Arial" w:hAnsi="Arial"/>
                <w:sz w:val="13"/>
                <w:szCs w:val="13"/>
                <w:color w:val="auto"/>
              </w:rPr>
              <w:t>$ 332,756</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90,910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4"/>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26,667</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Options(9)</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6,321</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12,642</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20.17</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Options(10)</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15,445</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23.88</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2/18/2026</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Darren Williams</w:t>
            </w:r>
          </w:p>
        </w:tc>
        <w:tc>
          <w:tcPr>
            <w:tcW w:w="85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28,626</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258,493</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25,334</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228,766</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8,860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80,006</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15,266</w:t>
            </w:r>
          </w:p>
        </w:tc>
        <w:tc>
          <w:tcPr>
            <w:tcW w:w="1080" w:type="dxa"/>
            <w:vAlign w:val="bottom"/>
            <w:gridSpan w:val="3"/>
            <w:shd w:val="clear" w:color="auto" w:fill="EBEBEC"/>
          </w:tcPr>
          <w:p>
            <w:pPr>
              <w:jc w:val="right"/>
              <w:ind w:right="57"/>
              <w:spacing w:after="0"/>
              <w:rPr>
                <w:sz w:val="20"/>
                <w:szCs w:val="20"/>
                <w:color w:val="auto"/>
              </w:rPr>
            </w:pPr>
            <w:r>
              <w:rPr>
                <w:rFonts w:ascii="Arial" w:cs="Arial" w:eastAsia="Arial" w:hAnsi="Arial"/>
                <w:sz w:val="13"/>
                <w:szCs w:val="13"/>
                <w:color w:val="auto"/>
              </w:rPr>
              <w:t>$ 137,852</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RSU(6)</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20,268</w:t>
            </w:r>
          </w:p>
        </w:tc>
        <w:tc>
          <w:tcPr>
            <w:tcW w:w="1080" w:type="dxa"/>
            <w:vAlign w:val="bottom"/>
            <w:gridSpan w:val="3"/>
            <w:shd w:val="clear" w:color="auto" w:fill="EBEBEC"/>
          </w:tcPr>
          <w:p>
            <w:pPr>
              <w:jc w:val="right"/>
              <w:ind w:right="57"/>
              <w:spacing w:after="0"/>
              <w:rPr>
                <w:sz w:val="20"/>
                <w:szCs w:val="20"/>
                <w:color w:val="auto"/>
              </w:rPr>
            </w:pPr>
            <w:r>
              <w:rPr>
                <w:rFonts w:ascii="Arial" w:cs="Arial" w:eastAsia="Arial" w:hAnsi="Arial"/>
                <w:sz w:val="13"/>
                <w:szCs w:val="13"/>
                <w:color w:val="auto"/>
              </w:rPr>
              <w:t>$ 183,020</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60,607</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4"/>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18,334</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Options(9)</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3,494</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6,986</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20.17</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Options(10)</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8,495</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23.88</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2/18/2026</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Charles F. Weiss</w:t>
            </w:r>
          </w:p>
        </w:tc>
        <w:tc>
          <w:tcPr>
            <w:tcW w:w="85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29,990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270,810</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26,486</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239,169</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9,746</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88,006</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15,994</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7"/>
              </w:rPr>
              <w:t>144,426</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RSU(6)</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21,189</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7"/>
              </w:rPr>
              <w:t>191,337</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51,516</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4"/>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20,000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Options(9)</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3,660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7,319</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20.17</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Options(10)</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8,881</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23.88</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2/18/2026</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73"/>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Michael L. Preston</w:t>
            </w:r>
          </w:p>
        </w:tc>
        <w:tc>
          <w:tcPr>
            <w:tcW w:w="85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1040" w:type="dxa"/>
            <w:vAlign w:val="bottom"/>
            <w:shd w:val="clear" w:color="auto" w:fill="EBEBEC"/>
          </w:tcPr>
          <w:p>
            <w:pPr>
              <w:spacing w:after="0"/>
              <w:rPr>
                <w:sz w:val="15"/>
                <w:szCs w:val="15"/>
                <w:color w:val="auto"/>
              </w:rPr>
            </w:pPr>
          </w:p>
        </w:tc>
        <w:tc>
          <w:tcPr>
            <w:tcW w:w="280" w:type="dxa"/>
            <w:vAlign w:val="bottom"/>
            <w:shd w:val="clear" w:color="auto" w:fill="EBEBEC"/>
          </w:tcPr>
          <w:p>
            <w:pPr>
              <w:spacing w:after="0"/>
              <w:rPr>
                <w:sz w:val="15"/>
                <w:szCs w:val="15"/>
                <w:color w:val="auto"/>
              </w:rPr>
            </w:pPr>
          </w:p>
        </w:tc>
        <w:tc>
          <w:tcPr>
            <w:tcW w:w="46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1000" w:type="dxa"/>
            <w:vAlign w:val="bottom"/>
            <w:shd w:val="clear" w:color="auto" w:fill="EBEBEC"/>
          </w:tcPr>
          <w:p>
            <w:pPr>
              <w:spacing w:after="0"/>
              <w:rPr>
                <w:sz w:val="15"/>
                <w:szCs w:val="15"/>
                <w:color w:val="auto"/>
              </w:rPr>
            </w:pPr>
          </w:p>
        </w:tc>
        <w:tc>
          <w:tcPr>
            <w:tcW w:w="440" w:type="dxa"/>
            <w:vAlign w:val="bottom"/>
            <w:shd w:val="clear" w:color="auto" w:fill="EBEBEC"/>
          </w:tcPr>
          <w:p>
            <w:pPr>
              <w:spacing w:after="0"/>
              <w:rPr>
                <w:sz w:val="15"/>
                <w:szCs w:val="15"/>
                <w:color w:val="auto"/>
              </w:rPr>
            </w:pPr>
          </w:p>
        </w:tc>
        <w:tc>
          <w:tcPr>
            <w:tcW w:w="40" w:type="dxa"/>
            <w:vAlign w:val="bottom"/>
            <w:shd w:val="clear" w:color="auto" w:fill="EBEBEC"/>
          </w:tcPr>
          <w:p>
            <w:pPr>
              <w:spacing w:after="0"/>
              <w:rPr>
                <w:sz w:val="15"/>
                <w:szCs w:val="15"/>
                <w:color w:val="auto"/>
              </w:rPr>
            </w:pPr>
          </w:p>
        </w:tc>
        <w:tc>
          <w:tcPr>
            <w:tcW w:w="600" w:type="dxa"/>
            <w:vAlign w:val="bottom"/>
            <w:shd w:val="clear" w:color="auto" w:fill="EBEBEC"/>
          </w:tcPr>
          <w:p>
            <w:pPr>
              <w:spacing w:after="0"/>
              <w:rPr>
                <w:sz w:val="15"/>
                <w:szCs w:val="15"/>
                <w:color w:val="auto"/>
              </w:rPr>
            </w:pPr>
          </w:p>
        </w:tc>
        <w:tc>
          <w:tcPr>
            <w:tcW w:w="1280" w:type="dxa"/>
            <w:vAlign w:val="bottom"/>
            <w:shd w:val="clear" w:color="auto" w:fill="EBEBEC"/>
          </w:tcPr>
          <w:p>
            <w:pPr>
              <w:spacing w:after="0"/>
              <w:rPr>
                <w:sz w:val="15"/>
                <w:szCs w:val="15"/>
                <w:color w:val="auto"/>
              </w:rPr>
            </w:pPr>
          </w:p>
        </w:tc>
        <w:tc>
          <w:tcPr>
            <w:tcW w:w="280" w:type="dxa"/>
            <w:vAlign w:val="bottom"/>
            <w:shd w:val="clear" w:color="auto" w:fill="EBEBEC"/>
          </w:tcPr>
          <w:p>
            <w:pPr>
              <w:spacing w:after="0"/>
              <w:rPr>
                <w:sz w:val="15"/>
                <w:szCs w:val="15"/>
                <w:color w:val="auto"/>
              </w:rPr>
            </w:pPr>
          </w:p>
        </w:tc>
        <w:tc>
          <w:tcPr>
            <w:tcW w:w="720" w:type="dxa"/>
            <w:vAlign w:val="bottom"/>
            <w:shd w:val="clear" w:color="auto" w:fill="EBEBEC"/>
          </w:tcPr>
          <w:p>
            <w:pPr>
              <w:spacing w:after="0"/>
              <w:rPr>
                <w:sz w:val="15"/>
                <w:szCs w:val="15"/>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28,626</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258,493</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24,759</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223,574</w:t>
            </w: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7,088</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64,005</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15,266</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7"/>
              </w:rPr>
              <w:t>137,852</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RSU(6)</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19,807</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7"/>
              </w:rPr>
              <w:t>178,857</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30,304</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4"/>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12,000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Options(9)</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2/21/2018</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3,494</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6,986</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20.17</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4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51"/>
        </w:trPr>
        <w:tc>
          <w:tcPr>
            <w:tcW w:w="215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Options(10)</w:t>
            </w:r>
          </w:p>
        </w:tc>
        <w:tc>
          <w:tcPr>
            <w:tcW w:w="85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6"/>
              </w:rPr>
              <w:t>2/19/2019</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40" w:type="dxa"/>
            <w:vAlign w:val="bottom"/>
            <w:shd w:val="clear" w:color="auto" w:fill="EBEBEC"/>
          </w:tcPr>
          <w:p>
            <w:pPr>
              <w:jc w:val="right"/>
              <w:ind w:right="277"/>
              <w:spacing w:after="0"/>
              <w:rPr>
                <w:sz w:val="20"/>
                <w:szCs w:val="20"/>
                <w:color w:val="auto"/>
              </w:rPr>
            </w:pPr>
            <w:r>
              <w:rPr>
                <w:rFonts w:ascii="Arial" w:cs="Arial" w:eastAsia="Arial" w:hAnsi="Arial"/>
                <w:sz w:val="13"/>
                <w:szCs w:val="13"/>
                <w:color w:val="auto"/>
              </w:rPr>
              <w:t>8,302</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8"/>
              </w:rPr>
              <w:t>23.88</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2/18/2026</w:t>
            </w:r>
          </w:p>
        </w:tc>
        <w:tc>
          <w:tcPr>
            <w:tcW w:w="1000" w:type="dxa"/>
            <w:vAlign w:val="bottom"/>
            <w:shd w:val="clear" w:color="auto" w:fill="EBEBEC"/>
          </w:tcPr>
          <w:p>
            <w:pPr>
              <w:spacing w:after="0"/>
              <w:rPr>
                <w:sz w:val="13"/>
                <w:szCs w:val="13"/>
                <w:color w:val="auto"/>
              </w:rPr>
            </w:pPr>
          </w:p>
        </w:tc>
        <w:tc>
          <w:tcPr>
            <w:tcW w:w="440" w:type="dxa"/>
            <w:vAlign w:val="bottom"/>
            <w:shd w:val="clear" w:color="auto" w:fill="EBEBEC"/>
          </w:tcPr>
          <w:p>
            <w:pPr>
              <w:spacing w:after="0"/>
              <w:rPr>
                <w:sz w:val="13"/>
                <w:szCs w:val="13"/>
                <w:color w:val="auto"/>
              </w:rPr>
            </w:pPr>
          </w:p>
        </w:tc>
        <w:tc>
          <w:tcPr>
            <w:tcW w:w="40" w:type="dxa"/>
            <w:vAlign w:val="bottom"/>
            <w:shd w:val="clear" w:color="auto" w:fill="EBEBEC"/>
          </w:tcPr>
          <w:p>
            <w:pPr>
              <w:spacing w:after="0"/>
              <w:rPr>
                <w:sz w:val="13"/>
                <w:szCs w:val="13"/>
                <w:color w:val="auto"/>
              </w:rPr>
            </w:pPr>
          </w:p>
        </w:tc>
        <w:tc>
          <w:tcPr>
            <w:tcW w:w="600" w:type="dxa"/>
            <w:vAlign w:val="bottom"/>
            <w:shd w:val="clear" w:color="auto" w:fill="EBEBEC"/>
          </w:tcPr>
          <w:p>
            <w:pPr>
              <w:spacing w:after="0"/>
              <w:rPr>
                <w:sz w:val="13"/>
                <w:szCs w:val="13"/>
                <w:color w:val="auto"/>
              </w:rPr>
            </w:pPr>
          </w:p>
        </w:tc>
        <w:tc>
          <w:tcPr>
            <w:tcW w:w="128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-2673985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-2982595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-3496945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-3805555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-3908425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-4011295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-4217035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-4422775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-4731385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-4834255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-5039995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06" w:lineRule="exact"/>
        <w:rPr>
          <w:sz w:val="20"/>
          <w:szCs w:val="20"/>
          <w:color w:val="auto"/>
        </w:rPr>
      </w:pPr>
    </w:p>
    <w:p>
      <w:pPr>
        <w:ind w:left="340" w:right="280" w:hanging="332"/>
        <w:spacing w:after="0" w:line="22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shown represent the product of the number of shares or units shown in the column immediately to the left and the closing price on December 31, 2019, the last trading day of 2019, of our common stock as reported in the NYSE Composite Transactions, which was $9.03.</w:t>
      </w:r>
    </w:p>
    <w:p>
      <w:pPr>
        <w:spacing w:after="0" w:line="70" w:lineRule="exact"/>
        <w:rPr>
          <w:rFonts w:ascii="Arial" w:cs="Arial" w:eastAsia="Arial" w:hAnsi="Arial"/>
          <w:sz w:val="14"/>
          <w:szCs w:val="14"/>
          <w:color w:val="auto"/>
        </w:rPr>
      </w:pPr>
    </w:p>
    <w:p>
      <w:pPr>
        <w:ind w:left="340" w:right="160" w:hanging="332"/>
        <w:spacing w:after="0" w:line="22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These PSU awards are subject to the achievement of performance goals over a three-year period from January 1, 2018 to December 31, 2020. The units are forfeitable until the later of February 20, 2021 and the certification by our Compensation Committee that the achievement of the performance threshold was met.</w:t>
      </w:r>
    </w:p>
    <w:p>
      <w:pPr>
        <w:spacing w:after="0" w:line="70" w:lineRule="exact"/>
        <w:rPr>
          <w:rFonts w:ascii="Arial" w:cs="Arial" w:eastAsia="Arial" w:hAnsi="Arial"/>
          <w:sz w:val="14"/>
          <w:szCs w:val="14"/>
          <w:color w:val="auto"/>
        </w:rPr>
      </w:pPr>
    </w:p>
    <w:p>
      <w:pPr>
        <w:ind w:left="340" w:right="160" w:hanging="332"/>
        <w:spacing w:after="0" w:line="22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These PSU awards are subject to the achievement of performance goals over a three-year period from January 1, 2019 to December 31, 2021. The units are forfeitable until the later of February 18, 2022 and the certification by our Compensation Committee that the achievement of the performance threshold was met.</w:t>
      </w:r>
    </w:p>
    <w:p>
      <w:pPr>
        <w:spacing w:after="0" w:line="70"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units vest on February 12, 2020.</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One-half of the units vest on each of the following dates: February 20, 2020 and February 20, 2021.</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One-third of the units vest on each of the following dates: February 18, 2020, February 18, 2021 and February 18, 2022.</w:t>
      </w:r>
    </w:p>
    <w:p>
      <w:pPr>
        <w:spacing w:after="0" w:line="82" w:lineRule="exact"/>
        <w:rPr>
          <w:rFonts w:ascii="Arial" w:cs="Arial" w:eastAsia="Arial" w:hAnsi="Arial"/>
          <w:sz w:val="14"/>
          <w:szCs w:val="14"/>
          <w:color w:val="auto"/>
        </w:rPr>
      </w:pPr>
    </w:p>
    <w:p>
      <w:pPr>
        <w:ind w:left="340" w:right="380" w:hanging="332"/>
        <w:spacing w:after="0" w:line="22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exercise price was set at 10% above the closing market price of CRC stock on the grant date, as adjusted for our 1-for-10 reverse stock split on May 31, 2016. Unexercised options expire on November 30, 2021.</w:t>
      </w:r>
    </w:p>
    <w:p>
      <w:pPr>
        <w:spacing w:after="0" w:line="70" w:lineRule="exact"/>
        <w:rPr>
          <w:rFonts w:ascii="Arial" w:cs="Arial" w:eastAsia="Arial" w:hAnsi="Arial"/>
          <w:sz w:val="14"/>
          <w:szCs w:val="14"/>
          <w:color w:val="auto"/>
        </w:rPr>
      </w:pPr>
    </w:p>
    <w:p>
      <w:pPr>
        <w:ind w:left="340" w:right="1160" w:hanging="332"/>
        <w:spacing w:after="0" w:line="22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exercise price is equal to the closing market price of CRC stock on the grant date, as adjusted for our 1-for-10 reverse stock split on May 31, 2016. Unexercised options expire on August 4, 2022.</w:t>
      </w:r>
    </w:p>
    <w:p>
      <w:pPr>
        <w:spacing w:after="0" w:line="70" w:lineRule="exact"/>
        <w:rPr>
          <w:rFonts w:ascii="Arial" w:cs="Arial" w:eastAsia="Arial" w:hAnsi="Arial"/>
          <w:sz w:val="14"/>
          <w:szCs w:val="14"/>
          <w:color w:val="auto"/>
        </w:rPr>
      </w:pPr>
    </w:p>
    <w:p>
      <w:pPr>
        <w:ind w:left="340" w:right="520" w:hanging="332"/>
        <w:spacing w:after="0" w:line="22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exercise price is 10% above the closing market price of CRC stock on the grant date. The unexercisable options become exercisable one-half each on February 20, 2020 and February 20, 2021. Unexercised options expire on February 20, 2025.</w:t>
      </w:r>
    </w:p>
    <w:p>
      <w:pPr>
        <w:spacing w:after="0" w:line="70" w:lineRule="exact"/>
        <w:rPr>
          <w:rFonts w:ascii="Arial" w:cs="Arial" w:eastAsia="Arial" w:hAnsi="Arial"/>
          <w:sz w:val="14"/>
          <w:szCs w:val="14"/>
          <w:color w:val="auto"/>
        </w:rPr>
      </w:pPr>
    </w:p>
    <w:p>
      <w:pPr>
        <w:ind w:left="340" w:right="460" w:hanging="332"/>
        <w:spacing w:after="0" w:line="22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exercise price is 10% above the closing market price of CRC stock on the grant date. The unexercisable options become exercisable one-third each on February 18, 2020, February 18, 2021 and February 18, 2022. Unexercised options expire on February 18, 2026.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2019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for our NEOs, the CRC option and stock awards exercised or vested during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80" w:type="dxa"/>
            <w:vAlign w:val="bottom"/>
          </w:tcPr>
          <w:p>
            <w:pPr>
              <w:spacing w:after="0"/>
              <w:rPr>
                <w:sz w:val="13"/>
                <w:szCs w:val="13"/>
                <w:color w:val="auto"/>
              </w:rPr>
            </w:pPr>
          </w:p>
        </w:tc>
        <w:tc>
          <w:tcPr>
            <w:tcW w:w="900" w:type="dxa"/>
            <w:vAlign w:val="bottom"/>
            <w:tcBorders>
              <w:bottom w:val="single" w:sz="8" w:color="0075C9"/>
            </w:tcBorders>
          </w:tcPr>
          <w:p>
            <w:pPr>
              <w:spacing w:after="0"/>
              <w:rPr>
                <w:sz w:val="13"/>
                <w:szCs w:val="13"/>
                <w:color w:val="auto"/>
              </w:rPr>
            </w:pPr>
          </w:p>
        </w:tc>
        <w:tc>
          <w:tcPr>
            <w:tcW w:w="1420" w:type="dxa"/>
            <w:vAlign w:val="bottom"/>
            <w:tcBorders>
              <w:bottom w:val="single" w:sz="8" w:color="0075C9"/>
            </w:tcBorders>
          </w:tcPr>
          <w:p>
            <w:pPr>
              <w:jc w:val="right"/>
              <w:ind w:right="417"/>
              <w:spacing w:after="0"/>
              <w:rPr>
                <w:sz w:val="20"/>
                <w:szCs w:val="20"/>
                <w:color w:val="auto"/>
              </w:rPr>
            </w:pPr>
            <w:r>
              <w:rPr>
                <w:rFonts w:ascii="Arial" w:cs="Arial" w:eastAsia="Arial" w:hAnsi="Arial"/>
                <w:sz w:val="13"/>
                <w:szCs w:val="13"/>
                <w:b w:val="1"/>
                <w:bCs w:val="1"/>
                <w:color w:val="0075C9"/>
                <w:w w:val="99"/>
              </w:rPr>
              <w:t>Option Awards</w:t>
            </w:r>
          </w:p>
        </w:tc>
        <w:tc>
          <w:tcPr>
            <w:tcW w:w="560" w:type="dxa"/>
            <w:vAlign w:val="bottom"/>
            <w:tcBorders>
              <w:bottom w:val="single" w:sz="8" w:color="0075C9"/>
            </w:tcBorders>
          </w:tcPr>
          <w:p>
            <w:pPr>
              <w:spacing w:after="0"/>
              <w:rPr>
                <w:sz w:val="13"/>
                <w:szCs w:val="13"/>
                <w:color w:val="auto"/>
              </w:rPr>
            </w:pPr>
          </w:p>
        </w:tc>
        <w:tc>
          <w:tcPr>
            <w:tcW w:w="1360" w:type="dxa"/>
            <w:vAlign w:val="bottom"/>
            <w:tcBorders>
              <w:bottom w:val="single" w:sz="8" w:color="0075C9"/>
            </w:tcBorders>
          </w:tcPr>
          <w:p>
            <w:pPr>
              <w:spacing w:after="0"/>
              <w:rPr>
                <w:sz w:val="13"/>
                <w:szCs w:val="13"/>
                <w:color w:val="auto"/>
              </w:rPr>
            </w:pPr>
          </w:p>
        </w:tc>
        <w:tc>
          <w:tcPr>
            <w:tcW w:w="1320" w:type="dxa"/>
            <w:vAlign w:val="bottom"/>
            <w:tcBorders>
              <w:bottom w:val="single" w:sz="8" w:color="0075C9"/>
            </w:tcBorders>
          </w:tcPr>
          <w:p>
            <w:pPr>
              <w:jc w:val="right"/>
              <w:ind w:right="357"/>
              <w:spacing w:after="0"/>
              <w:rPr>
                <w:sz w:val="20"/>
                <w:szCs w:val="20"/>
                <w:color w:val="auto"/>
              </w:rPr>
            </w:pPr>
            <w:r>
              <w:rPr>
                <w:rFonts w:ascii="Arial" w:cs="Arial" w:eastAsia="Arial" w:hAnsi="Arial"/>
                <w:sz w:val="13"/>
                <w:szCs w:val="13"/>
                <w:b w:val="1"/>
                <w:bCs w:val="1"/>
                <w:color w:val="0075C9"/>
              </w:rPr>
              <w:t>Stock Awards</w:t>
            </w:r>
          </w:p>
        </w:tc>
        <w:tc>
          <w:tcPr>
            <w:tcW w:w="1100" w:type="dxa"/>
            <w:vAlign w:val="bottom"/>
            <w:tcBorders>
              <w:bottom w:val="single" w:sz="8" w:color="0075C9"/>
            </w:tcBorders>
          </w:tcPr>
          <w:p>
            <w:pPr>
              <w:spacing w:after="0"/>
              <w:rPr>
                <w:sz w:val="13"/>
                <w:szCs w:val="13"/>
                <w:color w:val="auto"/>
              </w:rPr>
            </w:pPr>
          </w:p>
        </w:tc>
      </w:tr>
      <w:tr>
        <w:trPr>
          <w:trHeight w:val="120"/>
        </w:trPr>
        <w:tc>
          <w:tcPr>
            <w:tcW w:w="4580" w:type="dxa"/>
            <w:vAlign w:val="bottom"/>
          </w:tcPr>
          <w:p>
            <w:pPr>
              <w:spacing w:after="0"/>
              <w:rPr>
                <w:sz w:val="10"/>
                <w:szCs w:val="10"/>
                <w:color w:val="auto"/>
              </w:rPr>
            </w:pPr>
          </w:p>
        </w:tc>
        <w:tc>
          <w:tcPr>
            <w:tcW w:w="900" w:type="dxa"/>
            <w:vAlign w:val="bottom"/>
          </w:tcPr>
          <w:p>
            <w:pPr>
              <w:jc w:val="center"/>
              <w:ind w:left="37"/>
              <w:spacing w:after="0" w:line="120" w:lineRule="exact"/>
              <w:rPr>
                <w:sz w:val="20"/>
                <w:szCs w:val="20"/>
                <w:color w:val="auto"/>
              </w:rPr>
            </w:pPr>
            <w:r>
              <w:rPr>
                <w:rFonts w:ascii="Arial" w:cs="Arial" w:eastAsia="Arial" w:hAnsi="Arial"/>
                <w:sz w:val="13"/>
                <w:szCs w:val="13"/>
                <w:b w:val="1"/>
                <w:bCs w:val="1"/>
                <w:color w:val="0075C9"/>
                <w:w w:val="98"/>
              </w:rPr>
              <w:t>Number of</w:t>
            </w:r>
          </w:p>
        </w:tc>
        <w:tc>
          <w:tcPr>
            <w:tcW w:w="1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60" w:type="dxa"/>
            <w:vAlign w:val="bottom"/>
          </w:tcPr>
          <w:p>
            <w:pPr>
              <w:jc w:val="center"/>
              <w:ind w:left="157"/>
              <w:spacing w:after="0" w:line="120" w:lineRule="exact"/>
              <w:rPr>
                <w:sz w:val="20"/>
                <w:szCs w:val="20"/>
                <w:color w:val="auto"/>
              </w:rPr>
            </w:pPr>
            <w:r>
              <w:rPr>
                <w:rFonts w:ascii="Arial" w:cs="Arial" w:eastAsia="Arial" w:hAnsi="Arial"/>
                <w:sz w:val="13"/>
                <w:szCs w:val="13"/>
                <w:b w:val="1"/>
                <w:bCs w:val="1"/>
                <w:color w:val="0075C9"/>
                <w:w w:val="95"/>
              </w:rPr>
              <w:t>Number of</w:t>
            </w:r>
          </w:p>
        </w:tc>
        <w:tc>
          <w:tcPr>
            <w:tcW w:w="13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35"/>
        </w:trPr>
        <w:tc>
          <w:tcPr>
            <w:tcW w:w="4580" w:type="dxa"/>
            <w:vAlign w:val="bottom"/>
          </w:tcPr>
          <w:p>
            <w:pPr>
              <w:spacing w:after="0"/>
              <w:rPr>
                <w:sz w:val="11"/>
                <w:szCs w:val="11"/>
                <w:color w:val="auto"/>
              </w:rPr>
            </w:pPr>
          </w:p>
        </w:tc>
        <w:tc>
          <w:tcPr>
            <w:tcW w:w="9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0075C9"/>
                <w:w w:val="96"/>
              </w:rPr>
              <w:t>Shares</w:t>
            </w:r>
          </w:p>
        </w:tc>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0075C9"/>
                <w:w w:val="96"/>
              </w:rPr>
              <w:t>Shares</w:t>
            </w:r>
          </w:p>
        </w:tc>
        <w:tc>
          <w:tcPr>
            <w:tcW w:w="2420" w:type="dxa"/>
            <w:vAlign w:val="bottom"/>
            <w:gridSpan w:val="2"/>
          </w:tcPr>
          <w:p>
            <w:pPr>
              <w:jc w:val="right"/>
              <w:ind w:right="557"/>
              <w:spacing w:after="0" w:line="135" w:lineRule="exact"/>
              <w:rPr>
                <w:sz w:val="20"/>
                <w:szCs w:val="20"/>
                <w:color w:val="auto"/>
              </w:rPr>
            </w:pPr>
            <w:r>
              <w:rPr>
                <w:rFonts w:ascii="Arial" w:cs="Arial" w:eastAsia="Arial" w:hAnsi="Arial"/>
                <w:sz w:val="13"/>
                <w:szCs w:val="13"/>
                <w:b w:val="1"/>
                <w:bCs w:val="1"/>
                <w:color w:val="0075C9"/>
              </w:rPr>
              <w:t>Value Realized</w:t>
            </w:r>
          </w:p>
        </w:tc>
      </w:tr>
      <w:tr>
        <w:trPr>
          <w:trHeight w:val="135"/>
        </w:trPr>
        <w:tc>
          <w:tcPr>
            <w:tcW w:w="4580" w:type="dxa"/>
            <w:vAlign w:val="bottom"/>
          </w:tcPr>
          <w:p>
            <w:pPr>
              <w:spacing w:after="0"/>
              <w:rPr>
                <w:sz w:val="11"/>
                <w:szCs w:val="11"/>
                <w:color w:val="auto"/>
              </w:rPr>
            </w:pPr>
          </w:p>
        </w:tc>
        <w:tc>
          <w:tcPr>
            <w:tcW w:w="9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1980" w:type="dxa"/>
            <w:vAlign w:val="bottom"/>
            <w:gridSpan w:val="2"/>
          </w:tcPr>
          <w:p>
            <w:pPr>
              <w:jc w:val="right"/>
              <w:ind w:right="461"/>
              <w:spacing w:after="0" w:line="135" w:lineRule="exact"/>
              <w:rPr>
                <w:sz w:val="20"/>
                <w:szCs w:val="20"/>
                <w:color w:val="auto"/>
              </w:rPr>
            </w:pPr>
            <w:r>
              <w:rPr>
                <w:rFonts w:ascii="Arial" w:cs="Arial" w:eastAsia="Arial" w:hAnsi="Arial"/>
                <w:sz w:val="13"/>
                <w:szCs w:val="13"/>
                <w:b w:val="1"/>
                <w:bCs w:val="1"/>
                <w:color w:val="0075C9"/>
              </w:rPr>
              <w:t>Value Realized</w:t>
            </w:r>
          </w:p>
        </w:tc>
        <w:tc>
          <w:tcPr>
            <w:tcW w:w="136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2420" w:type="dxa"/>
            <w:vAlign w:val="bottom"/>
            <w:gridSpan w:val="2"/>
          </w:tcPr>
          <w:p>
            <w:pPr>
              <w:jc w:val="right"/>
              <w:ind w:right="677"/>
              <w:spacing w:after="0" w:line="135" w:lineRule="exact"/>
              <w:rPr>
                <w:sz w:val="20"/>
                <w:szCs w:val="20"/>
                <w:color w:val="auto"/>
              </w:rPr>
            </w:pPr>
            <w:r>
              <w:rPr>
                <w:rFonts w:ascii="Arial" w:cs="Arial" w:eastAsia="Arial" w:hAnsi="Arial"/>
                <w:sz w:val="13"/>
                <w:szCs w:val="13"/>
                <w:b w:val="1"/>
                <w:bCs w:val="1"/>
                <w:color w:val="0075C9"/>
              </w:rPr>
              <w:t>on Vesting</w:t>
            </w:r>
          </w:p>
        </w:tc>
      </w:tr>
      <w:tr>
        <w:trPr>
          <w:trHeight w:val="157"/>
        </w:trPr>
        <w:tc>
          <w:tcPr>
            <w:tcW w:w="458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900" w:type="dxa"/>
            <w:vAlign w:val="bottom"/>
            <w:tcBorders>
              <w:bottom w:val="single" w:sz="8" w:color="0075C9"/>
            </w:tcBorders>
          </w:tcPr>
          <w:p>
            <w:pPr>
              <w:jc w:val="center"/>
              <w:ind w:left="57"/>
              <w:spacing w:after="0"/>
              <w:rPr>
                <w:sz w:val="20"/>
                <w:szCs w:val="20"/>
                <w:color w:val="auto"/>
              </w:rPr>
            </w:pPr>
            <w:r>
              <w:rPr>
                <w:rFonts w:ascii="Arial" w:cs="Arial" w:eastAsia="Arial" w:hAnsi="Arial"/>
                <w:sz w:val="13"/>
                <w:szCs w:val="13"/>
                <w:b w:val="1"/>
                <w:bCs w:val="1"/>
                <w:color w:val="0075C9"/>
                <w:w w:val="95"/>
              </w:rPr>
              <w:t>Exercise (#)</w:t>
            </w:r>
          </w:p>
        </w:tc>
        <w:tc>
          <w:tcPr>
            <w:tcW w:w="142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on Exercise ($</w:t>
            </w:r>
          </w:p>
        </w:tc>
        <w:tc>
          <w:tcPr>
            <w:tcW w:w="560" w:type="dxa"/>
            <w:vAlign w:val="bottom"/>
            <w:tcBorders>
              <w:bottom w:val="single" w:sz="8" w:color="0075C9"/>
            </w:tcBorders>
          </w:tcPr>
          <w:p>
            <w:pPr>
              <w:jc w:val="right"/>
              <w:ind w:right="461"/>
              <w:spacing w:after="0"/>
              <w:rPr>
                <w:sz w:val="20"/>
                <w:szCs w:val="20"/>
                <w:color w:val="auto"/>
              </w:rPr>
            </w:pPr>
            <w:r>
              <w:rPr>
                <w:rFonts w:ascii="Arial" w:cs="Arial" w:eastAsia="Arial" w:hAnsi="Arial"/>
                <w:sz w:val="8"/>
                <w:szCs w:val="8"/>
                <w:b w:val="1"/>
                <w:bCs w:val="1"/>
                <w:color w:val="0075C9"/>
                <w:w w:val="73"/>
              </w:rPr>
              <w:t>)</w:t>
            </w:r>
          </w:p>
        </w:tc>
        <w:tc>
          <w:tcPr>
            <w:tcW w:w="1360" w:type="dxa"/>
            <w:vAlign w:val="bottom"/>
            <w:tcBorders>
              <w:bottom w:val="single" w:sz="8" w:color="0075C9"/>
            </w:tcBorders>
          </w:tcPr>
          <w:p>
            <w:pPr>
              <w:jc w:val="center"/>
              <w:ind w:left="157"/>
              <w:spacing w:after="0"/>
              <w:rPr>
                <w:sz w:val="20"/>
                <w:szCs w:val="20"/>
                <w:color w:val="auto"/>
              </w:rPr>
            </w:pPr>
            <w:r>
              <w:rPr>
                <w:rFonts w:ascii="Arial" w:cs="Arial" w:eastAsia="Arial" w:hAnsi="Arial"/>
                <w:sz w:val="13"/>
                <w:szCs w:val="13"/>
                <w:b w:val="1"/>
                <w:bCs w:val="1"/>
                <w:color w:val="0075C9"/>
                <w:w w:val="93"/>
              </w:rPr>
              <w:t>Vesting (#)</w:t>
            </w:r>
          </w:p>
        </w:tc>
        <w:tc>
          <w:tcPr>
            <w:tcW w:w="132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t>
            </w:r>
          </w:p>
        </w:tc>
        <w:tc>
          <w:tcPr>
            <w:tcW w:w="1100" w:type="dxa"/>
            <w:vAlign w:val="bottom"/>
            <w:tcBorders>
              <w:bottom w:val="single" w:sz="8" w:color="0075C9"/>
            </w:tcBorders>
          </w:tcPr>
          <w:p>
            <w:pPr>
              <w:jc w:val="right"/>
              <w:ind w:right="857"/>
              <w:spacing w:after="0"/>
              <w:rPr>
                <w:sz w:val="20"/>
                <w:szCs w:val="20"/>
                <w:color w:val="auto"/>
              </w:rPr>
            </w:pPr>
            <w:r>
              <w:rPr>
                <w:rFonts w:ascii="Arial" w:cs="Arial" w:eastAsia="Arial" w:hAnsi="Arial"/>
                <w:sz w:val="13"/>
                <w:szCs w:val="13"/>
                <w:b w:val="1"/>
                <w:bCs w:val="1"/>
                <w:color w:val="0075C9"/>
                <w:w w:val="78"/>
              </w:rPr>
              <w:t>)(1)</w:t>
            </w:r>
          </w:p>
        </w:tc>
      </w:tr>
      <w:tr>
        <w:trPr>
          <w:trHeight w:val="142"/>
        </w:trPr>
        <w:tc>
          <w:tcPr>
            <w:tcW w:w="4580" w:type="dxa"/>
            <w:vAlign w:val="bottom"/>
            <w:shd w:val="clear" w:color="auto" w:fill="EBEBEC"/>
          </w:tcPr>
          <w:p>
            <w:pPr>
              <w:ind w:left="140"/>
              <w:spacing w:after="0" w:line="142" w:lineRule="exact"/>
              <w:rPr>
                <w:sz w:val="20"/>
                <w:szCs w:val="20"/>
                <w:color w:val="auto"/>
              </w:rPr>
            </w:pPr>
            <w:r>
              <w:rPr>
                <w:rFonts w:ascii="Arial" w:cs="Arial" w:eastAsia="Arial" w:hAnsi="Arial"/>
                <w:sz w:val="13"/>
                <w:szCs w:val="13"/>
                <w:b w:val="1"/>
                <w:bCs w:val="1"/>
                <w:color w:val="2F75B5"/>
              </w:rPr>
              <w:t>Todd A. Stevens</w:t>
            </w:r>
          </w:p>
        </w:tc>
        <w:tc>
          <w:tcPr>
            <w:tcW w:w="900" w:type="dxa"/>
            <w:vAlign w:val="bottom"/>
            <w:shd w:val="clear" w:color="auto" w:fill="EBEBEC"/>
          </w:tcPr>
          <w:p>
            <w:pPr>
              <w:jc w:val="right"/>
              <w:ind w:right="177"/>
              <w:spacing w:after="0" w:line="142" w:lineRule="exact"/>
              <w:rPr>
                <w:sz w:val="20"/>
                <w:szCs w:val="20"/>
                <w:color w:val="auto"/>
              </w:rPr>
            </w:pPr>
            <w:r>
              <w:rPr>
                <w:rFonts w:ascii="Arial" w:cs="Arial" w:eastAsia="Arial" w:hAnsi="Arial"/>
                <w:sz w:val="13"/>
                <w:szCs w:val="13"/>
                <w:color w:val="auto"/>
              </w:rPr>
              <w:t>0</w:t>
            </w:r>
          </w:p>
        </w:tc>
        <w:tc>
          <w:tcPr>
            <w:tcW w:w="1420" w:type="dxa"/>
            <w:vAlign w:val="bottom"/>
            <w:shd w:val="clear" w:color="auto" w:fill="EBEBEC"/>
          </w:tcPr>
          <w:p>
            <w:pPr>
              <w:jc w:val="right"/>
              <w:ind w:right="917"/>
              <w:spacing w:after="0" w:line="142" w:lineRule="exact"/>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81"/>
              <w:spacing w:after="0" w:line="142" w:lineRule="exact"/>
              <w:rPr>
                <w:sz w:val="20"/>
                <w:szCs w:val="20"/>
                <w:color w:val="auto"/>
              </w:rPr>
            </w:pPr>
            <w:r>
              <w:rPr>
                <w:rFonts w:ascii="Arial" w:cs="Arial" w:eastAsia="Arial" w:hAnsi="Arial"/>
                <w:sz w:val="13"/>
                <w:szCs w:val="13"/>
                <w:color w:val="auto"/>
              </w:rPr>
              <w:t>0</w:t>
            </w:r>
          </w:p>
        </w:tc>
        <w:tc>
          <w:tcPr>
            <w:tcW w:w="136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101,852</w:t>
            </w:r>
          </w:p>
        </w:tc>
        <w:tc>
          <w:tcPr>
            <w:tcW w:w="1320" w:type="dxa"/>
            <w:vAlign w:val="bottom"/>
            <w:shd w:val="clear" w:color="auto" w:fill="EBEBEC"/>
          </w:tcPr>
          <w:p>
            <w:pPr>
              <w:jc w:val="right"/>
              <w:ind w:right="497"/>
              <w:spacing w:after="0" w:line="142"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317"/>
              <w:spacing w:after="0" w:line="142" w:lineRule="exact"/>
              <w:rPr>
                <w:sz w:val="20"/>
                <w:szCs w:val="20"/>
                <w:color w:val="auto"/>
              </w:rPr>
            </w:pPr>
            <w:r>
              <w:rPr>
                <w:rFonts w:ascii="Arial" w:cs="Arial" w:eastAsia="Arial" w:hAnsi="Arial"/>
                <w:sz w:val="13"/>
                <w:szCs w:val="13"/>
                <w:color w:val="auto"/>
              </w:rPr>
              <w:t>2,228,294</w:t>
            </w:r>
          </w:p>
        </w:tc>
      </w:tr>
      <w:tr>
        <w:trPr>
          <w:trHeight w:val="162"/>
        </w:trPr>
        <w:tc>
          <w:tcPr>
            <w:tcW w:w="45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2F75B5"/>
              </w:rPr>
              <w:t>Marshall D. Smith</w:t>
            </w:r>
          </w:p>
        </w:tc>
        <w:tc>
          <w:tcPr>
            <w:tcW w:w="90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20" w:type="dxa"/>
            <w:vAlign w:val="bottom"/>
            <w:shd w:val="clear" w:color="auto" w:fill="EBEBEC"/>
          </w:tcPr>
          <w:p>
            <w:pPr>
              <w:jc w:val="right"/>
              <w:ind w:right="9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81"/>
              <w:spacing w:after="0"/>
              <w:rPr>
                <w:sz w:val="20"/>
                <w:szCs w:val="20"/>
                <w:color w:val="auto"/>
              </w:rPr>
            </w:pPr>
            <w:r>
              <w:rPr>
                <w:rFonts w:ascii="Arial" w:cs="Arial" w:eastAsia="Arial" w:hAnsi="Arial"/>
                <w:sz w:val="13"/>
                <w:szCs w:val="13"/>
                <w:color w:val="auto"/>
              </w:rPr>
              <w:t>0</w:t>
            </w:r>
          </w:p>
        </w:tc>
        <w:tc>
          <w:tcPr>
            <w:tcW w:w="1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39,706</w:t>
            </w:r>
          </w:p>
        </w:tc>
        <w:tc>
          <w:tcPr>
            <w:tcW w:w="1320" w:type="dxa"/>
            <w:vAlign w:val="bottom"/>
            <w:shd w:val="clear" w:color="auto" w:fill="EBEBEC"/>
          </w:tcPr>
          <w:p>
            <w:pPr>
              <w:jc w:val="right"/>
              <w:ind w:right="4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859,065</w:t>
            </w:r>
          </w:p>
        </w:tc>
      </w:tr>
      <w:tr>
        <w:trPr>
          <w:trHeight w:val="162"/>
        </w:trPr>
        <w:tc>
          <w:tcPr>
            <w:tcW w:w="45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2F75B5"/>
              </w:rPr>
              <w:t>Darren Williams</w:t>
            </w:r>
          </w:p>
        </w:tc>
        <w:tc>
          <w:tcPr>
            <w:tcW w:w="90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20" w:type="dxa"/>
            <w:vAlign w:val="bottom"/>
            <w:shd w:val="clear" w:color="auto" w:fill="EBEBEC"/>
          </w:tcPr>
          <w:p>
            <w:pPr>
              <w:jc w:val="right"/>
              <w:ind w:right="9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81"/>
              <w:spacing w:after="0"/>
              <w:rPr>
                <w:sz w:val="20"/>
                <w:szCs w:val="20"/>
                <w:color w:val="auto"/>
              </w:rPr>
            </w:pPr>
            <w:r>
              <w:rPr>
                <w:rFonts w:ascii="Arial" w:cs="Arial" w:eastAsia="Arial" w:hAnsi="Arial"/>
                <w:sz w:val="13"/>
                <w:szCs w:val="13"/>
                <w:color w:val="auto"/>
              </w:rPr>
              <w:t>0</w:t>
            </w:r>
          </w:p>
        </w:tc>
        <w:tc>
          <w:tcPr>
            <w:tcW w:w="1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23,468</w:t>
            </w:r>
          </w:p>
        </w:tc>
        <w:tc>
          <w:tcPr>
            <w:tcW w:w="1320" w:type="dxa"/>
            <w:vAlign w:val="bottom"/>
            <w:shd w:val="clear" w:color="auto" w:fill="EBEBEC"/>
          </w:tcPr>
          <w:p>
            <w:pPr>
              <w:jc w:val="right"/>
              <w:ind w:right="4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499,795</w:t>
            </w:r>
          </w:p>
        </w:tc>
      </w:tr>
      <w:tr>
        <w:trPr>
          <w:trHeight w:val="162"/>
        </w:trPr>
        <w:tc>
          <w:tcPr>
            <w:tcW w:w="45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2F75B5"/>
              </w:rPr>
              <w:t>Charles F. Weiss</w:t>
            </w:r>
          </w:p>
        </w:tc>
        <w:tc>
          <w:tcPr>
            <w:tcW w:w="90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20" w:type="dxa"/>
            <w:vAlign w:val="bottom"/>
            <w:shd w:val="clear" w:color="auto" w:fill="EBEBEC"/>
          </w:tcPr>
          <w:p>
            <w:pPr>
              <w:jc w:val="right"/>
              <w:ind w:right="9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81"/>
              <w:spacing w:after="0"/>
              <w:rPr>
                <w:sz w:val="20"/>
                <w:szCs w:val="20"/>
                <w:color w:val="auto"/>
              </w:rPr>
            </w:pPr>
            <w:r>
              <w:rPr>
                <w:rFonts w:ascii="Arial" w:cs="Arial" w:eastAsia="Arial" w:hAnsi="Arial"/>
                <w:sz w:val="13"/>
                <w:szCs w:val="13"/>
                <w:color w:val="auto"/>
              </w:rPr>
              <w:t>0</w:t>
            </w:r>
          </w:p>
        </w:tc>
        <w:tc>
          <w:tcPr>
            <w:tcW w:w="1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25,483</w:t>
            </w:r>
          </w:p>
        </w:tc>
        <w:tc>
          <w:tcPr>
            <w:tcW w:w="1320" w:type="dxa"/>
            <w:vAlign w:val="bottom"/>
            <w:shd w:val="clear" w:color="auto" w:fill="EBEBEC"/>
          </w:tcPr>
          <w:p>
            <w:pPr>
              <w:jc w:val="right"/>
              <w:ind w:right="4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539,348</w:t>
            </w:r>
          </w:p>
        </w:tc>
      </w:tr>
      <w:tr>
        <w:trPr>
          <w:trHeight w:val="162"/>
        </w:trPr>
        <w:tc>
          <w:tcPr>
            <w:tcW w:w="45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2F75B5"/>
              </w:rPr>
              <w:t>Michael L. Preston</w:t>
            </w:r>
          </w:p>
        </w:tc>
        <w:tc>
          <w:tcPr>
            <w:tcW w:w="90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20" w:type="dxa"/>
            <w:vAlign w:val="bottom"/>
            <w:shd w:val="clear" w:color="auto" w:fill="EBEBEC"/>
          </w:tcPr>
          <w:p>
            <w:pPr>
              <w:jc w:val="right"/>
              <w:ind w:right="9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81"/>
              <w:spacing w:after="0"/>
              <w:rPr>
                <w:sz w:val="20"/>
                <w:szCs w:val="20"/>
                <w:color w:val="auto"/>
              </w:rPr>
            </w:pPr>
            <w:r>
              <w:rPr>
                <w:rFonts w:ascii="Arial" w:cs="Arial" w:eastAsia="Arial" w:hAnsi="Arial"/>
                <w:sz w:val="13"/>
                <w:szCs w:val="13"/>
                <w:color w:val="auto"/>
              </w:rPr>
              <w:t>0</w:t>
            </w:r>
          </w:p>
        </w:tc>
        <w:tc>
          <w:tcPr>
            <w:tcW w:w="1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18,232</w:t>
            </w:r>
          </w:p>
        </w:tc>
        <w:tc>
          <w:tcPr>
            <w:tcW w:w="1320" w:type="dxa"/>
            <w:vAlign w:val="bottom"/>
            <w:shd w:val="clear" w:color="auto" w:fill="EBEBEC"/>
          </w:tcPr>
          <w:p>
            <w:pPr>
              <w:jc w:val="right"/>
              <w:ind w:right="4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409,157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shown represent the product of the number of shares acquired on vesting and the closing price on the vesting date.</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2019 Nonqualified Deferred Compensation Table</w:t>
      </w:r>
    </w:p>
    <w:p>
      <w:pPr>
        <w:spacing w:after="0" w:line="3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table sets forth for 2019 the contributions, earnings, withdrawals and balances under the SSP, SRP II and the DCP in which the NEOs participated. The NEOs were fully vested in their respective aggregate balances shown below, which include amounts CRC assumed from Occidental plans in connection with the Spin-off. For additional information relating to these plans, see “Nonqualified Defined Contribution Plans” and “Nonqualified Deferred Compensation Plan,” above.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9"/>
              </w:rPr>
              <w:t>Aggregate</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0075C9"/>
                <w:w w:val="98"/>
              </w:rPr>
              <w:t>Executive</w:t>
            </w:r>
          </w:p>
        </w:tc>
        <w:tc>
          <w:tcPr>
            <w:tcW w:w="320" w:type="dxa"/>
            <w:vAlign w:val="bottom"/>
          </w:tcPr>
          <w:p>
            <w:pPr>
              <w:spacing w:after="0"/>
              <w:rPr>
                <w:sz w:val="12"/>
                <w:szCs w:val="12"/>
                <w:color w:val="auto"/>
              </w:rPr>
            </w:pPr>
          </w:p>
        </w:tc>
        <w:tc>
          <w:tcPr>
            <w:tcW w:w="98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7"/>
              </w:rPr>
              <w:t>Company</w:t>
            </w:r>
          </w:p>
        </w:tc>
        <w:tc>
          <w:tcPr>
            <w:tcW w:w="30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6"/>
              </w:rPr>
              <w:t>Aggregate</w:t>
            </w:r>
          </w:p>
        </w:tc>
        <w:tc>
          <w:tcPr>
            <w:tcW w:w="360" w:type="dxa"/>
            <w:vAlign w:val="bottom"/>
          </w:tcPr>
          <w:p>
            <w:pPr>
              <w:spacing w:after="0"/>
              <w:rPr>
                <w:sz w:val="12"/>
                <w:szCs w:val="12"/>
                <w:color w:val="auto"/>
              </w:rPr>
            </w:pPr>
          </w:p>
        </w:tc>
        <w:tc>
          <w:tcPr>
            <w:tcW w:w="110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4"/>
              </w:rPr>
              <w:t>Withdrawals/</w:t>
            </w:r>
          </w:p>
        </w:tc>
        <w:tc>
          <w:tcPr>
            <w:tcW w:w="380" w:type="dxa"/>
            <w:vAlign w:val="bottom"/>
          </w:tcPr>
          <w:p>
            <w:pPr>
              <w:spacing w:after="0"/>
              <w:rPr>
                <w:sz w:val="12"/>
                <w:szCs w:val="12"/>
                <w:color w:val="auto"/>
              </w:rPr>
            </w:pPr>
          </w:p>
        </w:tc>
        <w:tc>
          <w:tcPr>
            <w:tcW w:w="118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6"/>
              </w:rPr>
              <w:t>Aggregate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0075C9"/>
                <w:w w:val="98"/>
              </w:rPr>
              <w:t>Contributions</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6"/>
              </w:rPr>
              <w:t>Contributions</w:t>
            </w:r>
          </w:p>
        </w:tc>
        <w:tc>
          <w:tcPr>
            <w:tcW w:w="30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6"/>
              </w:rPr>
              <w:t>Earnings</w:t>
            </w:r>
          </w:p>
        </w:tc>
        <w:tc>
          <w:tcPr>
            <w:tcW w:w="360" w:type="dxa"/>
            <w:vAlign w:val="bottom"/>
          </w:tcPr>
          <w:p>
            <w:pPr>
              <w:spacing w:after="0"/>
              <w:rPr>
                <w:sz w:val="12"/>
                <w:szCs w:val="12"/>
                <w:color w:val="auto"/>
              </w:rPr>
            </w:pPr>
          </w:p>
        </w:tc>
        <w:tc>
          <w:tcPr>
            <w:tcW w:w="110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4"/>
              </w:rPr>
              <w:t>Distributions</w:t>
            </w:r>
          </w:p>
        </w:tc>
        <w:tc>
          <w:tcPr>
            <w:tcW w:w="380" w:type="dxa"/>
            <w:vAlign w:val="bottom"/>
          </w:tcPr>
          <w:p>
            <w:pPr>
              <w:spacing w:after="0"/>
              <w:rPr>
                <w:sz w:val="12"/>
                <w:szCs w:val="12"/>
                <w:color w:val="auto"/>
              </w:rPr>
            </w:pPr>
          </w:p>
        </w:tc>
        <w:tc>
          <w:tcPr>
            <w:tcW w:w="11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6"/>
              </w:rPr>
              <w:t>Balance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center"/>
              <w:ind w:right="257"/>
              <w:spacing w:after="0"/>
              <w:rPr>
                <w:sz w:val="20"/>
                <w:szCs w:val="20"/>
                <w:color w:val="auto"/>
              </w:rPr>
            </w:pPr>
            <w:r>
              <w:rPr>
                <w:rFonts w:ascii="Arial" w:cs="Arial" w:eastAsia="Arial" w:hAnsi="Arial"/>
                <w:sz w:val="13"/>
                <w:szCs w:val="13"/>
                <w:b w:val="1"/>
                <w:bCs w:val="1"/>
                <w:color w:val="0075C9"/>
                <w:w w:val="99"/>
              </w:rPr>
              <w:t>in 2019</w:t>
            </w:r>
          </w:p>
        </w:tc>
        <w:tc>
          <w:tcPr>
            <w:tcW w:w="320" w:type="dxa"/>
            <w:vAlign w:val="bottom"/>
          </w:tcPr>
          <w:p>
            <w:pPr>
              <w:spacing w:after="0"/>
              <w:rPr>
                <w:sz w:val="12"/>
                <w:szCs w:val="12"/>
                <w:color w:val="auto"/>
              </w:rPr>
            </w:pPr>
          </w:p>
        </w:tc>
        <w:tc>
          <w:tcPr>
            <w:tcW w:w="98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5"/>
              </w:rPr>
              <w:t>in 2019</w:t>
            </w:r>
          </w:p>
        </w:tc>
        <w:tc>
          <w:tcPr>
            <w:tcW w:w="30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5"/>
              </w:rPr>
              <w:t>in 2019</w:t>
            </w:r>
          </w:p>
        </w:tc>
        <w:tc>
          <w:tcPr>
            <w:tcW w:w="360" w:type="dxa"/>
            <w:vAlign w:val="bottom"/>
          </w:tcPr>
          <w:p>
            <w:pPr>
              <w:spacing w:after="0"/>
              <w:rPr>
                <w:sz w:val="12"/>
                <w:szCs w:val="12"/>
                <w:color w:val="auto"/>
              </w:rPr>
            </w:pPr>
          </w:p>
        </w:tc>
        <w:tc>
          <w:tcPr>
            <w:tcW w:w="110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9"/>
              </w:rPr>
              <w:t>in 2019</w:t>
            </w:r>
          </w:p>
        </w:tc>
        <w:tc>
          <w:tcPr>
            <w:tcW w:w="380" w:type="dxa"/>
            <w:vAlign w:val="bottom"/>
          </w:tcPr>
          <w:p>
            <w:pPr>
              <w:spacing w:after="0"/>
              <w:rPr>
                <w:sz w:val="12"/>
                <w:szCs w:val="12"/>
                <w:color w:val="auto"/>
              </w:rPr>
            </w:pPr>
          </w:p>
        </w:tc>
        <w:tc>
          <w:tcPr>
            <w:tcW w:w="118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7"/>
              </w:rPr>
              <w:t>at 12/31/2019</w:t>
            </w:r>
          </w:p>
        </w:tc>
        <w:tc>
          <w:tcPr>
            <w:tcW w:w="0" w:type="dxa"/>
            <w:vAlign w:val="bottom"/>
          </w:tcPr>
          <w:p>
            <w:pPr>
              <w:spacing w:after="0"/>
              <w:rPr>
                <w:sz w:val="1"/>
                <w:szCs w:val="1"/>
                <w:color w:val="auto"/>
              </w:rPr>
            </w:pPr>
          </w:p>
        </w:tc>
      </w:tr>
      <w:tr>
        <w:trPr>
          <w:trHeight w:val="157"/>
        </w:trPr>
        <w:tc>
          <w:tcPr>
            <w:tcW w:w="358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760" w:type="dxa"/>
            <w:vAlign w:val="bottom"/>
            <w:tcBorders>
              <w:bottom w:val="single" w:sz="8" w:color="0075C9"/>
            </w:tcBorders>
          </w:tcPr>
          <w:p>
            <w:pPr>
              <w:jc w:val="center"/>
              <w:ind w:left="117"/>
              <w:spacing w:after="0"/>
              <w:rPr>
                <w:sz w:val="20"/>
                <w:szCs w:val="20"/>
                <w:color w:val="auto"/>
              </w:rPr>
            </w:pPr>
            <w:r>
              <w:rPr>
                <w:rFonts w:ascii="Arial" w:cs="Arial" w:eastAsia="Arial" w:hAnsi="Arial"/>
                <w:sz w:val="13"/>
                <w:szCs w:val="13"/>
                <w:b w:val="1"/>
                <w:bCs w:val="1"/>
                <w:color w:val="0075C9"/>
                <w:w w:val="94"/>
              </w:rPr>
              <w:t>Plan</w:t>
            </w:r>
          </w:p>
        </w:tc>
        <w:tc>
          <w:tcPr>
            <w:tcW w:w="760" w:type="dxa"/>
            <w:vAlign w:val="bottom"/>
            <w:tcBorders>
              <w:bottom w:val="single" w:sz="8" w:color="0075C9"/>
            </w:tcBorders>
            <w:gridSpan w:val="2"/>
          </w:tcPr>
          <w:p>
            <w:pPr>
              <w:jc w:val="right"/>
              <w:spacing w:after="0"/>
              <w:rPr>
                <w:sz w:val="20"/>
                <w:szCs w:val="20"/>
                <w:color w:val="auto"/>
              </w:rPr>
            </w:pPr>
            <w:r>
              <w:rPr>
                <w:rFonts w:ascii="Arial" w:cs="Arial" w:eastAsia="Arial" w:hAnsi="Arial"/>
                <w:sz w:val="13"/>
                <w:szCs w:val="13"/>
                <w:b w:val="1"/>
                <w:bCs w:val="1"/>
                <w:color w:val="0075C9"/>
              </w:rPr>
              <w:t>($</w:t>
            </w:r>
          </w:p>
        </w:tc>
        <w:tc>
          <w:tcPr>
            <w:tcW w:w="640" w:type="dxa"/>
            <w:vAlign w:val="bottom"/>
            <w:tcBorders>
              <w:bottom w:val="single" w:sz="8" w:color="0075C9"/>
            </w:tcBorders>
          </w:tcPr>
          <w:p>
            <w:pPr>
              <w:jc w:val="right"/>
              <w:ind w:right="377"/>
              <w:spacing w:after="0"/>
              <w:rPr>
                <w:sz w:val="20"/>
                <w:szCs w:val="20"/>
                <w:color w:val="auto"/>
              </w:rPr>
            </w:pPr>
            <w:r>
              <w:rPr>
                <w:rFonts w:ascii="Arial" w:cs="Arial" w:eastAsia="Arial" w:hAnsi="Arial"/>
                <w:sz w:val="13"/>
                <w:szCs w:val="13"/>
                <w:b w:val="1"/>
                <w:bCs w:val="1"/>
                <w:color w:val="0075C9"/>
                <w:w w:val="88"/>
              </w:rPr>
              <w:t>)(1)</w:t>
            </w:r>
          </w:p>
        </w:tc>
        <w:tc>
          <w:tcPr>
            <w:tcW w:w="320" w:type="dxa"/>
            <w:vAlign w:val="bottom"/>
            <w:tcBorders>
              <w:bottom w:val="single" w:sz="8" w:color="0075C9"/>
            </w:tcBorders>
          </w:tcPr>
          <w:p>
            <w:pPr>
              <w:spacing w:after="0"/>
              <w:rPr>
                <w:sz w:val="13"/>
                <w:szCs w:val="13"/>
                <w:color w:val="auto"/>
              </w:rPr>
            </w:pPr>
          </w:p>
        </w:tc>
        <w:tc>
          <w:tcPr>
            <w:tcW w:w="980" w:type="dxa"/>
            <w:vAlign w:val="bottom"/>
            <w:tcBorders>
              <w:bottom w:val="single" w:sz="8" w:color="0075C9"/>
            </w:tcBorders>
          </w:tcPr>
          <w:p>
            <w:pPr>
              <w:jc w:val="center"/>
              <w:ind w:right="257"/>
              <w:spacing w:after="0"/>
              <w:rPr>
                <w:sz w:val="20"/>
                <w:szCs w:val="20"/>
                <w:color w:val="auto"/>
              </w:rPr>
            </w:pPr>
            <w:r>
              <w:rPr>
                <w:rFonts w:ascii="Arial" w:cs="Arial" w:eastAsia="Arial" w:hAnsi="Arial"/>
                <w:sz w:val="13"/>
                <w:szCs w:val="13"/>
                <w:b w:val="1"/>
                <w:bCs w:val="1"/>
                <w:color w:val="0075C9"/>
                <w:w w:val="94"/>
              </w:rPr>
              <w:t>($)(2)</w:t>
            </w:r>
          </w:p>
        </w:tc>
        <w:tc>
          <w:tcPr>
            <w:tcW w:w="30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w w:val="94"/>
              </w:rPr>
              <w:t>($)(3)</w:t>
            </w:r>
          </w:p>
        </w:tc>
        <w:tc>
          <w:tcPr>
            <w:tcW w:w="360" w:type="dxa"/>
            <w:vAlign w:val="bottom"/>
            <w:tcBorders>
              <w:bottom w:val="single" w:sz="8" w:color="0075C9"/>
            </w:tcBorders>
          </w:tcPr>
          <w:p>
            <w:pPr>
              <w:spacing w:after="0"/>
              <w:rPr>
                <w:sz w:val="13"/>
                <w:szCs w:val="13"/>
                <w:color w:val="auto"/>
              </w:rPr>
            </w:pPr>
          </w:p>
        </w:tc>
        <w:tc>
          <w:tcPr>
            <w:tcW w:w="110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rPr>
              <w:t>($)(4)</w:t>
            </w:r>
          </w:p>
        </w:tc>
        <w:tc>
          <w:tcPr>
            <w:tcW w:w="380" w:type="dxa"/>
            <w:vAlign w:val="bottom"/>
            <w:tcBorders>
              <w:bottom w:val="single" w:sz="8" w:color="0075C9"/>
            </w:tcBorders>
          </w:tcPr>
          <w:p>
            <w:pPr>
              <w:spacing w:after="0"/>
              <w:rPr>
                <w:sz w:val="13"/>
                <w:szCs w:val="13"/>
                <w:color w:val="auto"/>
              </w:rPr>
            </w:pPr>
          </w:p>
        </w:tc>
        <w:tc>
          <w:tcPr>
            <w:tcW w:w="1180" w:type="dxa"/>
            <w:vAlign w:val="bottom"/>
            <w:tcBorders>
              <w:bottom w:val="single" w:sz="8" w:color="0075C9"/>
            </w:tcBorders>
          </w:tcPr>
          <w:p>
            <w:pPr>
              <w:jc w:val="center"/>
              <w:ind w:right="257"/>
              <w:spacing w:after="0"/>
              <w:rPr>
                <w:sz w:val="20"/>
                <w:szCs w:val="20"/>
                <w:color w:val="auto"/>
              </w:rPr>
            </w:pPr>
            <w:r>
              <w:rPr>
                <w:rFonts w:ascii="Arial" w:cs="Arial" w:eastAsia="Arial" w:hAnsi="Arial"/>
                <w:sz w:val="13"/>
                <w:szCs w:val="13"/>
                <w:b w:val="1"/>
                <w:bCs w:val="1"/>
                <w:color w:val="0075C9"/>
                <w:w w:val="94"/>
              </w:rPr>
              <w:t>($)(5)</w:t>
            </w:r>
          </w:p>
        </w:tc>
        <w:tc>
          <w:tcPr>
            <w:tcW w:w="0" w:type="dxa"/>
            <w:vAlign w:val="bottom"/>
          </w:tcPr>
          <w:p>
            <w:pPr>
              <w:spacing w:after="0"/>
              <w:rPr>
                <w:sz w:val="1"/>
                <w:szCs w:val="1"/>
                <w:color w:val="auto"/>
              </w:rPr>
            </w:pPr>
          </w:p>
        </w:tc>
      </w:tr>
      <w:tr>
        <w:trPr>
          <w:trHeight w:val="142"/>
        </w:trPr>
        <w:tc>
          <w:tcPr>
            <w:tcW w:w="3580" w:type="dxa"/>
            <w:vAlign w:val="bottom"/>
            <w:shd w:val="clear" w:color="auto" w:fill="EBEBEC"/>
          </w:tcPr>
          <w:p>
            <w:pPr>
              <w:ind w:left="140"/>
              <w:spacing w:after="0" w:line="142" w:lineRule="exact"/>
              <w:rPr>
                <w:sz w:val="20"/>
                <w:szCs w:val="20"/>
                <w:color w:val="auto"/>
              </w:rPr>
            </w:pPr>
            <w:r>
              <w:rPr>
                <w:rFonts w:ascii="Arial" w:cs="Arial" w:eastAsia="Arial" w:hAnsi="Arial"/>
                <w:sz w:val="13"/>
                <w:szCs w:val="13"/>
                <w:b w:val="1"/>
                <w:bCs w:val="1"/>
                <w:color w:val="0070C0"/>
              </w:rPr>
              <w:t>Todd A. Stevens</w:t>
            </w:r>
          </w:p>
        </w:tc>
        <w:tc>
          <w:tcPr>
            <w:tcW w:w="760" w:type="dxa"/>
            <w:vAlign w:val="bottom"/>
            <w:shd w:val="clear" w:color="auto" w:fill="EBEBEC"/>
          </w:tcPr>
          <w:p>
            <w:pPr>
              <w:jc w:val="center"/>
              <w:ind w:left="137"/>
              <w:spacing w:after="0" w:line="142" w:lineRule="exact"/>
              <w:rPr>
                <w:sz w:val="20"/>
                <w:szCs w:val="20"/>
                <w:color w:val="auto"/>
              </w:rPr>
            </w:pPr>
            <w:r>
              <w:rPr>
                <w:rFonts w:ascii="Arial" w:cs="Arial" w:eastAsia="Arial" w:hAnsi="Arial"/>
                <w:sz w:val="13"/>
                <w:szCs w:val="13"/>
                <w:color w:val="auto"/>
                <w:w w:val="92"/>
              </w:rPr>
              <w:t>SSP</w:t>
            </w:r>
          </w:p>
        </w:tc>
        <w:tc>
          <w:tcPr>
            <w:tcW w:w="52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2"/>
                <w:szCs w:val="12"/>
                <w:color w:val="auto"/>
              </w:rPr>
            </w:pPr>
          </w:p>
        </w:tc>
        <w:tc>
          <w:tcPr>
            <w:tcW w:w="640" w:type="dxa"/>
            <w:vAlign w:val="bottom"/>
            <w:shd w:val="clear" w:color="auto" w:fill="EBEBEC"/>
          </w:tcPr>
          <w:p>
            <w:pPr>
              <w:jc w:val="right"/>
              <w:ind w:right="257"/>
              <w:spacing w:after="0" w:line="142" w:lineRule="exact"/>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line="142" w:lineRule="exact"/>
              <w:rPr>
                <w:sz w:val="20"/>
                <w:szCs w:val="20"/>
                <w:color w:val="auto"/>
              </w:rPr>
            </w:pPr>
            <w:r>
              <w:rPr>
                <w:rFonts w:ascii="Arial" w:cs="Arial" w:eastAsia="Arial" w:hAnsi="Arial"/>
                <w:sz w:val="13"/>
                <w:szCs w:val="13"/>
                <w:color w:val="auto"/>
              </w:rPr>
              <w:t>367,658</w:t>
            </w:r>
          </w:p>
        </w:tc>
        <w:tc>
          <w:tcPr>
            <w:tcW w:w="30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line="142" w:lineRule="exact"/>
              <w:rPr>
                <w:sz w:val="20"/>
                <w:szCs w:val="20"/>
                <w:color w:val="auto"/>
              </w:rPr>
            </w:pPr>
            <w:r>
              <w:rPr>
                <w:rFonts w:ascii="Arial" w:cs="Arial" w:eastAsia="Arial" w:hAnsi="Arial"/>
                <w:sz w:val="13"/>
                <w:szCs w:val="13"/>
                <w:color w:val="auto"/>
              </w:rPr>
              <w:t>51,464</w:t>
            </w:r>
          </w:p>
        </w:tc>
        <w:tc>
          <w:tcPr>
            <w:tcW w:w="36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42" w:lineRule="exact"/>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line="142" w:lineRule="exact"/>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line="142" w:lineRule="exact"/>
              <w:rPr>
                <w:sz w:val="20"/>
                <w:szCs w:val="20"/>
                <w:color w:val="auto"/>
              </w:rPr>
            </w:pPr>
            <w:r>
              <w:rPr>
                <w:rFonts w:ascii="Arial" w:cs="Arial" w:eastAsia="Arial" w:hAnsi="Arial"/>
                <w:sz w:val="13"/>
                <w:szCs w:val="13"/>
                <w:color w:val="auto"/>
              </w:rPr>
              <w:t>1,732,340</w:t>
            </w:r>
          </w:p>
        </w:tc>
        <w:tc>
          <w:tcPr>
            <w:tcW w:w="0" w:type="dxa"/>
            <w:vAlign w:val="bottom"/>
          </w:tcPr>
          <w:p>
            <w:pPr>
              <w:spacing w:after="0"/>
              <w:rPr>
                <w:sz w:val="1"/>
                <w:szCs w:val="1"/>
                <w:color w:val="auto"/>
              </w:rPr>
            </w:pPr>
          </w:p>
        </w:tc>
      </w:tr>
      <w:tr>
        <w:trPr>
          <w:trHeight w:val="162"/>
        </w:trPr>
        <w:tc>
          <w:tcPr>
            <w:tcW w:w="3580" w:type="dxa"/>
            <w:vAlign w:val="bottom"/>
            <w:shd w:val="clear" w:color="auto" w:fill="EBEBEC"/>
          </w:tcPr>
          <w:p>
            <w:pPr>
              <w:spacing w:after="0"/>
              <w:rPr>
                <w:sz w:val="14"/>
                <w:szCs w:val="14"/>
                <w:color w:val="auto"/>
              </w:rPr>
            </w:pP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51,558</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1,303,641</w:t>
            </w:r>
          </w:p>
        </w:tc>
        <w:tc>
          <w:tcPr>
            <w:tcW w:w="0" w:type="dxa"/>
            <w:vAlign w:val="bottom"/>
          </w:tcPr>
          <w:p>
            <w:pPr>
              <w:spacing w:after="0"/>
              <w:rPr>
                <w:sz w:val="1"/>
                <w:szCs w:val="1"/>
                <w:color w:val="auto"/>
              </w:rPr>
            </w:pPr>
          </w:p>
        </w:tc>
      </w:tr>
      <w:tr>
        <w:trPr>
          <w:trHeight w:val="162"/>
        </w:trPr>
        <w:tc>
          <w:tcPr>
            <w:tcW w:w="3580" w:type="dxa"/>
            <w:vAlign w:val="bottom"/>
            <w:vMerge w:val="restart"/>
            <w:shd w:val="clear" w:color="auto" w:fill="EBEBEC"/>
          </w:tcPr>
          <w:p>
            <w:pPr>
              <w:ind w:left="140"/>
              <w:spacing w:after="0"/>
              <w:rPr>
                <w:sz w:val="20"/>
                <w:szCs w:val="20"/>
                <w:color w:val="auto"/>
              </w:rPr>
            </w:pPr>
            <w:r>
              <w:rPr>
                <w:rFonts w:ascii="Arial" w:cs="Arial" w:eastAsia="Arial" w:hAnsi="Arial"/>
                <w:sz w:val="13"/>
                <w:szCs w:val="13"/>
                <w:b w:val="1"/>
                <w:bCs w:val="1"/>
                <w:color w:val="0070C0"/>
              </w:rPr>
              <w:t>Marshall D. Smith</w:t>
            </w: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rPr>
              <w:t>DCP</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40,637</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20,855</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1,023,547</w:t>
            </w:r>
          </w:p>
        </w:tc>
        <w:tc>
          <w:tcPr>
            <w:tcW w:w="0" w:type="dxa"/>
            <w:vAlign w:val="bottom"/>
          </w:tcPr>
          <w:p>
            <w:pPr>
              <w:spacing w:after="0"/>
              <w:rPr>
                <w:sz w:val="1"/>
                <w:szCs w:val="1"/>
                <w:color w:val="auto"/>
              </w:rPr>
            </w:pPr>
          </w:p>
        </w:tc>
      </w:tr>
      <w:tr>
        <w:trPr>
          <w:trHeight w:val="162"/>
        </w:trPr>
        <w:tc>
          <w:tcPr>
            <w:tcW w:w="3580" w:type="dxa"/>
            <w:vAlign w:val="bottom"/>
            <w:vMerge w:val="continue"/>
            <w:shd w:val="clear" w:color="auto" w:fill="EBEBEC"/>
          </w:tcPr>
          <w:p>
            <w:pPr>
              <w:spacing w:after="0"/>
              <w:rPr>
                <w:sz w:val="14"/>
                <w:szCs w:val="14"/>
                <w:color w:val="auto"/>
              </w:rPr>
            </w:pP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2"/>
              </w:rPr>
              <w:t>SSP</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223,020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36,415</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1,186,955</w:t>
            </w:r>
          </w:p>
        </w:tc>
        <w:tc>
          <w:tcPr>
            <w:tcW w:w="0" w:type="dxa"/>
            <w:vAlign w:val="bottom"/>
          </w:tcPr>
          <w:p>
            <w:pPr>
              <w:spacing w:after="0"/>
              <w:rPr>
                <w:sz w:val="1"/>
                <w:szCs w:val="1"/>
                <w:color w:val="auto"/>
              </w:rPr>
            </w:pPr>
          </w:p>
        </w:tc>
      </w:tr>
      <w:tr>
        <w:trPr>
          <w:trHeight w:val="162"/>
        </w:trPr>
        <w:tc>
          <w:tcPr>
            <w:tcW w:w="3580" w:type="dxa"/>
            <w:vAlign w:val="bottom"/>
            <w:vMerge w:val="restart"/>
            <w:shd w:val="clear" w:color="auto" w:fill="EBEBEC"/>
          </w:tcPr>
          <w:p>
            <w:pPr>
              <w:ind w:left="140"/>
              <w:spacing w:after="0"/>
              <w:rPr>
                <w:sz w:val="20"/>
                <w:szCs w:val="20"/>
                <w:color w:val="auto"/>
              </w:rPr>
            </w:pPr>
            <w:r>
              <w:rPr>
                <w:rFonts w:ascii="Arial" w:cs="Arial" w:eastAsia="Arial" w:hAnsi="Arial"/>
                <w:sz w:val="13"/>
                <w:szCs w:val="13"/>
                <w:b w:val="1"/>
                <w:bCs w:val="1"/>
                <w:color w:val="0070C0"/>
              </w:rPr>
              <w:t>Darren Williams</w:t>
            </w: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785</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19,858</w:t>
            </w:r>
          </w:p>
        </w:tc>
        <w:tc>
          <w:tcPr>
            <w:tcW w:w="0" w:type="dxa"/>
            <w:vAlign w:val="bottom"/>
          </w:tcPr>
          <w:p>
            <w:pPr>
              <w:spacing w:after="0"/>
              <w:rPr>
                <w:sz w:val="1"/>
                <w:szCs w:val="1"/>
                <w:color w:val="auto"/>
              </w:rPr>
            </w:pPr>
          </w:p>
        </w:tc>
      </w:tr>
      <w:tr>
        <w:trPr>
          <w:trHeight w:val="162"/>
        </w:trPr>
        <w:tc>
          <w:tcPr>
            <w:tcW w:w="3580" w:type="dxa"/>
            <w:vAlign w:val="bottom"/>
            <w:vMerge w:val="continue"/>
            <w:shd w:val="clear" w:color="auto" w:fill="EBEBEC"/>
          </w:tcPr>
          <w:p>
            <w:pPr>
              <w:spacing w:after="0"/>
              <w:rPr>
                <w:sz w:val="14"/>
                <w:szCs w:val="14"/>
                <w:color w:val="auto"/>
              </w:rPr>
            </w:pP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2"/>
              </w:rPr>
              <w:t>SSP</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145,215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22,525</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742,034</w:t>
            </w:r>
          </w:p>
        </w:tc>
        <w:tc>
          <w:tcPr>
            <w:tcW w:w="0" w:type="dxa"/>
            <w:vAlign w:val="bottom"/>
          </w:tcPr>
          <w:p>
            <w:pPr>
              <w:spacing w:after="0"/>
              <w:rPr>
                <w:sz w:val="1"/>
                <w:szCs w:val="1"/>
                <w:color w:val="auto"/>
              </w:rPr>
            </w:pPr>
          </w:p>
        </w:tc>
      </w:tr>
      <w:tr>
        <w:trPr>
          <w:trHeight w:val="162"/>
        </w:trPr>
        <w:tc>
          <w:tcPr>
            <w:tcW w:w="3580" w:type="dxa"/>
            <w:vAlign w:val="bottom"/>
            <w:vMerge w:val="restart"/>
            <w:shd w:val="clear" w:color="auto" w:fill="EBEBEC"/>
          </w:tcPr>
          <w:p>
            <w:pPr>
              <w:ind w:left="140"/>
              <w:spacing w:after="0"/>
              <w:rPr>
                <w:sz w:val="20"/>
                <w:szCs w:val="20"/>
                <w:color w:val="auto"/>
              </w:rPr>
            </w:pPr>
            <w:r>
              <w:rPr>
                <w:rFonts w:ascii="Arial" w:cs="Arial" w:eastAsia="Arial" w:hAnsi="Arial"/>
                <w:sz w:val="13"/>
                <w:szCs w:val="13"/>
                <w:b w:val="1"/>
                <w:bCs w:val="1"/>
                <w:color w:val="0070C0"/>
              </w:rPr>
              <w:t>Charles F. Weiss</w:t>
            </w: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299</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7,548</w:t>
            </w:r>
          </w:p>
        </w:tc>
        <w:tc>
          <w:tcPr>
            <w:tcW w:w="0" w:type="dxa"/>
            <w:vAlign w:val="bottom"/>
          </w:tcPr>
          <w:p>
            <w:pPr>
              <w:spacing w:after="0"/>
              <w:rPr>
                <w:sz w:val="1"/>
                <w:szCs w:val="1"/>
                <w:color w:val="auto"/>
              </w:rPr>
            </w:pPr>
          </w:p>
        </w:tc>
      </w:tr>
      <w:tr>
        <w:trPr>
          <w:trHeight w:val="162"/>
        </w:trPr>
        <w:tc>
          <w:tcPr>
            <w:tcW w:w="3580" w:type="dxa"/>
            <w:vAlign w:val="bottom"/>
            <w:vMerge w:val="continue"/>
            <w:shd w:val="clear" w:color="auto" w:fill="EBEBEC"/>
          </w:tcPr>
          <w:p>
            <w:pPr>
              <w:spacing w:after="0"/>
              <w:rPr>
                <w:sz w:val="14"/>
                <w:szCs w:val="14"/>
                <w:color w:val="auto"/>
              </w:rPr>
            </w:pP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2"/>
              </w:rPr>
              <w:t>SSP</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126,262</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19,536</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644,242</w:t>
            </w:r>
          </w:p>
        </w:tc>
        <w:tc>
          <w:tcPr>
            <w:tcW w:w="0" w:type="dxa"/>
            <w:vAlign w:val="bottom"/>
          </w:tcPr>
          <w:p>
            <w:pPr>
              <w:spacing w:after="0"/>
              <w:rPr>
                <w:sz w:val="1"/>
                <w:szCs w:val="1"/>
                <w:color w:val="auto"/>
              </w:rPr>
            </w:pPr>
          </w:p>
        </w:tc>
      </w:tr>
      <w:tr>
        <w:trPr>
          <w:trHeight w:val="162"/>
        </w:trPr>
        <w:tc>
          <w:tcPr>
            <w:tcW w:w="3580" w:type="dxa"/>
            <w:vAlign w:val="bottom"/>
            <w:vMerge w:val="restart"/>
            <w:shd w:val="clear" w:color="auto" w:fill="EBEBEC"/>
          </w:tcPr>
          <w:p>
            <w:pPr>
              <w:ind w:left="140"/>
              <w:spacing w:after="0"/>
              <w:rPr>
                <w:sz w:val="20"/>
                <w:szCs w:val="20"/>
                <w:color w:val="auto"/>
              </w:rPr>
            </w:pPr>
            <w:r>
              <w:rPr>
                <w:rFonts w:ascii="Arial" w:cs="Arial" w:eastAsia="Arial" w:hAnsi="Arial"/>
                <w:sz w:val="13"/>
                <w:szCs w:val="13"/>
                <w:b w:val="1"/>
                <w:bCs w:val="1"/>
                <w:color w:val="0070C0"/>
              </w:rPr>
              <w:t>Michael L. Preston</w:t>
            </w: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45,961</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1,162,134</w:t>
            </w:r>
          </w:p>
        </w:tc>
        <w:tc>
          <w:tcPr>
            <w:tcW w:w="0" w:type="dxa"/>
            <w:vAlign w:val="bottom"/>
          </w:tcPr>
          <w:p>
            <w:pPr>
              <w:spacing w:after="0"/>
              <w:rPr>
                <w:sz w:val="1"/>
                <w:szCs w:val="1"/>
                <w:color w:val="auto"/>
              </w:rPr>
            </w:pPr>
          </w:p>
        </w:tc>
      </w:tr>
      <w:tr>
        <w:trPr>
          <w:trHeight w:val="162"/>
        </w:trPr>
        <w:tc>
          <w:tcPr>
            <w:tcW w:w="3580" w:type="dxa"/>
            <w:vAlign w:val="bottom"/>
            <w:vMerge w:val="continue"/>
            <w:shd w:val="clear" w:color="auto" w:fill="EBEBEC"/>
          </w:tcPr>
          <w:p>
            <w:pPr>
              <w:spacing w:after="0"/>
              <w:rPr>
                <w:sz w:val="14"/>
                <w:szCs w:val="14"/>
                <w:color w:val="auto"/>
              </w:rPr>
            </w:pP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2"/>
              </w:rPr>
              <w:t>SSP</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155,684</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19,065</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665,849</w:t>
            </w:r>
          </w:p>
        </w:tc>
        <w:tc>
          <w:tcPr>
            <w:tcW w:w="0" w:type="dxa"/>
            <w:vAlign w:val="bottom"/>
          </w:tcPr>
          <w:p>
            <w:pPr>
              <w:spacing w:after="0"/>
              <w:rPr>
                <w:sz w:val="1"/>
                <w:szCs w:val="1"/>
                <w:color w:val="auto"/>
              </w:rPr>
            </w:pPr>
          </w:p>
        </w:tc>
      </w:tr>
      <w:tr>
        <w:trPr>
          <w:trHeight w:val="162"/>
        </w:trPr>
        <w:tc>
          <w:tcPr>
            <w:tcW w:w="3580" w:type="dxa"/>
            <w:vAlign w:val="bottom"/>
            <w:shd w:val="clear" w:color="auto" w:fill="EBEBEC"/>
          </w:tcPr>
          <w:p>
            <w:pPr>
              <w:spacing w:after="0"/>
              <w:rPr>
                <w:sz w:val="14"/>
                <w:szCs w:val="14"/>
                <w:color w:val="auto"/>
              </w:rPr>
            </w:pPr>
          </w:p>
        </w:tc>
        <w:tc>
          <w:tcPr>
            <w:tcW w:w="76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BEBEC"/>
          </w:tcPr>
          <w:p>
            <w:pPr>
              <w:spacing w:after="0"/>
              <w:rPr>
                <w:sz w:val="14"/>
                <w:szCs w:val="14"/>
                <w:color w:val="auto"/>
              </w:rPr>
            </w:pPr>
          </w:p>
        </w:tc>
        <w:tc>
          <w:tcPr>
            <w:tcW w:w="6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40,102</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1,013,989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1398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228" w:lineRule="exact"/>
        <w:rPr>
          <w:sz w:val="20"/>
          <w:szCs w:val="20"/>
          <w:color w:val="auto"/>
        </w:rPr>
      </w:pPr>
    </w:p>
    <w:p>
      <w:pPr>
        <w:ind w:left="340" w:right="240" w:hanging="332"/>
        <w:spacing w:after="0" w:line="229"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No employee contributions are permitted in the SSP or SRP II. The amounts reported in this column were deferred at the election of the executive and are also included in the amounts reported in the “Salary” column of the Summary Compensation Table for 2019.</w:t>
      </w:r>
    </w:p>
    <w:p>
      <w:pPr>
        <w:spacing w:after="0" w:line="70"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represent Company contributions to the SSP and DCP and are reported under “All Other Compensation” in the Summary Compensation Table for 2019.</w:t>
      </w:r>
    </w:p>
    <w:p>
      <w:pPr>
        <w:spacing w:after="0" w:line="82" w:lineRule="exact"/>
        <w:rPr>
          <w:rFonts w:ascii="Arial" w:cs="Arial" w:eastAsia="Arial" w:hAnsi="Arial"/>
          <w:sz w:val="14"/>
          <w:szCs w:val="14"/>
          <w:color w:val="auto"/>
        </w:rPr>
      </w:pPr>
    </w:p>
    <w:p>
      <w:pPr>
        <w:ind w:left="340" w:right="460" w:hanging="332"/>
        <w:spacing w:after="0" w:line="229"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reported in this column represent aggregate interest as provided in the plans that accrued during 2019 and include excess earnings which are reported under “Change in Pension Value and Nonqualified Deferred Compensation Earnings” in the Summary Compensation Table for 2019.</w:t>
      </w:r>
    </w:p>
    <w:p>
      <w:pPr>
        <w:spacing w:after="0" w:line="70"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Distribution made in March 2019 in accordance with a specified age election described under “Nonqualified Deferred Compensation Plan” above.</w:t>
      </w:r>
    </w:p>
    <w:p>
      <w:pPr>
        <w:spacing w:after="0" w:line="82" w:lineRule="exact"/>
        <w:rPr>
          <w:rFonts w:ascii="Arial" w:cs="Arial" w:eastAsia="Arial" w:hAnsi="Arial"/>
          <w:sz w:val="14"/>
          <w:szCs w:val="14"/>
          <w:color w:val="auto"/>
        </w:rPr>
      </w:pPr>
    </w:p>
    <w:p>
      <w:pPr>
        <w:ind w:left="340" w:right="20" w:hanging="332"/>
        <w:spacing w:after="0" w:line="219"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reported in this column reflect the total balance of the NEO’s accounts in the plans as of December 31, 2019. The total amount previously reported in the Summary Compensation Table for each of the NEOs was as follows: Mr. Stevens - $2,173,510; Mr. Smith - $1,138,838; Mr. Williams - $708,082; Mr. Weiss - $651,562; and Mr. Preston - $169,882.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required by Section 953(b) of the Dodd -Frank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2019, our last completed fiscal year:</w:t>
      </w:r>
    </w:p>
    <w:p>
      <w:pPr>
        <w:spacing w:after="0" w:line="104" w:lineRule="exact"/>
        <w:rPr>
          <w:sz w:val="20"/>
          <w:szCs w:val="20"/>
          <w:color w:val="auto"/>
        </w:rPr>
      </w:pPr>
    </w:p>
    <w:p>
      <w:pPr>
        <w:ind w:left="580" w:hanging="343"/>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$154,051.</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on page 57, was $10,497,077.</w:t>
      </w:r>
    </w:p>
    <w:p>
      <w:pPr>
        <w:spacing w:after="0" w:line="117" w:lineRule="exact"/>
        <w:rPr>
          <w:rFonts w:ascii="Arial" w:cs="Arial" w:eastAsia="Arial" w:hAnsi="Arial"/>
          <w:sz w:val="18"/>
          <w:szCs w:val="18"/>
          <w:color w:val="auto"/>
        </w:rPr>
      </w:pPr>
    </w:p>
    <w:p>
      <w:pPr>
        <w:ind w:left="580" w:right="520" w:hanging="343"/>
        <w:spacing w:after="0" w:line="246"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this information, for 2019 the ratio of the annual total compensation of our CEO to the median of the annual total compensation of all employees was reasonably estimated to be 68 to 1.</w:t>
      </w:r>
    </w:p>
    <w:p>
      <w:pPr>
        <w:spacing w:after="0" w:line="1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89" w:lineRule="exact"/>
        <w:rPr>
          <w:sz w:val="20"/>
          <w:szCs w:val="20"/>
          <w:color w:val="auto"/>
        </w:rPr>
      </w:pPr>
    </w:p>
    <w:p>
      <w:pPr>
        <w:ind w:left="580" w:right="100" w:hanging="343"/>
        <w:spacing w:after="0" w:line="23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determined that, as of December 31, 2019 (which is the date we chose to identify our median employee), our employee population consisted of approximately 1,250 individuals with all of these individuals located in the United States (as reported in Item 1, Business, in our Annual Report on Form 10-K filed with the Securities and Exchange Commission on February 26, 2020 (our “Annual</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1" w:name="page72"/>
    <w:bookmarkEnd w:id="7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333" w:lineRule="exact"/>
        <w:rPr>
          <w:sz w:val="20"/>
          <w:szCs w:val="20"/>
          <w:color w:val="auto"/>
        </w:rPr>
      </w:pPr>
    </w:p>
    <w:p>
      <w:pPr>
        <w:ind w:left="343"/>
        <w:spacing w:after="0"/>
        <w:rPr>
          <w:sz w:val="20"/>
          <w:szCs w:val="20"/>
          <w:color w:val="auto"/>
        </w:rPr>
      </w:pPr>
      <w:r>
        <w:rPr>
          <w:rFonts w:ascii="Arial" w:cs="Arial" w:eastAsia="Arial" w:hAnsi="Arial"/>
          <w:sz w:val="18"/>
          <w:szCs w:val="18"/>
          <w:color w:val="auto"/>
        </w:rPr>
        <w:t>Report”)). This population consisted of our full-time, part-time, and temporary employees, as we do not have seasonal workers.</w:t>
      </w:r>
    </w:p>
    <w:p>
      <w:pPr>
        <w:spacing w:after="0" w:line="117" w:lineRule="exact"/>
        <w:rPr>
          <w:sz w:val="20"/>
          <w:szCs w:val="20"/>
          <w:color w:val="auto"/>
        </w:rPr>
      </w:pPr>
    </w:p>
    <w:p>
      <w:pPr>
        <w:ind w:left="343" w:right="60" w:hanging="343"/>
        <w:spacing w:after="0" w:line="238" w:lineRule="auto"/>
        <w:tabs>
          <w:tab w:leader="none" w:pos="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2019 as a consistently applied compensation measure to identify our median employee. We did not make any assumptions, adjustments, or estimates with respect to the W-2 wages, and we did not annualize the compensation for any employees that were not employed by us for all of 2019. We believe the use of W-2 wages, as applicable, is the most appropriate compensation measure since it includes the total taxable compensation received by our employees in 2019.</w:t>
      </w:r>
    </w:p>
    <w:p>
      <w:pPr>
        <w:spacing w:after="0" w:line="94" w:lineRule="exact"/>
        <w:rPr>
          <w:rFonts w:ascii="Arial" w:cs="Arial" w:eastAsia="Arial" w:hAnsi="Arial"/>
          <w:sz w:val="18"/>
          <w:szCs w:val="18"/>
          <w:color w:val="auto"/>
        </w:rPr>
      </w:pPr>
    </w:p>
    <w:p>
      <w:pPr>
        <w:ind w:left="343" w:right="120" w:hanging="343"/>
        <w:spacing w:after="0"/>
        <w:tabs>
          <w:tab w:leader="none" w:pos="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94" w:lineRule="exact"/>
        <w:rPr>
          <w:rFonts w:ascii="Arial" w:cs="Arial" w:eastAsia="Arial" w:hAnsi="Arial"/>
          <w:sz w:val="18"/>
          <w:szCs w:val="18"/>
          <w:color w:val="auto"/>
        </w:rPr>
      </w:pPr>
    </w:p>
    <w:p>
      <w:pPr>
        <w:ind w:left="343" w:right="100" w:hanging="343"/>
        <w:spacing w:after="0" w:line="246" w:lineRule="auto"/>
        <w:tabs>
          <w:tab w:leader="none" w:pos="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2019 year in accordance with the requirements of Item 402(c)(2)(x) of Regulation S-K, resulting in annual total compensation of $154,051.</w:t>
      </w:r>
    </w:p>
    <w:p>
      <w:pPr>
        <w:spacing w:after="0" w:line="88" w:lineRule="exact"/>
        <w:rPr>
          <w:rFonts w:ascii="Arial" w:cs="Arial" w:eastAsia="Arial" w:hAnsi="Arial"/>
          <w:sz w:val="18"/>
          <w:szCs w:val="18"/>
          <w:color w:val="auto"/>
        </w:rPr>
      </w:pPr>
    </w:p>
    <w:p>
      <w:pPr>
        <w:jc w:val="both"/>
        <w:ind w:left="343" w:right="560" w:hanging="343"/>
        <w:spacing w:after="0"/>
        <w:tabs>
          <w:tab w:leader="none" w:pos="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2019 Summary Compensation Table included on page 57 and incorporated by reference under Item 11 of Part III of our Annual Report.</w:t>
      </w: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66040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3"/>
          </w:cols>
          <w:pgMar w:left="557" w:top="387" w:right="339" w:bottom="1440" w:gutter="0" w:footer="0" w:header="0"/>
        </w:sectPr>
      </w:pPr>
    </w:p>
    <w:bookmarkStart w:id="72" w:name="page73"/>
    <w:bookmarkEnd w:id="7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Payments and other benefits payable to NEOs in various termination circumstances and a change in control were subject to certain policies, plans and agreements. Following is a summary of the material terms of these arrangements.</w:t>
      </w:r>
    </w:p>
    <w:p>
      <w:pPr>
        <w:spacing w:after="0" w:line="1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our Notice and Severance Pay Plan, employees terminated due to job elimination or relocation who are not offered continued employment by CRC were eligible for up to 12 months of base salary depending on years of service, two months of contributions pursuant to CRC’s qualified and nonqualified savings plans with immediate vesting of any unvested balances, and continued medical and dental coverage for the applicable notice and severance period at the active employee rate.</w:t>
      </w:r>
    </w:p>
    <w:p>
      <w:pPr>
        <w:spacing w:after="0" w:line="20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Awards under our Long -Term Incentive Plan have provisions that, in the event of a change in control followed by a termination, provide for the full acceleration of awards granted under such plan to become fully vested and exercisable unless the plan administrator determines, prior to the occurrence of the event, that benefits will not accelerate.</w:t>
      </w:r>
    </w:p>
    <w:p>
      <w:pPr>
        <w:spacing w:after="0" w:line="20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Except as described in this summary and below under “Potential Payments,” we did not have any other agreements or plans that would have required us to provide compensation to our NEOs in the event of a termination of employment or a change in control.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discussion that follows, payments and other benefits that would have been payable upon various terminations and change in control situations are set out as if the conditions for payments had occurred and the terminations took place on December 31, 2019, and reflect the terms of applicable plans and long-term incentive award agreements then in effect. None of our NEOs had employment agreements.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spacing w:after="0" w:line="20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89" w:lineRule="exact"/>
        <w:rPr>
          <w:sz w:val="20"/>
          <w:szCs w:val="20"/>
          <w:color w:val="auto"/>
        </w:rPr>
      </w:pPr>
    </w:p>
    <w:p>
      <w:pPr>
        <w:ind w:left="580" w:hanging="343"/>
        <w:spacing w:after="0" w:line="246"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Notice and Severance Pay Plan payments and benefits, payable if the employee’s job was either eliminated or relocated and the employee was not offered continued employment.</w:t>
      </w:r>
    </w:p>
    <w:p>
      <w:pPr>
        <w:spacing w:after="0" w:line="88" w:lineRule="exact"/>
        <w:rPr>
          <w:rFonts w:ascii="Arial" w:cs="Arial" w:eastAsia="Arial" w:hAnsi="Arial"/>
          <w:sz w:val="18"/>
          <w:szCs w:val="18"/>
          <w:color w:val="auto"/>
        </w:rPr>
      </w:pPr>
    </w:p>
    <w:p>
      <w:pPr>
        <w:ind w:left="580" w:hanging="343"/>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was available to all eligible employees.</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74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4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is a summary of the payments and benefits each of our NEOs would have been entitled to receive if the event specified occurred as of December 31,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90" w:type="dxa"/>
            <w:vAlign w:val="bottom"/>
          </w:tcPr>
          <w:p>
            <w:pPr>
              <w:spacing w:after="0"/>
              <w:rPr>
                <w:sz w:val="13"/>
                <w:szCs w:val="13"/>
                <w:color w:val="auto"/>
              </w:rPr>
            </w:pPr>
          </w:p>
        </w:tc>
        <w:tc>
          <w:tcPr>
            <w:tcW w:w="470" w:type="dxa"/>
            <w:vAlign w:val="bottom"/>
          </w:tcPr>
          <w:p>
            <w:pPr>
              <w:spacing w:after="0"/>
              <w:rPr>
                <w:sz w:val="13"/>
                <w:szCs w:val="13"/>
                <w:color w:val="auto"/>
              </w:rPr>
            </w:pPr>
          </w:p>
        </w:tc>
        <w:tc>
          <w:tcPr>
            <w:tcW w:w="1280" w:type="dxa"/>
            <w:vAlign w:val="bottom"/>
          </w:tcPr>
          <w:p>
            <w:pPr>
              <w:jc w:val="center"/>
              <w:ind w:right="77"/>
              <w:spacing w:after="0"/>
              <w:rPr>
                <w:sz w:val="20"/>
                <w:szCs w:val="20"/>
                <w:color w:val="auto"/>
              </w:rPr>
            </w:pPr>
            <w:r>
              <w:rPr>
                <w:rFonts w:ascii="Arial" w:cs="Arial" w:eastAsia="Arial" w:hAnsi="Arial"/>
                <w:sz w:val="13"/>
                <w:szCs w:val="13"/>
                <w:b w:val="1"/>
                <w:bCs w:val="1"/>
                <w:color w:val="0075C9"/>
                <w:w w:val="96"/>
              </w:rPr>
              <w:t>Retirement with</w:t>
            </w:r>
          </w:p>
        </w:tc>
        <w:tc>
          <w:tcPr>
            <w:tcW w:w="2000" w:type="dxa"/>
            <w:vAlign w:val="bottom"/>
          </w:tcPr>
          <w:p>
            <w:pPr>
              <w:jc w:val="center"/>
              <w:ind w:left="497"/>
              <w:spacing w:after="0"/>
              <w:rPr>
                <w:sz w:val="20"/>
                <w:szCs w:val="20"/>
                <w:color w:val="auto"/>
              </w:rPr>
            </w:pPr>
            <w:r>
              <w:rPr>
                <w:rFonts w:ascii="Arial" w:cs="Arial" w:eastAsia="Arial" w:hAnsi="Arial"/>
                <w:sz w:val="13"/>
                <w:szCs w:val="13"/>
                <w:b w:val="1"/>
                <w:bCs w:val="1"/>
                <w:color w:val="0075C9"/>
                <w:w w:val="94"/>
              </w:rPr>
              <w:t>Termination by</w:t>
            </w:r>
          </w:p>
        </w:tc>
        <w:tc>
          <w:tcPr>
            <w:tcW w:w="340" w:type="dxa"/>
            <w:vAlign w:val="bottom"/>
          </w:tcPr>
          <w:p>
            <w:pPr>
              <w:spacing w:after="0"/>
              <w:rPr>
                <w:sz w:val="13"/>
                <w:szCs w:val="13"/>
                <w:color w:val="auto"/>
              </w:rPr>
            </w:pPr>
          </w:p>
        </w:tc>
        <w:tc>
          <w:tcPr>
            <w:tcW w:w="1260" w:type="dxa"/>
            <w:vAlign w:val="bottom"/>
          </w:tcPr>
          <w:p>
            <w:pPr>
              <w:jc w:val="center"/>
              <w:ind w:right="337"/>
              <w:spacing w:after="0"/>
              <w:rPr>
                <w:sz w:val="20"/>
                <w:szCs w:val="20"/>
                <w:color w:val="auto"/>
              </w:rPr>
            </w:pPr>
            <w:r>
              <w:rPr>
                <w:rFonts w:ascii="Arial" w:cs="Arial" w:eastAsia="Arial" w:hAnsi="Arial"/>
                <w:sz w:val="13"/>
                <w:szCs w:val="13"/>
                <w:b w:val="1"/>
                <w:bCs w:val="1"/>
                <w:color w:val="0075C9"/>
                <w:w w:val="98"/>
              </w:rPr>
              <w:t>Change in</w:t>
            </w:r>
          </w:p>
        </w:tc>
      </w:tr>
      <w:tr>
        <w:trPr>
          <w:trHeight w:val="148"/>
        </w:trPr>
        <w:tc>
          <w:tcPr>
            <w:tcW w:w="5890" w:type="dxa"/>
            <w:vAlign w:val="bottom"/>
          </w:tcPr>
          <w:p>
            <w:pPr>
              <w:spacing w:after="0"/>
              <w:rPr>
                <w:sz w:val="12"/>
                <w:szCs w:val="12"/>
                <w:color w:val="auto"/>
              </w:rPr>
            </w:pPr>
          </w:p>
        </w:tc>
        <w:tc>
          <w:tcPr>
            <w:tcW w:w="1750" w:type="dxa"/>
            <w:vAlign w:val="bottom"/>
            <w:gridSpan w:val="2"/>
          </w:tcPr>
          <w:p>
            <w:pPr>
              <w:jc w:val="center"/>
              <w:ind w:left="267"/>
              <w:spacing w:after="0"/>
              <w:rPr>
                <w:sz w:val="20"/>
                <w:szCs w:val="20"/>
                <w:color w:val="auto"/>
              </w:rPr>
            </w:pPr>
            <w:r>
              <w:rPr>
                <w:rFonts w:ascii="Arial" w:cs="Arial" w:eastAsia="Arial" w:hAnsi="Arial"/>
                <w:sz w:val="13"/>
                <w:szCs w:val="13"/>
                <w:b w:val="1"/>
                <w:bCs w:val="1"/>
                <w:color w:val="0075C9"/>
                <w:w w:val="96"/>
              </w:rPr>
              <w:t>CRC Consent, Death,</w:t>
            </w:r>
          </w:p>
        </w:tc>
        <w:tc>
          <w:tcPr>
            <w:tcW w:w="2000" w:type="dxa"/>
            <w:vAlign w:val="bottom"/>
          </w:tcPr>
          <w:p>
            <w:pPr>
              <w:jc w:val="center"/>
              <w:ind w:left="497"/>
              <w:spacing w:after="0"/>
              <w:rPr>
                <w:sz w:val="20"/>
                <w:szCs w:val="20"/>
                <w:color w:val="auto"/>
              </w:rPr>
            </w:pPr>
            <w:r>
              <w:rPr>
                <w:rFonts w:ascii="Arial" w:cs="Arial" w:eastAsia="Arial" w:hAnsi="Arial"/>
                <w:sz w:val="13"/>
                <w:szCs w:val="13"/>
                <w:b w:val="1"/>
                <w:bCs w:val="1"/>
                <w:color w:val="0075C9"/>
                <w:w w:val="98"/>
              </w:rPr>
              <w:t>Executive or</w:t>
            </w:r>
          </w:p>
        </w:tc>
        <w:tc>
          <w:tcPr>
            <w:tcW w:w="340" w:type="dxa"/>
            <w:vAlign w:val="bottom"/>
          </w:tcPr>
          <w:p>
            <w:pPr>
              <w:spacing w:after="0"/>
              <w:rPr>
                <w:sz w:val="12"/>
                <w:szCs w:val="12"/>
                <w:color w:val="auto"/>
              </w:rPr>
            </w:pPr>
          </w:p>
        </w:tc>
        <w:tc>
          <w:tcPr>
            <w:tcW w:w="1260" w:type="dxa"/>
            <w:vAlign w:val="bottom"/>
          </w:tcPr>
          <w:p>
            <w:pPr>
              <w:jc w:val="center"/>
              <w:ind w:right="337"/>
              <w:spacing w:after="0"/>
              <w:rPr>
                <w:sz w:val="20"/>
                <w:szCs w:val="20"/>
                <w:color w:val="auto"/>
              </w:rPr>
            </w:pPr>
            <w:r>
              <w:rPr>
                <w:rFonts w:ascii="Arial" w:cs="Arial" w:eastAsia="Arial" w:hAnsi="Arial"/>
                <w:sz w:val="13"/>
                <w:szCs w:val="13"/>
                <w:b w:val="1"/>
                <w:bCs w:val="1"/>
                <w:color w:val="0075C9"/>
                <w:w w:val="97"/>
              </w:rPr>
              <w:t>Control with</w:t>
            </w:r>
          </w:p>
        </w:tc>
      </w:tr>
      <w:tr>
        <w:trPr>
          <w:trHeight w:val="148"/>
        </w:trPr>
        <w:tc>
          <w:tcPr>
            <w:tcW w:w="5890" w:type="dxa"/>
            <w:vAlign w:val="bottom"/>
          </w:tcPr>
          <w:p>
            <w:pPr>
              <w:spacing w:after="0"/>
              <w:rPr>
                <w:sz w:val="12"/>
                <w:szCs w:val="12"/>
                <w:color w:val="auto"/>
              </w:rPr>
            </w:pPr>
          </w:p>
        </w:tc>
        <w:tc>
          <w:tcPr>
            <w:tcW w:w="1750" w:type="dxa"/>
            <w:vAlign w:val="bottom"/>
            <w:gridSpan w:val="2"/>
          </w:tcPr>
          <w:p>
            <w:pPr>
              <w:ind w:left="370"/>
              <w:spacing w:after="0"/>
              <w:rPr>
                <w:sz w:val="20"/>
                <w:szCs w:val="20"/>
                <w:color w:val="auto"/>
              </w:rPr>
            </w:pPr>
            <w:r>
              <w:rPr>
                <w:rFonts w:ascii="Arial" w:cs="Arial" w:eastAsia="Arial" w:hAnsi="Arial"/>
                <w:sz w:val="13"/>
                <w:szCs w:val="13"/>
                <w:b w:val="1"/>
                <w:bCs w:val="1"/>
                <w:color w:val="0075C9"/>
                <w:w w:val="97"/>
              </w:rPr>
              <w:t>Disability, Termination</w:t>
            </w:r>
          </w:p>
        </w:tc>
        <w:tc>
          <w:tcPr>
            <w:tcW w:w="2000" w:type="dxa"/>
            <w:vAlign w:val="bottom"/>
          </w:tcPr>
          <w:p>
            <w:pPr>
              <w:jc w:val="center"/>
              <w:ind w:left="497"/>
              <w:spacing w:after="0"/>
              <w:rPr>
                <w:sz w:val="20"/>
                <w:szCs w:val="20"/>
                <w:color w:val="auto"/>
              </w:rPr>
            </w:pPr>
            <w:r>
              <w:rPr>
                <w:rFonts w:ascii="Arial" w:cs="Arial" w:eastAsia="Arial" w:hAnsi="Arial"/>
                <w:sz w:val="13"/>
                <w:szCs w:val="13"/>
                <w:b w:val="1"/>
                <w:bCs w:val="1"/>
                <w:color w:val="0075C9"/>
                <w:w w:val="96"/>
              </w:rPr>
              <w:t>Termination</w:t>
            </w:r>
          </w:p>
        </w:tc>
        <w:tc>
          <w:tcPr>
            <w:tcW w:w="340" w:type="dxa"/>
            <w:vAlign w:val="bottom"/>
          </w:tcPr>
          <w:p>
            <w:pPr>
              <w:spacing w:after="0"/>
              <w:rPr>
                <w:sz w:val="12"/>
                <w:szCs w:val="12"/>
                <w:color w:val="auto"/>
              </w:rPr>
            </w:pPr>
          </w:p>
        </w:tc>
        <w:tc>
          <w:tcPr>
            <w:tcW w:w="1260" w:type="dxa"/>
            <w:vAlign w:val="bottom"/>
          </w:tcPr>
          <w:p>
            <w:pPr>
              <w:jc w:val="center"/>
              <w:ind w:right="337"/>
              <w:spacing w:after="0"/>
              <w:rPr>
                <w:sz w:val="20"/>
                <w:szCs w:val="20"/>
                <w:color w:val="auto"/>
              </w:rPr>
            </w:pPr>
            <w:r>
              <w:rPr>
                <w:rFonts w:ascii="Arial" w:cs="Arial" w:eastAsia="Arial" w:hAnsi="Arial"/>
                <w:sz w:val="13"/>
                <w:szCs w:val="13"/>
                <w:b w:val="1"/>
                <w:bCs w:val="1"/>
                <w:color w:val="0075C9"/>
                <w:w w:val="94"/>
              </w:rPr>
              <w:t>Termination</w:t>
            </w:r>
          </w:p>
        </w:tc>
      </w:tr>
      <w:tr>
        <w:trPr>
          <w:trHeight w:val="157"/>
        </w:trPr>
        <w:tc>
          <w:tcPr>
            <w:tcW w:w="589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Benefits and Payments Upon Termination</w:t>
            </w:r>
          </w:p>
        </w:tc>
        <w:tc>
          <w:tcPr>
            <w:tcW w:w="470" w:type="dxa"/>
            <w:vAlign w:val="bottom"/>
            <w:tcBorders>
              <w:bottom w:val="single" w:sz="8" w:color="0075C9"/>
            </w:tcBorders>
          </w:tcPr>
          <w:p>
            <w:pPr>
              <w:spacing w:after="0"/>
              <w:rPr>
                <w:sz w:val="13"/>
                <w:szCs w:val="13"/>
                <w:color w:val="auto"/>
              </w:rPr>
            </w:pPr>
          </w:p>
        </w:tc>
        <w:tc>
          <w:tcPr>
            <w:tcW w:w="1280" w:type="dxa"/>
            <w:vAlign w:val="bottom"/>
            <w:tcBorders>
              <w:bottom w:val="single" w:sz="8" w:color="0075C9"/>
            </w:tcBorders>
          </w:tcPr>
          <w:p>
            <w:pPr>
              <w:jc w:val="center"/>
              <w:ind w:right="77"/>
              <w:spacing w:after="0"/>
              <w:rPr>
                <w:sz w:val="20"/>
                <w:szCs w:val="20"/>
                <w:color w:val="auto"/>
              </w:rPr>
            </w:pPr>
            <w:r>
              <w:rPr>
                <w:rFonts w:ascii="Arial" w:cs="Arial" w:eastAsia="Arial" w:hAnsi="Arial"/>
                <w:sz w:val="13"/>
                <w:szCs w:val="13"/>
                <w:b w:val="1"/>
                <w:bCs w:val="1"/>
                <w:color w:val="0075C9"/>
                <w:w w:val="96"/>
              </w:rPr>
              <w:t>without Cause</w:t>
            </w:r>
          </w:p>
        </w:tc>
        <w:tc>
          <w:tcPr>
            <w:tcW w:w="2000" w:type="dxa"/>
            <w:vAlign w:val="bottom"/>
            <w:tcBorders>
              <w:bottom w:val="single" w:sz="8" w:color="0075C9"/>
            </w:tcBorders>
          </w:tcPr>
          <w:p>
            <w:pPr>
              <w:jc w:val="center"/>
              <w:ind w:left="477"/>
              <w:spacing w:after="0"/>
              <w:rPr>
                <w:sz w:val="20"/>
                <w:szCs w:val="20"/>
                <w:color w:val="auto"/>
              </w:rPr>
            </w:pPr>
            <w:r>
              <w:rPr>
                <w:rFonts w:ascii="Arial" w:cs="Arial" w:eastAsia="Arial" w:hAnsi="Arial"/>
                <w:sz w:val="13"/>
                <w:szCs w:val="13"/>
                <w:b w:val="1"/>
                <w:bCs w:val="1"/>
                <w:color w:val="0075C9"/>
                <w:w w:val="96"/>
              </w:rPr>
              <w:t>for Cause</w:t>
            </w:r>
          </w:p>
        </w:tc>
        <w:tc>
          <w:tcPr>
            <w:tcW w:w="340" w:type="dxa"/>
            <w:vAlign w:val="bottom"/>
            <w:tcBorders>
              <w:bottom w:val="single" w:sz="8" w:color="0075C9"/>
            </w:tcBorders>
          </w:tcPr>
          <w:p>
            <w:pPr>
              <w:spacing w:after="0"/>
              <w:rPr>
                <w:sz w:val="13"/>
                <w:szCs w:val="13"/>
                <w:color w:val="auto"/>
              </w:rPr>
            </w:pPr>
          </w:p>
        </w:tc>
        <w:tc>
          <w:tcPr>
            <w:tcW w:w="1260" w:type="dxa"/>
            <w:vAlign w:val="bottom"/>
            <w:tcBorders>
              <w:bottom w:val="single" w:sz="8" w:color="0075C9"/>
            </w:tcBorders>
          </w:tcPr>
          <w:p>
            <w:pPr>
              <w:jc w:val="center"/>
              <w:ind w:right="357"/>
              <w:spacing w:after="0"/>
              <w:rPr>
                <w:sz w:val="20"/>
                <w:szCs w:val="20"/>
                <w:color w:val="auto"/>
              </w:rPr>
            </w:pPr>
            <w:r>
              <w:rPr>
                <w:rFonts w:ascii="Arial" w:cs="Arial" w:eastAsia="Arial" w:hAnsi="Arial"/>
                <w:sz w:val="13"/>
                <w:szCs w:val="13"/>
                <w:b w:val="1"/>
                <w:bCs w:val="1"/>
                <w:color w:val="0075C9"/>
                <w:w w:val="96"/>
              </w:rPr>
              <w:t>as Result</w:t>
            </w:r>
          </w:p>
        </w:tc>
      </w:tr>
      <w:tr>
        <w:trPr>
          <w:trHeight w:val="142"/>
        </w:trPr>
        <w:tc>
          <w:tcPr>
            <w:tcW w:w="5890" w:type="dxa"/>
            <w:vAlign w:val="bottom"/>
            <w:shd w:val="clear" w:color="auto" w:fill="EBEBEC"/>
          </w:tcPr>
          <w:p>
            <w:pPr>
              <w:ind w:left="140"/>
              <w:spacing w:after="0" w:line="142" w:lineRule="exact"/>
              <w:rPr>
                <w:sz w:val="20"/>
                <w:szCs w:val="20"/>
                <w:color w:val="auto"/>
              </w:rPr>
            </w:pPr>
            <w:r>
              <w:rPr>
                <w:rFonts w:ascii="Arial" w:cs="Arial" w:eastAsia="Arial" w:hAnsi="Arial"/>
                <w:sz w:val="13"/>
                <w:szCs w:val="13"/>
                <w:b w:val="1"/>
                <w:bCs w:val="1"/>
                <w:color w:val="0075C9"/>
              </w:rPr>
              <w:t>Todd A. Stevens</w:t>
            </w:r>
          </w:p>
        </w:tc>
        <w:tc>
          <w:tcPr>
            <w:tcW w:w="470" w:type="dxa"/>
            <w:vAlign w:val="bottom"/>
            <w:shd w:val="clear" w:color="auto" w:fill="EBEBEC"/>
          </w:tcPr>
          <w:p>
            <w:pPr>
              <w:spacing w:after="0"/>
              <w:rPr>
                <w:sz w:val="12"/>
                <w:szCs w:val="12"/>
                <w:color w:val="auto"/>
              </w:rPr>
            </w:pPr>
          </w:p>
        </w:tc>
        <w:tc>
          <w:tcPr>
            <w:tcW w:w="1280" w:type="dxa"/>
            <w:vAlign w:val="bottom"/>
            <w:shd w:val="clear" w:color="auto" w:fill="EBEBEC"/>
          </w:tcPr>
          <w:p>
            <w:pPr>
              <w:spacing w:after="0"/>
              <w:rPr>
                <w:sz w:val="12"/>
                <w:szCs w:val="12"/>
                <w:color w:val="auto"/>
              </w:rPr>
            </w:pPr>
          </w:p>
        </w:tc>
        <w:tc>
          <w:tcPr>
            <w:tcW w:w="200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1260" w:type="dxa"/>
            <w:vAlign w:val="bottom"/>
            <w:shd w:val="clear" w:color="auto" w:fill="EBEBEC"/>
          </w:tcPr>
          <w:p>
            <w:pPr>
              <w:spacing w:after="0"/>
              <w:rPr>
                <w:sz w:val="12"/>
                <w:szCs w:val="12"/>
                <w:color w:val="auto"/>
              </w:rPr>
            </w:pP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1,301,000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1,301,000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891,113</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1,965,226</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1,116,884</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2,403,190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2,305,753</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2,400,000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5,614,750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8,069,416</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Marshall D. Smith</w:t>
            </w:r>
          </w:p>
        </w:tc>
        <w:tc>
          <w:tcPr>
            <w:tcW w:w="47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00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811,000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811,000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337,208</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734,238</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409,710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883,694</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912,694</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950,000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67"/>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2,470,611</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3,378,932</w:t>
            </w:r>
          </w:p>
        </w:tc>
      </w:tr>
      <w:tr>
        <w:trPr>
          <w:trHeight w:val="168"/>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Darren Williams</w:t>
            </w:r>
          </w:p>
        </w:tc>
        <w:tc>
          <w:tcPr>
            <w:tcW w:w="47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00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547,000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547,000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182,563</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400,878</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226,101</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487,259</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480,365</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500,000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6"/>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1,436,029</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1,935,136</w:t>
            </w:r>
          </w:p>
        </w:tc>
      </w:tr>
      <w:tr>
        <w:trPr>
          <w:trHeight w:val="168"/>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Charles F. Weiss</w:t>
            </w:r>
          </w:p>
        </w:tc>
        <w:tc>
          <w:tcPr>
            <w:tcW w:w="47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00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480,000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480,000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194,843</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423,769</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236,731</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509,978</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528,402</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550,000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6"/>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1,439,976</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1,963,747</w:t>
            </w:r>
          </w:p>
        </w:tc>
      </w:tr>
      <w:tr>
        <w:trPr>
          <w:trHeight w:val="168"/>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Michael L. Preston</w:t>
            </w:r>
          </w:p>
        </w:tc>
        <w:tc>
          <w:tcPr>
            <w:tcW w:w="47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00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506,000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506,000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167,247</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380,714</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224,604</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482,067</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384,292</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400,000</w:t>
            </w:r>
          </w:p>
        </w:tc>
      </w:tr>
      <w:tr>
        <w:trPr>
          <w:trHeight w:val="162"/>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1"/>
        </w:trPr>
        <w:tc>
          <w:tcPr>
            <w:tcW w:w="589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70" w:type="dxa"/>
            <w:vAlign w:val="bottom"/>
            <w:shd w:val="clear" w:color="auto" w:fill="EBEBEC"/>
          </w:tcPr>
          <w:p>
            <w:pPr>
              <w:ind w:left="35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1,282,143</w:t>
            </w:r>
          </w:p>
        </w:tc>
        <w:tc>
          <w:tcPr>
            <w:tcW w:w="2000" w:type="dxa"/>
            <w:vAlign w:val="bottom"/>
            <w:shd w:val="clear" w:color="auto" w:fill="EBEBEC"/>
          </w:tcPr>
          <w:p>
            <w:pPr>
              <w:jc w:val="right"/>
              <w:ind w:right="69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1,768,780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-2673985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-2982595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-3496945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left="340" w:right="20" w:hanging="332"/>
        <w:spacing w:after="0" w:line="219"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The annual incentive award provided for a pro rata payout in the event of death or disability at any time during the year and in the event of retirement with consent or termination without cause after June 30, 2019. Amount shown is the annual incentive award that would have been payable, based on the amounts that were approved by the Compensation Committee as disclosed in the Summary Compensation Table.</w:t>
      </w:r>
    </w:p>
    <w:p>
      <w:pPr>
        <w:spacing w:after="0" w:line="72" w:lineRule="exact"/>
        <w:rPr>
          <w:rFonts w:ascii="Arial" w:cs="Arial" w:eastAsia="Arial" w:hAnsi="Arial"/>
          <w:sz w:val="13"/>
          <w:szCs w:val="13"/>
          <w:color w:val="auto"/>
        </w:rPr>
      </w:pPr>
    </w:p>
    <w:p>
      <w:pPr>
        <w:ind w:left="340" w:right="20" w:hanging="332"/>
        <w:spacing w:after="0" w:line="215"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In the event of retirement with consent, termination without cause, death or disability, a pro rata portion of the RSU awards would have been forfeited. In the event of death or disability, the remainder would have become payable immediately. In the event of change in control with termination as a result of the change in control, the full awards would have been payable immediately. Amounts shown represent the product of the number of shares/units that would have become vested upon occurrence of the indicated event and $9.03, the closing price of CRC common stock on December 31, 2019, the last trading day of the year.</w:t>
      </w:r>
    </w:p>
    <w:p>
      <w:pPr>
        <w:spacing w:after="0" w:line="71" w:lineRule="exact"/>
        <w:rPr>
          <w:rFonts w:ascii="Arial" w:cs="Arial" w:eastAsia="Arial" w:hAnsi="Arial"/>
          <w:sz w:val="13"/>
          <w:szCs w:val="13"/>
          <w:color w:val="auto"/>
        </w:rPr>
      </w:pPr>
    </w:p>
    <w:p>
      <w:pPr>
        <w:ind w:left="340" w:hanging="332"/>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In the event of retirement with consent or termination without cause, a pro rata portion of the PSU Awards would have been forfeited and the remainder would have remained subject to the performance criteria through the award certification date. In the event of death or disability, a pro rata portion of the target award would have become payable immediately. In the event of change in control with termination as a result of the change in control, the award, adjusted for actual performance through the event date, would have been payable immediately. Amounts shown reflect target payout and represent the product of the number of units that would have become vested upon occurrence of the indicated event and $9.03, the closing price of CRC common stock on December 31, 2019, the last trading day of the year.</w:t>
      </w:r>
    </w:p>
    <w:p>
      <w:pPr>
        <w:spacing w:after="0" w:line="113" w:lineRule="exact"/>
        <w:rPr>
          <w:rFonts w:ascii="Arial" w:cs="Arial" w:eastAsia="Arial" w:hAnsi="Arial"/>
          <w:sz w:val="13"/>
          <w:szCs w:val="13"/>
          <w:color w:val="auto"/>
        </w:rPr>
      </w:pPr>
    </w:p>
    <w:p>
      <w:pPr>
        <w:ind w:left="340" w:right="20" w:hanging="332"/>
        <w:spacing w:after="0" w:line="215"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In the event of retirement with consent or termination without cause, a pro rata portion of the PIA target incentive amount would have been forfeited and the remainder would have remained subject to the performance criteria through the award certification date. In the event of death or disability, a pro rata portion of the target incentive amount would have become payable immediately. In the event of change in control with termination as a result of the change in control, the target incentive amount, adjusted for actual performance through the event date, would have been payable immediately. Amounts shown reflect target payout.</w:t>
      </w:r>
    </w:p>
    <w:p>
      <w:pPr>
        <w:spacing w:after="0" w:line="71" w:lineRule="exact"/>
        <w:rPr>
          <w:rFonts w:ascii="Arial" w:cs="Arial" w:eastAsia="Arial" w:hAnsi="Arial"/>
          <w:sz w:val="13"/>
          <w:szCs w:val="13"/>
          <w:color w:val="auto"/>
        </w:rPr>
      </w:pPr>
    </w:p>
    <w:p>
      <w:pPr>
        <w:ind w:left="340" w:right="60" w:hanging="332"/>
        <w:spacing w:after="0" w:line="219"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Under the terms of the option awards, options would have become (i) vested fully or prorated based upon the earlier of the executive’s termination of employment for retirement, disability, death, or involuntary termination or (ii) fully vested upon termination of employment as a result of a change in control. Option award values are $0 because in each case the option exercise price was greater than $9.03, the price of CRC common stock on December 31, 2019.</w:t>
      </w:r>
    </w:p>
    <w:p>
      <w:pPr>
        <w:spacing w:after="0" w:line="202"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4" w:name="page75"/>
    <w:bookmarkEnd w:id="7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118" w:lineRule="exact"/>
        <w:rPr>
          <w:sz w:val="20"/>
          <w:szCs w:val="20"/>
          <w:color w:val="auto"/>
        </w:rPr>
      </w:pPr>
    </w:p>
    <w:p>
      <w:pPr>
        <w:ind w:left="9700"/>
        <w:spacing w:after="0"/>
        <w:rPr>
          <w:sz w:val="20"/>
          <w:szCs w:val="20"/>
          <w:color w:val="auto"/>
        </w:rPr>
      </w:pPr>
      <w:r>
        <w:rPr>
          <w:rFonts w:ascii="Arial" w:cs="Arial" w:eastAsia="Arial" w:hAnsi="Arial"/>
          <w:sz w:val="14"/>
          <w:szCs w:val="14"/>
          <w:color w:val="auto"/>
        </w:rPr>
        <w:t>Director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Program Objectives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director compensation program is designed to be consistent with the programs of our Peer Group.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matters were considered important to development of our director compensation program:</w:t>
      </w:r>
    </w:p>
    <w:p>
      <w:pPr>
        <w:spacing w:after="0" w:line="104" w:lineRule="exact"/>
        <w:rPr>
          <w:sz w:val="20"/>
          <w:szCs w:val="20"/>
          <w:color w:val="auto"/>
        </w:rPr>
      </w:pPr>
    </w:p>
    <w:p>
      <w:pPr>
        <w:ind w:left="580" w:hanging="343"/>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practices of our peer companies targeting a compensation package that is at or below the median of this group.</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need to recruit and retain independent directors.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0075C9"/>
        </w:rPr>
        <w:t>Program Elements</w:t>
      </w:r>
    </w:p>
    <w:p>
      <w:pPr>
        <w:spacing w:after="0" w:line="10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For 2019, the equity award was changed to be vested on the grant date, instead of one year after the grant date in prior years. The elements of our 2019 outside director compensation program were as follows:</w:t>
      </w:r>
    </w:p>
    <w:p>
      <w:pPr>
        <w:spacing w:after="0" w:line="89" w:lineRule="exact"/>
        <w:rPr>
          <w:sz w:val="20"/>
          <w:szCs w:val="20"/>
          <w:color w:val="auto"/>
        </w:rPr>
      </w:pPr>
    </w:p>
    <w:p>
      <w:pPr>
        <w:ind w:left="580" w:hanging="34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cash board retainer of $90,000, paid in equal monthly installments.</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additional annual cash retainer of $100,000 for our Chairman.</w:t>
      </w:r>
    </w:p>
    <w:p>
      <w:pPr>
        <w:spacing w:after="0" w:line="117" w:lineRule="exact"/>
        <w:rPr>
          <w:rFonts w:ascii="Arial" w:cs="Arial" w:eastAsia="Arial" w:hAnsi="Arial"/>
          <w:sz w:val="18"/>
          <w:szCs w:val="18"/>
          <w:color w:val="auto"/>
        </w:rPr>
      </w:pPr>
    </w:p>
    <w:p>
      <w:pPr>
        <w:ind w:left="580" w:hanging="34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additional annual cash retainer of $25,000 for the Lead Independent Director.</w:t>
      </w:r>
    </w:p>
    <w:p>
      <w:pPr>
        <w:spacing w:after="0" w:line="117" w:lineRule="exact"/>
        <w:rPr>
          <w:rFonts w:ascii="Arial" w:cs="Arial" w:eastAsia="Arial" w:hAnsi="Arial"/>
          <w:sz w:val="18"/>
          <w:szCs w:val="18"/>
          <w:color w:val="auto"/>
        </w:rPr>
      </w:pPr>
    </w:p>
    <w:p>
      <w:pPr>
        <w:ind w:left="580" w:right="40" w:hanging="343"/>
        <w:spacing w:after="0" w:line="246"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additional annual cash retainer of $20,000 for the audit and compensation committee chairpersons and $15,000 for the other committee chairpersons.</w:t>
      </w:r>
    </w:p>
    <w:p>
      <w:pPr>
        <w:spacing w:after="0" w:line="88" w:lineRule="exact"/>
        <w:rPr>
          <w:rFonts w:ascii="Arial" w:cs="Arial" w:eastAsia="Arial" w:hAnsi="Arial"/>
          <w:sz w:val="18"/>
          <w:szCs w:val="18"/>
          <w:color w:val="auto"/>
        </w:rPr>
      </w:pPr>
    </w:p>
    <w:p>
      <w:pPr>
        <w:ind w:left="580" w:hanging="34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equity award of our common stock equivalent to $175,000 on the grant date.</w:t>
      </w:r>
    </w:p>
    <w:p>
      <w:pPr>
        <w:spacing w:after="0" w:line="117" w:lineRule="exact"/>
        <w:rPr>
          <w:rFonts w:ascii="Arial" w:cs="Arial" w:eastAsia="Arial" w:hAnsi="Arial"/>
          <w:sz w:val="18"/>
          <w:szCs w:val="18"/>
          <w:color w:val="auto"/>
        </w:rPr>
      </w:pPr>
    </w:p>
    <w:p>
      <w:pPr>
        <w:ind w:left="580" w:right="120" w:hanging="343"/>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stock ownership guideline of five times the annual cash board retainer applies to outside directors who are expected to attain this target ownership level within five years of election to our Board of Directors. As of December 31, 2019, all of our outside directors were in compliance with the stock ownership guideline, based on the grant/purchase date stock values.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0075C9"/>
        </w:rPr>
        <w:t>2019 Compensation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2019 for each of the non-employee directors who served in 2019:</w:t>
      </w:r>
    </w:p>
    <w:tbl>
      <w:tblPr>
        <w:tblLayout w:type="fixed"/>
        <w:tblInd w:w="0" w:type="dxa"/>
        <w:tblCellMar>
          <w:top w:w="0" w:type="dxa"/>
          <w:left w:w="0" w:type="dxa"/>
          <w:bottom w:w="0" w:type="dxa"/>
          <w:right w:w="0" w:type="dxa"/>
        </w:tblCellMar>
      </w:tblPr>
      <w:tr>
        <w:trPr>
          <w:trHeight w:val="159"/>
        </w:trPr>
        <w:tc>
          <w:tcPr>
            <w:tcW w:w="3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b w:val="1"/>
                <w:bCs w:val="1"/>
                <w:color w:val="0075C9"/>
              </w:rPr>
              <w:t>Change in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0075C9"/>
              </w:rPr>
              <w:t>Pension Value</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0075C9"/>
              </w:rPr>
              <w:t>and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13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0075C9"/>
              </w:rPr>
              <w:t>Fees Earned</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0075C9"/>
              </w:rPr>
              <w:t>Nonqualified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3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center"/>
              <w:ind w:right="188"/>
              <w:spacing w:after="0"/>
              <w:rPr>
                <w:sz w:val="20"/>
                <w:szCs w:val="20"/>
                <w:color w:val="auto"/>
              </w:rPr>
            </w:pPr>
            <w:r>
              <w:rPr>
                <w:rFonts w:ascii="Arial" w:cs="Arial" w:eastAsia="Arial" w:hAnsi="Arial"/>
                <w:sz w:val="14"/>
                <w:szCs w:val="14"/>
                <w:b w:val="1"/>
                <w:bCs w:val="1"/>
                <w:color w:val="0075C9"/>
              </w:rPr>
              <w:t>or Paid in</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0075C9"/>
              </w:rPr>
              <w:t>Deferred</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0075C9"/>
              </w:rPr>
              <w:t>All Other</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6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Name</w:t>
            </w:r>
          </w:p>
        </w:tc>
        <w:tc>
          <w:tcPr>
            <w:tcW w:w="400" w:type="dxa"/>
            <w:vAlign w:val="bottom"/>
            <w:tcBorders>
              <w:bottom w:val="single" w:sz="8" w:color="0075C9"/>
            </w:tcBorders>
          </w:tcPr>
          <w:p>
            <w:pPr>
              <w:spacing w:after="0"/>
              <w:rPr>
                <w:sz w:val="15"/>
                <w:szCs w:val="15"/>
                <w:color w:val="auto"/>
              </w:rPr>
            </w:pPr>
          </w:p>
        </w:tc>
        <w:tc>
          <w:tcPr>
            <w:tcW w:w="920" w:type="dxa"/>
            <w:vAlign w:val="bottom"/>
            <w:tcBorders>
              <w:bottom w:val="single" w:sz="8" w:color="0075C9"/>
            </w:tcBorders>
          </w:tcPr>
          <w:p>
            <w:pPr>
              <w:jc w:val="center"/>
              <w:ind w:right="188"/>
              <w:spacing w:after="0"/>
              <w:rPr>
                <w:sz w:val="20"/>
                <w:szCs w:val="20"/>
                <w:color w:val="auto"/>
              </w:rPr>
            </w:pPr>
            <w:r>
              <w:rPr>
                <w:rFonts w:ascii="Arial" w:cs="Arial" w:eastAsia="Arial" w:hAnsi="Arial"/>
                <w:sz w:val="14"/>
                <w:szCs w:val="14"/>
                <w:b w:val="1"/>
                <w:bCs w:val="1"/>
                <w:color w:val="0075C9"/>
                <w:w w:val="99"/>
              </w:rPr>
              <w:t>Cash</w:t>
            </w:r>
          </w:p>
        </w:tc>
        <w:tc>
          <w:tcPr>
            <w:tcW w:w="1600" w:type="dxa"/>
            <w:vAlign w:val="bottom"/>
            <w:tcBorders>
              <w:bottom w:val="single" w:sz="8" w:color="0075C9"/>
            </w:tcBorders>
            <w:gridSpan w:val="2"/>
          </w:tcPr>
          <w:p>
            <w:pPr>
              <w:jc w:val="right"/>
              <w:ind w:right="128"/>
              <w:spacing w:after="0"/>
              <w:rPr>
                <w:sz w:val="20"/>
                <w:szCs w:val="20"/>
                <w:color w:val="auto"/>
              </w:rPr>
            </w:pPr>
            <w:r>
              <w:rPr>
                <w:rFonts w:ascii="Arial" w:cs="Arial" w:eastAsia="Arial" w:hAnsi="Arial"/>
                <w:sz w:val="14"/>
                <w:szCs w:val="14"/>
                <w:b w:val="1"/>
                <w:bCs w:val="1"/>
                <w:color w:val="0075C9"/>
              </w:rPr>
              <w:t>Stock Awards(1)</w:t>
            </w:r>
          </w:p>
        </w:tc>
        <w:tc>
          <w:tcPr>
            <w:tcW w:w="1440" w:type="dxa"/>
            <w:vAlign w:val="bottom"/>
            <w:tcBorders>
              <w:bottom w:val="single" w:sz="8" w:color="0075C9"/>
            </w:tcBorders>
            <w:gridSpan w:val="2"/>
          </w:tcPr>
          <w:p>
            <w:pPr>
              <w:jc w:val="center"/>
              <w:ind w:left="88"/>
              <w:spacing w:after="0"/>
              <w:rPr>
                <w:sz w:val="20"/>
                <w:szCs w:val="20"/>
                <w:color w:val="auto"/>
              </w:rPr>
            </w:pPr>
            <w:r>
              <w:rPr>
                <w:rFonts w:ascii="Arial" w:cs="Arial" w:eastAsia="Arial" w:hAnsi="Arial"/>
                <w:sz w:val="14"/>
                <w:szCs w:val="14"/>
                <w:b w:val="1"/>
                <w:bCs w:val="1"/>
                <w:color w:val="0075C9"/>
              </w:rPr>
              <w:t>Compensation</w:t>
            </w:r>
          </w:p>
        </w:tc>
        <w:tc>
          <w:tcPr>
            <w:tcW w:w="480" w:type="dxa"/>
            <w:vAlign w:val="bottom"/>
            <w:tcBorders>
              <w:bottom w:val="single" w:sz="8" w:color="0075C9"/>
            </w:tcBorders>
          </w:tcPr>
          <w:p>
            <w:pPr>
              <w:spacing w:after="0"/>
              <w:rPr>
                <w:sz w:val="15"/>
                <w:szCs w:val="15"/>
                <w:color w:val="auto"/>
              </w:rPr>
            </w:pPr>
          </w:p>
        </w:tc>
        <w:tc>
          <w:tcPr>
            <w:tcW w:w="1560" w:type="dxa"/>
            <w:vAlign w:val="bottom"/>
            <w:tcBorders>
              <w:bottom w:val="single" w:sz="8" w:color="0075C9"/>
            </w:tcBorders>
            <w:gridSpan w:val="3"/>
          </w:tcPr>
          <w:p>
            <w:pPr>
              <w:jc w:val="right"/>
              <w:ind w:right="248"/>
              <w:spacing w:after="0"/>
              <w:rPr>
                <w:sz w:val="20"/>
                <w:szCs w:val="20"/>
                <w:color w:val="auto"/>
              </w:rPr>
            </w:pPr>
            <w:r>
              <w:rPr>
                <w:rFonts w:ascii="Arial" w:cs="Arial" w:eastAsia="Arial" w:hAnsi="Arial"/>
                <w:sz w:val="14"/>
                <w:szCs w:val="14"/>
                <w:b w:val="1"/>
                <w:bCs w:val="1"/>
                <w:color w:val="0075C9"/>
              </w:rPr>
              <w:t>Compensation</w:t>
            </w:r>
          </w:p>
        </w:tc>
        <w:tc>
          <w:tcPr>
            <w:tcW w:w="380" w:type="dxa"/>
            <w:vAlign w:val="bottom"/>
            <w:tcBorders>
              <w:bottom w:val="single" w:sz="8" w:color="0075C9"/>
            </w:tcBorders>
          </w:tcPr>
          <w:p>
            <w:pPr>
              <w:spacing w:after="0"/>
              <w:rPr>
                <w:sz w:val="15"/>
                <w:szCs w:val="15"/>
                <w:color w:val="auto"/>
              </w:rPr>
            </w:pPr>
          </w:p>
        </w:tc>
        <w:tc>
          <w:tcPr>
            <w:tcW w:w="1000" w:type="dxa"/>
            <w:vAlign w:val="bottom"/>
            <w:tcBorders>
              <w:bottom w:val="single" w:sz="8" w:color="0075C9"/>
            </w:tcBorders>
          </w:tcPr>
          <w:p>
            <w:pPr>
              <w:jc w:val="center"/>
              <w:ind w:right="248"/>
              <w:spacing w:after="0"/>
              <w:rPr>
                <w:sz w:val="20"/>
                <w:szCs w:val="20"/>
                <w:color w:val="auto"/>
              </w:rPr>
            </w:pPr>
            <w:r>
              <w:rPr>
                <w:rFonts w:ascii="Arial" w:cs="Arial" w:eastAsia="Arial" w:hAnsi="Arial"/>
                <w:sz w:val="14"/>
                <w:szCs w:val="14"/>
                <w:b w:val="1"/>
                <w:bCs w:val="1"/>
                <w:color w:val="0075C9"/>
                <w:w w:val="95"/>
              </w:rPr>
              <w:t>Total</w:t>
            </w:r>
          </w:p>
        </w:tc>
      </w:tr>
      <w:tr>
        <w:trPr>
          <w:trHeight w:val="16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William E. Albrecht</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190,000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1,535</w:t>
            </w:r>
          </w:p>
        </w:tc>
        <w:tc>
          <w:tcPr>
            <w:tcW w:w="48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(2)</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12,000</w:t>
            </w:r>
          </w:p>
        </w:tc>
        <w:tc>
          <w:tcPr>
            <w:tcW w:w="44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(3)</w:t>
            </w: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378,539</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Justin A. Gannon</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110,000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80" w:type="dxa"/>
            <w:vAlign w:val="bottom"/>
            <w:shd w:val="clear" w:color="auto" w:fill="EBEBEC"/>
          </w:tcPr>
          <w:p>
            <w:pPr>
              <w:spacing w:after="0"/>
              <w:rPr>
                <w:sz w:val="16"/>
                <w:szCs w:val="16"/>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285,004</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Harold M. Korell</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115,000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80" w:type="dxa"/>
            <w:vAlign w:val="bottom"/>
            <w:shd w:val="clear" w:color="auto" w:fill="EBEBEC"/>
          </w:tcPr>
          <w:p>
            <w:pPr>
              <w:spacing w:after="0"/>
              <w:rPr>
                <w:sz w:val="16"/>
                <w:szCs w:val="16"/>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290,004</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Harry T. McMahon</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110,000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80" w:type="dxa"/>
            <w:vAlign w:val="bottom"/>
            <w:shd w:val="clear" w:color="auto" w:fill="EBEBEC"/>
          </w:tcPr>
          <w:p>
            <w:pPr>
              <w:spacing w:after="0"/>
              <w:rPr>
                <w:sz w:val="16"/>
                <w:szCs w:val="16"/>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15,000</w:t>
            </w:r>
          </w:p>
        </w:tc>
        <w:tc>
          <w:tcPr>
            <w:tcW w:w="44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(3)</w:t>
            </w: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300,004</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Richard W. Moncrief</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105,000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80" w:type="dxa"/>
            <w:vAlign w:val="bottom"/>
            <w:shd w:val="clear" w:color="auto" w:fill="EBEBEC"/>
          </w:tcPr>
          <w:p>
            <w:pPr>
              <w:spacing w:after="0"/>
              <w:rPr>
                <w:sz w:val="16"/>
                <w:szCs w:val="16"/>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280,004</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Avedick B. Poladian</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90,000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80" w:type="dxa"/>
            <w:vAlign w:val="bottom"/>
            <w:shd w:val="clear" w:color="auto" w:fill="EBEBEC"/>
          </w:tcPr>
          <w:p>
            <w:pPr>
              <w:spacing w:after="0"/>
              <w:rPr>
                <w:sz w:val="16"/>
                <w:szCs w:val="16"/>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15,000</w:t>
            </w:r>
          </w:p>
        </w:tc>
        <w:tc>
          <w:tcPr>
            <w:tcW w:w="44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(3)</w:t>
            </w: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280,004</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Anita M. Powers</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90,000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80" w:type="dxa"/>
            <w:vAlign w:val="bottom"/>
            <w:shd w:val="clear" w:color="auto" w:fill="EBEBEC"/>
          </w:tcPr>
          <w:p>
            <w:pPr>
              <w:spacing w:after="0"/>
              <w:rPr>
                <w:sz w:val="16"/>
                <w:szCs w:val="16"/>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265,004</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Laurie A. Siegel</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87,000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80" w:type="dxa"/>
            <w:vAlign w:val="bottom"/>
            <w:shd w:val="clear" w:color="auto" w:fill="EBEBEC"/>
          </w:tcPr>
          <w:p>
            <w:pPr>
              <w:spacing w:after="0"/>
              <w:rPr>
                <w:sz w:val="16"/>
                <w:szCs w:val="16"/>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5,000</w:t>
            </w:r>
          </w:p>
        </w:tc>
        <w:tc>
          <w:tcPr>
            <w:tcW w:w="44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(3)</w:t>
            </w: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267,004</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Robert V. Sinnott</w:t>
            </w: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105,000</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175,004</w:t>
            </w:r>
          </w:p>
        </w:tc>
        <w:tc>
          <w:tcPr>
            <w:tcW w:w="3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80" w:type="dxa"/>
            <w:vAlign w:val="bottom"/>
            <w:shd w:val="clear" w:color="auto" w:fill="EBEBEC"/>
          </w:tcPr>
          <w:p>
            <w:pPr>
              <w:spacing w:after="0"/>
              <w:rPr>
                <w:sz w:val="16"/>
                <w:szCs w:val="16"/>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26,500</w:t>
            </w:r>
          </w:p>
        </w:tc>
        <w:tc>
          <w:tcPr>
            <w:tcW w:w="44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(3)</w:t>
            </w:r>
          </w:p>
        </w:tc>
        <w:tc>
          <w:tcPr>
            <w:tcW w:w="3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BEBEC"/>
          </w:tcPr>
          <w:p>
            <w:pPr>
              <w:jc w:val="center"/>
              <w:ind w:right="248"/>
              <w:spacing w:after="0"/>
              <w:rPr>
                <w:sz w:val="20"/>
                <w:szCs w:val="20"/>
                <w:color w:val="auto"/>
              </w:rPr>
            </w:pPr>
            <w:r>
              <w:rPr>
                <w:rFonts w:ascii="Arial" w:cs="Arial" w:eastAsia="Arial" w:hAnsi="Arial"/>
                <w:sz w:val="14"/>
                <w:szCs w:val="14"/>
                <w:color w:val="auto"/>
              </w:rPr>
              <w:t>306,504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340" w:right="60" w:hanging="332"/>
        <w:spacing w:after="0" w:line="247"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Stock Awards represent the aggregate grant date fair value attributable to stock awards granted in 2019. The awards were valued based on the closing price of CRC common stock on the date of the grant, May 10, 2019, which was $20.09 per share. The number of shares granted was calculated based on the target value of the grant divided by the closing price of CRC common stock on the date of the grant, resulting in a grant of 8,711 shares to each non-employee director. The equity awards vested at the grant date. As of December 31, 2019, Mr. Albrecht also held 127,678 stock options.</w:t>
      </w:r>
    </w:p>
    <w:p>
      <w:pPr>
        <w:spacing w:after="0" w:line="93"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shown is the portion of interest credited in 2019 on nonqualified deferred compensation balances that was in excess of 120% of the long-term applicable federal rate, compounded monthly, as prescribed under Section 1274(d) of the Code.</w:t>
      </w:r>
    </w:p>
    <w:p>
      <w:pPr>
        <w:spacing w:after="0" w:line="8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attributable solely to charitable matching gifts.</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5" w:name="page76"/>
    <w:bookmarkEnd w:id="7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Security Ownership of Directors, Management and Certain Beneficial Holders</w:t>
      </w:r>
    </w:p>
    <w:p>
      <w:pPr>
        <w:spacing w:after="0" w:line="10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9, 2020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1800" w:type="dxa"/>
            <w:vAlign w:val="bottom"/>
          </w:tcPr>
          <w:p>
            <w:pPr>
              <w:jc w:val="right"/>
              <w:ind w:right="432"/>
              <w:spacing w:after="0"/>
              <w:rPr>
                <w:sz w:val="20"/>
                <w:szCs w:val="20"/>
                <w:color w:val="auto"/>
              </w:rPr>
            </w:pPr>
            <w:r>
              <w:rPr>
                <w:rFonts w:ascii="Arial" w:cs="Arial" w:eastAsia="Arial" w:hAnsi="Arial"/>
                <w:sz w:val="14"/>
                <w:szCs w:val="14"/>
                <w:b w:val="1"/>
                <w:bCs w:val="1"/>
                <w:color w:val="0075C9"/>
              </w:rPr>
              <w:t>Amount of</w:t>
            </w:r>
          </w:p>
        </w:tc>
        <w:tc>
          <w:tcPr>
            <w:tcW w:w="2000" w:type="dxa"/>
            <w:vAlign w:val="bottom"/>
          </w:tcPr>
          <w:p>
            <w:pPr>
              <w:ind w:left="580"/>
              <w:spacing w:after="0"/>
              <w:rPr>
                <w:sz w:val="20"/>
                <w:szCs w:val="20"/>
                <w:color w:val="auto"/>
              </w:rPr>
            </w:pPr>
            <w:r>
              <w:rPr>
                <w:rFonts w:ascii="Arial" w:cs="Arial" w:eastAsia="Arial" w:hAnsi="Arial"/>
                <w:sz w:val="14"/>
                <w:szCs w:val="14"/>
                <w:b w:val="1"/>
                <w:bCs w:val="1"/>
                <w:color w:val="0075C9"/>
              </w:rPr>
              <w:t>Percent of</w:t>
            </w:r>
          </w:p>
        </w:tc>
      </w:tr>
      <w:tr>
        <w:trPr>
          <w:trHeight w:val="175"/>
        </w:trPr>
        <w:tc>
          <w:tcPr>
            <w:tcW w:w="744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Name and Address of Beneficial Owner(1)</w:t>
            </w:r>
          </w:p>
        </w:tc>
        <w:tc>
          <w:tcPr>
            <w:tcW w:w="1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b w:val="1"/>
                <w:bCs w:val="1"/>
                <w:color w:val="0075C9"/>
              </w:rPr>
              <w:t>Beneficial Ownership(2)</w:t>
            </w:r>
          </w:p>
        </w:tc>
        <w:tc>
          <w:tcPr>
            <w:tcW w:w="2000" w:type="dxa"/>
            <w:vAlign w:val="bottom"/>
            <w:tcBorders>
              <w:bottom w:val="single" w:sz="8" w:color="0075C9"/>
            </w:tcBorders>
          </w:tcPr>
          <w:p>
            <w:pPr>
              <w:jc w:val="center"/>
              <w:ind w:right="32"/>
              <w:spacing w:after="0"/>
              <w:rPr>
                <w:sz w:val="20"/>
                <w:szCs w:val="20"/>
                <w:color w:val="auto"/>
              </w:rPr>
            </w:pPr>
            <w:r>
              <w:rPr>
                <w:rFonts w:ascii="Arial" w:cs="Arial" w:eastAsia="Arial" w:hAnsi="Arial"/>
                <w:sz w:val="14"/>
                <w:szCs w:val="14"/>
                <w:b w:val="1"/>
                <w:bCs w:val="1"/>
                <w:color w:val="0075C9"/>
              </w:rPr>
              <w:t>Class(3)</w:t>
            </w:r>
          </w:p>
        </w:tc>
      </w:tr>
      <w:tr>
        <w:trPr>
          <w:trHeight w:val="20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State Street Corporation (4)</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4,347,530</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8.81%</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The Vanguard Group (5)</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4,169,984</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8.45%</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BlackRock, Inc. (6)</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3,419,493</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6.93%</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William E. Albrecht</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220,561</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Justin A. Gannon</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37,400</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Harold M. Korell</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63,166</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Harry T. McMahon (7)</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78,008</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Richard W. Moncrief</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36,681</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Avedick B. Poladian</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48,439</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Anita M. Powers</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13,231</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Laurie A. Siegel</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15,196</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Robert V. Sinnott</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29,965</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Todd A. Stevens</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543,417</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Michael L. Preston</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112,568</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Marshall D. Smith</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261,502</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Charles F. Weiss (8)</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156,017</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Darren Williams</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157,011</w:t>
            </w:r>
          </w:p>
        </w:tc>
        <w:tc>
          <w:tcPr>
            <w:tcW w:w="2000" w:type="dxa"/>
            <w:vAlign w:val="bottom"/>
            <w:shd w:val="clear" w:color="auto" w:fill="EBEBEC"/>
          </w:tcPr>
          <w:p>
            <w:pPr>
              <w:jc w:val="center"/>
              <w:ind w:right="32"/>
              <w:spacing w:after="0"/>
              <w:rPr>
                <w:sz w:val="20"/>
                <w:szCs w:val="20"/>
                <w:color w:val="auto"/>
              </w:rPr>
            </w:pPr>
            <w:r>
              <w:rPr>
                <w:rFonts w:ascii="Arial" w:cs="Arial" w:eastAsia="Arial" w:hAnsi="Arial"/>
                <w:sz w:val="18"/>
                <w:szCs w:val="18"/>
                <w:color w:val="auto"/>
              </w:rPr>
              <w:t>*</w:t>
            </w:r>
          </w:p>
        </w:tc>
      </w:tr>
      <w:tr>
        <w:trPr>
          <w:trHeight w:val="215"/>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Executive officers and directors as a group (consisting</w:t>
            </w:r>
          </w:p>
        </w:tc>
        <w:tc>
          <w:tcPr>
            <w:tcW w:w="1800" w:type="dxa"/>
            <w:vAlign w:val="bottom"/>
            <w:shd w:val="clear" w:color="auto" w:fill="EBEBEC"/>
          </w:tcPr>
          <w:p>
            <w:pPr>
              <w:spacing w:after="0"/>
              <w:rPr>
                <w:sz w:val="18"/>
                <w:szCs w:val="18"/>
                <w:color w:val="auto"/>
              </w:rPr>
            </w:pPr>
          </w:p>
        </w:tc>
        <w:tc>
          <w:tcPr>
            <w:tcW w:w="2000" w:type="dxa"/>
            <w:vAlign w:val="bottom"/>
            <w:shd w:val="clear" w:color="auto" w:fill="EBEBEC"/>
          </w:tcPr>
          <w:p>
            <w:pPr>
              <w:spacing w:after="0"/>
              <w:rPr>
                <w:sz w:val="18"/>
                <w:szCs w:val="18"/>
                <w:color w:val="auto"/>
              </w:rPr>
            </w:pPr>
          </w:p>
        </w:tc>
      </w:tr>
      <w:tr>
        <w:trPr>
          <w:trHeight w:val="203"/>
        </w:trPr>
        <w:tc>
          <w:tcPr>
            <w:tcW w:w="7440" w:type="dxa"/>
            <w:vAlign w:val="bottom"/>
            <w:shd w:val="clear" w:color="auto" w:fill="EBEBEC"/>
          </w:tcPr>
          <w:p>
            <w:pPr>
              <w:ind w:left="280"/>
              <w:spacing w:after="0" w:line="203" w:lineRule="exact"/>
              <w:rPr>
                <w:sz w:val="20"/>
                <w:szCs w:val="20"/>
                <w:color w:val="auto"/>
              </w:rPr>
            </w:pPr>
            <w:r>
              <w:rPr>
                <w:rFonts w:ascii="Arial" w:cs="Arial" w:eastAsia="Arial" w:hAnsi="Arial"/>
                <w:sz w:val="18"/>
                <w:szCs w:val="18"/>
                <w:color w:val="auto"/>
              </w:rPr>
              <w:t>of 17 persons)</w:t>
            </w:r>
          </w:p>
        </w:tc>
        <w:tc>
          <w:tcPr>
            <w:tcW w:w="1800" w:type="dxa"/>
            <w:vAlign w:val="bottom"/>
            <w:shd w:val="clear" w:color="auto" w:fill="EBEBEC"/>
          </w:tcPr>
          <w:p>
            <w:pPr>
              <w:jc w:val="right"/>
              <w:ind w:right="32"/>
              <w:spacing w:after="0" w:line="203" w:lineRule="exact"/>
              <w:rPr>
                <w:sz w:val="20"/>
                <w:szCs w:val="20"/>
                <w:color w:val="auto"/>
              </w:rPr>
            </w:pPr>
            <w:r>
              <w:rPr>
                <w:rFonts w:ascii="Arial" w:cs="Arial" w:eastAsia="Arial" w:hAnsi="Arial"/>
                <w:sz w:val="18"/>
                <w:szCs w:val="18"/>
                <w:color w:val="auto"/>
              </w:rPr>
              <w:t>2,018,606</w:t>
            </w:r>
          </w:p>
        </w:tc>
        <w:tc>
          <w:tcPr>
            <w:tcW w:w="2000" w:type="dxa"/>
            <w:vAlign w:val="bottom"/>
            <w:shd w:val="clear" w:color="auto" w:fill="EBEBEC"/>
          </w:tcPr>
          <w:p>
            <w:pPr>
              <w:jc w:val="center"/>
              <w:ind w:right="32"/>
              <w:spacing w:after="0" w:line="203" w:lineRule="exact"/>
              <w:rPr>
                <w:sz w:val="20"/>
                <w:szCs w:val="20"/>
                <w:color w:val="auto"/>
              </w:rPr>
            </w:pPr>
            <w:r>
              <w:rPr>
                <w:rFonts w:ascii="Arial" w:cs="Arial" w:eastAsia="Arial" w:hAnsi="Arial"/>
                <w:sz w:val="18"/>
                <w:szCs w:val="18"/>
                <w:color w:val="auto"/>
              </w:rPr>
              <w:t>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-1876425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-2459355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340" w:right="380" w:hanging="332"/>
        <w:spacing w:after="0" w:line="25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27200 Tourney Road, Suite 200, Santa Clarita, California 91355.</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the following number of options which are exercisable within 60 days: Albrecht – 127,678; Stevens – 266,681; Preston – 52,059; Smith – 135,368; Weiss</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81,797; Williams – 88,760; Executive officers and directors as a group – 865,589.</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49,358,891 as of March 9, 2020.</w:t>
      </w:r>
    </w:p>
    <w:p>
      <w:pPr>
        <w:spacing w:after="0" w:line="52" w:lineRule="exact"/>
        <w:rPr>
          <w:rFonts w:ascii="Arial" w:cs="Arial" w:eastAsia="Arial" w:hAnsi="Arial"/>
          <w:sz w:val="14"/>
          <w:szCs w:val="14"/>
          <w:color w:val="auto"/>
        </w:rPr>
      </w:pPr>
    </w:p>
    <w:p>
      <w:pPr>
        <w:ind w:left="340" w:right="140" w:hanging="332"/>
        <w:spacing w:after="0" w:line="25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13, 2020 by State Street Corporation (“</w:t>
      </w:r>
      <w:r>
        <w:rPr>
          <w:rFonts w:ascii="Arial" w:cs="Arial" w:eastAsia="Arial" w:hAnsi="Arial"/>
          <w:sz w:val="14"/>
          <w:szCs w:val="14"/>
          <w:b w:val="1"/>
          <w:bCs w:val="1"/>
          <w:i w:val="1"/>
          <w:iCs w:val="1"/>
          <w:color w:val="auto"/>
        </w:rPr>
        <w:t>State Street</w:t>
      </w:r>
      <w:r>
        <w:rPr>
          <w:rFonts w:ascii="Arial" w:cs="Arial" w:eastAsia="Arial" w:hAnsi="Arial"/>
          <w:sz w:val="14"/>
          <w:szCs w:val="14"/>
          <w:color w:val="auto"/>
        </w:rPr>
        <w:t>”). State Street has (i) shared voting power with respect to 4,168,300 shares of common stock, and (ii) shared dispositive power with respect to 4,347,506 shares of common stock. In this Schedule 13G, State Street also states that its subsidiary, SSGA Funds Management, Inc., has an aggregate beneficial ownership of 3,441,813 shares of our common stock or 7.01% of the class, and has (i) shared voting power with respect to 3,423,268 shares of common stock; and (ii) shared dispositive power with respect to 3,441,813 shares of common stock. State Street’s address is State Street Financial Center, One Lincoln Street, Boston, Massachusetts 02111.</w:t>
      </w:r>
    </w:p>
    <w:p>
      <w:pPr>
        <w:spacing w:after="0" w:line="35" w:lineRule="exact"/>
        <w:rPr>
          <w:rFonts w:ascii="Arial" w:cs="Arial" w:eastAsia="Arial" w:hAnsi="Arial"/>
          <w:sz w:val="14"/>
          <w:szCs w:val="14"/>
          <w:color w:val="auto"/>
        </w:rPr>
      </w:pPr>
    </w:p>
    <w:p>
      <w:pPr>
        <w:ind w:left="340" w:right="220" w:hanging="332"/>
        <w:spacing w:after="0" w:line="256"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12, 2020 by The Vanguard Group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Vanguard has (i) sole voting power with respect to 49,257 shares of common stock, (ii) shared voting power with respect to 5,990 shares of common stock; (iii) sole dispositive power with respect to 4,123,836 shares of common stock, and (iv) shared dispositive power with respect to 46,148 shares of common stock. Vanguard’s address is 100 Vanguard Boulevard, Malvern, Pennsylvania 19355.</w:t>
      </w:r>
    </w:p>
    <w:p>
      <w:pPr>
        <w:spacing w:after="0" w:line="200" w:lineRule="exact"/>
        <w:rPr>
          <w:rFonts w:ascii="Arial" w:cs="Arial" w:eastAsia="Arial" w:hAnsi="Arial"/>
          <w:sz w:val="14"/>
          <w:szCs w:val="14"/>
          <w:color w:val="auto"/>
        </w:rPr>
      </w:pPr>
    </w:p>
    <w:p>
      <w:pPr>
        <w:jc w:val="both"/>
        <w:ind w:left="340" w:right="480" w:hanging="332"/>
        <w:spacing w:after="0" w:line="205"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5, 2020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(i) sole voting power with respect to 3,301,610 shares of common stock, and (ii) sole dispositive power with respect to 3,419,493 shares of common stock. BlackRock’s address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New York 10055.</w:t>
      </w:r>
    </w:p>
    <w:p>
      <w:pPr>
        <w:spacing w:after="0" w:line="58"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78,008 shares of common stock are held in the McMahon Trust.</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2,376 shares of common stock held in the Weiss Family Trust.</w:t>
      </w:r>
    </w:p>
    <w:p>
      <w:pPr>
        <w:spacing w:after="0" w:line="198"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6" w:name="page77"/>
    <w:bookmarkEnd w:id="7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0075C9"/>
        </w:rPr>
        <w:t>Delinquent Section 16(a) Reports</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16(a) of the Exchange Act and related regulations require our Section 16 officers and directors and persons who beneficially own more than 10% of a registered class of our equity securities to file reports of ownership and changes in ownership with the SEC and the NYSE. Section 16 officers, directors and greater than 10% beneficial owners are also required by SEC regulation to furnish us with copies of all Section 16(a) forms they file.</w:t>
      </w:r>
    </w:p>
    <w:p>
      <w:pPr>
        <w:spacing w:after="0" w:line="2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Based solely on our review of copies of such forms we received, we believe that, during the fiscal year ended December 31, 2019, our Section 16 officers, directors and greater than 10% beneficial owners timely complied with all applicable filing requirements of Section 16(a), except that one Form 4 regarding a sale of 10,000 shares of common stock by Mr. Albrecht was filed 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7" w:name="page78"/>
    <w:bookmarkEnd w:id="7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Proposal 1: Election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2020, nine incumbent directors have been nominated by the Board of Directors for reelection through the 2021 annual meeting.</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154305</wp:posOffset>
            </wp:positionV>
            <wp:extent cx="67894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99695</wp:posOffset>
            </wp:positionV>
            <wp:extent cx="67894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0075C9"/>
        </w:rPr>
        <w:t>Proposal 2: Ratification of the Appointment of the Independent Registered Public Accounting Firm</w:t>
      </w:r>
    </w:p>
    <w:p>
      <w:pPr>
        <w:spacing w:after="0" w:line="1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as of and for the year ending December 31, 2020.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fiscal year ended December 31, 2014.</w:t>
      </w:r>
    </w:p>
    <w:p>
      <w:pPr>
        <w:spacing w:after="0" w:line="19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Set forth below are the aggregate fees incurred by us for professional services rendered by KPMG LLP, the independent registered public accounting firm, for the years ended December 31, 2019 and 2018:</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640" w:type="dxa"/>
            <w:vAlign w:val="bottom"/>
            <w:tcBorders>
              <w:bottom w:val="single" w:sz="8" w:color="0075C9"/>
            </w:tcBorders>
          </w:tcPr>
          <w:p>
            <w:pPr>
              <w:spacing w:after="0"/>
              <w:rPr>
                <w:sz w:val="18"/>
                <w:szCs w:val="18"/>
                <w:color w:val="auto"/>
              </w:rPr>
            </w:pPr>
          </w:p>
        </w:tc>
        <w:tc>
          <w:tcPr>
            <w:tcW w:w="460" w:type="dxa"/>
            <w:vAlign w:val="bottom"/>
            <w:tcBorders>
              <w:bottom w:val="single" w:sz="8" w:color="0075C9"/>
            </w:tcBorders>
          </w:tcPr>
          <w:p>
            <w:pPr>
              <w:spacing w:after="0"/>
              <w:rPr>
                <w:sz w:val="18"/>
                <w:szCs w:val="18"/>
                <w:color w:val="auto"/>
              </w:rPr>
            </w:pPr>
          </w:p>
        </w:tc>
        <w:tc>
          <w:tcPr>
            <w:tcW w:w="1080" w:type="dxa"/>
            <w:vAlign w:val="bottom"/>
            <w:tcBorders>
              <w:bottom w:val="single" w:sz="8" w:color="0075C9"/>
            </w:tcBorders>
          </w:tcPr>
          <w:p>
            <w:pPr>
              <w:jc w:val="right"/>
              <w:ind w:right="330"/>
              <w:spacing w:after="0"/>
              <w:rPr>
                <w:sz w:val="20"/>
                <w:szCs w:val="20"/>
                <w:color w:val="auto"/>
              </w:rPr>
            </w:pPr>
            <w:r>
              <w:rPr>
                <w:rFonts w:ascii="Arial" w:cs="Arial" w:eastAsia="Arial" w:hAnsi="Arial"/>
                <w:sz w:val="18"/>
                <w:szCs w:val="18"/>
                <w:color w:val="0075C9"/>
              </w:rPr>
              <w:t>2019</w:t>
            </w:r>
          </w:p>
        </w:tc>
        <w:tc>
          <w:tcPr>
            <w:tcW w:w="460" w:type="dxa"/>
            <w:vAlign w:val="bottom"/>
            <w:tcBorders>
              <w:bottom w:val="single" w:sz="8" w:color="0075C9"/>
            </w:tcBorders>
          </w:tcPr>
          <w:p>
            <w:pPr>
              <w:spacing w:after="0"/>
              <w:rPr>
                <w:sz w:val="18"/>
                <w:szCs w:val="18"/>
                <w:color w:val="auto"/>
              </w:rPr>
            </w:pPr>
          </w:p>
        </w:tc>
        <w:tc>
          <w:tcPr>
            <w:tcW w:w="260" w:type="dxa"/>
            <w:vAlign w:val="bottom"/>
            <w:tcBorders>
              <w:bottom w:val="single" w:sz="8" w:color="0075C9"/>
            </w:tcBorders>
          </w:tcPr>
          <w:p>
            <w:pPr>
              <w:spacing w:after="0"/>
              <w:rPr>
                <w:sz w:val="18"/>
                <w:szCs w:val="18"/>
                <w:color w:val="auto"/>
              </w:rPr>
            </w:pPr>
          </w:p>
        </w:tc>
        <w:tc>
          <w:tcPr>
            <w:tcW w:w="940" w:type="dxa"/>
            <w:vAlign w:val="bottom"/>
            <w:tcBorders>
              <w:bottom w:val="single" w:sz="8" w:color="0075C9"/>
            </w:tcBorders>
          </w:tcPr>
          <w:p>
            <w:pPr>
              <w:jc w:val="right"/>
              <w:ind w:right="270"/>
              <w:spacing w:after="0"/>
              <w:rPr>
                <w:sz w:val="20"/>
                <w:szCs w:val="20"/>
                <w:color w:val="auto"/>
              </w:rPr>
            </w:pPr>
            <w:r>
              <w:rPr>
                <w:rFonts w:ascii="Arial" w:cs="Arial" w:eastAsia="Arial" w:hAnsi="Arial"/>
                <w:sz w:val="18"/>
                <w:szCs w:val="18"/>
                <w:color w:val="0075C9"/>
              </w:rPr>
              <w:t>2018</w:t>
            </w:r>
          </w:p>
        </w:tc>
        <w:tc>
          <w:tcPr>
            <w:tcW w:w="260" w:type="dxa"/>
            <w:vAlign w:val="bottom"/>
            <w:tcBorders>
              <w:bottom w:val="single" w:sz="8" w:color="0075C9"/>
            </w:tcBorders>
          </w:tcPr>
          <w:p>
            <w:pPr>
              <w:spacing w:after="0"/>
              <w:rPr>
                <w:sz w:val="18"/>
                <w:szCs w:val="18"/>
                <w:color w:val="auto"/>
              </w:rPr>
            </w:pPr>
          </w:p>
        </w:tc>
      </w:tr>
      <w:tr>
        <w:trPr>
          <w:trHeight w:val="223"/>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4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2,193,000</w:t>
            </w:r>
          </w:p>
        </w:tc>
        <w:tc>
          <w:tcPr>
            <w:tcW w:w="72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2,135,000</w:t>
            </w:r>
          </w:p>
        </w:tc>
        <w:tc>
          <w:tcPr>
            <w:tcW w:w="260" w:type="dxa"/>
            <w:vAlign w:val="bottom"/>
            <w:shd w:val="clear" w:color="auto" w:fill="F2F2F2"/>
          </w:tcPr>
          <w:p>
            <w:pPr>
              <w:spacing w:after="0"/>
              <w:rPr>
                <w:sz w:val="19"/>
                <w:szCs w:val="19"/>
                <w:color w:val="auto"/>
              </w:rPr>
            </w:pPr>
          </w:p>
        </w:tc>
      </w:tr>
      <w:tr>
        <w:trPr>
          <w:trHeight w:val="243"/>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460" w:type="dxa"/>
            <w:vAlign w:val="bottom"/>
            <w:shd w:val="clear" w:color="auto" w:fill="F2F2F2"/>
          </w:tcPr>
          <w:p>
            <w:pPr>
              <w:spacing w:after="0"/>
              <w:rPr>
                <w:sz w:val="21"/>
                <w:szCs w:val="21"/>
                <w:color w:val="auto"/>
              </w:rPr>
            </w:pP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967,200</w:t>
            </w:r>
          </w:p>
        </w:tc>
        <w:tc>
          <w:tcPr>
            <w:tcW w:w="460" w:type="dxa"/>
            <w:vAlign w:val="bottom"/>
            <w:shd w:val="clear" w:color="auto" w:fill="F2F2F2"/>
          </w:tcPr>
          <w:p>
            <w:pPr>
              <w:spacing w:after="0"/>
              <w:rPr>
                <w:sz w:val="21"/>
                <w:szCs w:val="21"/>
                <w:color w:val="auto"/>
              </w:rPr>
            </w:pPr>
          </w:p>
        </w:tc>
        <w:tc>
          <w:tcPr>
            <w:tcW w:w="260" w:type="dxa"/>
            <w:vAlign w:val="bottom"/>
            <w:shd w:val="clear" w:color="auto" w:fill="F2F2F2"/>
          </w:tcPr>
          <w:p>
            <w:pPr>
              <w:spacing w:after="0"/>
              <w:rPr>
                <w:sz w:val="21"/>
                <w:szCs w:val="21"/>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737,480</w:t>
            </w:r>
          </w:p>
        </w:tc>
        <w:tc>
          <w:tcPr>
            <w:tcW w:w="260" w:type="dxa"/>
            <w:vAlign w:val="bottom"/>
            <w:shd w:val="clear" w:color="auto" w:fill="F2F2F2"/>
          </w:tcPr>
          <w:p>
            <w:pPr>
              <w:spacing w:after="0"/>
              <w:rPr>
                <w:sz w:val="21"/>
                <w:szCs w:val="21"/>
                <w:color w:val="auto"/>
              </w:rPr>
            </w:pPr>
          </w:p>
        </w:tc>
      </w:tr>
      <w:tr>
        <w:trPr>
          <w:trHeight w:val="243"/>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Tax Fees</w:t>
            </w:r>
          </w:p>
        </w:tc>
        <w:tc>
          <w:tcPr>
            <w:tcW w:w="460" w:type="dxa"/>
            <w:vAlign w:val="bottom"/>
            <w:shd w:val="clear" w:color="auto" w:fill="F2F2F2"/>
          </w:tcPr>
          <w:p>
            <w:pPr>
              <w:spacing w:after="0"/>
              <w:rPr>
                <w:sz w:val="21"/>
                <w:szCs w:val="21"/>
                <w:color w:val="auto"/>
              </w:rPr>
            </w:pP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F2F2F2"/>
          </w:tcPr>
          <w:p>
            <w:pPr>
              <w:spacing w:after="0"/>
              <w:rPr>
                <w:sz w:val="21"/>
                <w:szCs w:val="21"/>
                <w:color w:val="auto"/>
              </w:rPr>
            </w:pPr>
          </w:p>
        </w:tc>
        <w:tc>
          <w:tcPr>
            <w:tcW w:w="260" w:type="dxa"/>
            <w:vAlign w:val="bottom"/>
            <w:shd w:val="clear" w:color="auto" w:fill="F2F2F2"/>
          </w:tcPr>
          <w:p>
            <w:pPr>
              <w:spacing w:after="0"/>
              <w:rPr>
                <w:sz w:val="21"/>
                <w:szCs w:val="21"/>
                <w:color w:val="auto"/>
              </w:rPr>
            </w:pPr>
          </w:p>
        </w:tc>
        <w:tc>
          <w:tcPr>
            <w:tcW w:w="1200" w:type="dxa"/>
            <w:vAlign w:val="bottom"/>
            <w:gridSpan w:val="2"/>
            <w:shd w:val="clear" w:color="auto" w:fill="F2F2F2"/>
          </w:tcPr>
          <w:p>
            <w:pPr>
              <w:jc w:val="right"/>
              <w:ind w:right="26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All Other Fees</w:t>
            </w:r>
          </w:p>
        </w:tc>
        <w:tc>
          <w:tcPr>
            <w:tcW w:w="460" w:type="dxa"/>
            <w:vAlign w:val="bottom"/>
            <w:tcBorders>
              <w:bottom w:val="single" w:sz="8" w:color="F2F2F2"/>
            </w:tcBorders>
            <w:shd w:val="clear" w:color="auto" w:fill="F2F2F2"/>
          </w:tcPr>
          <w:p>
            <w:pPr>
              <w:spacing w:after="0"/>
              <w:rPr>
                <w:sz w:val="21"/>
                <w:szCs w:val="21"/>
                <w:color w:val="auto"/>
              </w:rPr>
            </w:pPr>
          </w:p>
        </w:tc>
        <w:tc>
          <w:tcPr>
            <w:tcW w:w="10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F2F2F2"/>
            </w:tcBorders>
            <w:shd w:val="clear" w:color="auto" w:fill="F2F2F2"/>
          </w:tcPr>
          <w:p>
            <w:pPr>
              <w:spacing w:after="0"/>
              <w:rPr>
                <w:sz w:val="21"/>
                <w:szCs w:val="21"/>
                <w:color w:val="auto"/>
              </w:rPr>
            </w:pPr>
          </w:p>
        </w:tc>
        <w:tc>
          <w:tcPr>
            <w:tcW w:w="260" w:type="dxa"/>
            <w:vAlign w:val="bottom"/>
            <w:tcBorders>
              <w:bottom w:val="single" w:sz="8" w:color="auto"/>
            </w:tcBorders>
            <w:shd w:val="clear" w:color="auto" w:fill="F2F2F2"/>
          </w:tcPr>
          <w:p>
            <w:pPr>
              <w:spacing w:after="0"/>
              <w:rPr>
                <w:sz w:val="21"/>
                <w:szCs w:val="21"/>
                <w:color w:val="auto"/>
              </w:rPr>
            </w:pPr>
          </w:p>
        </w:tc>
        <w:tc>
          <w:tcPr>
            <w:tcW w:w="9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2F2F2"/>
            </w:tcBorders>
            <w:shd w:val="clear" w:color="auto" w:fill="F2F2F2"/>
          </w:tcPr>
          <w:p>
            <w:pPr>
              <w:spacing w:after="0"/>
              <w:rPr>
                <w:sz w:val="21"/>
                <w:szCs w:val="21"/>
                <w:color w:val="auto"/>
              </w:rPr>
            </w:pPr>
          </w:p>
        </w:tc>
      </w:tr>
      <w:tr>
        <w:trPr>
          <w:trHeight w:val="210"/>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3,160,200</w:t>
            </w:r>
          </w:p>
        </w:tc>
        <w:tc>
          <w:tcPr>
            <w:tcW w:w="72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2,872,480</w:t>
            </w:r>
          </w:p>
        </w:tc>
        <w:tc>
          <w:tcPr>
            <w:tcW w:w="260" w:type="dxa"/>
            <w:vAlign w:val="bottom"/>
            <w:shd w:val="clear" w:color="auto" w:fill="F2F2F2"/>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-145415</wp:posOffset>
            </wp:positionV>
            <wp:extent cx="946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54864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-453390</wp:posOffset>
            </wp:positionV>
            <wp:extent cx="64122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-608330</wp:posOffset>
            </wp:positionV>
            <wp:extent cx="641223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68" w:lineRule="exact"/>
        <w:rPr>
          <w:sz w:val="20"/>
          <w:szCs w:val="20"/>
          <w:color w:val="auto"/>
        </w:rPr>
      </w:pPr>
    </w:p>
    <w:p>
      <w:pPr>
        <w:ind w:left="340" w:right="200" w:hanging="336"/>
        <w:spacing w:after="0" w:line="258" w:lineRule="auto"/>
        <w:tabs>
          <w:tab w:leader="none" w:pos="320" w:val="left"/>
        </w:tabs>
        <w:rPr>
          <w:sz w:val="20"/>
          <w:szCs w:val="20"/>
          <w:color w:val="auto"/>
        </w:rPr>
      </w:pPr>
      <w:r>
        <w:rPr>
          <w:rFonts w:ascii="Arial" w:cs="Arial" w:eastAsia="Arial" w:hAnsi="Arial"/>
          <w:sz w:val="13"/>
          <w:szCs w:val="13"/>
          <w:color w:val="auto"/>
        </w:rPr>
        <w:t>(</w:t>
      </w: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the reviews of our quarterly financial statements.</w:t>
      </w:r>
    </w:p>
    <w:p>
      <w:pPr>
        <w:spacing w:after="0" w:line="9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Audit-Related Fees are primarily for the audits of our benefit plans, other audits, consents, comfort letters and financial accounting consultation.</w:t>
      </w:r>
    </w:p>
    <w:p>
      <w:pPr>
        <w:spacing w:after="0" w:line="21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 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 Audit Committee pre-approved all services provided to CRC by our independent registered accounting firm in 2019 and 2018.</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151765</wp:posOffset>
            </wp:positionV>
            <wp:extent cx="67894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pacing w:after="0" w:line="369" w:lineRule="exact"/>
        <w:rPr>
          <w:sz w:val="20"/>
          <w:szCs w:val="20"/>
          <w:color w:val="auto"/>
        </w:rPr>
      </w:pPr>
    </w:p>
    <w:p>
      <w:pPr>
        <w:jc w:val="center"/>
        <w:ind w:left="340" w:right="1500"/>
        <w:spacing w:after="0" w:line="252"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81280</wp:posOffset>
            </wp:positionV>
            <wp:extent cx="67894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0075C9"/>
        </w:rPr>
        <w:t>Proposal 3: Advisory Vote to Approve Named Executive Officer Compensation</w:t>
      </w:r>
    </w:p>
    <w:p>
      <w:pPr>
        <w:spacing w:after="0" w:line="1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 -K, including the Compensation Discussion and Analysis, accompanying compensation tables and narrative discussion set forth in this proxy statement. Accordingly, you may vote on the following resolution at our Annual Meeting:</w:t>
      </w:r>
    </w:p>
    <w:p>
      <w:pPr>
        <w:spacing w:after="0" w:line="200" w:lineRule="exact"/>
        <w:rPr>
          <w:sz w:val="20"/>
          <w:szCs w:val="20"/>
          <w:color w:val="auto"/>
        </w:rPr>
      </w:pPr>
    </w:p>
    <w:p>
      <w:pPr>
        <w:spacing w:after="0" w:line="22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200" w:lineRule="exact"/>
        <w:rPr>
          <w:sz w:val="20"/>
          <w:szCs w:val="20"/>
          <w:color w:val="auto"/>
        </w:rPr>
      </w:pPr>
    </w:p>
    <w:p>
      <w:pPr>
        <w:spacing w:after="0" w:line="21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 last held a “say- on-frequency” vote in 2015, at which point our stockholders voted for, and the Board determined to hold, annual say-on-pay votes. The Company plans to hold its next “say-on-frequency” vote at the 2021 annual meeting.</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compensation program is designed to attract and retain talented executives and also to motivate our executives to achieve our designated goals and thereby create a successful company enhancing shareholder value.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155575</wp:posOffset>
            </wp:positionV>
            <wp:extent cx="67894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pacing w:after="0" w:line="375" w:lineRule="exact"/>
        <w:rPr>
          <w:sz w:val="20"/>
          <w:szCs w:val="20"/>
          <w:color w:val="auto"/>
        </w:rPr>
      </w:pPr>
    </w:p>
    <w:p>
      <w:pPr>
        <w:jc w:val="center"/>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79375</wp:posOffset>
            </wp:positionV>
            <wp:extent cx="67894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Voting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the close of business on March 9, 2020,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xml:space="preserve"> ” for the determination of stockholders entitled to receive notice of and to vote at the Annual Meeting, there were 49,358,891 shares of common stock outstanding, each share of which is entitled to one vote. Common stock is the only class of our outstanding securities entitled to receive notice of and to vote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Board of Directors asks you to appoint Todd A. Stevens and William E. Albrecht as your proxy holders (“</w:t>
      </w:r>
      <w:r>
        <w:rPr>
          <w:rFonts w:ascii="Arial" w:cs="Arial" w:eastAsia="Arial" w:hAnsi="Arial"/>
          <w:sz w:val="18"/>
          <w:szCs w:val="18"/>
          <w:b w:val="1"/>
          <w:bCs w:val="1"/>
          <w:i w:val="1"/>
          <w:iCs w:val="1"/>
          <w:color w:val="auto"/>
        </w:rPr>
        <w:t>Proxy Holders</w:t>
      </w:r>
      <w:r>
        <w:rPr>
          <w:rFonts w:ascii="Arial" w:cs="Arial" w:eastAsia="Arial" w:hAnsi="Arial"/>
          <w:sz w:val="18"/>
          <w:szCs w:val="18"/>
          <w:color w:val="auto"/>
        </w:rPr>
        <w:t>”) to vote your shares at the Annual Meeting. You make this appointment by using one of the voting methods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200" w:lineRule="exact"/>
        <w:rPr>
          <w:sz w:val="20"/>
          <w:szCs w:val="20"/>
          <w:color w:val="auto"/>
        </w:rPr>
      </w:pPr>
    </w:p>
    <w:p>
      <w:pPr>
        <w:spacing w:after="0" w:line="22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Chairman of the Annual Meeting or, if directed by the Chairman of the Annual Meeting, a majority of the shares so represented, may adjourn the Annual Meeting from time to time, whether or not there is a quorum represented, and the Proxy Holders will vote the proxies they have been authorized to vote at the Annual Meeting in favor of such an adjournment. In the event a quorum is present at the Annual Meeting but sufficient votes to approve any of the items proposed by our Board of Directors have not been received, the Chairman of the meeting or the Proxy Holders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Holders with the authority to vote on those matters and nominees in accordance with such persons’ discretion. Where a stockholder has appropriately specified how a proxy is to be voted, it will be voted by the Proxy Holders in accordance with the specification.</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0" w:name="page81"/>
    <w:bookmarkEnd w:id="8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634"/>
        </w:trPr>
        <w:tc>
          <w:tcPr>
            <w:tcW w:w="3320" w:type="dxa"/>
            <w:vAlign w:val="bottom"/>
            <w:shd w:val="clear" w:color="auto" w:fill="E6EFF7"/>
          </w:tcPr>
          <w:p>
            <w:pPr>
              <w:ind w:left="1080"/>
              <w:spacing w:after="0"/>
              <w:rPr>
                <w:sz w:val="20"/>
                <w:szCs w:val="20"/>
                <w:color w:val="auto"/>
              </w:rPr>
            </w:pPr>
            <w:r>
              <w:rPr>
                <w:rFonts w:ascii="Arial" w:cs="Arial" w:eastAsia="Arial" w:hAnsi="Arial"/>
                <w:sz w:val="18"/>
                <w:szCs w:val="18"/>
                <w:b w:val="1"/>
                <w:bCs w:val="1"/>
                <w:color w:val="0075C9"/>
              </w:rPr>
              <w:t>BY INTERNET</w:t>
            </w:r>
          </w:p>
        </w:tc>
        <w:tc>
          <w:tcPr>
            <w:tcW w:w="300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2620" w:type="dxa"/>
            <w:vAlign w:val="bottom"/>
            <w:shd w:val="clear" w:color="auto" w:fill="E6EFF7"/>
          </w:tcPr>
          <w:p>
            <w:pPr>
              <w:ind w:left="1020"/>
              <w:spacing w:after="0"/>
              <w:rPr>
                <w:sz w:val="20"/>
                <w:szCs w:val="20"/>
                <w:color w:val="auto"/>
              </w:rPr>
            </w:pPr>
            <w:r>
              <w:rPr>
                <w:rFonts w:ascii="Arial" w:cs="Arial" w:eastAsia="Arial" w:hAnsi="Arial"/>
                <w:sz w:val="18"/>
                <w:szCs w:val="18"/>
                <w:b w:val="1"/>
                <w:bCs w:val="1"/>
                <w:color w:val="0075C9"/>
              </w:rPr>
              <w:t>IN PERSON</w:t>
            </w:r>
          </w:p>
        </w:tc>
        <w:tc>
          <w:tcPr>
            <w:tcW w:w="2300" w:type="dxa"/>
            <w:vAlign w:val="bottom"/>
            <w:shd w:val="clear" w:color="auto" w:fill="E6EFF7"/>
          </w:tcPr>
          <w:p>
            <w:pPr>
              <w:ind w:left="960"/>
              <w:spacing w:after="0"/>
              <w:rPr>
                <w:sz w:val="20"/>
                <w:szCs w:val="20"/>
                <w:color w:val="auto"/>
              </w:rPr>
            </w:pPr>
            <w:r>
              <w:rPr>
                <w:rFonts w:ascii="Arial" w:cs="Arial" w:eastAsia="Arial" w:hAnsi="Arial"/>
                <w:sz w:val="18"/>
                <w:szCs w:val="18"/>
                <w:b w:val="1"/>
                <w:bCs w:val="1"/>
                <w:color w:val="0075C9"/>
              </w:rPr>
              <w:t>BY MAIL</w:t>
            </w:r>
          </w:p>
        </w:tc>
      </w:tr>
      <w:tr>
        <w:trPr>
          <w:trHeight w:val="274"/>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262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You may vote in person at the</w:t>
            </w:r>
          </w:p>
        </w:tc>
        <w:tc>
          <w:tcPr>
            <w:tcW w:w="230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If you request paper copies of</w:t>
            </w: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 in</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w:t>
            </w:r>
          </w:p>
        </w:tc>
        <w:tc>
          <w:tcPr>
            <w:tcW w:w="262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Annual Meeting by completing a</w:t>
            </w:r>
          </w:p>
        </w:tc>
        <w:tc>
          <w:tcPr>
            <w:tcW w:w="230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the proxy materials by mail, you</w:t>
            </w: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the Notice of Internet Availability of Proxy</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by telephone using the toll-free number</w:t>
            </w:r>
          </w:p>
        </w:tc>
        <w:tc>
          <w:tcPr>
            <w:tcW w:w="262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ballot, which will be available at the</w:t>
            </w:r>
          </w:p>
        </w:tc>
        <w:tc>
          <w:tcPr>
            <w:tcW w:w="230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may indicate your vote by</w:t>
            </w: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listed on the proxy card. Please have your</w:t>
            </w:r>
          </w:p>
        </w:tc>
        <w:tc>
          <w:tcPr>
            <w:tcW w:w="262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Annual Meeting. Please note that</w:t>
            </w:r>
          </w:p>
        </w:tc>
        <w:tc>
          <w:tcPr>
            <w:tcW w:w="230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completing, signing and dating</w:t>
            </w: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Availability of Proxy Materials in hand when you</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proxy card in hand when you call.</w:t>
            </w:r>
          </w:p>
        </w:tc>
        <w:tc>
          <w:tcPr>
            <w:tcW w:w="262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attending the Annual Meeting without</w:t>
            </w:r>
          </w:p>
        </w:tc>
        <w:tc>
          <w:tcPr>
            <w:tcW w:w="230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your proxy card and returning it</w:t>
            </w: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log onto the website. Internet voting facilities will</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voting facilities will close and</w:t>
            </w:r>
          </w:p>
        </w:tc>
        <w:tc>
          <w:tcPr>
            <w:tcW w:w="262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completing a ballot will not count as a</w:t>
            </w:r>
          </w:p>
        </w:tc>
        <w:tc>
          <w:tcPr>
            <w:tcW w:w="230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in the reply envelope provided.</w:t>
            </w: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be available 24 hours a day, 7 days a week, and</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no longer be available after 11:59 p.m.,</w:t>
            </w:r>
          </w:p>
        </w:tc>
        <w:tc>
          <w:tcPr>
            <w:tcW w:w="2620" w:type="dxa"/>
            <w:vAlign w:val="bottom"/>
            <w:shd w:val="clear" w:color="auto" w:fill="E6EFF7"/>
          </w:tcPr>
          <w:p>
            <w:pPr>
              <w:ind w:left="120"/>
              <w:spacing w:after="0"/>
              <w:rPr>
                <w:sz w:val="20"/>
                <w:szCs w:val="20"/>
                <w:color w:val="auto"/>
              </w:rPr>
            </w:pPr>
            <w:r>
              <w:rPr>
                <w:rFonts w:ascii="Arial" w:cs="Arial" w:eastAsia="Arial" w:hAnsi="Arial"/>
                <w:sz w:val="14"/>
                <w:szCs w:val="14"/>
                <w:i w:val="1"/>
                <w:iCs w:val="1"/>
                <w:color w:val="auto"/>
              </w:rPr>
              <w:t>vote.</w:t>
            </w:r>
          </w:p>
        </w:tc>
        <w:tc>
          <w:tcPr>
            <w:tcW w:w="2300" w:type="dxa"/>
            <w:vAlign w:val="bottom"/>
            <w:shd w:val="clear" w:color="auto" w:fill="E6EFF7"/>
          </w:tcPr>
          <w:p>
            <w:pPr>
              <w:spacing w:after="0"/>
              <w:rPr>
                <w:sz w:val="14"/>
                <w:szCs w:val="14"/>
                <w:color w:val="auto"/>
              </w:rPr>
            </w:pP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at 11:59 p.m., Eastern Time, on</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May 5, 2020.</w:t>
            </w:r>
          </w:p>
        </w:tc>
        <w:tc>
          <w:tcPr>
            <w:tcW w:w="2620" w:type="dxa"/>
            <w:vAlign w:val="bottom"/>
            <w:shd w:val="clear" w:color="auto" w:fill="E6EFF7"/>
          </w:tcPr>
          <w:p>
            <w:pPr>
              <w:spacing w:after="0"/>
              <w:rPr>
                <w:sz w:val="14"/>
                <w:szCs w:val="14"/>
                <w:color w:val="auto"/>
              </w:rPr>
            </w:pPr>
          </w:p>
        </w:tc>
        <w:tc>
          <w:tcPr>
            <w:tcW w:w="2300" w:type="dxa"/>
            <w:vAlign w:val="bottom"/>
            <w:shd w:val="clear" w:color="auto" w:fill="E6EFF7"/>
          </w:tcPr>
          <w:p>
            <w:pPr>
              <w:spacing w:after="0"/>
              <w:rPr>
                <w:sz w:val="14"/>
                <w:szCs w:val="14"/>
                <w:color w:val="auto"/>
              </w:rPr>
            </w:pPr>
          </w:p>
        </w:tc>
      </w:tr>
      <w:tr>
        <w:trPr>
          <w:trHeight w:val="186"/>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May 5, 2020.</w:t>
            </w:r>
          </w:p>
        </w:tc>
        <w:tc>
          <w:tcPr>
            <w:tcW w:w="3000" w:type="dxa"/>
            <w:vAlign w:val="bottom"/>
            <w:shd w:val="clear" w:color="auto" w:fill="E6EFF7"/>
          </w:tcPr>
          <w:p>
            <w:pPr>
              <w:spacing w:after="0"/>
              <w:rPr>
                <w:sz w:val="16"/>
                <w:szCs w:val="16"/>
                <w:color w:val="auto"/>
              </w:rPr>
            </w:pPr>
          </w:p>
        </w:tc>
        <w:tc>
          <w:tcPr>
            <w:tcW w:w="2620" w:type="dxa"/>
            <w:vAlign w:val="bottom"/>
            <w:shd w:val="clear" w:color="auto" w:fill="E6EFF7"/>
          </w:tcPr>
          <w:p>
            <w:pPr>
              <w:spacing w:after="0"/>
              <w:rPr>
                <w:sz w:val="16"/>
                <w:szCs w:val="16"/>
                <w:color w:val="auto"/>
              </w:rPr>
            </w:pPr>
          </w:p>
        </w:tc>
        <w:tc>
          <w:tcPr>
            <w:tcW w:w="2300" w:type="dxa"/>
            <w:vAlign w:val="bottom"/>
            <w:shd w:val="clear" w:color="auto" w:fill="E6EFF7"/>
          </w:tcPr>
          <w:p>
            <w:pPr>
              <w:spacing w:after="0"/>
              <w:rPr>
                <w:sz w:val="16"/>
                <w:szCs w:val="16"/>
                <w:color w:val="auto"/>
              </w:rPr>
            </w:pPr>
          </w:p>
        </w:tc>
      </w:tr>
      <w:tr>
        <w:trPr>
          <w:trHeight w:val="93"/>
        </w:trPr>
        <w:tc>
          <w:tcPr>
            <w:tcW w:w="3320" w:type="dxa"/>
            <w:vAlign w:val="bottom"/>
            <w:shd w:val="clear" w:color="auto" w:fill="E6EFF7"/>
          </w:tcPr>
          <w:p>
            <w:pPr>
              <w:spacing w:after="0"/>
              <w:rPr>
                <w:sz w:val="8"/>
                <w:szCs w:val="8"/>
                <w:color w:val="auto"/>
              </w:rPr>
            </w:pPr>
          </w:p>
        </w:tc>
        <w:tc>
          <w:tcPr>
            <w:tcW w:w="3000" w:type="dxa"/>
            <w:vAlign w:val="bottom"/>
            <w:shd w:val="clear" w:color="auto" w:fill="E6EFF7"/>
          </w:tcPr>
          <w:p>
            <w:pPr>
              <w:spacing w:after="0"/>
              <w:rPr>
                <w:sz w:val="8"/>
                <w:szCs w:val="8"/>
                <w:color w:val="auto"/>
              </w:rPr>
            </w:pPr>
          </w:p>
        </w:tc>
        <w:tc>
          <w:tcPr>
            <w:tcW w:w="2620" w:type="dxa"/>
            <w:vAlign w:val="bottom"/>
            <w:shd w:val="clear" w:color="auto" w:fill="E6EFF7"/>
          </w:tcPr>
          <w:p>
            <w:pPr>
              <w:spacing w:after="0"/>
              <w:rPr>
                <w:sz w:val="8"/>
                <w:szCs w:val="8"/>
                <w:color w:val="auto"/>
              </w:rPr>
            </w:pPr>
          </w:p>
        </w:tc>
        <w:tc>
          <w:tcPr>
            <w:tcW w:w="2300" w:type="dxa"/>
            <w:vAlign w:val="bottom"/>
            <w:shd w:val="clear" w:color="auto" w:fill="E6EFF7"/>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-1405255</wp:posOffset>
            </wp:positionV>
            <wp:extent cx="377190" cy="3683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77190" cy="36830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-1405255</wp:posOffset>
            </wp:positionV>
            <wp:extent cx="214630" cy="3683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4630" cy="36830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-1405255</wp:posOffset>
            </wp:positionV>
            <wp:extent cx="325755" cy="3683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-1405255</wp:posOffset>
            </wp:positionV>
            <wp:extent cx="334645" cy="3683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4645" cy="368300"/>
                    </a:xfrm>
                    <a:prstGeom prst="rect">
                      <a:avLst/>
                    </a:prstGeom>
                    <a:noFill/>
                  </pic:spPr>
                </pic:pic>
              </a:graphicData>
            </a:graphic>
          </wp:anchor>
        </w:drawing>
      </w:r>
    </w:p>
    <w:p>
      <w:pPr>
        <w:spacing w:after="0" w:line="22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a voting instruction form that will explain how to direct the voting of your shares through the intermediary, which may include the ability to provide voting instructions via the Internet or by telephone.</w:t>
      </w:r>
    </w:p>
    <w:p>
      <w:pPr>
        <w:spacing w:after="0" w:line="20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provide voting instructions to the broker or other intermediary so that your vote will be counted. </w:t>
      </w:r>
      <w:r>
        <w:rPr>
          <w:rFonts w:ascii="Arial" w:cs="Arial" w:eastAsia="Arial" w:hAnsi="Arial"/>
          <w:sz w:val="18"/>
          <w:szCs w:val="18"/>
          <w:color w:val="auto"/>
        </w:rPr>
        <w:t>Under NYSE rules, Proposal 2</w:t>
      </w:r>
      <w:r>
        <w:rPr>
          <w:rFonts w:ascii="Arial" w:cs="Arial" w:eastAsia="Arial" w:hAnsi="Arial"/>
          <w:sz w:val="18"/>
          <w:szCs w:val="18"/>
          <w:b w:val="1"/>
          <w:bCs w:val="1"/>
          <w:color w:val="auto"/>
        </w:rPr>
        <w:t xml:space="preserve"> </w:t>
      </w:r>
      <w:r>
        <w:rPr>
          <w:rFonts w:ascii="Arial" w:cs="Arial" w:eastAsia="Arial" w:hAnsi="Arial"/>
          <w:sz w:val="18"/>
          <w:szCs w:val="18"/>
          <w:color w:val="auto"/>
        </w:rPr>
        <w:t>is considered a “routine matter,” and thus a broker is permitted in its discretion to cast a vote on this proposal as to your shares in the event that you do not provide the broker with voting instructions.</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1" w:name="page82"/>
    <w:bookmarkEnd w:id="8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in Person” below.</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104" w:lineRule="exact"/>
        <w:rPr>
          <w:sz w:val="20"/>
          <w:szCs w:val="20"/>
          <w:color w:val="auto"/>
        </w:rPr>
      </w:pPr>
    </w:p>
    <w:p>
      <w:pPr>
        <w:ind w:left="580" w:hanging="343"/>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May 5, 2020;</w:t>
      </w:r>
    </w:p>
    <w:p>
      <w:pPr>
        <w:spacing w:after="0" w:line="117" w:lineRule="exact"/>
        <w:rPr>
          <w:rFonts w:ascii="Arial" w:cs="Arial" w:eastAsia="Arial" w:hAnsi="Arial"/>
          <w:sz w:val="18"/>
          <w:szCs w:val="18"/>
          <w:color w:val="auto"/>
        </w:rPr>
      </w:pPr>
    </w:p>
    <w:p>
      <w:pPr>
        <w:ind w:left="580" w:right="840" w:hanging="343"/>
        <w:spacing w:after="0" w:line="24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88" w:lineRule="exact"/>
        <w:rPr>
          <w:rFonts w:ascii="Arial" w:cs="Arial" w:eastAsia="Arial" w:hAnsi="Arial"/>
          <w:sz w:val="18"/>
          <w:szCs w:val="18"/>
          <w:color w:val="auto"/>
        </w:rPr>
      </w:pPr>
    </w:p>
    <w:p>
      <w:pPr>
        <w:ind w:left="580" w:right="480" w:hanging="343"/>
        <w:spacing w:after="0" w:line="24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in person at the Annual Meeting by completing a ballot; however, attending the Annual Meeting without completing a ballot will not revoke any previously submitted proxy; or</w:t>
      </w:r>
    </w:p>
    <w:p>
      <w:pPr>
        <w:spacing w:after="0" w:line="88" w:lineRule="exact"/>
        <w:rPr>
          <w:rFonts w:ascii="Arial" w:cs="Arial" w:eastAsia="Arial" w:hAnsi="Arial"/>
          <w:sz w:val="18"/>
          <w:szCs w:val="18"/>
          <w:color w:val="auto"/>
        </w:rPr>
      </w:pPr>
    </w:p>
    <w:p>
      <w:pPr>
        <w:ind w:left="580" w:right="560" w:hanging="343"/>
        <w:spacing w:after="0" w:line="24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27200 Tourney Road, Suite 200, Santa Clarita, California 91355 that is received no later than May 5, 2020.</w:t>
      </w:r>
    </w:p>
    <w:p>
      <w:pPr>
        <w:spacing w:after="0" w:line="1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adopted majority voting with respect to the uncontested election of directors to the Board of Directors. See “Majority Voting for Directors” below.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non-vote will occur. Abstentions and broker non-votes are not considered votes cast and will have no effect on the outcome of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3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w:t>
      </w:r>
    </w:p>
    <w:p>
      <w:pPr>
        <w:spacing w:after="0" w:line="13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 non-vote will occur. Broker non-votes are not considered and will have no effect on the outcome of</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2" w:name="page83"/>
    <w:bookmarkEnd w:id="8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Proposal 3. Abstentions are treated as present or represented and voting and will have the same effect as a vote “AGAINST.”</w:t>
      </w:r>
    </w:p>
    <w:p>
      <w:pPr>
        <w:spacing w:after="0" w:line="21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Majority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adopted majority voting with respect to the uncontested election of directors to the Board of Directors. In accordance with our Bylaws, in order to be elected as a director, a director nominee must receive more votes cast “FOR” than “AGAINST” his or her election. Majority voting does not apply if the number of nominees for director exceeds the number of directors to be elected on or after the tenth day preceding the date we first mail the Notice of Annual Meeting, in which case directors shall be elected by a plurality of shares present in person or represented by proxy at the Annual Meeting.</w:t>
      </w:r>
    </w:p>
    <w:p>
      <w:pPr>
        <w:spacing w:after="0" w:line="20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Unless the election is by plurality vote as set forth above, if an incumbent nominee for director receives an equal or greater number of votes cast “AGAINST” than votes cast “FOR” his or her election, the nominee shall promptly tender his or her resignation to the Board of Directors. Such director resignation will become effective upon acceptance by the Board of Directors of such resignation based on any factors deemed relevant by the Board of Directors. The foregoing summary is qualified by the terms of our majority voting provision, which is included in our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2020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$7,500, plus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Only stockholders of record or their legal proxy holders as of the Record Date or our invited guests may attend the Annual Meeting in person. </w:t>
      </w:r>
      <w:r>
        <w:rPr>
          <w:rFonts w:ascii="Arial" w:cs="Arial" w:eastAsia="Arial" w:hAnsi="Arial"/>
          <w:sz w:val="18"/>
          <w:szCs w:val="18"/>
          <w:b w:val="1"/>
          <w:bCs w:val="1"/>
          <w:color w:val="auto"/>
        </w:rPr>
        <w:t>If you plan to attend the Annual Meeting in person, you</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w:t>
      </w:r>
      <w:r>
        <w:rPr>
          <w:rFonts w:ascii="Arial" w:cs="Arial" w:eastAsia="Arial" w:hAnsi="Arial"/>
          <w:sz w:val="18"/>
          <w:szCs w:val="18"/>
          <w:b w:val="1"/>
          <w:bCs w:val="1"/>
          <w:color w:val="auto"/>
        </w:rPr>
        <w:t>present a valid form of government-issued photo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identification, such as a driver’s license or passport. </w:t>
      </w:r>
      <w:r>
        <w:rPr>
          <w:rFonts w:ascii="Arial" w:cs="Arial" w:eastAsia="Arial" w:hAnsi="Arial"/>
          <w:sz w:val="18"/>
          <w:szCs w:val="18"/>
          <w:color w:val="auto"/>
        </w:rPr>
        <w:t>In addition to such personal identification, you will need an admission ticket or</w:t>
      </w:r>
      <w:r>
        <w:rPr>
          <w:rFonts w:ascii="Arial" w:cs="Arial" w:eastAsia="Arial" w:hAnsi="Arial"/>
          <w:sz w:val="18"/>
          <w:szCs w:val="18"/>
          <w:b w:val="1"/>
          <w:bCs w:val="1"/>
          <w:color w:val="auto"/>
        </w:rPr>
        <w:t xml:space="preserve"> </w:t>
      </w:r>
      <w:r>
        <w:rPr>
          <w:rFonts w:ascii="Arial" w:cs="Arial" w:eastAsia="Arial" w:hAnsi="Arial"/>
          <w:sz w:val="18"/>
          <w:szCs w:val="18"/>
          <w:color w:val="auto"/>
        </w:rPr>
        <w:t>proof of ownership of CRC stock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3" w:name="page84"/>
    <w:bookmarkEnd w:id="8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0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color w:val="auto"/>
        </w:rPr>
        <w:t>No cameras, telephones, recording equipment, electronic devices, large bags, briefcases or packages will be permitted at the Annual Meeting. No banners, signs, firearms or weapons will be allowed in the meeting room. We reserve the right to inspect all items entering the meeting room.</w:t>
      </w:r>
    </w:p>
    <w:p>
      <w:pPr>
        <w:spacing w:after="0" w:line="19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Annual Meeting will be held at the Bakersfield Marriott at the Convention Center, located at 801 Truxtun Avenue, Bakersfield, California 93301.</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0075C9"/>
        </w:rPr>
        <w:t>Notice of Internet Availability of Proxy Materials</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March 24, 2020, we mailed a Notice of Internet Availability of Proxy Materials to our stockholders of record and beneficial owners who owned shares of our common stock at the close of business on March 9, 2020.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 mail next year with instructions containing a link to those materials and a link to the proxy voting site. Your election to receive proxy materials by e-mail will remain in effect until you terminate it.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0075C9"/>
        </w:rPr>
        <w:t>Stockholder Proposals and Director Nominations</w:t>
      </w:r>
    </w:p>
    <w:p>
      <w:pPr>
        <w:spacing w:after="0" w:line="10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Any stockholder who wishes to submit a proposal for inclusion in the proxy materials and for presentation at our 2021 annual meeting of stockholders may do so by following the procedures set forth in Rule 14a- 8 under the Exchange Act. In accordance with Rule 14a-8, stockholder proposals should be received by our Corporate Secretary at the address below not later than November 24, 2020.</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proposals that are not submitted for inclusion in our proxy statement under Rule 14a-8, as more specifically provided in our Bylaws, in order for nominations of persons for election to the Board of Directors or a proposal of any other business to be properly brought before the 2021 annual meeting of stockholders, it must be submitted in accordance with our Bylaws and must be received at our principal executive offices no earlier than the close of business on January 6, 2021 and not later than the close of business on February 5, 2021. Any such proposal must be an appropriate subject for stockholder action under applicable law and must comply with the notice requirements set forth in Section 2.9 of our Bylaws and should be sent in writing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27200 Tourney Road, Suite 200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12"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0075C9"/>
        </w:rPr>
        <w:t>Householding of Proxy Materials</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4" w:name="page85"/>
    <w:bookmarkEnd w:id="8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calling (866) 659-2647 or (718) 921-8124 (for international callers) or you may contact your broker, bank or other nominee to make a similar request.</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0075C9"/>
        </w:rPr>
        <w:t>2019 Annual Report</w:t>
      </w:r>
    </w:p>
    <w:p>
      <w:pPr>
        <w:spacing w:after="0" w:line="10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Our 2019 Annual Report to Stockholders, including our Annual Report on Form 10 -K for the fiscal year ended December 31, 2019 as filed with the SEC, is being furnished to our stockholders primarily via the Internet and mailed to all stockholders who have requested to receive paper copies of the proxy materials. The 2019 Annual Report to Stockholders does not constitute a part of the proxy soliciting material.</w:t>
      </w:r>
    </w:p>
    <w:p>
      <w:pPr>
        <w:spacing w:after="0" w:line="383"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2019, including the financial statements and the financial statement schedules, if any, but not including exhibits, is also available at http://www.astproxyportal.com/ast/20758 and a copy will be furnished at no charge to each person to whom a Notice of Internet Availability of Proxy Materials is delivered upon the request of such person to the following:</w:t>
      </w:r>
    </w:p>
    <w:p>
      <w:pPr>
        <w:sectPr>
          <w:pgSz w:w="11900" w:h="16838" w:orient="portrait"/>
          <w:cols w:equalWidth="0" w:num="1">
            <w:col w:w="11240"/>
          </w:cols>
          <w:pgMar w:left="320" w:top="387" w:right="3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p>
    <w:p>
      <w:pPr>
        <w:spacing w:after="0"/>
        <w:rPr>
          <w:sz w:val="20"/>
          <w:szCs w:val="20"/>
          <w:color w:val="auto"/>
        </w:rPr>
      </w:pPr>
      <w:r>
        <w:rPr>
          <w:rFonts w:ascii="Arial" w:cs="Arial" w:eastAsia="Arial" w:hAnsi="Arial"/>
          <w:sz w:val="18"/>
          <w:szCs w:val="18"/>
          <w:b w:val="1"/>
          <w:bCs w:val="1"/>
          <w:color w:val="auto"/>
        </w:rPr>
        <w:t>WEBSITE: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888-Proxy-NA (888-776-9962) or 718-921-8562 (for international callers)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help@astfinancial.com</w:t>
      </w:r>
    </w:p>
    <w:p>
      <w:pPr>
        <w:spacing w:after="0"/>
        <w:rPr>
          <w:sz w:val="20"/>
          <w:szCs w:val="20"/>
          <w:color w:val="auto"/>
        </w:rPr>
      </w:pPr>
      <w:r>
        <w:rPr>
          <w:rFonts w:ascii="Arial" w:cs="Arial" w:eastAsia="Arial" w:hAnsi="Arial"/>
          <w:sz w:val="17"/>
          <w:szCs w:val="17"/>
          <w:b w:val="1"/>
          <w:bCs w:val="1"/>
          <w:color w:val="auto"/>
        </w:rPr>
        <w:t>https://us.astfinancial.com/OnlineProxyVoting/ProxyVoting/RequestMaterials</w:t>
      </w:r>
    </w:p>
    <w:p>
      <w:pPr>
        <w:spacing w:after="0" w:line="211" w:lineRule="exact"/>
        <w:rPr>
          <w:sz w:val="20"/>
          <w:szCs w:val="20"/>
          <w:color w:val="auto"/>
        </w:rPr>
      </w:pPr>
    </w:p>
    <w:p>
      <w:pPr>
        <w:sectPr>
          <w:pgSz w:w="11900" w:h="16838" w:orient="portrait"/>
          <w:cols w:equalWidth="0" w:num="2">
            <w:col w:w="1160" w:space="540"/>
            <w:col w:w="9540"/>
          </w:cols>
          <w:pgMar w:left="320" w:top="387"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85" w:name="page86"/>
    <w:bookmarkEnd w:id="8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 Reconciliation of Non-GAAP Measures and Other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 and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0075C9"/>
        </w:rPr>
        <w:t>Adjusted EBITDAX</w:t>
      </w:r>
    </w:p>
    <w:p>
      <w:pPr>
        <w:spacing w:after="0" w:line="104"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non-GAAP financial measure of adjusted EBITDAX and the calculation of adjusted EBITDAX margin:</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48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200" w:type="dxa"/>
            <w:vAlign w:val="bottom"/>
            <w:tcBorders>
              <w:bottom w:val="single" w:sz="8" w:color="0075C9"/>
            </w:tcBorders>
          </w:tcPr>
          <w:p>
            <w:pPr>
              <w:spacing w:after="0"/>
              <w:rPr>
                <w:sz w:val="17"/>
                <w:szCs w:val="17"/>
                <w:color w:val="auto"/>
              </w:rPr>
            </w:pPr>
          </w:p>
        </w:tc>
        <w:tc>
          <w:tcPr>
            <w:tcW w:w="120" w:type="dxa"/>
            <w:vAlign w:val="bottom"/>
            <w:tcBorders>
              <w:bottom w:val="single" w:sz="8" w:color="0075C9"/>
            </w:tcBorders>
          </w:tcPr>
          <w:p>
            <w:pPr>
              <w:spacing w:after="0"/>
              <w:rPr>
                <w:sz w:val="17"/>
                <w:szCs w:val="17"/>
                <w:color w:val="auto"/>
              </w:rPr>
            </w:pPr>
          </w:p>
        </w:tc>
        <w:tc>
          <w:tcPr>
            <w:tcW w:w="900" w:type="dxa"/>
            <w:vAlign w:val="bottom"/>
            <w:tcBorders>
              <w:bottom w:val="single" w:sz="8" w:color="0075C9"/>
            </w:tcBorders>
          </w:tcPr>
          <w:p>
            <w:pPr>
              <w:jc w:val="right"/>
              <w:ind w:right="230"/>
              <w:spacing w:after="0"/>
              <w:rPr>
                <w:sz w:val="20"/>
                <w:szCs w:val="20"/>
                <w:color w:val="auto"/>
              </w:rPr>
            </w:pPr>
            <w:r>
              <w:rPr>
                <w:rFonts w:ascii="Arial" w:cs="Arial" w:eastAsia="Arial" w:hAnsi="Arial"/>
                <w:sz w:val="18"/>
                <w:szCs w:val="18"/>
                <w:color w:val="0075C9"/>
              </w:rPr>
              <w:t>2019</w:t>
            </w:r>
          </w:p>
        </w:tc>
        <w:tc>
          <w:tcPr>
            <w:tcW w:w="80" w:type="dxa"/>
            <w:vAlign w:val="bottom"/>
            <w:tcBorders>
              <w:bottom w:val="single" w:sz="8" w:color="F2F2F2"/>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F2F2F2"/>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Interest and debt expense, net</w:t>
            </w:r>
          </w:p>
        </w:tc>
        <w:tc>
          <w:tcPr>
            <w:tcW w:w="2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471</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Exploration expense</w:t>
            </w:r>
          </w:p>
        </w:tc>
        <w:tc>
          <w:tcPr>
            <w:tcW w:w="2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4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Unusual, infrequent and other items</w:t>
            </w:r>
          </w:p>
        </w:tc>
        <w:tc>
          <w:tcPr>
            <w:tcW w:w="20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Other non-cash items</w:t>
            </w:r>
          </w:p>
        </w:tc>
        <w:tc>
          <w:tcPr>
            <w:tcW w:w="20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(A)</w:t>
            </w:r>
          </w:p>
        </w:tc>
        <w:tc>
          <w:tcPr>
            <w:tcW w:w="200" w:type="dxa"/>
            <w:vAlign w:val="bottom"/>
            <w:tcBorders>
              <w:bottom w:val="single" w:sz="8" w:color="F2F2F2"/>
            </w:tcBorders>
            <w:shd w:val="clear" w:color="auto" w:fill="F2F2F2"/>
          </w:tcPr>
          <w:p>
            <w:pPr>
              <w:spacing w:after="0"/>
              <w:rPr>
                <w:sz w:val="21"/>
                <w:szCs w:val="21"/>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480" w:type="dxa"/>
            <w:vAlign w:val="bottom"/>
            <w:shd w:val="clear" w:color="auto" w:fill="F2F2F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F2F2F2"/>
          </w:tcPr>
          <w:p>
            <w:pPr>
              <w:spacing w:after="0"/>
              <w:rPr>
                <w:sz w:val="24"/>
                <w:szCs w:val="24"/>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Cash interest</w:t>
            </w:r>
          </w:p>
        </w:tc>
        <w:tc>
          <w:tcPr>
            <w:tcW w:w="2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Exploration expenditures</w:t>
            </w:r>
          </w:p>
        </w:tc>
        <w:tc>
          <w:tcPr>
            <w:tcW w:w="2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Working capital changes</w:t>
            </w:r>
          </w:p>
        </w:tc>
        <w:tc>
          <w:tcPr>
            <w:tcW w:w="2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48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auto"/>
            </w:tcBorders>
            <w:shd w:val="clear" w:color="auto" w:fill="F2F2F2"/>
          </w:tcPr>
          <w:p>
            <w:pPr>
              <w:spacing w:after="0"/>
              <w:rPr>
                <w:sz w:val="22"/>
                <w:szCs w:val="22"/>
                <w:color w:val="auto"/>
              </w:rPr>
            </w:pP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(A)</w:t>
            </w:r>
          </w:p>
        </w:tc>
        <w:tc>
          <w:tcPr>
            <w:tcW w:w="20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Borders>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Adjusted EBITDAX margin</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0075C9"/>
              </w:rPr>
              <w:t>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8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200" w:type="dxa"/>
            <w:vAlign w:val="bottom"/>
            <w:tcBorders>
              <w:bottom w:val="single" w:sz="8" w:color="0075C9"/>
            </w:tcBorders>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c>
          <w:tcPr>
            <w:tcW w:w="900" w:type="dxa"/>
            <w:vAlign w:val="bottom"/>
            <w:tcBorders>
              <w:bottom w:val="single" w:sz="8" w:color="0075C9"/>
            </w:tcBorders>
            <w:vMerge w:val="continue"/>
          </w:tcPr>
          <w:p>
            <w:pPr>
              <w:spacing w:after="0"/>
              <w:rPr>
                <w:sz w:val="14"/>
                <w:szCs w:val="14"/>
                <w:color w:val="auto"/>
              </w:rPr>
            </w:pPr>
          </w:p>
        </w:tc>
        <w:tc>
          <w:tcPr>
            <w:tcW w:w="80" w:type="dxa"/>
            <w:vAlign w:val="bottom"/>
            <w:tcBorders>
              <w:bottom w:val="single" w:sz="8" w:color="F2F2F2"/>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F2F2F2"/>
          </w:tcPr>
          <w:p>
            <w:pPr>
              <w:spacing w:after="0"/>
              <w:rPr>
                <w:sz w:val="20"/>
                <w:szCs w:val="20"/>
                <w:color w:val="auto"/>
              </w:rPr>
            </w:pPr>
            <w:r>
              <w:rPr>
                <w:rFonts w:ascii="Arial" w:cs="Arial" w:eastAsia="Arial" w:hAnsi="Arial"/>
                <w:sz w:val="18"/>
                <w:szCs w:val="18"/>
                <w:color w:val="auto"/>
              </w:rPr>
              <w:t>Total revenues</w:t>
            </w:r>
          </w:p>
        </w:tc>
        <w:tc>
          <w:tcPr>
            <w:tcW w:w="32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2,634</w:t>
            </w:r>
          </w:p>
        </w:tc>
        <w:tc>
          <w:tcPr>
            <w:tcW w:w="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8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Non-cash derivative loss</w:t>
            </w:r>
          </w:p>
        </w:tc>
        <w:tc>
          <w:tcPr>
            <w:tcW w:w="200" w:type="dxa"/>
            <w:vAlign w:val="bottom"/>
            <w:tcBorders>
              <w:bottom w:val="single" w:sz="8" w:color="F2F2F2"/>
            </w:tcBorders>
            <w:shd w:val="clear" w:color="auto" w:fill="F2F2F2"/>
          </w:tcPr>
          <w:p>
            <w:pPr>
              <w:spacing w:after="0"/>
              <w:rPr>
                <w:sz w:val="23"/>
                <w:szCs w:val="23"/>
                <w:color w:val="auto"/>
              </w:rPr>
            </w:pPr>
          </w:p>
        </w:tc>
        <w:tc>
          <w:tcPr>
            <w:tcW w:w="120" w:type="dxa"/>
            <w:vAlign w:val="bottom"/>
            <w:tcBorders>
              <w:bottom w:val="single" w:sz="8" w:color="auto"/>
            </w:tcBorders>
            <w:shd w:val="clear" w:color="auto" w:fill="F2F2F2"/>
          </w:tcPr>
          <w:p>
            <w:pPr>
              <w:spacing w:after="0"/>
              <w:rPr>
                <w:sz w:val="23"/>
                <w:szCs w:val="23"/>
                <w:color w:val="auto"/>
              </w:rPr>
            </w:pP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revenues (B)</w:t>
            </w:r>
          </w:p>
        </w:tc>
        <w:tc>
          <w:tcPr>
            <w:tcW w:w="200" w:type="dxa"/>
            <w:vAlign w:val="bottom"/>
            <w:tcBorders>
              <w:bottom w:val="single" w:sz="8" w:color="F2F2F2"/>
            </w:tcBorders>
            <w:shd w:val="clear" w:color="auto" w:fill="F2F2F2"/>
          </w:tcPr>
          <w:p>
            <w:pPr>
              <w:spacing w:after="0"/>
              <w:rPr>
                <w:sz w:val="21"/>
                <w:szCs w:val="21"/>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2,804</w:t>
            </w:r>
          </w:p>
        </w:tc>
        <w:tc>
          <w:tcPr>
            <w:tcW w:w="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8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 Margin (A)/(B)</w:t>
            </w:r>
          </w:p>
        </w:tc>
        <w:tc>
          <w:tcPr>
            <w:tcW w:w="20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-179705</wp:posOffset>
            </wp:positionV>
            <wp:extent cx="48774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87743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-334010</wp:posOffset>
            </wp:positionV>
            <wp:extent cx="48774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87743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-505460</wp:posOffset>
            </wp:positionV>
            <wp:extent cx="55206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5206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-1148080</wp:posOffset>
            </wp:positionV>
            <wp:extent cx="4877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-1319530</wp:posOffset>
            </wp:positionV>
            <wp:extent cx="55206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-1465580</wp:posOffset>
            </wp:positionV>
            <wp:extent cx="55206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5206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-1610995</wp:posOffset>
            </wp:positionV>
            <wp:extent cx="55206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-1756410</wp:posOffset>
            </wp:positionV>
            <wp:extent cx="55206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-2047875</wp:posOffset>
            </wp:positionV>
            <wp:extent cx="4877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-2202815</wp:posOffset>
            </wp:positionV>
            <wp:extent cx="4877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-2348230</wp:posOffset>
            </wp:positionV>
            <wp:extent cx="55206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-2519680</wp:posOffset>
            </wp:positionV>
            <wp:extent cx="55206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-2665095</wp:posOffset>
            </wp:positionV>
            <wp:extent cx="55206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-2811145</wp:posOffset>
            </wp:positionV>
            <wp:extent cx="55206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-2956560</wp:posOffset>
            </wp:positionV>
            <wp:extent cx="55206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out-of-period and infrequent items; and other non-cash items. Our management believes adjusted EBITDAX provides useful information in assessing our financial condition, results of operations and cash flows and is widely used by the industry, the investment community and our lenders. While adjusted EBITDAX is a non- GAAP measure, the amounts included in the calculation of adjusted EBITDAX were computed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 A version of this measure is a material component of certain of our financial covenants under our 2014 revolving credit facility and is provided in addition to, and not as an alternative for, income and liquidity measures calculated in accordance with GAAP.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Reserve Replacement Ratio</w:t>
      </w:r>
    </w:p>
    <w:p>
      <w:pPr>
        <w:spacing w:after="0" w:line="1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organic reserve replacement ratio is calculated for a specified period using the proved oil-equivalent additions from extensions and discoveries, improved recovery, and net performance related revisions, divided by oil-equivalent production. There is no guarantee that historical sources of reserves additions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CALIFORNIA RESOURCES CORPORATION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6" w:name="page87"/>
    <w:bookmarkEnd w:id="8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968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2020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 Reconciliation of Non-GAAP Measures and Other Information</w:t>
      </w:r>
    </w:p>
    <w:p>
      <w:pPr>
        <w:spacing w:after="0" w:line="38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will continue as many factors that are fully or partially outside management’s control, including commodity prices, availability of capital and the underlying geology, affect reserves additions. Management uses this measure to gauge the results of its capital program. Other oil and gas producers may use different methods to calculate replacement ratios, which may affect comparability.</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500" w:type="dxa"/>
            <w:vAlign w:val="bottom"/>
            <w:tcBorders>
              <w:bottom w:val="single" w:sz="8" w:color="0075C9"/>
            </w:tcBorders>
          </w:tcPr>
          <w:p>
            <w:pPr>
              <w:spacing w:after="0"/>
              <w:rPr>
                <w:sz w:val="17"/>
                <w:szCs w:val="17"/>
                <w:color w:val="auto"/>
              </w:rPr>
            </w:pPr>
          </w:p>
        </w:tc>
        <w:tc>
          <w:tcPr>
            <w:tcW w:w="1200" w:type="dxa"/>
            <w:vAlign w:val="bottom"/>
            <w:tcBorders>
              <w:bottom w:val="single" w:sz="8" w:color="0075C9"/>
            </w:tcBorders>
            <w:gridSpan w:val="2"/>
          </w:tcPr>
          <w:p>
            <w:pPr>
              <w:jc w:val="right"/>
              <w:ind w:right="230"/>
              <w:spacing w:after="0"/>
              <w:rPr>
                <w:sz w:val="20"/>
                <w:szCs w:val="20"/>
                <w:color w:val="auto"/>
              </w:rPr>
            </w:pPr>
            <w:r>
              <w:rPr>
                <w:rFonts w:ascii="Arial" w:cs="Arial" w:eastAsia="Arial" w:hAnsi="Arial"/>
                <w:sz w:val="18"/>
                <w:szCs w:val="18"/>
                <w:color w:val="0075C9"/>
              </w:rPr>
              <w:t>2019</w:t>
            </w:r>
          </w:p>
        </w:tc>
        <w:tc>
          <w:tcPr>
            <w:tcW w:w="80" w:type="dxa"/>
            <w:vAlign w:val="bottom"/>
            <w:tcBorders>
              <w:bottom w:val="single" w:sz="8" w:color="F2F2F2"/>
            </w:tcBorders>
          </w:tcPr>
          <w:p>
            <w:pPr>
              <w:spacing w:after="0"/>
              <w:rPr>
                <w:sz w:val="17"/>
                <w:szCs w:val="17"/>
                <w:color w:val="auto"/>
              </w:rPr>
            </w:pPr>
          </w:p>
        </w:tc>
      </w:tr>
      <w:tr>
        <w:trPr>
          <w:trHeight w:val="250"/>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Organic proved reserves added – MMBoe</w:t>
            </w:r>
          </w:p>
        </w:tc>
        <w:tc>
          <w:tcPr>
            <w:tcW w:w="320" w:type="dxa"/>
            <w:vAlign w:val="bottom"/>
            <w:shd w:val="clear" w:color="auto" w:fill="F2F2F2"/>
          </w:tcPr>
          <w:p>
            <w:pPr>
              <w:spacing w:after="0"/>
              <w:rPr>
                <w:sz w:val="21"/>
                <w:szCs w:val="21"/>
                <w:color w:val="auto"/>
              </w:rPr>
            </w:pPr>
          </w:p>
        </w:tc>
        <w:tc>
          <w:tcPr>
            <w:tcW w:w="88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r>
      <w:tr>
        <w:trPr>
          <w:trHeight w:val="229"/>
        </w:trPr>
        <w:tc>
          <w:tcPr>
            <w:tcW w:w="7500" w:type="dxa"/>
            <w:vAlign w:val="bottom"/>
            <w:shd w:val="clear" w:color="auto" w:fill="F2F2F2"/>
          </w:tcPr>
          <w:p>
            <w:pPr>
              <w:ind w:left="240"/>
              <w:spacing w:after="0"/>
              <w:rPr>
                <w:sz w:val="20"/>
                <w:szCs w:val="20"/>
                <w:color w:val="auto"/>
              </w:rPr>
            </w:pPr>
            <w:r>
              <w:rPr>
                <w:rFonts w:ascii="Arial" w:cs="Arial" w:eastAsia="Arial" w:hAnsi="Arial"/>
                <w:sz w:val="18"/>
                <w:szCs w:val="18"/>
                <w:color w:val="auto"/>
              </w:rPr>
              <w:t>Extensions and discoveries</w:t>
            </w:r>
          </w:p>
        </w:tc>
        <w:tc>
          <w:tcPr>
            <w:tcW w:w="12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F2F2F2"/>
          </w:tcPr>
          <w:p>
            <w:pPr>
              <w:spacing w:after="0"/>
              <w:rPr>
                <w:sz w:val="19"/>
                <w:szCs w:val="19"/>
                <w:color w:val="auto"/>
              </w:rPr>
            </w:pPr>
          </w:p>
        </w:tc>
      </w:tr>
      <w:tr>
        <w:trPr>
          <w:trHeight w:val="270"/>
        </w:trPr>
        <w:tc>
          <w:tcPr>
            <w:tcW w:w="7500" w:type="dxa"/>
            <w:vAlign w:val="bottom"/>
            <w:shd w:val="clear" w:color="auto" w:fill="F2F2F2"/>
          </w:tcPr>
          <w:p>
            <w:pPr>
              <w:ind w:left="240"/>
              <w:spacing w:after="0"/>
              <w:rPr>
                <w:sz w:val="20"/>
                <w:szCs w:val="20"/>
                <w:color w:val="auto"/>
              </w:rPr>
            </w:pPr>
            <w:r>
              <w:rPr>
                <w:rFonts w:ascii="Arial" w:cs="Arial" w:eastAsia="Arial" w:hAnsi="Arial"/>
                <w:sz w:val="18"/>
                <w:szCs w:val="18"/>
                <w:color w:val="auto"/>
              </w:rPr>
              <w:t>Improved recovery</w:t>
            </w:r>
          </w:p>
        </w:tc>
        <w:tc>
          <w:tcPr>
            <w:tcW w:w="320" w:type="dxa"/>
            <w:vAlign w:val="bottom"/>
            <w:shd w:val="clear" w:color="auto" w:fill="F2F2F2"/>
          </w:tcPr>
          <w:p>
            <w:pPr>
              <w:spacing w:after="0"/>
              <w:rPr>
                <w:sz w:val="23"/>
                <w:szCs w:val="23"/>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F2F2F2"/>
          </w:tcPr>
          <w:p>
            <w:pPr>
              <w:spacing w:after="0"/>
              <w:rPr>
                <w:sz w:val="23"/>
                <w:szCs w:val="23"/>
                <w:color w:val="auto"/>
              </w:rPr>
            </w:pPr>
          </w:p>
        </w:tc>
      </w:tr>
      <w:tr>
        <w:trPr>
          <w:trHeight w:val="270"/>
        </w:trPr>
        <w:tc>
          <w:tcPr>
            <w:tcW w:w="7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Revisions related to performance</w:t>
            </w:r>
          </w:p>
        </w:tc>
        <w:tc>
          <w:tcPr>
            <w:tcW w:w="320" w:type="dxa"/>
            <w:vAlign w:val="bottom"/>
            <w:tcBorders>
              <w:bottom w:val="single" w:sz="8" w:color="F2F2F2"/>
            </w:tcBorders>
            <w:shd w:val="clear" w:color="auto" w:fill="F2F2F2"/>
          </w:tcPr>
          <w:p>
            <w:pPr>
              <w:spacing w:after="0"/>
              <w:rPr>
                <w:sz w:val="23"/>
                <w:szCs w:val="23"/>
                <w:color w:val="auto"/>
              </w:rPr>
            </w:pPr>
          </w:p>
        </w:tc>
        <w:tc>
          <w:tcPr>
            <w:tcW w:w="8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F2F2F2"/>
            </w:tcBorders>
            <w:shd w:val="clear" w:color="auto" w:fill="F2F2F2"/>
          </w:tcPr>
          <w:p>
            <w:pPr>
              <w:spacing w:after="0"/>
              <w:rPr>
                <w:sz w:val="23"/>
                <w:szCs w:val="23"/>
                <w:color w:val="auto"/>
              </w:rPr>
            </w:pPr>
          </w:p>
        </w:tc>
      </w:tr>
      <w:tr>
        <w:trPr>
          <w:trHeight w:val="290"/>
        </w:trPr>
        <w:tc>
          <w:tcPr>
            <w:tcW w:w="75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8"/>
                <w:szCs w:val="18"/>
                <w:color w:val="auto"/>
              </w:rPr>
              <w:t>Total (A)</w:t>
            </w:r>
          </w:p>
        </w:tc>
        <w:tc>
          <w:tcPr>
            <w:tcW w:w="320" w:type="dxa"/>
            <w:vAlign w:val="bottom"/>
            <w:tcBorders>
              <w:bottom w:val="single" w:sz="8" w:color="F2F2F2"/>
            </w:tcBorders>
            <w:shd w:val="clear" w:color="auto" w:fill="F2F2F2"/>
          </w:tcPr>
          <w:p>
            <w:pPr>
              <w:spacing w:after="0"/>
              <w:rPr>
                <w:sz w:val="24"/>
                <w:szCs w:val="24"/>
                <w:color w:val="auto"/>
              </w:rPr>
            </w:pPr>
          </w:p>
        </w:tc>
        <w:tc>
          <w:tcPr>
            <w:tcW w:w="8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F2F2F2"/>
            </w:tcBorders>
            <w:shd w:val="clear" w:color="auto" w:fill="F2F2F2"/>
          </w:tcPr>
          <w:p>
            <w:pPr>
              <w:spacing w:after="0"/>
              <w:rPr>
                <w:sz w:val="24"/>
                <w:szCs w:val="24"/>
                <w:color w:val="auto"/>
              </w:rPr>
            </w:pPr>
          </w:p>
        </w:tc>
      </w:tr>
      <w:tr>
        <w:trPr>
          <w:trHeight w:val="251"/>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Production in 2019 – MMBoe (B)</w:t>
            </w:r>
          </w:p>
        </w:tc>
        <w:tc>
          <w:tcPr>
            <w:tcW w:w="320" w:type="dxa"/>
            <w:vAlign w:val="bottom"/>
            <w:shd w:val="clear" w:color="auto" w:fill="F2F2F2"/>
          </w:tcPr>
          <w:p>
            <w:pPr>
              <w:spacing w:after="0"/>
              <w:rPr>
                <w:sz w:val="21"/>
                <w:szCs w:val="21"/>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F2F2F2"/>
          </w:tcPr>
          <w:p>
            <w:pPr>
              <w:spacing w:after="0"/>
              <w:rPr>
                <w:sz w:val="21"/>
                <w:szCs w:val="21"/>
                <w:color w:val="auto"/>
              </w:rPr>
            </w:pPr>
          </w:p>
        </w:tc>
      </w:tr>
      <w:tr>
        <w:trPr>
          <w:trHeight w:val="257"/>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Organic reserve replacement ratio (A)/(B)</w:t>
            </w:r>
          </w:p>
        </w:tc>
        <w:tc>
          <w:tcPr>
            <w:tcW w:w="320" w:type="dxa"/>
            <w:vAlign w:val="bottom"/>
            <w:shd w:val="clear" w:color="auto" w:fill="F2F2F2"/>
          </w:tcPr>
          <w:p>
            <w:pPr>
              <w:spacing w:after="0"/>
              <w:rPr>
                <w:sz w:val="22"/>
                <w:szCs w:val="22"/>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F2F2F2"/>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-170815</wp:posOffset>
            </wp:positionV>
            <wp:extent cx="47574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-350520</wp:posOffset>
            </wp:positionV>
            <wp:extent cx="47574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-530860</wp:posOffset>
            </wp:positionV>
            <wp:extent cx="47574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-702310</wp:posOffset>
            </wp:positionV>
            <wp:extent cx="47574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-873760</wp:posOffset>
            </wp:positionV>
            <wp:extent cx="47574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-1019810</wp:posOffset>
            </wp:positionV>
            <wp:extent cx="47574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0075C9"/>
        </w:rPr>
        <w:t>Finding and Development Costs</w:t>
      </w:r>
    </w:p>
    <w:p>
      <w:pPr>
        <w:spacing w:after="0" w:line="10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believe that reporting our finding and development costs can aid investors in their evaluation of our ability to add proved reserves at a reasonable cost but is not a substitute for required GAAP disclosures. Various factors, primarily timing differences and effects of commodity price changes, can cause finding and development costs associated with a particular period’s reserves additions to be imprecise. For example, we will need to make more investments in order to develop the proved undeveloped reserves added during the year and any future revisions may change the actual measure from that presented above. In addition, part of the 2019 costs were incurred to convert proved undeveloped reserves from prior years to proved developed reserves. In our calculations, we have not estimated future costs to develop proved undeveloped reserves added in 2019 or removed costs related to proved undeveloped reserves added in prior periods. Our calculations of finding and development costs may not be comparable to similar measures provided by other companies.</w:t>
      </w:r>
    </w:p>
    <w:p>
      <w:pPr>
        <w:spacing w:after="0" w:line="31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We calculate organic finding and development costs by dividing the costs incurred for the year from the capital program, excluding the increase in asset retirement costs substantially due to new idle well regulations issued in the first quarter of 2019 by the amount of oil-equivalent proved reserves added in the same year from improved recovery, extensions and discoveries, and net performance-related revisions.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500" w:type="dxa"/>
            <w:vAlign w:val="bottom"/>
            <w:tcBorders>
              <w:bottom w:val="single" w:sz="8" w:color="0075C9"/>
            </w:tcBorders>
          </w:tcPr>
          <w:p>
            <w:pPr>
              <w:spacing w:after="0"/>
              <w:rPr>
                <w:sz w:val="18"/>
                <w:szCs w:val="18"/>
                <w:color w:val="auto"/>
              </w:rPr>
            </w:pPr>
          </w:p>
        </w:tc>
        <w:tc>
          <w:tcPr>
            <w:tcW w:w="380" w:type="dxa"/>
            <w:vAlign w:val="bottom"/>
            <w:tcBorders>
              <w:bottom w:val="single" w:sz="8" w:color="0075C9"/>
            </w:tcBorders>
          </w:tcPr>
          <w:p>
            <w:pPr>
              <w:spacing w:after="0"/>
              <w:rPr>
                <w:sz w:val="18"/>
                <w:szCs w:val="18"/>
                <w:color w:val="auto"/>
              </w:rPr>
            </w:pPr>
          </w:p>
        </w:tc>
        <w:tc>
          <w:tcPr>
            <w:tcW w:w="820" w:type="dxa"/>
            <w:vAlign w:val="bottom"/>
            <w:tcBorders>
              <w:bottom w:val="single" w:sz="8" w:color="0075C9"/>
            </w:tcBorders>
          </w:tcPr>
          <w:p>
            <w:pPr>
              <w:jc w:val="right"/>
              <w:ind w:right="230"/>
              <w:spacing w:after="0"/>
              <w:rPr>
                <w:sz w:val="20"/>
                <w:szCs w:val="20"/>
                <w:color w:val="auto"/>
              </w:rPr>
            </w:pPr>
            <w:r>
              <w:rPr>
                <w:rFonts w:ascii="Arial" w:cs="Arial" w:eastAsia="Arial" w:hAnsi="Arial"/>
                <w:sz w:val="18"/>
                <w:szCs w:val="18"/>
                <w:color w:val="0075C9"/>
              </w:rPr>
              <w:t>2019</w:t>
            </w:r>
          </w:p>
        </w:tc>
        <w:tc>
          <w:tcPr>
            <w:tcW w:w="80" w:type="dxa"/>
            <w:vAlign w:val="bottom"/>
            <w:tcBorders>
              <w:bottom w:val="single" w:sz="8" w:color="F2F2F2"/>
            </w:tcBorders>
          </w:tcPr>
          <w:p>
            <w:pPr>
              <w:spacing w:after="0"/>
              <w:rPr>
                <w:sz w:val="18"/>
                <w:szCs w:val="18"/>
                <w:color w:val="auto"/>
              </w:rPr>
            </w:pPr>
          </w:p>
        </w:tc>
      </w:tr>
      <w:tr>
        <w:trPr>
          <w:trHeight w:val="237"/>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Organic finding and development costs – in millions (A)</w:t>
            </w:r>
          </w:p>
        </w:tc>
        <w:tc>
          <w:tcPr>
            <w:tcW w:w="38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F2F2F2"/>
          </w:tcPr>
          <w:p>
            <w:pPr>
              <w:spacing w:after="0"/>
              <w:rPr>
                <w:sz w:val="20"/>
                <w:szCs w:val="20"/>
                <w:color w:val="auto"/>
              </w:rPr>
            </w:pPr>
          </w:p>
        </w:tc>
      </w:tr>
      <w:tr>
        <w:trPr>
          <w:trHeight w:val="229"/>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Organic proved reserves added – MMBoe (B)</w:t>
            </w:r>
          </w:p>
        </w:tc>
        <w:tc>
          <w:tcPr>
            <w:tcW w:w="380" w:type="dxa"/>
            <w:vAlign w:val="bottom"/>
            <w:shd w:val="clear" w:color="auto" w:fill="F2F2F2"/>
          </w:tcPr>
          <w:p>
            <w:pPr>
              <w:spacing w:after="0"/>
              <w:rPr>
                <w:sz w:val="19"/>
                <w:szCs w:val="19"/>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F2F2F2"/>
          </w:tcPr>
          <w:p>
            <w:pPr>
              <w:spacing w:after="0"/>
              <w:rPr>
                <w:sz w:val="19"/>
                <w:szCs w:val="19"/>
                <w:color w:val="auto"/>
              </w:rPr>
            </w:pPr>
          </w:p>
        </w:tc>
      </w:tr>
      <w:tr>
        <w:trPr>
          <w:trHeight w:val="270"/>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Organic finding and development costs $/Boe (A)/(B)</w:t>
            </w:r>
          </w:p>
        </w:tc>
        <w:tc>
          <w:tcPr>
            <w:tcW w:w="38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F2F2F2"/>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-170815</wp:posOffset>
            </wp:positionV>
            <wp:extent cx="47574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-316230</wp:posOffset>
            </wp:positionV>
            <wp:extent cx="475742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0075C9"/>
        </w:rPr>
        <w:t>Free Cash Flow</w:t>
      </w:r>
    </w:p>
    <w:p>
      <w:pPr>
        <w:spacing w:after="0" w:line="104" w:lineRule="exact"/>
        <w:rPr>
          <w:sz w:val="20"/>
          <w:szCs w:val="20"/>
          <w:color w:val="auto"/>
        </w:rPr>
      </w:pPr>
    </w:p>
    <w:p>
      <w:pPr>
        <w:jc w:val="both"/>
        <w:ind w:right="400"/>
        <w:spacing w:after="0" w:line="261" w:lineRule="auto"/>
        <w:rPr>
          <w:sz w:val="20"/>
          <w:szCs w:val="20"/>
          <w:color w:val="auto"/>
        </w:rPr>
      </w:pPr>
      <w:r>
        <w:rPr>
          <w:rFonts w:ascii="Arial" w:cs="Arial" w:eastAsia="Arial" w:hAnsi="Arial"/>
          <w:sz w:val="18"/>
          <w:szCs w:val="18"/>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50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320" w:type="dxa"/>
            <w:vAlign w:val="bottom"/>
            <w:tcBorders>
              <w:bottom w:val="single" w:sz="8" w:color="0075C9"/>
            </w:tcBorders>
          </w:tcPr>
          <w:p>
            <w:pPr>
              <w:spacing w:after="0"/>
              <w:rPr>
                <w:sz w:val="18"/>
                <w:szCs w:val="18"/>
                <w:color w:val="auto"/>
              </w:rPr>
            </w:pPr>
          </w:p>
        </w:tc>
        <w:tc>
          <w:tcPr>
            <w:tcW w:w="880" w:type="dxa"/>
            <w:vAlign w:val="bottom"/>
            <w:tcBorders>
              <w:bottom w:val="single" w:sz="8" w:color="0075C9"/>
            </w:tcBorders>
          </w:tcPr>
          <w:p>
            <w:pPr>
              <w:jc w:val="right"/>
              <w:ind w:right="230"/>
              <w:spacing w:after="0"/>
              <w:rPr>
                <w:sz w:val="20"/>
                <w:szCs w:val="20"/>
                <w:color w:val="auto"/>
              </w:rPr>
            </w:pPr>
            <w:r>
              <w:rPr>
                <w:rFonts w:ascii="Arial" w:cs="Arial" w:eastAsia="Arial" w:hAnsi="Arial"/>
                <w:sz w:val="18"/>
                <w:szCs w:val="18"/>
                <w:color w:val="0075C9"/>
              </w:rPr>
              <w:t>2019</w:t>
            </w:r>
          </w:p>
        </w:tc>
        <w:tc>
          <w:tcPr>
            <w:tcW w:w="80" w:type="dxa"/>
            <w:vAlign w:val="bottom"/>
            <w:tcBorders>
              <w:bottom w:val="single" w:sz="8" w:color="F2F2F2"/>
            </w:tcBorders>
          </w:tcPr>
          <w:p>
            <w:pPr>
              <w:spacing w:after="0"/>
              <w:rPr>
                <w:sz w:val="18"/>
                <w:szCs w:val="18"/>
                <w:color w:val="auto"/>
              </w:rPr>
            </w:pPr>
          </w:p>
        </w:tc>
      </w:tr>
      <w:tr>
        <w:trPr>
          <w:trHeight w:val="236"/>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F2F2F2"/>
          </w:tcPr>
          <w:p>
            <w:pPr>
              <w:spacing w:after="0"/>
              <w:rPr>
                <w:sz w:val="20"/>
                <w:szCs w:val="20"/>
                <w:color w:val="auto"/>
              </w:rPr>
            </w:pPr>
          </w:p>
        </w:tc>
      </w:tr>
      <w:tr>
        <w:trPr>
          <w:trHeight w:val="230"/>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Capital investments</w:t>
            </w:r>
          </w:p>
        </w:tc>
        <w:tc>
          <w:tcPr>
            <w:tcW w:w="320" w:type="dxa"/>
            <w:vAlign w:val="bottom"/>
            <w:shd w:val="clear" w:color="auto" w:fill="F2F2F2"/>
          </w:tcPr>
          <w:p>
            <w:pPr>
              <w:spacing w:after="0"/>
              <w:rPr>
                <w:sz w:val="19"/>
                <w:szCs w:val="19"/>
                <w:color w:val="auto"/>
              </w:rPr>
            </w:pPr>
          </w:p>
        </w:tc>
        <w:tc>
          <w:tcPr>
            <w:tcW w:w="960" w:type="dxa"/>
            <w:vAlign w:val="bottom"/>
            <w:gridSpan w:val="2"/>
            <w:shd w:val="clear" w:color="auto" w:fill="F2F2F2"/>
          </w:tcPr>
          <w:p>
            <w:pPr>
              <w:jc w:val="right"/>
              <w:ind w:right="40"/>
              <w:spacing w:after="0"/>
              <w:rPr>
                <w:sz w:val="20"/>
                <w:szCs w:val="20"/>
                <w:color w:val="auto"/>
              </w:rPr>
            </w:pPr>
            <w:r>
              <w:rPr>
                <w:rFonts w:ascii="Arial" w:cs="Arial" w:eastAsia="Arial" w:hAnsi="Arial"/>
                <w:sz w:val="18"/>
                <w:szCs w:val="18"/>
                <w:color w:val="auto"/>
              </w:rPr>
              <w:t>(455)</w:t>
            </w:r>
          </w:p>
        </w:tc>
      </w:tr>
      <w:tr>
        <w:trPr>
          <w:trHeight w:val="250"/>
        </w:trPr>
        <w:tc>
          <w:tcPr>
            <w:tcW w:w="7500" w:type="dxa"/>
            <w:vAlign w:val="bottom"/>
            <w:tcBorders>
              <w:top w:val="single" w:sz="8" w:color="F2F2F2"/>
            </w:tcBorders>
            <w:shd w:val="clear" w:color="auto" w:fill="F2F2F2"/>
          </w:tcPr>
          <w:p>
            <w:pPr>
              <w:spacing w:after="0"/>
              <w:rPr>
                <w:sz w:val="20"/>
                <w:szCs w:val="20"/>
                <w:color w:val="auto"/>
              </w:rPr>
            </w:pPr>
            <w:r>
              <w:rPr>
                <w:rFonts w:ascii="Arial" w:cs="Arial" w:eastAsia="Arial" w:hAnsi="Arial"/>
                <w:sz w:val="18"/>
                <w:szCs w:val="18"/>
                <w:color w:val="auto"/>
              </w:rPr>
              <w:t>Free cash flow</w:t>
            </w:r>
          </w:p>
        </w:tc>
        <w:tc>
          <w:tcPr>
            <w:tcW w:w="320" w:type="dxa"/>
            <w:vAlign w:val="bottom"/>
            <w:tcBorders>
              <w:top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top w:val="single" w:sz="8" w:color="F2F2F2"/>
            </w:tcBorders>
            <w:shd w:val="clear" w:color="auto" w:fill="F2F2F2"/>
          </w:tcPr>
          <w:p>
            <w:pPr>
              <w:spacing w:after="0"/>
              <w:rPr>
                <w:sz w:val="21"/>
                <w:szCs w:val="21"/>
                <w:color w:val="auto"/>
              </w:rPr>
            </w:pPr>
          </w:p>
        </w:tc>
      </w:tr>
      <w:tr>
        <w:trPr>
          <w:trHeight w:val="270"/>
        </w:trPr>
        <w:tc>
          <w:tcPr>
            <w:tcW w:w="7500" w:type="dxa"/>
            <w:vAlign w:val="bottom"/>
            <w:shd w:val="clear" w:color="auto" w:fill="F2F2F2"/>
          </w:tcPr>
          <w:p>
            <w:pPr>
              <w:spacing w:after="0"/>
              <w:rPr>
                <w:sz w:val="20"/>
                <w:szCs w:val="20"/>
                <w:color w:val="auto"/>
              </w:rPr>
            </w:pPr>
            <w:r>
              <w:rPr>
                <w:rFonts w:ascii="Arial" w:cs="Arial" w:eastAsia="Arial" w:hAnsi="Arial"/>
                <w:sz w:val="18"/>
                <w:szCs w:val="18"/>
                <w:color w:val="auto"/>
              </w:rPr>
              <w:t>BSP funded capital</w:t>
            </w:r>
          </w:p>
        </w:tc>
        <w:tc>
          <w:tcPr>
            <w:tcW w:w="320" w:type="dxa"/>
            <w:vAlign w:val="bottom"/>
            <w:shd w:val="clear" w:color="auto" w:fill="F2F2F2"/>
          </w:tcPr>
          <w:p>
            <w:pPr>
              <w:spacing w:after="0"/>
              <w:rPr>
                <w:sz w:val="23"/>
                <w:szCs w:val="23"/>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F2F2F2"/>
          </w:tcPr>
          <w:p>
            <w:pPr>
              <w:spacing w:after="0"/>
              <w:rPr>
                <w:sz w:val="23"/>
                <w:szCs w:val="23"/>
                <w:color w:val="auto"/>
              </w:rPr>
            </w:pPr>
          </w:p>
        </w:tc>
      </w:tr>
      <w:tr>
        <w:trPr>
          <w:trHeight w:val="270"/>
        </w:trPr>
        <w:tc>
          <w:tcPr>
            <w:tcW w:w="75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Free cash flow, after internally funded capital</w:t>
            </w:r>
          </w:p>
        </w:tc>
        <w:tc>
          <w:tcPr>
            <w:tcW w:w="3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F2F2F2"/>
            </w:tcBorders>
            <w:shd w:val="clear" w:color="auto" w:fill="F2F2F2"/>
          </w:tcPr>
          <w:p>
            <w:pPr>
              <w:spacing w:after="0"/>
              <w:rPr>
                <w:sz w:val="23"/>
                <w:szCs w:val="23"/>
                <w:color w:val="auto"/>
              </w:rPr>
            </w:pPr>
          </w:p>
        </w:tc>
      </w:tr>
      <w:tr>
        <w:trPr>
          <w:trHeight w:val="20"/>
        </w:trPr>
        <w:tc>
          <w:tcPr>
            <w:tcW w:w="7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-196215</wp:posOffset>
            </wp:positionV>
            <wp:extent cx="47574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-367665</wp:posOffset>
            </wp:positionV>
            <wp:extent cx="47574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-539115</wp:posOffset>
            </wp:positionV>
            <wp:extent cx="47574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-685165</wp:posOffset>
            </wp:positionV>
            <wp:extent cx="47574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CALIFORNIA RESOURCES CORPORATION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97155</wp:posOffset>
            </wp:positionV>
            <wp:extent cx="7149465" cy="94126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941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49465" cy="73469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7346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97155</wp:posOffset>
            </wp:positionV>
            <wp:extent cx="5469255" cy="70726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5469255" cy="70726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gt;"/>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gt;"/>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4"/>
    </w:lvl>
  </w:abstractNum>
  <w:abstractNum w:abstractNumId="33">
    <w:nsid w:val="2A487CB0"/>
    <w:multiLevelType w:val="hybridMultilevel"/>
    <w:lvl w:ilvl="0">
      <w:lvlJc w:val="left"/>
      <w:lvlText w:val="(%1)"/>
      <w:numFmt w:val="decimal"/>
      <w:start w:val="5"/>
    </w:lvl>
  </w:abstractNum>
  <w:abstractNum w:abstractNumId="34">
    <w:nsid w:val="1D4ED43B"/>
    <w:multiLevelType w:val="hybridMultilevel"/>
    <w:lvl w:ilvl="0">
      <w:lvlJc w:val="left"/>
      <w:lvlText w:val="%1"/>
      <w:numFmt w:val="decimal"/>
      <w:start w:val="1"/>
    </w:lvl>
    <w:lvl w:ilvl="1">
      <w:lvlJc w:val="left"/>
      <w:lvlText w:val="(%2)"/>
      <w:numFmt w:val="lowerLetter"/>
      <w:start w:val="1"/>
    </w:lvl>
  </w:abstractNum>
  <w:abstractNum w:abstractNumId="35">
    <w:nsid w:val="725A06FB"/>
    <w:multiLevelType w:val="hybridMultilevel"/>
    <w:lvl w:ilvl="0">
      <w:lvlJc w:val="left"/>
      <w:lvlText w:val="(%1)"/>
      <w:numFmt w:val="decimal"/>
      <w:start w:val="6"/>
    </w:lvl>
    <w:lvl w:ilvl="1">
      <w:lvlJc w:val="left"/>
      <w:lvlText w:val="%2"/>
      <w:numFmt w:val="lowerLetter"/>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2"/>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2020-03-24T15:24:38Z</dcterms:created>
  <dcterms:modified xsi:type="dcterms:W3CDTF">2020-03-24T15:24:38Z</dcterms:modified>
</cp:coreProperties>
</file>