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243205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2636520</wp:posOffset>
            </wp:positionH>
            <wp:positionV relativeFrom="paragraph">
              <wp:posOffset>66675</wp:posOffset>
            </wp:positionV>
            <wp:extent cx="18688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Proxy Statement Pursuant to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Section 14(a)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the Securities Exchange Act of 1934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(Amendment No.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)</w:t>
            </w:r>
          </w:p>
        </w:tc>
      </w:tr>
      <w:tr>
        <w:trPr>
          <w:trHeight w:val="166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8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CALIFORNIA RESOURCES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100330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920" w:right="2099" w:hanging="912"/>
        <w:spacing w:after="0" w:line="246" w:lineRule="auto"/>
        <w:tabs>
          <w:tab w:leader="none" w:pos="41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185420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202565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541655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57720" cy="7633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63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226060</wp:posOffset>
            </wp:positionV>
            <wp:extent cx="7157720" cy="7496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9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2023-03-16T19:21:02Z</dcterms:created>
  <dcterms:modified xsi:type="dcterms:W3CDTF">2023-03-16T19:21:02Z</dcterms:modified>
</cp:coreProperties>
</file>