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1018902.xml.htm"/>
      <w:bookmarkStart w:id="1" w:name="kswkform4_17310189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Leon Francisco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11/06/2024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55.5544</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159,659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11/06/2024</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56.5721</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154,357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11/06/2024</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57.4986</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153,857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herein occurred automatically pursuant to a Rule 10b5-1 trading plan adopted by the reporting person on June 6,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$55.32 to $56.28, inclusive. The reporting person undertakes to provide to CRC, any security holder of CRC,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$56.32 to $57.00, inclusive. The reporting person undertakes to provide to CRC, any security holder of CRC, or the staff of the Securities and Exchange Commission, upon request, full information regarding the number of shares sold at each separate price within the ranges set forth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$57.43 to $57.74, inclusive. The reporting person undertakes to provide to CRC, any security holder of CRC, or the staff of the Securities and Exchange Commission, upon request, full information regarding the number of shares sold at each separate price within the ranges set forth in footnote (4)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Francisco Leon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2190"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832</Words>
  <Characters>4424</Characters>
  <CharactersWithSpaces>5181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