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7,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8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755,642*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755,642*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755,642*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0.9%**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Reflects 2,759 shares previously incorrectly reported as beneficially owned by ACOF AIV 2 that were actually beneficially owned by ACOF AIV 1A.</w:t>
      </w:r>
    </w:p>
    <w:p>
      <w:pPr>
        <w:spacing w:after="0" w:line="236" w:lineRule="exact"/>
        <w:rPr>
          <w:rFonts w:ascii="Arial" w:cs="Arial" w:eastAsia="Arial" w:hAnsi="Arial"/>
          <w:sz w:val="18"/>
          <w:szCs w:val="18"/>
          <w:color w:val="auto"/>
        </w:rPr>
      </w:pPr>
    </w:p>
    <w:p>
      <w:pPr>
        <w:ind w:right="200" w:firstLine="8"/>
        <w:spacing w:after="0" w:line="308" w:lineRule="auto"/>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calculation of the percentage of outstanding shares is based on 83,319,660 shares of Common Stock outstanding as of April 30, 2021 as disclosed by the Issuer in its Current Report on Form 10-K, filed with the Securities and Exchange Commission on May 13, 2021 (“</w:t>
      </w:r>
      <w:r>
        <w:rPr>
          <w:rFonts w:ascii="Arial" w:cs="Arial" w:eastAsia="Arial" w:hAnsi="Arial"/>
          <w:sz w:val="17"/>
          <w:szCs w:val="17"/>
          <w:u w:val="single" w:color="auto"/>
          <w:color w:val="auto"/>
        </w:rPr>
        <w:t>10-K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-2254885</wp:posOffset>
            </wp:positionV>
            <wp:extent cx="5915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-746125</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-1157605</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-1569085</wp:posOffset>
            </wp:positionV>
            <wp:extent cx="6557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-1843405</wp:posOffset>
            </wp:positionV>
            <wp:extent cx="6557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2,765,252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2,765,252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2,765,252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3.3%*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60" w:right="8200" w:hanging="561"/>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2,816,969*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2,816,969*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2,816,969*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3.4%**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Reflects 2,759 shares previously incorrectly reported as beneficially owned by ACOF AIV 2 that were actually beneficially owned by ACOF AIV 1A.</w:t>
      </w:r>
    </w:p>
    <w:p>
      <w:pPr>
        <w:spacing w:after="0" w:line="236" w:lineRule="exact"/>
        <w:rPr>
          <w:rFonts w:ascii="Arial" w:cs="Arial" w:eastAsia="Arial" w:hAnsi="Arial"/>
          <w:sz w:val="18"/>
          <w:szCs w:val="18"/>
          <w:color w:val="auto"/>
        </w:rPr>
      </w:pPr>
    </w:p>
    <w:p>
      <w:pPr>
        <w:ind w:right="200" w:firstLine="8"/>
        <w:spacing w:after="0" w:line="277"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-2376805</wp:posOffset>
            </wp:positionV>
            <wp:extent cx="5915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-1691005</wp:posOffset>
            </wp:positionV>
            <wp:extent cx="65576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-1965325</wp:posOffset>
            </wp:positionV>
            <wp:extent cx="65576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6400" w:hanging="561"/>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2.3%*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-1502410</wp:posOffset>
            </wp:positionV>
            <wp:extent cx="59150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-405130</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-816610</wp:posOffset>
            </wp:positionV>
            <wp:extent cx="6557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-1090930</wp:posOffset>
            </wp:positionV>
            <wp:extent cx="6557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561"/>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5,815,182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5,815,182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5,815,182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7.0%*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14,852,430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14,852,430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14,852,430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17.8%*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Names of Reporting Persons SSF IV Energy I AIV 1A,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443,369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443,369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443,369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0.5%*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Names of Reporting Persons SSF IV Energy I AIV 1B,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980" w:hanging="568"/>
        <w:spacing w:after="0"/>
        <w:tabs>
          <w:tab w:leader="none" w:pos="1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-670560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-1356360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-1630680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-1776095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-2187575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395,286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395,286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395,286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0.5%*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60" w:right="8200" w:hanging="561"/>
        <w:spacing w:after="0" w:line="342"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Names of Reporting Persons SSF IV Energy I AIV 2,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643,502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643,502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643,502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7820" w:hanging="561"/>
        <w:spacing w:after="0" w:line="342"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Names of Reporting Persons ASSF Operating Manager IV,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1,482,157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1,482,157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1,482,157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3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16,334,587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16,334,587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16,334,587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19.6%*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7920" w:hanging="561"/>
        <w:spacing w:after="0" w:line="342"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16,334,587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16,334,587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16,334,587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19.6%*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16,334,587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16,334,587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16,334,587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19.6*%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40" w:hanging="561"/>
        <w:spacing w:after="0" w:line="342" w:lineRule="auto"/>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16,334,587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16,334,587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16,334,587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19.6%*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4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3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16,334,587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16,334,587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16,334,587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19.6%*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5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5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980" w:hanging="568"/>
        <w:spacing w:after="0"/>
        <w:tabs>
          <w:tab w:leader="none" w:pos="19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-670560</wp:posOffset>
            </wp:positionV>
            <wp:extent cx="65576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-1356360</wp:posOffset>
            </wp:positionV>
            <wp:extent cx="65576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-1630680</wp:posOffset>
            </wp:positionV>
            <wp:extent cx="59836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-1776095</wp:posOffset>
            </wp:positionV>
            <wp:extent cx="59836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-2187575</wp:posOffset>
            </wp:positionV>
            <wp:extent cx="65576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16,334,587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16,334,587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16,334,587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19.6%*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5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80" w:hanging="914"/>
        <w:spacing w:after="0" w:line="207" w:lineRule="exact"/>
        <w:tabs>
          <w:tab w:leader="none" w:pos="1880" w:val="left"/>
        </w:tabs>
        <w:numPr>
          <w:ilvl w:val="1"/>
          <w:numId w:val="5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980" w:hanging="568"/>
        <w:spacing w:after="0"/>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-670560</wp:posOffset>
            </wp:positionV>
            <wp:extent cx="65576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-1356360</wp:posOffset>
            </wp:positionV>
            <wp:extent cx="65576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-1630680</wp:posOffset>
            </wp:positionV>
            <wp:extent cx="59836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-1776095</wp:posOffset>
            </wp:positionV>
            <wp:extent cx="59836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-2187575</wp:posOffset>
            </wp:positionV>
            <wp:extent cx="65576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16,334,587 (See Items 3, 4, 5 and 6)</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3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80" w:hanging="568"/>
        <w:spacing w:after="0"/>
        <w:tabs>
          <w:tab w:leader="none" w:pos="19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16,334,587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16,334,587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19.6%*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-1965325</wp:posOffset>
            </wp:positionV>
            <wp:extent cx="59150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Amendment No. 2</w:t>
      </w:r>
      <w:r>
        <w:rPr>
          <w:rFonts w:ascii="Arial" w:cs="Arial" w:eastAsia="Arial" w:hAnsi="Arial"/>
          <w:sz w:val="18"/>
          <w:szCs w:val="18"/>
          <w:color w:val="auto"/>
        </w:rPr>
        <w:t xml:space="preserve">”) to the statement on Schedule 13D amends and supplements the statement on Schedule 13D filed by the Reporting Persons on October 27, 2020 (the “Original Schedule </w:t>
      </w:r>
      <w:r>
        <w:rPr>
          <w:rFonts w:ascii="Arial" w:cs="Arial" w:eastAsia="Arial" w:hAnsi="Arial"/>
          <w:sz w:val="18"/>
          <w:szCs w:val="18"/>
          <w:u w:val="single" w:color="auto"/>
          <w:color w:val="auto"/>
        </w:rPr>
        <w:t>13D</w:t>
      </w:r>
      <w:r>
        <w:rPr>
          <w:rFonts w:ascii="Arial" w:cs="Arial" w:eastAsia="Arial" w:hAnsi="Arial"/>
          <w:sz w:val="18"/>
          <w:szCs w:val="18"/>
          <w:color w:val="auto"/>
        </w:rPr>
        <w:t>”), as amended by Amendment No. 1 to the Original Schedule 13D filed by the Reporting Persons on May 25, 2021 (as so amended, the “13D Filing,” and, together with this Amendment No. 2, this “</w:t>
      </w:r>
      <w:r>
        <w:rPr>
          <w:rFonts w:ascii="Arial" w:cs="Arial" w:eastAsia="Arial" w:hAnsi="Arial"/>
          <w:sz w:val="18"/>
          <w:szCs w:val="18"/>
          <w:u w:val="single" w:color="auto"/>
          <w:color w:val="auto"/>
        </w:rPr>
        <w:t>Schedule 13D</w:t>
      </w:r>
      <w:r>
        <w:rPr>
          <w:rFonts w:ascii="Arial" w:cs="Arial" w:eastAsia="Arial" w:hAnsi="Arial"/>
          <w:sz w:val="18"/>
          <w:szCs w:val="18"/>
          <w:color w:val="auto"/>
        </w:rPr>
        <w:t>”). Except as amended in this Amendment No. 2, the13D Filing remains in full force and effect. Terms defined in the 13D Filing are used in this Amendment No. 2 as so defined, unless otherwise defined in this Amendment No.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2(a) of the 13D Filing is hereby amended and restated as follows: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The Reporting Persons have entered into a joint filing agreement, dated as of June 9, 2021, a copy of which is attached to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5(c) of the 13D Filing is hereby amended and restated in its entirety as follows:</w:t>
      </w:r>
    </w:p>
    <w:p>
      <w:pPr>
        <w:spacing w:after="0" w:line="221" w:lineRule="exact"/>
        <w:rPr>
          <w:sz w:val="20"/>
          <w:szCs w:val="20"/>
          <w:color w:val="auto"/>
        </w:rPr>
      </w:pPr>
    </w:p>
    <w:p>
      <w:pPr>
        <w:ind w:right="120" w:firstLine="8"/>
        <w:spacing w:after="0" w:line="314" w:lineRule="auto"/>
        <w:tabs>
          <w:tab w:leader="none" w:pos="244"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Transactions within the past 60 days</w:t>
      </w:r>
      <w:r>
        <w:rPr>
          <w:rFonts w:ascii="Arial" w:cs="Arial" w:eastAsia="Arial" w:hAnsi="Arial"/>
          <w:sz w:val="16"/>
          <w:szCs w:val="16"/>
          <w:color w:val="auto"/>
        </w:rPr>
        <w:t>. During the past 60 days, the ACOF AIVs and the SSF AIVs purchased and sold Common Stock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transactions set forth in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attached to this Schedule 13D, which is incorporated by reference into this Item 5(c) in its entirety. Except as set forth in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attached to this Schedule 13D, none of the Reporting Persons has effected any transaction in Common Stock during the past 60 days.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80" w:type="dxa"/>
            <w:vAlign w:val="bottom"/>
            <w:tcBorders>
              <w:bottom w:val="single" w:sz="8" w:color="0000EE"/>
            </w:tcBorders>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 1</w:t>
              </w:r>
            </w:hyperlink>
          </w:p>
        </w:tc>
        <w:tc>
          <w:tcPr>
            <w:tcW w:w="580" w:type="dxa"/>
            <w:vAlign w:val="bottom"/>
          </w:tcPr>
          <w:p>
            <w:pPr>
              <w:spacing w:after="0"/>
              <w:rPr>
                <w:sz w:val="17"/>
                <w:szCs w:val="17"/>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Trading Data</w:t>
              </w:r>
            </w:hyperlink>
          </w:p>
        </w:tc>
        <w:tc>
          <w:tcPr>
            <w:tcW w:w="872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4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 99.1</w:t>
              </w:r>
            </w:hyperlink>
          </w:p>
        </w:tc>
        <w:tc>
          <w:tcPr>
            <w:tcW w:w="968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Joint Filing Agreement, dated as of June 9, 2021, by and among the Reporting Persons.</w:t>
              </w:r>
            </w:hyperlink>
          </w:p>
        </w:tc>
      </w:tr>
      <w:tr>
        <w:trPr>
          <w:trHeight w:val="723"/>
        </w:trPr>
        <w:tc>
          <w:tcPr>
            <w:tcW w:w="10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5340" w:type="dxa"/>
            <w:vAlign w:val="bottom"/>
            <w:tcBorders>
              <w:top w:val="single" w:sz="8" w:color="0000EE"/>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0" w:name="page21"/>
    <w:bookmarkEnd w:id="20"/>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21" w:name="page22"/>
    <w:bookmarkEnd w:id="21"/>
    <w:p>
      <w:pPr>
        <w:ind w:left="564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620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20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675"/>
        </w:trPr>
        <w:tc>
          <w:tcPr>
            <w:tcW w:w="6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ARES HOLDCO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ARES PARTNERS HOLDCO LLC</w:t>
      </w:r>
    </w:p>
    <w:p>
      <w:pPr>
        <w:spacing w:after="0" w:line="3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Exhibit 1</w:t>
              </w:r>
            </w:hyperlink>
          </w:p>
        </w:tc>
        <w:tc>
          <w:tcPr>
            <w:tcW w:w="720" w:type="dxa"/>
            <w:vAlign w:val="bottom"/>
            <w:gridSpan w:val="2"/>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Trading Data</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 99.1</w:t>
              </w:r>
            </w:hyperlink>
          </w:p>
        </w:tc>
        <w:tc>
          <w:tcPr>
            <w:tcW w:w="980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Joint Filing Agreement, dated as of June 9, 2021, by and among the Reporting Persons.</w:t>
              </w:r>
            </w:hyperlink>
          </w:p>
        </w:tc>
      </w:tr>
      <w:tr>
        <w:trPr>
          <w:trHeight w:val="723"/>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340" w:type="dxa"/>
            <w:vAlign w:val="bottom"/>
            <w:tcBorders>
              <w:top w:val="single" w:sz="8" w:color="0000EE"/>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DATA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Reporting Person</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Buy/Sell</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 of Shares</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Share $</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Where/How Effected</w:t>
            </w:r>
          </w:p>
        </w:tc>
      </w:tr>
      <w:tr>
        <w:trPr>
          <w:trHeight w:val="216"/>
        </w:trPr>
        <w:tc>
          <w:tcPr>
            <w:tcW w:w="362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68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r>
      <w:tr>
        <w:trPr>
          <w:trHeight w:val="234"/>
        </w:trPr>
        <w:tc>
          <w:tcPr>
            <w:tcW w:w="362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Stock)</w:t>
            </w:r>
          </w:p>
        </w:tc>
        <w:tc>
          <w:tcPr>
            <w:tcW w:w="16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7,535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1,469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30.34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6/01/2021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11,304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6/02/2021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3,768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6/03/2021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8,525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29.57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490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29.90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Buy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5,200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30.21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3,769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32.95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5,651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32.54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27,574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5,377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30.34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6/01/2021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41,360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6/02/2021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13,787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6/03/2021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31,194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29.57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1,792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29.90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Buy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19,030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30.21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13,785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32.95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20,680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32.54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28,089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5,477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30.34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6/01/2021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42,133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6/02/2021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14,045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6/03/2021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31,778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29.57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1,826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29.90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Buy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19,380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30.21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14,046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32.95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AF V Energy IV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21,067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32.54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40,922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7,980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30.34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6/01/2021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61,384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6/02/2021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20,461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6/03/2021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46,295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29.57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2,660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29.90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Buy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28,240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30.21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20,462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32.95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SSF IV Energy I AIV 1A,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30,692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32.54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36,484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7,114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30.34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6/01/2021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54,724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6/02/2021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18,241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6/03/2021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41,274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29.57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2,371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29.90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Buy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25,170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30.21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18,238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32.95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1B,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27,364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32.54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59,396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11,583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30.34</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6/01/2021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89,095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SSF IV Energy I AIV 2, L.P.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6/02/2021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29,698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151"/>
        </w:trPr>
        <w:tc>
          <w:tcPr>
            <w:tcW w:w="362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r>
    </w:tbl>
    <w:p>
      <w:pPr>
        <w:sectPr>
          <w:pgSz w:w="11900" w:h="16900" w:orient="portrait"/>
          <w:cols w:equalWidth="0" w:num="1">
            <w:col w:w="11240"/>
          </w:cols>
          <w:pgMar w:left="320" w:top="364" w:right="339" w:bottom="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62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SSF IV Energy I AIV 2, L.P.</w:t>
            </w:r>
          </w:p>
        </w:tc>
        <w:tc>
          <w:tcPr>
            <w:tcW w:w="11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Sell</w:t>
            </w:r>
          </w:p>
        </w:tc>
        <w:tc>
          <w:tcPr>
            <w:tcW w:w="11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6/03/2021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67,195</w:t>
            </w:r>
          </w:p>
        </w:tc>
        <w:tc>
          <w:tcPr>
            <w:tcW w:w="16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29.57</w:t>
            </w:r>
          </w:p>
        </w:tc>
        <w:tc>
          <w:tcPr>
            <w:tcW w:w="20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Open Market/Broker</w:t>
            </w:r>
          </w:p>
        </w:tc>
      </w:tr>
      <w:tr>
        <w:trPr>
          <w:trHeight w:val="230"/>
        </w:trPr>
        <w:tc>
          <w:tcPr>
            <w:tcW w:w="36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SSF IV Energy I AIV 2, L.P.</w:t>
            </w:r>
          </w:p>
        </w:tc>
        <w:tc>
          <w:tcPr>
            <w:tcW w:w="11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Sell</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3,861</w:t>
            </w:r>
          </w:p>
        </w:tc>
        <w:tc>
          <w:tcPr>
            <w:tcW w:w="16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29.90</w:t>
            </w:r>
          </w:p>
        </w:tc>
        <w:tc>
          <w:tcPr>
            <w:tcW w:w="2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SSF IV Energy I AIV 2, L.P.</w:t>
            </w:r>
          </w:p>
        </w:tc>
        <w:tc>
          <w:tcPr>
            <w:tcW w:w="114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Buy</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6/04/2021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40,980</w:t>
            </w:r>
          </w:p>
        </w:tc>
        <w:tc>
          <w:tcPr>
            <w:tcW w:w="16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30.21</w:t>
            </w:r>
          </w:p>
        </w:tc>
        <w:tc>
          <w:tcPr>
            <w:tcW w:w="2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SSF IV Energy I AIV 2, L.P.</w:t>
            </w:r>
          </w:p>
        </w:tc>
        <w:tc>
          <w:tcPr>
            <w:tcW w:w="11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Sell</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6/07/2021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29,700</w:t>
            </w:r>
          </w:p>
        </w:tc>
        <w:tc>
          <w:tcPr>
            <w:tcW w:w="16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32.95</w:t>
            </w:r>
          </w:p>
        </w:tc>
        <w:tc>
          <w:tcPr>
            <w:tcW w:w="2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24"/>
        </w:trPr>
        <w:tc>
          <w:tcPr>
            <w:tcW w:w="36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SSF IV Energy I AIV 2, L.P.</w:t>
            </w:r>
          </w:p>
        </w:tc>
        <w:tc>
          <w:tcPr>
            <w:tcW w:w="11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Sell</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6/08/2021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44,546</w:t>
            </w:r>
          </w:p>
        </w:tc>
        <w:tc>
          <w:tcPr>
            <w:tcW w:w="16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32.54</w:t>
            </w:r>
          </w:p>
        </w:tc>
        <w:tc>
          <w:tcPr>
            <w:tcW w:w="2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Open Market/Broker</w:t>
            </w:r>
          </w:p>
        </w:tc>
      </w:tr>
      <w:tr>
        <w:trPr>
          <w:trHeight w:val="53"/>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668"/>
        </w:trPr>
        <w:tc>
          <w:tcPr>
            <w:tcW w:w="3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undersigned hereby execute this agreement as of June 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left="564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620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20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675"/>
        </w:trPr>
        <w:tc>
          <w:tcPr>
            <w:tcW w:w="6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ind w:left="452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ARES HOLDCO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ARES PARTNERS HOLDCO LLC</w:t>
      </w:r>
    </w:p>
    <w:p>
      <w:pPr>
        <w:spacing w:after="0" w:line="3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lvl w:ilvl="1">
      <w:lvlJc w:val="left"/>
      <w:lvlText w:val="(%2)"/>
      <w:numFmt w:val="lowerLetter"/>
      <w:start w:val="1"/>
    </w:lvl>
  </w:abstractNum>
  <w:abstractNum w:abstractNumId="2">
    <w:nsid w:val="1E7FF52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C3DBD3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6CEAF087"/>
    <w:multiLevelType w:val="hybridMultilevel"/>
    <w:lvl w:ilvl="0">
      <w:lvlJc w:val="left"/>
      <w:lvlText w:val="%1."/>
      <w:numFmt w:val="decimal"/>
      <w:start w:val="1"/>
    </w:lvl>
    <w:lvl w:ilvl="1">
      <w:lvlJc w:val="left"/>
      <w:lvlText w:val="(%2)"/>
      <w:numFmt w:val="lowerLetter"/>
      <w:start w:val="1"/>
    </w:lvl>
  </w:abstractNum>
  <w:abstractNum w:abstractNumId="6">
    <w:nsid w:val="22221A70"/>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7">
    <w:nsid w:val="4516DDE9"/>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8">
    <w:nsid w:val="3006C83E"/>
    <w:multiLevelType w:val="hybridMultilevel"/>
    <w:lvl w:ilvl="0">
      <w:lvlJc w:val="left"/>
      <w:lvlText w:val="%1."/>
      <w:numFmt w:val="decimal"/>
      <w:start w:val="1"/>
    </w:lvl>
    <w:lvl w:ilvl="1">
      <w:lvlJc w:val="left"/>
      <w:lvlText w:val="(%2)"/>
      <w:numFmt w:val="lowerLetter"/>
      <w:start w:val="1"/>
    </w:lvl>
  </w:abstractNum>
  <w:abstractNum w:abstractNumId="9">
    <w:nsid w:val="614FD4A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0">
    <w:nsid w:val="419AC24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1">
    <w:nsid w:val="5577F8E1"/>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2">
    <w:nsid w:val="440BADFC"/>
    <w:multiLevelType w:val="hybridMultilevel"/>
    <w:lvl w:ilvl="0">
      <w:lvlJc w:val="left"/>
      <w:lvlText w:val="%1."/>
      <w:numFmt w:val="decimal"/>
      <w:start w:val="1"/>
    </w:lvl>
    <w:lvl w:ilvl="1">
      <w:lvlJc w:val="left"/>
      <w:lvlText w:val="(%2)"/>
      <w:numFmt w:val="lowerLetter"/>
      <w:start w:val="1"/>
    </w:lvl>
  </w:abstractNum>
  <w:abstractNum w:abstractNumId="13">
    <w:nsid w:val="5072367"/>
    <w:multiLevelType w:val="hybridMultilevel"/>
    <w:lvl w:ilvl="0">
      <w:lvlJc w:val="left"/>
      <w:lvlText w:val="%1"/>
      <w:numFmt w:val="decimal"/>
      <w:start w:val="1"/>
    </w:lvl>
    <w:lvl w:ilvl="1">
      <w:lvlJc w:val="left"/>
      <w:lvlText w:val="%2."/>
      <w:numFmt w:val="decimal"/>
      <w:start w:val="10"/>
    </w:lvl>
  </w:abstractNum>
  <w:abstractNum w:abstractNumId="14">
    <w:nsid w:val="3804823E"/>
    <w:multiLevelType w:val="hybridMultilevel"/>
    <w:lvl w:ilvl="0">
      <w:lvlJc w:val="left"/>
      <w:lvlText w:val="%1."/>
      <w:numFmt w:val="decimal"/>
      <w:start w:val="11"/>
    </w:lvl>
    <w:lvl w:ilvl="1">
      <w:lvlJc w:val="left"/>
      <w:lvlText w:val="%2"/>
      <w:numFmt w:val="decimal"/>
      <w:start w:val="1"/>
    </w:lvl>
  </w:abstractNum>
  <w:abstractNum w:abstractNumId="15">
    <w:nsid w:val="77465F01"/>
    <w:multiLevelType w:val="hybridMultilevel"/>
    <w:lvl w:ilvl="0">
      <w:lvlJc w:val="left"/>
      <w:lvlText w:val="%1."/>
      <w:numFmt w:val="decimal"/>
      <w:start w:val="1"/>
    </w:lvl>
    <w:lvl w:ilvl="1">
      <w:lvlJc w:val="left"/>
      <w:lvlText w:val="(%2)"/>
      <w:numFmt w:val="lowerLetter"/>
      <w:start w:val="1"/>
    </w:lvl>
  </w:abstractNum>
  <w:abstractNum w:abstractNumId="16">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7">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8">
    <w:nsid w:val="2463B9EA"/>
    <w:multiLevelType w:val="hybridMultilevel"/>
    <w:lvl w:ilvl="0">
      <w:lvlJc w:val="left"/>
      <w:lvlText w:val="%1."/>
      <w:numFmt w:val="decimal"/>
      <w:start w:val="1"/>
    </w:lvl>
    <w:lvl w:ilvl="1">
      <w:lvlJc w:val="left"/>
      <w:lvlText w:val="(%2)"/>
      <w:numFmt w:val="lowerLetter"/>
      <w:start w:val="1"/>
    </w:lvl>
  </w:abstractNum>
  <w:abstractNum w:abstractNumId="19">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0">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1">
    <w:nsid w:val="2D517796"/>
    <w:multiLevelType w:val="hybridMultilevel"/>
    <w:lvl w:ilvl="0">
      <w:lvlJc w:val="left"/>
      <w:lvlText w:val="%1."/>
      <w:numFmt w:val="decimal"/>
      <w:start w:val="1"/>
    </w:lvl>
    <w:lvl w:ilvl="1">
      <w:lvlJc w:val="left"/>
      <w:lvlText w:val="(%2)"/>
      <w:numFmt w:val="lowerLetter"/>
      <w:start w:val="1"/>
    </w:lvl>
  </w:abstractNum>
  <w:abstractNum w:abstractNumId="22">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3">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4">
    <w:nsid w:val="3855585C"/>
    <w:multiLevelType w:val="hybridMultilevel"/>
    <w:lvl w:ilvl="0">
      <w:lvlJc w:val="left"/>
      <w:lvlText w:val="%1."/>
      <w:numFmt w:val="decimal"/>
      <w:start w:val="1"/>
    </w:lvl>
    <w:lvl w:ilvl="1">
      <w:lvlJc w:val="left"/>
      <w:lvlText w:val="(%2)"/>
      <w:numFmt w:val="lowerLetter"/>
      <w:start w:val="1"/>
    </w:lvl>
  </w:abstractNum>
  <w:abstractNum w:abstractNumId="25">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6">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7">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8">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9">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0">
    <w:nsid w:val="2CD89A32"/>
    <w:multiLevelType w:val="hybridMultilevel"/>
    <w:lvl w:ilvl="0">
      <w:lvlJc w:val="left"/>
      <w:lvlText w:val="%1."/>
      <w:numFmt w:val="decimal"/>
      <w:start w:val="1"/>
    </w:lvl>
    <w:lvl w:ilvl="1">
      <w:lvlJc w:val="left"/>
      <w:lvlText w:val="(%2)"/>
      <w:numFmt w:val="lowerLetter"/>
      <w:start w:val="1"/>
    </w:lvl>
  </w:abstractNum>
  <w:abstractNum w:abstractNumId="31">
    <w:nsid w:val="57E4CCA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2">
    <w:nsid w:val="7A6D8D3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3">
    <w:nsid w:val="4B588F54"/>
    <w:multiLevelType w:val="hybridMultilevel"/>
    <w:lvl w:ilvl="0">
      <w:lvlJc w:val="left"/>
      <w:lvlText w:val="%1."/>
      <w:numFmt w:val="decimal"/>
      <w:start w:val="1"/>
    </w:lvl>
    <w:lvl w:ilvl="1">
      <w:lvlJc w:val="left"/>
      <w:lvlText w:val="(%2)"/>
      <w:numFmt w:val="lowerLetter"/>
      <w:start w:val="1"/>
    </w:lvl>
  </w:abstractNum>
  <w:abstractNum w:abstractNumId="34">
    <w:nsid w:val="542289E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5">
    <w:nsid w:val="6DE91B1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6">
    <w:nsid w:val="38437FDB"/>
    <w:multiLevelType w:val="hybridMultilevel"/>
    <w:lvl w:ilvl="0">
      <w:lvlJc w:val="left"/>
      <w:lvlText w:val="%1."/>
      <w:numFmt w:val="decimal"/>
      <w:start w:val="1"/>
    </w:lvl>
    <w:lvl w:ilvl="1">
      <w:lvlJc w:val="left"/>
      <w:lvlText w:val="(%2)"/>
      <w:numFmt w:val="lowerLetter"/>
      <w:start w:val="1"/>
    </w:lvl>
  </w:abstractNum>
  <w:abstractNum w:abstractNumId="37">
    <w:nsid w:val="7644A45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8">
    <w:nsid w:val="32FFF90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9">
    <w:nsid w:val="684A481A"/>
    <w:multiLevelType w:val="hybridMultilevel"/>
    <w:lvl w:ilvl="0">
      <w:lvlJc w:val="left"/>
      <w:lvlText w:val="%1."/>
      <w:numFmt w:val="decimal"/>
      <w:start w:val="1"/>
    </w:lvl>
    <w:lvl w:ilvl="1">
      <w:lvlJc w:val="left"/>
      <w:lvlText w:val="(%2)"/>
      <w:numFmt w:val="lowerLetter"/>
      <w:start w:val="1"/>
    </w:lvl>
  </w:abstractNum>
  <w:abstractNum w:abstractNumId="40">
    <w:nsid w:val="579478F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1">
    <w:nsid w:val="749ABB4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2">
    <w:nsid w:val="3DC240FB"/>
    <w:multiLevelType w:val="hybridMultilevel"/>
    <w:lvl w:ilvl="0">
      <w:lvlJc w:val="left"/>
      <w:lvlText w:val="%1."/>
      <w:numFmt w:val="decimal"/>
      <w:start w:val="1"/>
    </w:lvl>
    <w:lvl w:ilvl="1">
      <w:lvlJc w:val="left"/>
      <w:lvlText w:val="(%2)"/>
      <w:numFmt w:val="lowerLetter"/>
      <w:start w:val="1"/>
    </w:lvl>
  </w:abstractNum>
  <w:abstractNum w:abstractNumId="43">
    <w:nsid w:val="1BA026F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4">
    <w:nsid w:val="79A1DEA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5">
    <w:nsid w:val="75C6C33A"/>
    <w:multiLevelType w:val="hybridMultilevel"/>
    <w:lvl w:ilvl="0">
      <w:lvlJc w:val="left"/>
      <w:lvlText w:val="%1."/>
      <w:numFmt w:val="decimal"/>
      <w:start w:val="1"/>
    </w:lvl>
    <w:lvl w:ilvl="1">
      <w:lvlJc w:val="left"/>
      <w:lvlText w:val="(%2)"/>
      <w:numFmt w:val="lowerLetter"/>
      <w:start w:val="1"/>
    </w:lvl>
  </w:abstractNum>
  <w:abstractNum w:abstractNumId="46">
    <w:nsid w:val="12E685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7">
    <w:nsid w:val="70C6A529"/>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8">
    <w:nsid w:val="520EEDD1"/>
    <w:multiLevelType w:val="hybridMultilevel"/>
    <w:lvl w:ilvl="0">
      <w:lvlJc w:val="left"/>
      <w:lvlText w:val="%1."/>
      <w:numFmt w:val="decimal"/>
      <w:start w:val="1"/>
    </w:lvl>
    <w:lvl w:ilvl="1">
      <w:lvlJc w:val="left"/>
      <w:lvlText w:val="(%2)"/>
      <w:numFmt w:val="lowerLetter"/>
      <w:start w:val="1"/>
    </w:lvl>
  </w:abstractNum>
  <w:abstractNum w:abstractNumId="49">
    <w:nsid w:val="374A3FE6"/>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0">
    <w:nsid w:val="4F4EF00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1">
    <w:nsid w:val="23F9C1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2">
    <w:nsid w:val="649BB7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3">
    <w:nsid w:val="275AC79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5">
    <w:nsid w:val="1CF10FD8"/>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6">
    <w:nsid w:val="180115B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7">
    <w:nsid w:val="235BA86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2021-06-09T16:04:16Z</dcterms:created>
  <dcterms:modified xsi:type="dcterms:W3CDTF">2021-06-09T16:04:16Z</dcterms:modified>
</cp:coreProperties>
</file>