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766570" cy="1029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6570" cy="10293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0066FF"/>
        </w:rPr>
        <w:t>10889 WILSHIRE BOULEVARD</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0066FF"/>
        </w:rPr>
        <w:t>LOS ANGELES, CALIFORNIA 90024</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0066FF"/>
        </w:rPr>
        <w:t>TELEPHONE 310.443.6141</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0066FF"/>
        </w:rPr>
        <w:t>FACSIMILE 310.443.6435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0066FF"/>
        </w:rPr>
        <w:t>MICHAEL L. PRESTON</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66FF"/>
        </w:rPr>
        <w:t>Executive Vice President, General Counsel and Corporate Secretary</w:t>
      </w:r>
    </w:p>
    <w:p>
      <w:pPr>
        <w:spacing w:after="0" w:line="225" w:lineRule="exact"/>
        <w:rPr>
          <w:sz w:val="24"/>
          <w:szCs w:val="24"/>
          <w:color w:val="auto"/>
        </w:rPr>
      </w:pPr>
    </w:p>
    <w:p>
      <w:pPr>
        <w:spacing w:after="0"/>
        <w:rPr>
          <w:sz w:val="20"/>
          <w:szCs w:val="20"/>
          <w:color w:val="auto"/>
        </w:rPr>
      </w:pPr>
      <w:r>
        <w:rPr>
          <w:rFonts w:ascii="Arial" w:cs="Arial" w:eastAsia="Arial" w:hAnsi="Arial"/>
          <w:sz w:val="22"/>
          <w:szCs w:val="22"/>
          <w:color w:val="auto"/>
        </w:rPr>
        <w:t>October 14, 2014</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H. Roger Schwall</w:t>
      </w:r>
    </w:p>
    <w:p>
      <w:pPr>
        <w:spacing w:after="0" w:line="238" w:lineRule="auto"/>
        <w:rPr>
          <w:sz w:val="20"/>
          <w:szCs w:val="20"/>
          <w:color w:val="auto"/>
        </w:rPr>
      </w:pPr>
      <w:r>
        <w:rPr>
          <w:rFonts w:ascii="Arial" w:cs="Arial" w:eastAsia="Arial" w:hAnsi="Arial"/>
          <w:sz w:val="22"/>
          <w:szCs w:val="22"/>
          <w:color w:val="auto"/>
        </w:rPr>
        <w:t>Assistant Director</w:t>
      </w:r>
    </w:p>
    <w:p>
      <w:pPr>
        <w:spacing w:after="0" w:line="230" w:lineRule="auto"/>
        <w:rPr>
          <w:sz w:val="20"/>
          <w:szCs w:val="20"/>
          <w:color w:val="auto"/>
        </w:rPr>
      </w:pPr>
      <w:r>
        <w:rPr>
          <w:rFonts w:ascii="Arial" w:cs="Arial" w:eastAsia="Arial" w:hAnsi="Arial"/>
          <w:sz w:val="22"/>
          <w:szCs w:val="22"/>
          <w:color w:val="auto"/>
        </w:rPr>
        <w:t>United States Securities and Exchange Commission</w:t>
      </w:r>
    </w:p>
    <w:p>
      <w:pPr>
        <w:spacing w:after="0" w:line="231" w:lineRule="auto"/>
        <w:rPr>
          <w:sz w:val="20"/>
          <w:szCs w:val="20"/>
          <w:color w:val="auto"/>
        </w:rPr>
      </w:pPr>
      <w:r>
        <w:rPr>
          <w:rFonts w:ascii="Arial" w:cs="Arial" w:eastAsia="Arial" w:hAnsi="Arial"/>
          <w:sz w:val="22"/>
          <w:szCs w:val="22"/>
          <w:color w:val="auto"/>
        </w:rPr>
        <w:t>Division of Corporation Finance</w:t>
      </w:r>
    </w:p>
    <w:p>
      <w:pPr>
        <w:spacing w:after="0" w:line="231"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20549-3561</w:t>
      </w:r>
    </w:p>
    <w:p>
      <w:pPr>
        <w:spacing w:after="0" w:line="215" w:lineRule="exact"/>
        <w:rPr>
          <w:sz w:val="24"/>
          <w:szCs w:val="24"/>
          <w:color w:val="auto"/>
        </w:rPr>
      </w:pPr>
    </w:p>
    <w:p>
      <w:pPr>
        <w:spacing w:after="0"/>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California Resources Corporation</w:t>
      </w:r>
    </w:p>
    <w:p>
      <w:pPr>
        <w:ind w:left="660"/>
        <w:spacing w:after="0" w:line="238" w:lineRule="auto"/>
        <w:rPr>
          <w:sz w:val="20"/>
          <w:szCs w:val="20"/>
          <w:color w:val="auto"/>
        </w:rPr>
      </w:pPr>
      <w:r>
        <w:rPr>
          <w:rFonts w:ascii="Arial" w:cs="Arial" w:eastAsia="Arial" w:hAnsi="Arial"/>
          <w:sz w:val="22"/>
          <w:szCs w:val="22"/>
          <w:color w:val="auto"/>
        </w:rPr>
        <w:t>Registration Statement on Form 10</w:t>
      </w:r>
    </w:p>
    <w:p>
      <w:pPr>
        <w:ind w:left="660"/>
        <w:spacing w:after="0" w:line="230" w:lineRule="auto"/>
        <w:rPr>
          <w:sz w:val="20"/>
          <w:szCs w:val="20"/>
          <w:color w:val="auto"/>
        </w:rPr>
      </w:pPr>
      <w:r>
        <w:rPr>
          <w:rFonts w:ascii="Arial" w:cs="Arial" w:eastAsia="Arial" w:hAnsi="Arial"/>
          <w:sz w:val="22"/>
          <w:szCs w:val="22"/>
          <w:color w:val="auto"/>
        </w:rPr>
        <w:t>File No. 001-36478</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22"/>
          <w:szCs w:val="22"/>
          <w:color w:val="auto"/>
        </w:rPr>
        <w:t>Request for Acceleration of Effectiveness</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ind w:right="720" w:firstLine="648"/>
        <w:spacing w:after="0" w:line="238" w:lineRule="auto"/>
        <w:rPr>
          <w:sz w:val="20"/>
          <w:szCs w:val="20"/>
          <w:color w:val="auto"/>
        </w:rPr>
      </w:pPr>
      <w:r>
        <w:rPr>
          <w:rFonts w:ascii="Arial" w:cs="Arial" w:eastAsia="Arial" w:hAnsi="Arial"/>
          <w:sz w:val="22"/>
          <w:szCs w:val="22"/>
          <w:color w:val="auto"/>
        </w:rPr>
        <w:t>California Resources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hereby respectfully requests the effectiveness of its Registration Statement on Form 10 (File No. 001-36478) (as amended to date, the “</w:t>
      </w:r>
      <w:r>
        <w:rPr>
          <w:rFonts w:ascii="Arial" w:cs="Arial" w:eastAsia="Arial" w:hAnsi="Arial"/>
          <w:sz w:val="22"/>
          <w:szCs w:val="22"/>
          <w:b w:val="1"/>
          <w:bCs w:val="1"/>
          <w:i w:val="1"/>
          <w:iCs w:val="1"/>
          <w:color w:val="auto"/>
        </w:rPr>
        <w:t>Registration Statement</w:t>
      </w:r>
      <w:r>
        <w:rPr>
          <w:rFonts w:ascii="Arial" w:cs="Arial" w:eastAsia="Arial" w:hAnsi="Arial"/>
          <w:sz w:val="22"/>
          <w:szCs w:val="22"/>
          <w:color w:val="auto"/>
        </w:rPr>
        <w:t>”) be accelerated so that the Registration Statement will become effective as of 5:00 p.m. (Washington D.C. time), on October 16, 2014, or as soon as practicable thereafter.</w:t>
      </w:r>
    </w:p>
    <w:p>
      <w:pPr>
        <w:spacing w:after="0" w:line="212" w:lineRule="exact"/>
        <w:rPr>
          <w:sz w:val="24"/>
          <w:szCs w:val="24"/>
          <w:color w:val="auto"/>
        </w:rPr>
      </w:pPr>
    </w:p>
    <w:p>
      <w:pPr>
        <w:ind w:right="20" w:firstLine="648"/>
        <w:spacing w:after="0" w:line="234" w:lineRule="auto"/>
        <w:rPr>
          <w:sz w:val="20"/>
          <w:szCs w:val="20"/>
          <w:color w:val="auto"/>
        </w:rPr>
      </w:pPr>
      <w:r>
        <w:rPr>
          <w:rFonts w:ascii="Arial" w:cs="Arial" w:eastAsia="Arial" w:hAnsi="Arial"/>
          <w:sz w:val="22"/>
          <w:szCs w:val="22"/>
          <w:color w:val="auto"/>
        </w:rPr>
        <w:t>In accordance with Rule 12d1-2 promulgated under the Securities Exchange Act of 1934, as amended, the reasons for this request are as follows: on October 2, 2014, the Board of Directors of Occidental Petroleum Corporation (“</w:t>
      </w:r>
      <w:r>
        <w:rPr>
          <w:rFonts w:ascii="Arial" w:cs="Arial" w:eastAsia="Arial" w:hAnsi="Arial"/>
          <w:sz w:val="22"/>
          <w:szCs w:val="22"/>
          <w:b w:val="1"/>
          <w:bCs w:val="1"/>
          <w:i w:val="1"/>
          <w:iCs w:val="1"/>
          <w:color w:val="auto"/>
        </w:rPr>
        <w:t>Occidental</w:t>
      </w:r>
      <w:r>
        <w:rPr>
          <w:rFonts w:ascii="Arial" w:cs="Arial" w:eastAsia="Arial" w:hAnsi="Arial"/>
          <w:sz w:val="22"/>
          <w:szCs w:val="22"/>
          <w:color w:val="auto"/>
        </w:rPr>
        <w:t>”) took several actions in connection with the spin-off of the Company from Occidental, including setting November 17, 2014 as the record date for the distribution of shares of common stock of the Company, setting a distribution date of November 30, 2014 and establishing a distribution ratio for the spin-off. Occidental and the Company would like to commence the process of printing the Information Statement, which is filed as an exhibit to the Registration Statement, and mailing it as soon as possible following the record date.</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The Company hereby acknowledges that:</w:t>
      </w:r>
    </w:p>
    <w:p>
      <w:pPr>
        <w:spacing w:after="0" w:line="233" w:lineRule="exact"/>
        <w:rPr>
          <w:sz w:val="24"/>
          <w:szCs w:val="24"/>
          <w:color w:val="auto"/>
        </w:rPr>
      </w:pPr>
    </w:p>
    <w:p>
      <w:pPr>
        <w:ind w:left="1300" w:right="240" w:hanging="644"/>
        <w:spacing w:after="0"/>
        <w:tabs>
          <w:tab w:leader="none" w:pos="1259" w:val="left"/>
        </w:tabs>
        <w:numPr>
          <w:ilvl w:val="0"/>
          <w:numId w:val="1"/>
        </w:numPr>
        <w:rPr>
          <w:rFonts w:ascii="Arial" w:cs="Arial" w:eastAsia="Arial" w:hAnsi="Arial"/>
          <w:sz w:val="22"/>
          <w:szCs w:val="22"/>
          <w:color w:val="auto"/>
        </w:rPr>
      </w:pPr>
      <w:r>
        <w:rPr>
          <w:rFonts w:ascii="Arial" w:cs="Arial" w:eastAsia="Arial" w:hAnsi="Arial"/>
          <w:sz w:val="22"/>
          <w:szCs w:val="22"/>
          <w:color w:val="auto"/>
        </w:rPr>
        <w:t>should the Securities and Exchange Commission (the “</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or the staff of the Commission (the “</w:t>
      </w:r>
      <w:r>
        <w:rPr>
          <w:rFonts w:ascii="Arial" w:cs="Arial" w:eastAsia="Arial" w:hAnsi="Arial"/>
          <w:sz w:val="22"/>
          <w:szCs w:val="22"/>
          <w:b w:val="1"/>
          <w:bCs w:val="1"/>
          <w:i w:val="1"/>
          <w:iCs w:val="1"/>
          <w:color w:val="auto"/>
        </w:rPr>
        <w:t>Staff</w:t>
      </w:r>
      <w:r>
        <w:rPr>
          <w:rFonts w:ascii="Arial" w:cs="Arial" w:eastAsia="Arial" w:hAnsi="Arial"/>
          <w:sz w:val="22"/>
          <w:szCs w:val="22"/>
          <w:color w:val="auto"/>
        </w:rPr>
        <w:t>”), acting pursuant to delegated authority, declare the Registration Statement effective, it does not foreclose the Commission from taking any action with respect to Registration Statement;</w:t>
      </w:r>
    </w:p>
    <w:p>
      <w:pPr>
        <w:spacing w:after="0" w:line="213" w:lineRule="exact"/>
        <w:rPr>
          <w:rFonts w:ascii="Arial" w:cs="Arial" w:eastAsia="Arial" w:hAnsi="Arial"/>
          <w:sz w:val="22"/>
          <w:szCs w:val="22"/>
          <w:color w:val="auto"/>
        </w:rPr>
      </w:pPr>
    </w:p>
    <w:p>
      <w:pPr>
        <w:ind w:left="1300" w:right="200" w:hanging="644"/>
        <w:spacing w:after="0"/>
        <w:tabs>
          <w:tab w:leader="none" w:pos="1259"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October 14, 2014</w:t>
      </w:r>
    </w:p>
    <w:p>
      <w:pPr>
        <w:spacing w:after="0"/>
        <w:rPr>
          <w:sz w:val="20"/>
          <w:szCs w:val="20"/>
          <w:color w:val="auto"/>
        </w:rPr>
      </w:pPr>
      <w:r>
        <w:rPr>
          <w:rFonts w:ascii="Arial" w:cs="Arial" w:eastAsia="Arial" w:hAnsi="Arial"/>
          <w:sz w:val="22"/>
          <w:szCs w:val="22"/>
          <w:color w:val="auto"/>
        </w:rPr>
        <w:t>Page 2</w:t>
      </w:r>
    </w:p>
    <w:p>
      <w:pPr>
        <w:spacing w:after="0" w:line="296" w:lineRule="exact"/>
        <w:rPr>
          <w:sz w:val="24"/>
          <w:szCs w:val="24"/>
          <w:color w:val="auto"/>
        </w:rPr>
      </w:pPr>
    </w:p>
    <w:p>
      <w:pPr>
        <w:ind w:left="1300" w:right="480" w:hanging="644"/>
        <w:spacing w:after="0" w:line="328" w:lineRule="auto"/>
        <w:tabs>
          <w:tab w:leader="none" w:pos="1259"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 may not assert Staff comments and the declaration of effectiveness as a defense in any proceeding initiated by the Commission or any person under the federal securities laws of the United States.</w:t>
      </w:r>
    </w:p>
    <w:p>
      <w:pPr>
        <w:spacing w:after="0" w:line="132" w:lineRule="exact"/>
        <w:rPr>
          <w:sz w:val="24"/>
          <w:szCs w:val="24"/>
          <w:color w:val="auto"/>
        </w:rPr>
      </w:pPr>
    </w:p>
    <w:p>
      <w:pPr>
        <w:ind w:right="160" w:firstLine="648"/>
        <w:spacing w:after="0" w:line="238" w:lineRule="auto"/>
        <w:rPr>
          <w:sz w:val="20"/>
          <w:szCs w:val="20"/>
          <w:color w:val="auto"/>
        </w:rPr>
      </w:pPr>
      <w:r>
        <w:rPr>
          <w:rFonts w:ascii="Arial" w:cs="Arial" w:eastAsia="Arial" w:hAnsi="Arial"/>
          <w:sz w:val="22"/>
          <w:szCs w:val="22"/>
          <w:color w:val="auto"/>
        </w:rPr>
        <w:t>If you have any questions with respect to the foregoing or if any additional supplemental information is required by the Staff, please contact Sarah K. Morgan of Vinson &amp; Elkins L.L.P. at (713) 758-2977. We respectfully request that we be notified of the effectiveness of the Registration Statement by a telephone call to Sarah K. Morgan and that such effectiveness also be confirmed in writing.</w:t>
      </w:r>
    </w:p>
    <w:p>
      <w:pPr>
        <w:spacing w:after="0" w:line="293" w:lineRule="exact"/>
        <w:rPr>
          <w:sz w:val="24"/>
          <w:szCs w:val="24"/>
          <w:color w:val="auto"/>
        </w:rPr>
      </w:pPr>
    </w:p>
    <w:p>
      <w:pPr>
        <w:ind w:left="5700"/>
        <w:spacing w:after="0"/>
        <w:rPr>
          <w:sz w:val="20"/>
          <w:szCs w:val="20"/>
          <w:color w:val="auto"/>
        </w:rPr>
      </w:pPr>
      <w:r>
        <w:rPr>
          <w:rFonts w:ascii="Arial" w:cs="Arial" w:eastAsia="Arial" w:hAnsi="Arial"/>
          <w:sz w:val="22"/>
          <w:szCs w:val="22"/>
          <w:color w:val="auto"/>
        </w:rPr>
        <w:t>Very truly yours,</w:t>
      </w:r>
    </w:p>
    <w:p>
      <w:pPr>
        <w:sectPr>
          <w:pgSz w:w="11900" w:h="16845" w:orient="portrait"/>
          <w:cols w:equalWidth="0" w:num="1">
            <w:col w:w="11420"/>
          </w:cols>
          <w:pgMar w:left="240" w:top="468" w:right="239" w:bottom="0" w:gutter="0" w:footer="0" w:header="0"/>
        </w:sectPr>
      </w:pPr>
    </w:p>
    <w:bookmarkStart w:id="1" w:name="page2"/>
    <w:bookmarkEnd w:id="1"/>
    <w:p>
      <w:pPr>
        <w:ind w:left="5700"/>
        <w:spacing w:after="0"/>
        <w:rPr>
          <w:sz w:val="20"/>
          <w:szCs w:val="20"/>
          <w:color w:val="auto"/>
        </w:rPr>
      </w:pPr>
      <w:r>
        <w:rPr>
          <w:rFonts w:ascii="Arial" w:cs="Arial" w:eastAsia="Arial" w:hAnsi="Arial"/>
          <w:sz w:val="22"/>
          <w:szCs w:val="22"/>
          <w:color w:val="auto"/>
        </w:rPr>
        <w:t>CALIFORNIA RESOURCES CORPORATION</w:t>
      </w:r>
    </w:p>
    <w:p>
      <w:pPr>
        <w:spacing w:after="0" w:line="223" w:lineRule="exact"/>
        <w:rPr>
          <w:sz w:val="20"/>
          <w:szCs w:val="20"/>
          <w:color w:val="auto"/>
        </w:rPr>
      </w:pPr>
    </w:p>
    <w:tbl>
      <w:tblPr>
        <w:tblLayout w:type="fixed"/>
        <w:tblInd w:w="570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Pr>
          <w:p>
            <w:pPr>
              <w:ind w:left="60"/>
              <w:spacing w:after="0"/>
              <w:rPr>
                <w:sz w:val="20"/>
                <w:szCs w:val="20"/>
                <w:color w:val="auto"/>
              </w:rPr>
            </w:pPr>
            <w:r>
              <w:rPr>
                <w:rFonts w:ascii="Arial" w:cs="Arial" w:eastAsia="Arial" w:hAnsi="Arial"/>
                <w:sz w:val="22"/>
                <w:szCs w:val="22"/>
                <w:color w:val="auto"/>
              </w:rPr>
              <w:t>/s/ Michael L. Preston</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4820" w:type="dxa"/>
            <w:vAlign w:val="bottom"/>
          </w:tcPr>
          <w:p>
            <w:pPr>
              <w:ind w:left="60"/>
              <w:spacing w:after="0" w:line="216" w:lineRule="exact"/>
              <w:rPr>
                <w:sz w:val="20"/>
                <w:szCs w:val="20"/>
                <w:color w:val="auto"/>
              </w:rPr>
            </w:pPr>
            <w:r>
              <w:rPr>
                <w:rFonts w:ascii="Arial" w:cs="Arial" w:eastAsia="Arial" w:hAnsi="Arial"/>
                <w:sz w:val="22"/>
                <w:szCs w:val="22"/>
                <w:color w:val="auto"/>
              </w:rPr>
              <w:t>Michael L. Preston</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82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General Counsel and</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4820" w:type="dxa"/>
            <w:vAlign w:val="bottom"/>
          </w:tcPr>
          <w:p>
            <w:pPr>
              <w:ind w:left="60"/>
              <w:spacing w:after="0"/>
              <w:rPr>
                <w:sz w:val="20"/>
                <w:szCs w:val="20"/>
                <w:color w:val="auto"/>
              </w:rPr>
            </w:pPr>
            <w:r>
              <w:rPr>
                <w:rFonts w:ascii="Arial" w:cs="Arial" w:eastAsia="Arial" w:hAnsi="Arial"/>
                <w:sz w:val="22"/>
                <w:szCs w:val="22"/>
                <w:color w:val="auto"/>
              </w:rPr>
              <w:t>Corporate Secretary</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Enclosures</w:t>
      </w:r>
    </w:p>
    <w:p>
      <w:pPr>
        <w:spacing w:after="0" w:line="233" w:lineRule="exact"/>
        <w:rPr>
          <w:sz w:val="20"/>
          <w:szCs w:val="20"/>
          <w:color w:val="auto"/>
        </w:rPr>
      </w:pPr>
    </w:p>
    <w:p>
      <w:pPr>
        <w:ind w:left="700" w:hanging="692"/>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Sarah K. Morgan (Vinson &amp; Elkins)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2019-12-08T10:21:32Z</dcterms:created>
  <dcterms:modified xsi:type="dcterms:W3CDTF">2019-12-08T10:21:32Z</dcterms:modified>
</cp:coreProperties>
</file>