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SCHEDULE 13D</w:t>
      </w:r>
    </w:p>
    <w:p>
      <w:pPr>
        <w:spacing w:after="0" w:line="225"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(Amendment No. _)*</w:t>
      </w:r>
    </w:p>
    <w:p>
      <w:pPr>
        <w:spacing w:after="0" w:line="184" w:lineRule="exact"/>
        <w:rPr>
          <w:sz w:val="24"/>
          <w:szCs w:val="24"/>
          <w:color w:val="auto"/>
        </w:rPr>
      </w:pPr>
    </w:p>
    <w:p>
      <w:pPr>
        <w:jc w:val="center"/>
        <w:ind w:right="-639"/>
        <w:spacing w:after="0"/>
        <w:rPr>
          <w:sz w:val="20"/>
          <w:szCs w:val="20"/>
          <w:color w:val="auto"/>
        </w:rPr>
      </w:pPr>
      <w:r>
        <w:rPr>
          <w:rFonts w:ascii="Arial" w:cs="Arial" w:eastAsia="Arial" w:hAnsi="Arial"/>
          <w:sz w:val="32"/>
          <w:szCs w:val="32"/>
          <w:b w:val="1"/>
          <w:bCs w:val="1"/>
          <w:color w:val="auto"/>
        </w:rPr>
        <w:t>CALIFORNIA RESOURCES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ind w:right="-65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Common Stock, $0.01 par value</w:t>
      </w:r>
    </w:p>
    <w:p>
      <w:pPr>
        <w:spacing w:after="0" w:line="40" w:lineRule="exact"/>
        <w:rPr>
          <w:sz w:val="24"/>
          <w:szCs w:val="24"/>
          <w:color w:val="auto"/>
        </w:rPr>
      </w:pPr>
    </w:p>
    <w:p>
      <w:pPr>
        <w:jc w:val="center"/>
        <w:ind w:right="-65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13057Q305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659"/>
        <w:spacing w:after="0"/>
        <w:rPr>
          <w:sz w:val="20"/>
          <w:szCs w:val="20"/>
          <w:color w:val="auto"/>
        </w:rPr>
      </w:pPr>
      <w:r>
        <w:rPr>
          <w:rFonts w:ascii="Arial" w:cs="Arial" w:eastAsia="Arial" w:hAnsi="Arial"/>
          <w:sz w:val="18"/>
          <w:szCs w:val="18"/>
          <w:color w:val="auto"/>
        </w:rPr>
        <w:t>(CUSIP Number)</w:t>
      </w:r>
    </w:p>
    <w:p>
      <w:pPr>
        <w:spacing w:after="0" w:line="220"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Naseem Sagati Aghili</w:t>
      </w:r>
    </w:p>
    <w:p>
      <w:pPr>
        <w:spacing w:after="0" w:line="27"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Ares Management LLC</w:t>
      </w:r>
    </w:p>
    <w:p>
      <w:pPr>
        <w:spacing w:after="0" w:line="9"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2000 Avenue of the Stars, 12th Floor,</w:t>
      </w:r>
    </w:p>
    <w:p>
      <w:pPr>
        <w:spacing w:after="0" w:line="9"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Los Angeles, California 90067</w:t>
      </w:r>
    </w:p>
    <w:p>
      <w:pPr>
        <w:spacing w:after="0" w:line="9"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(310) 201-4165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659"/>
        <w:spacing w:after="0"/>
        <w:rPr>
          <w:sz w:val="20"/>
          <w:szCs w:val="20"/>
          <w:color w:val="auto"/>
        </w:rPr>
      </w:pPr>
      <w:r>
        <w:rPr>
          <w:rFonts w:ascii="Arial" w:cs="Arial" w:eastAsia="Arial" w:hAnsi="Arial"/>
          <w:sz w:val="18"/>
          <w:szCs w:val="18"/>
          <w:color w:val="auto"/>
        </w:rPr>
        <w:t>(Name, Address and Telephone Number of Person</w:t>
      </w:r>
    </w:p>
    <w:p>
      <w:pPr>
        <w:spacing w:after="0" w:line="23" w:lineRule="exact"/>
        <w:rPr>
          <w:sz w:val="24"/>
          <w:szCs w:val="24"/>
          <w:color w:val="auto"/>
        </w:rPr>
      </w:pPr>
    </w:p>
    <w:p>
      <w:pPr>
        <w:jc w:val="center"/>
        <w:ind w:right="-659"/>
        <w:spacing w:after="0"/>
        <w:rPr>
          <w:sz w:val="20"/>
          <w:szCs w:val="20"/>
          <w:color w:val="auto"/>
        </w:rPr>
      </w:pPr>
      <w:r>
        <w:rPr>
          <w:rFonts w:ascii="Arial" w:cs="Arial" w:eastAsia="Arial" w:hAnsi="Arial"/>
          <w:sz w:val="18"/>
          <w:szCs w:val="18"/>
          <w:color w:val="auto"/>
        </w:rPr>
        <w:t>Authorized to Receive Notices and Communications)</w:t>
      </w:r>
    </w:p>
    <w:p>
      <w:pPr>
        <w:spacing w:after="0" w:line="207"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October 27, 2020</w:t>
      </w:r>
    </w:p>
    <w:p>
      <w:pPr>
        <w:spacing w:after="0" w:line="40" w:lineRule="exact"/>
        <w:rPr>
          <w:sz w:val="24"/>
          <w:szCs w:val="24"/>
          <w:color w:val="auto"/>
        </w:rPr>
      </w:pPr>
    </w:p>
    <w:p>
      <w:pPr>
        <w:jc w:val="center"/>
        <w:ind w:right="-65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ind w:right="20"/>
        <w:spacing w:after="0" w:line="258"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§§240.13d-1(e), 240.13d-1(f) or 240.13d-1(g), check the following box. o</w:t>
      </w:r>
    </w:p>
    <w:p>
      <w:pPr>
        <w:spacing w:after="0" w:line="1" w:lineRule="exact"/>
        <w:rPr>
          <w:sz w:val="24"/>
          <w:szCs w:val="24"/>
          <w:color w:val="auto"/>
        </w:rPr>
      </w:pPr>
    </w:p>
    <w:p>
      <w:pPr>
        <w:ind w:right="20"/>
        <w:spacing w:after="0" w:line="260"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§240.13d-7 for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parties to whom copies are to be sent.</w:t>
      </w:r>
    </w:p>
    <w:p>
      <w:pPr>
        <w:spacing w:after="0" w:line="185" w:lineRule="exact"/>
        <w:rPr>
          <w:sz w:val="24"/>
          <w:szCs w:val="24"/>
          <w:color w:val="auto"/>
        </w:rPr>
      </w:pPr>
    </w:p>
    <w:p>
      <w:pPr>
        <w:ind w:right="20" w:firstLine="8"/>
        <w:spacing w:after="0" w:line="308" w:lineRule="auto"/>
        <w:tabs>
          <w:tab w:leader="none" w:pos="161"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w:t>
      </w:r>
      <w:r>
        <w:rPr>
          <w:rFonts w:ascii="Arial" w:cs="Arial" w:eastAsia="Arial" w:hAnsi="Arial"/>
          <w:sz w:val="18"/>
          <w:szCs w:val="18"/>
          <w:u w:val="single" w:color="auto"/>
          <w:color w:val="auto"/>
        </w:rPr>
        <w:t>Act</w:t>
      </w:r>
      <w:r>
        <w:rPr>
          <w:rFonts w:ascii="Arial" w:cs="Arial" w:eastAsia="Arial" w:hAnsi="Arial"/>
          <w:sz w:val="18"/>
          <w:szCs w:val="18"/>
          <w:color w:val="auto"/>
        </w:rPr>
        <w:t>”) or otherwise subject to the liabilities of that section of the Act but shall be subject to all other provisions of the Act (however, see the Notes).</w:t>
      </w:r>
    </w:p>
    <w:p>
      <w:pPr>
        <w:spacing w:after="0" w:line="180" w:lineRule="exact"/>
        <w:rPr>
          <w:sz w:val="24"/>
          <w:szCs w:val="24"/>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Persons who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568325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320" w:top="783" w:right="979" w:bottom="1440" w:gutter="0" w:footer="0" w:header="0"/>
        </w:sectPr>
      </w:pPr>
    </w:p>
    <w:bookmarkStart w:id="1" w:name="page2"/>
    <w:bookmarkEnd w:id="1"/>
    <w:p>
      <w:pPr>
        <w:ind w:left="52"/>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52" w:right="8080" w:hanging="561"/>
        <w:spacing w:after="0" w:line="308" w:lineRule="auto"/>
        <w:tabs>
          <w:tab w:leader="none" w:pos="952"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Names of Reporting Persons AF V Energy IV AIV 1A, L.P.</w:t>
      </w:r>
    </w:p>
    <w:p>
      <w:pPr>
        <w:spacing w:after="0" w:line="146" w:lineRule="exact"/>
        <w:rPr>
          <w:rFonts w:ascii="Arial" w:cs="Arial" w:eastAsia="Arial" w:hAnsi="Arial"/>
          <w:sz w:val="17"/>
          <w:szCs w:val="17"/>
          <w:color w:val="auto"/>
        </w:rPr>
      </w:pPr>
    </w:p>
    <w:p>
      <w:pPr>
        <w:ind w:left="952" w:hanging="561"/>
        <w:spacing w:after="0"/>
        <w:tabs>
          <w:tab w:leader="none" w:pos="952"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912" w:hanging="954"/>
        <w:spacing w:after="0" w:line="207" w:lineRule="exact"/>
        <w:tabs>
          <w:tab w:leader="none" w:pos="1912"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912" w:hanging="954"/>
        <w:spacing w:after="0" w:line="207" w:lineRule="exact"/>
        <w:tabs>
          <w:tab w:leader="none" w:pos="1912"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52" w:hanging="561"/>
        <w:spacing w:after="0"/>
        <w:tabs>
          <w:tab w:leader="none" w:pos="952"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52" w:hanging="561"/>
        <w:spacing w:after="0"/>
        <w:tabs>
          <w:tab w:leader="none" w:pos="952" w:val="left"/>
        </w:tabs>
        <w:numPr>
          <w:ilvl w:val="0"/>
          <w:numId w:val="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52"/>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78" w:lineRule="exact"/>
        <w:rPr>
          <w:rFonts w:ascii="Arial" w:cs="Arial" w:eastAsia="Arial" w:hAnsi="Arial"/>
          <w:sz w:val="18"/>
          <w:szCs w:val="18"/>
          <w:color w:val="auto"/>
        </w:rPr>
      </w:pPr>
    </w:p>
    <w:p>
      <w:pPr>
        <w:ind w:left="952" w:hanging="561"/>
        <w:spacing w:after="0" w:line="207" w:lineRule="exact"/>
        <w:tabs>
          <w:tab w:leader="none" w:pos="952"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52" w:right="7640" w:hanging="561"/>
        <w:spacing w:after="0" w:line="277" w:lineRule="auto"/>
        <w:tabs>
          <w:tab w:leader="none" w:pos="952"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wp:posOffset>
            </wp:positionH>
            <wp:positionV relativeFrom="paragraph">
              <wp:posOffset>-19050</wp:posOffset>
            </wp:positionV>
            <wp:extent cx="65576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574040</wp:posOffset>
            </wp:positionH>
            <wp:positionV relativeFrom="paragraph">
              <wp:posOffset>-430530</wp:posOffset>
            </wp:positionV>
            <wp:extent cx="65576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574040</wp:posOffset>
            </wp:positionH>
            <wp:positionV relativeFrom="paragraph">
              <wp:posOffset>-704850</wp:posOffset>
            </wp:positionV>
            <wp:extent cx="65576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574040</wp:posOffset>
            </wp:positionH>
            <wp:positionV relativeFrom="paragraph">
              <wp:posOffset>-1116330</wp:posOffset>
            </wp:positionV>
            <wp:extent cx="65576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1148715</wp:posOffset>
            </wp:positionH>
            <wp:positionV relativeFrom="paragraph">
              <wp:posOffset>-1390650</wp:posOffset>
            </wp:positionV>
            <wp:extent cx="59836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1148715</wp:posOffset>
            </wp:positionH>
            <wp:positionV relativeFrom="paragraph">
              <wp:posOffset>-1536700</wp:posOffset>
            </wp:positionV>
            <wp:extent cx="59836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574040</wp:posOffset>
            </wp:positionH>
            <wp:positionV relativeFrom="paragraph">
              <wp:posOffset>-1948180</wp:posOffset>
            </wp:positionV>
            <wp:extent cx="65576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0" w:lineRule="exact"/>
        <w:rPr>
          <w:sz w:val="20"/>
          <w:szCs w:val="20"/>
          <w:color w:val="auto"/>
        </w:rPr>
      </w:pPr>
    </w:p>
    <w:tbl>
      <w:tblPr>
        <w:tblLayout w:type="fixed"/>
        <w:tblInd w:w="52"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9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790,194*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52" w:hanging="456"/>
        <w:spacing w:after="0"/>
        <w:tabs>
          <w:tab w:leader="none" w:pos="1752" w:val="left"/>
        </w:tabs>
        <w:numPr>
          <w:ilvl w:val="2"/>
          <w:numId w:val="3"/>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52"/>
        <w:spacing w:after="0"/>
        <w:rPr>
          <w:rFonts w:ascii="Arial" w:cs="Arial" w:eastAsia="Arial" w:hAnsi="Arial"/>
          <w:sz w:val="18"/>
          <w:szCs w:val="18"/>
          <w:color w:val="auto"/>
        </w:rPr>
      </w:pPr>
      <w:r>
        <w:rPr>
          <w:rFonts w:ascii="Arial" w:cs="Arial" w:eastAsia="Arial" w:hAnsi="Arial"/>
          <w:sz w:val="18"/>
          <w:szCs w:val="18"/>
          <w:color w:val="auto"/>
        </w:rPr>
        <w:t>790,194 (See Items 3, 4, 5 and 6)</w:t>
      </w:r>
    </w:p>
    <w:p>
      <w:pPr>
        <w:spacing w:after="0" w:line="210" w:lineRule="exact"/>
        <w:rPr>
          <w:rFonts w:ascii="Arial" w:cs="Arial" w:eastAsia="Arial" w:hAnsi="Arial"/>
          <w:sz w:val="18"/>
          <w:szCs w:val="18"/>
          <w:color w:val="auto"/>
        </w:rPr>
      </w:pPr>
    </w:p>
    <w:p>
      <w:pPr>
        <w:ind w:left="952" w:right="5480" w:hanging="561"/>
        <w:spacing w:after="0" w:line="277" w:lineRule="auto"/>
        <w:tabs>
          <w:tab w:leader="none" w:pos="952"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790,194 (See Items 3, 4, 5 and 6)</w:t>
      </w:r>
    </w:p>
    <w:p>
      <w:pPr>
        <w:spacing w:after="0" w:line="137" w:lineRule="exact"/>
        <w:rPr>
          <w:rFonts w:ascii="Arial" w:cs="Arial" w:eastAsia="Arial" w:hAnsi="Arial"/>
          <w:sz w:val="18"/>
          <w:szCs w:val="18"/>
          <w:color w:val="auto"/>
        </w:rPr>
      </w:pPr>
    </w:p>
    <w:p>
      <w:pPr>
        <w:ind w:left="952" w:hanging="561"/>
        <w:spacing w:after="0" w:line="207" w:lineRule="exact"/>
        <w:tabs>
          <w:tab w:leader="none" w:pos="952"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52" w:hanging="561"/>
        <w:spacing w:after="0"/>
        <w:tabs>
          <w:tab w:leader="none" w:pos="952"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52"/>
        <w:spacing w:after="0"/>
        <w:rPr>
          <w:rFonts w:ascii="Arial" w:cs="Arial" w:eastAsia="Arial" w:hAnsi="Arial"/>
          <w:sz w:val="18"/>
          <w:szCs w:val="18"/>
          <w:color w:val="auto"/>
        </w:rPr>
      </w:pPr>
      <w:r>
        <w:rPr>
          <w:rFonts w:ascii="Arial" w:cs="Arial" w:eastAsia="Arial" w:hAnsi="Arial"/>
          <w:sz w:val="18"/>
          <w:szCs w:val="18"/>
          <w:color w:val="auto"/>
        </w:rPr>
        <w:t>1.0%** (See Items 3, 4, 5 and 6)</w:t>
      </w:r>
    </w:p>
    <w:p>
      <w:pPr>
        <w:spacing w:after="0" w:line="210" w:lineRule="exact"/>
        <w:rPr>
          <w:rFonts w:ascii="Arial" w:cs="Arial" w:eastAsia="Arial" w:hAnsi="Arial"/>
          <w:sz w:val="18"/>
          <w:szCs w:val="18"/>
          <w:color w:val="auto"/>
        </w:rPr>
      </w:pPr>
    </w:p>
    <w:p>
      <w:pPr>
        <w:ind w:left="952" w:hanging="561"/>
        <w:spacing w:after="0"/>
        <w:tabs>
          <w:tab w:leader="none" w:pos="952" w:val="left"/>
        </w:tabs>
        <w:numPr>
          <w:ilvl w:val="1"/>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52"/>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51" w:lineRule="exact"/>
        <w:rPr>
          <w:rFonts w:ascii="Arial" w:cs="Arial" w:eastAsia="Arial" w:hAnsi="Arial"/>
          <w:sz w:val="18"/>
          <w:szCs w:val="18"/>
          <w:color w:val="auto"/>
        </w:rPr>
      </w:pPr>
    </w:p>
    <w:p>
      <w:pPr>
        <w:ind w:left="72" w:hanging="77"/>
        <w:spacing w:after="0" w:line="257" w:lineRule="auto"/>
        <w:rPr>
          <w:rFonts w:ascii="Arial" w:cs="Arial" w:eastAsia="Arial" w:hAnsi="Arial"/>
          <w:sz w:val="18"/>
          <w:szCs w:val="18"/>
          <w:color w:val="auto"/>
        </w:rPr>
      </w:pPr>
      <w:r>
        <w:rPr>
          <w:rFonts w:ascii="Arial" w:cs="Arial" w:eastAsia="Arial" w:hAnsi="Arial"/>
          <w:sz w:val="18"/>
          <w:szCs w:val="18"/>
          <w:color w:val="auto"/>
        </w:rPr>
        <w:t>* Pursuant to, and in accordance with, the Plan and the Elk Hills Settlement Agreement (each as defined below), the Issuer (as defined below) issued 17,324,848 shares of Common Stock (as defined below) to ECR Corporate Holdings L.P. (“</w:t>
      </w:r>
      <w:r>
        <w:rPr>
          <w:rFonts w:ascii="Arial" w:cs="Arial" w:eastAsia="Arial" w:hAnsi="Arial"/>
          <w:sz w:val="18"/>
          <w:szCs w:val="18"/>
          <w:u w:val="single" w:color="auto"/>
          <w:color w:val="auto"/>
        </w:rPr>
        <w:t>ECR</w:t>
      </w:r>
      <w:r>
        <w:rPr>
          <w:rFonts w:ascii="Arial" w:cs="Arial" w:eastAsia="Arial" w:hAnsi="Arial"/>
          <w:sz w:val="18"/>
          <w:szCs w:val="18"/>
          <w:color w:val="auto"/>
        </w:rPr>
        <w:t>”) on the Effective Date (as defined below). Immediately thereafter, ECR distributed an aggregate of 12,465,956 shares of Common Stock to ECR I, L.P. (“</w:t>
      </w:r>
      <w:r>
        <w:rPr>
          <w:rFonts w:ascii="Arial" w:cs="Arial" w:eastAsia="Arial" w:hAnsi="Arial"/>
          <w:sz w:val="18"/>
          <w:szCs w:val="18"/>
          <w:u w:val="single" w:color="auto"/>
          <w:color w:val="auto"/>
        </w:rPr>
        <w:t>ECR I</w:t>
      </w:r>
      <w:r>
        <w:rPr>
          <w:rFonts w:ascii="Arial" w:cs="Arial" w:eastAsia="Arial" w:hAnsi="Arial"/>
          <w:sz w:val="18"/>
          <w:szCs w:val="18"/>
          <w:color w:val="auto"/>
        </w:rPr>
        <w:t>”). Through a series of subsequent distributions, ECR I distributed 790,194 shares of Common Stock to AF V Energy IV AIV 1A, L.P., representing 100% of the shares of Common Stock beneficially owned by AF V Energy IV AIV 1A, L.P.</w:t>
      </w:r>
    </w:p>
    <w:p>
      <w:pPr>
        <w:spacing w:after="0" w:line="187" w:lineRule="exact"/>
        <w:rPr>
          <w:rFonts w:ascii="Arial" w:cs="Arial" w:eastAsia="Arial" w:hAnsi="Arial"/>
          <w:sz w:val="18"/>
          <w:szCs w:val="18"/>
          <w:color w:val="auto"/>
        </w:rPr>
      </w:pPr>
    </w:p>
    <w:p>
      <w:pPr>
        <w:ind w:left="72" w:hanging="72"/>
        <w:spacing w:after="0" w:line="308" w:lineRule="auto"/>
        <w:tabs>
          <w:tab w:leader="none" w:pos="24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calculation of the percentage of outstanding shares is based on 83,319,721 shares of Common Stock outstanding as of October 27, 2020 as disclosed by the Issuer in its Quarterly Report on Form 10-Q, filed with the Securities and Exchange Commission on November 5, 2020 (the “</w:t>
      </w:r>
      <w:r>
        <w:rPr>
          <w:rFonts w:ascii="Arial" w:cs="Arial" w:eastAsia="Arial" w:hAnsi="Arial"/>
          <w:sz w:val="17"/>
          <w:szCs w:val="17"/>
          <w:u w:val="single" w:color="auto"/>
          <w:color w:val="auto"/>
        </w:rPr>
        <w:t>10-Q</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wp:posOffset>
            </wp:positionH>
            <wp:positionV relativeFrom="paragraph">
              <wp:posOffset>-1294765</wp:posOffset>
            </wp:positionV>
            <wp:extent cx="65576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574040</wp:posOffset>
            </wp:positionH>
            <wp:positionV relativeFrom="paragraph">
              <wp:posOffset>-1706245</wp:posOffset>
            </wp:positionV>
            <wp:extent cx="65576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574040</wp:posOffset>
            </wp:positionH>
            <wp:positionV relativeFrom="paragraph">
              <wp:posOffset>-2117725</wp:posOffset>
            </wp:positionV>
            <wp:extent cx="65576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574040</wp:posOffset>
            </wp:positionH>
            <wp:positionV relativeFrom="paragraph">
              <wp:posOffset>-2392045</wp:posOffset>
            </wp:positionV>
            <wp:extent cx="65576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1080135</wp:posOffset>
            </wp:positionH>
            <wp:positionV relativeFrom="paragraph">
              <wp:posOffset>-2803525</wp:posOffset>
            </wp:positionV>
            <wp:extent cx="60521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5218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-1148715</wp:posOffset>
            </wp:positionV>
            <wp:extent cx="17830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384810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2" w:name="page3"/>
    <w:bookmarkEnd w:id="2"/>
    <w:p>
      <w:pPr>
        <w:ind w:left="52"/>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52" w:right="8080" w:hanging="561"/>
        <w:spacing w:after="0" w:line="308" w:lineRule="auto"/>
        <w:tabs>
          <w:tab w:leader="none" w:pos="952" w:val="left"/>
        </w:tabs>
        <w:numPr>
          <w:ilvl w:val="0"/>
          <w:numId w:val="6"/>
        </w:numPr>
        <w:rPr>
          <w:rFonts w:ascii="Arial" w:cs="Arial" w:eastAsia="Arial" w:hAnsi="Arial"/>
          <w:sz w:val="17"/>
          <w:szCs w:val="17"/>
          <w:color w:val="auto"/>
        </w:rPr>
      </w:pPr>
      <w:r>
        <w:rPr>
          <w:rFonts w:ascii="Arial" w:cs="Arial" w:eastAsia="Arial" w:hAnsi="Arial"/>
          <w:sz w:val="17"/>
          <w:szCs w:val="17"/>
          <w:color w:val="auto"/>
        </w:rPr>
        <w:t>Names of Reporting Persons AF V Energy IV AIV 1B, L.P.</w:t>
      </w:r>
    </w:p>
    <w:p>
      <w:pPr>
        <w:spacing w:after="0" w:line="146" w:lineRule="exact"/>
        <w:rPr>
          <w:rFonts w:ascii="Arial" w:cs="Arial" w:eastAsia="Arial" w:hAnsi="Arial"/>
          <w:sz w:val="17"/>
          <w:szCs w:val="17"/>
          <w:color w:val="auto"/>
        </w:rPr>
      </w:pPr>
    </w:p>
    <w:p>
      <w:pPr>
        <w:ind w:left="952" w:hanging="561"/>
        <w:spacing w:after="0"/>
        <w:tabs>
          <w:tab w:leader="none" w:pos="952"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912" w:hanging="954"/>
        <w:spacing w:after="0" w:line="207" w:lineRule="exact"/>
        <w:tabs>
          <w:tab w:leader="none" w:pos="1912" w:val="left"/>
        </w:tabs>
        <w:numPr>
          <w:ilvl w:val="1"/>
          <w:numId w:val="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912" w:hanging="954"/>
        <w:spacing w:after="0" w:line="207" w:lineRule="exact"/>
        <w:tabs>
          <w:tab w:leader="none" w:pos="1912" w:val="left"/>
        </w:tabs>
        <w:numPr>
          <w:ilvl w:val="1"/>
          <w:numId w:val="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52" w:hanging="561"/>
        <w:spacing w:after="0"/>
        <w:tabs>
          <w:tab w:leader="none" w:pos="952"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52" w:hanging="561"/>
        <w:spacing w:after="0"/>
        <w:tabs>
          <w:tab w:leader="none" w:pos="952" w:val="left"/>
        </w:tabs>
        <w:numPr>
          <w:ilvl w:val="0"/>
          <w:numId w:val="6"/>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52"/>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78" w:lineRule="exact"/>
        <w:rPr>
          <w:rFonts w:ascii="Arial" w:cs="Arial" w:eastAsia="Arial" w:hAnsi="Arial"/>
          <w:sz w:val="18"/>
          <w:szCs w:val="18"/>
          <w:color w:val="auto"/>
        </w:rPr>
      </w:pPr>
    </w:p>
    <w:p>
      <w:pPr>
        <w:ind w:left="952" w:hanging="561"/>
        <w:spacing w:after="0" w:line="207" w:lineRule="exact"/>
        <w:tabs>
          <w:tab w:leader="none" w:pos="952"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52" w:right="7640" w:hanging="561"/>
        <w:spacing w:after="0" w:line="277" w:lineRule="auto"/>
        <w:tabs>
          <w:tab w:leader="none" w:pos="952"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wp:posOffset>
            </wp:positionH>
            <wp:positionV relativeFrom="paragraph">
              <wp:posOffset>-19050</wp:posOffset>
            </wp:positionV>
            <wp:extent cx="655764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574040</wp:posOffset>
            </wp:positionH>
            <wp:positionV relativeFrom="paragraph">
              <wp:posOffset>-430530</wp:posOffset>
            </wp:positionV>
            <wp:extent cx="655764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574040</wp:posOffset>
            </wp:positionH>
            <wp:positionV relativeFrom="paragraph">
              <wp:posOffset>-704850</wp:posOffset>
            </wp:positionV>
            <wp:extent cx="655764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574040</wp:posOffset>
            </wp:positionH>
            <wp:positionV relativeFrom="paragraph">
              <wp:posOffset>-1116330</wp:posOffset>
            </wp:positionV>
            <wp:extent cx="65576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1148715</wp:posOffset>
            </wp:positionH>
            <wp:positionV relativeFrom="paragraph">
              <wp:posOffset>-1390650</wp:posOffset>
            </wp:positionV>
            <wp:extent cx="598360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1148715</wp:posOffset>
            </wp:positionH>
            <wp:positionV relativeFrom="paragraph">
              <wp:posOffset>-1536700</wp:posOffset>
            </wp:positionV>
            <wp:extent cx="598360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574040</wp:posOffset>
            </wp:positionH>
            <wp:positionV relativeFrom="paragraph">
              <wp:posOffset>-1948180</wp:posOffset>
            </wp:positionV>
            <wp:extent cx="655764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0" w:lineRule="exact"/>
        <w:rPr>
          <w:sz w:val="20"/>
          <w:szCs w:val="20"/>
          <w:color w:val="auto"/>
        </w:rPr>
      </w:pPr>
    </w:p>
    <w:tbl>
      <w:tblPr>
        <w:tblLayout w:type="fixed"/>
        <w:tblInd w:w="52"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9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2,901,771*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52" w:hanging="456"/>
        <w:spacing w:after="0"/>
        <w:tabs>
          <w:tab w:leader="none" w:pos="1752" w:val="left"/>
        </w:tabs>
        <w:numPr>
          <w:ilvl w:val="2"/>
          <w:numId w:val="7"/>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52"/>
        <w:spacing w:after="0"/>
        <w:rPr>
          <w:rFonts w:ascii="Arial" w:cs="Arial" w:eastAsia="Arial" w:hAnsi="Arial"/>
          <w:sz w:val="18"/>
          <w:szCs w:val="18"/>
          <w:color w:val="auto"/>
        </w:rPr>
      </w:pPr>
      <w:r>
        <w:rPr>
          <w:rFonts w:ascii="Arial" w:cs="Arial" w:eastAsia="Arial" w:hAnsi="Arial"/>
          <w:sz w:val="18"/>
          <w:szCs w:val="18"/>
          <w:color w:val="auto"/>
        </w:rPr>
        <w:t>2,901,771 (See Items 3, 4, 5 and 6)</w:t>
      </w:r>
    </w:p>
    <w:p>
      <w:pPr>
        <w:spacing w:after="0" w:line="210" w:lineRule="exact"/>
        <w:rPr>
          <w:rFonts w:ascii="Arial" w:cs="Arial" w:eastAsia="Arial" w:hAnsi="Arial"/>
          <w:sz w:val="18"/>
          <w:szCs w:val="18"/>
          <w:color w:val="auto"/>
        </w:rPr>
      </w:pPr>
    </w:p>
    <w:p>
      <w:pPr>
        <w:ind w:left="952" w:right="5480" w:hanging="561"/>
        <w:spacing w:after="0" w:line="277" w:lineRule="auto"/>
        <w:tabs>
          <w:tab w:leader="none" w:pos="952" w:val="left"/>
        </w:tabs>
        <w:numPr>
          <w:ilvl w:val="1"/>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2,901,771 (See Items 3, 4, 5 and 6)</w:t>
      </w:r>
    </w:p>
    <w:p>
      <w:pPr>
        <w:spacing w:after="0" w:line="137" w:lineRule="exact"/>
        <w:rPr>
          <w:rFonts w:ascii="Arial" w:cs="Arial" w:eastAsia="Arial" w:hAnsi="Arial"/>
          <w:sz w:val="18"/>
          <w:szCs w:val="18"/>
          <w:color w:val="auto"/>
        </w:rPr>
      </w:pPr>
    </w:p>
    <w:p>
      <w:pPr>
        <w:ind w:left="952" w:hanging="561"/>
        <w:spacing w:after="0" w:line="207" w:lineRule="exact"/>
        <w:tabs>
          <w:tab w:leader="none" w:pos="952" w:val="left"/>
        </w:tabs>
        <w:numPr>
          <w:ilvl w:val="1"/>
          <w:numId w:val="8"/>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52" w:hanging="561"/>
        <w:spacing w:after="0"/>
        <w:tabs>
          <w:tab w:leader="none" w:pos="952" w:val="left"/>
        </w:tabs>
        <w:numPr>
          <w:ilvl w:val="1"/>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52"/>
        <w:spacing w:after="0"/>
        <w:rPr>
          <w:rFonts w:ascii="Arial" w:cs="Arial" w:eastAsia="Arial" w:hAnsi="Arial"/>
          <w:sz w:val="18"/>
          <w:szCs w:val="18"/>
          <w:color w:val="auto"/>
        </w:rPr>
      </w:pPr>
      <w:r>
        <w:rPr>
          <w:rFonts w:ascii="Arial" w:cs="Arial" w:eastAsia="Arial" w:hAnsi="Arial"/>
          <w:sz w:val="18"/>
          <w:szCs w:val="18"/>
          <w:color w:val="auto"/>
        </w:rPr>
        <w:t>3.5%** (See Items 3, 4, 5 and 6)</w:t>
      </w:r>
    </w:p>
    <w:p>
      <w:pPr>
        <w:spacing w:after="0" w:line="210" w:lineRule="exact"/>
        <w:rPr>
          <w:rFonts w:ascii="Arial" w:cs="Arial" w:eastAsia="Arial" w:hAnsi="Arial"/>
          <w:sz w:val="18"/>
          <w:szCs w:val="18"/>
          <w:color w:val="auto"/>
        </w:rPr>
      </w:pPr>
    </w:p>
    <w:p>
      <w:pPr>
        <w:ind w:left="952" w:hanging="561"/>
        <w:spacing w:after="0"/>
        <w:tabs>
          <w:tab w:leader="none" w:pos="952" w:val="left"/>
        </w:tabs>
        <w:numPr>
          <w:ilvl w:val="1"/>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52"/>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51" w:lineRule="exact"/>
        <w:rPr>
          <w:rFonts w:ascii="Arial" w:cs="Arial" w:eastAsia="Arial" w:hAnsi="Arial"/>
          <w:sz w:val="18"/>
          <w:szCs w:val="18"/>
          <w:color w:val="auto"/>
        </w:rPr>
      </w:pPr>
    </w:p>
    <w:p>
      <w:pPr>
        <w:ind w:left="72" w:hanging="77"/>
        <w:spacing w:after="0" w:line="259" w:lineRule="auto"/>
        <w:rPr>
          <w:rFonts w:ascii="Arial" w:cs="Arial" w:eastAsia="Arial" w:hAnsi="Arial"/>
          <w:sz w:val="18"/>
          <w:szCs w:val="18"/>
          <w:color w:val="auto"/>
        </w:rPr>
      </w:pPr>
      <w:r>
        <w:rPr>
          <w:rFonts w:ascii="Arial" w:cs="Arial" w:eastAsia="Arial" w:hAnsi="Arial"/>
          <w:sz w:val="18"/>
          <w:szCs w:val="18"/>
          <w:color w:val="auto"/>
        </w:rPr>
        <w:t>* Pursuant to, and in accordance with, the Plan and the Elk Hills Settlement Agreement, the Issuer issued 17,324,848 shares of Common Stock to ECR on the Effective Date. Immediately thereafter, ECR distributed an aggregate of 12,465,956 shares of Common Stock to ECR I. Through a series of subsequent distributions, ECR I distributed 2,901,771 shares of Common Stock to AF V Energy IV AIV 1B, L.P., representing 100% of the shares of Common Stock beneficially owned by AF V Energy IV AIV 1B, L.P.</w:t>
      </w:r>
    </w:p>
    <w:p>
      <w:pPr>
        <w:spacing w:after="0" w:line="186" w:lineRule="exact"/>
        <w:rPr>
          <w:rFonts w:ascii="Arial" w:cs="Arial" w:eastAsia="Arial" w:hAnsi="Arial"/>
          <w:sz w:val="18"/>
          <w:szCs w:val="18"/>
          <w:color w:val="auto"/>
        </w:rPr>
      </w:pPr>
    </w:p>
    <w:p>
      <w:pPr>
        <w:ind w:left="72" w:right="20" w:hanging="72"/>
        <w:spacing w:after="0" w:line="277" w:lineRule="auto"/>
        <w:tabs>
          <w:tab w:leader="none" w:pos="229"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calculation of the percentage of outstanding shares of Common Stock is based on 83,319,721 shares of Common Stock outstanding as of October 27, 2020 as disclosed by the Issuer in the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wp:posOffset>
            </wp:positionH>
            <wp:positionV relativeFrom="paragraph">
              <wp:posOffset>-1142365</wp:posOffset>
            </wp:positionV>
            <wp:extent cx="655764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574040</wp:posOffset>
            </wp:positionH>
            <wp:positionV relativeFrom="paragraph">
              <wp:posOffset>-1553845</wp:posOffset>
            </wp:positionV>
            <wp:extent cx="655764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574040</wp:posOffset>
            </wp:positionH>
            <wp:positionV relativeFrom="paragraph">
              <wp:posOffset>-1965325</wp:posOffset>
            </wp:positionV>
            <wp:extent cx="65576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574040</wp:posOffset>
            </wp:positionH>
            <wp:positionV relativeFrom="paragraph">
              <wp:posOffset>-2239645</wp:posOffset>
            </wp:positionV>
            <wp:extent cx="655764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1080135</wp:posOffset>
            </wp:positionH>
            <wp:positionV relativeFrom="paragraph">
              <wp:posOffset>-2651125</wp:posOffset>
            </wp:positionV>
            <wp:extent cx="605218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5218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-996315</wp:posOffset>
            </wp:positionV>
            <wp:extent cx="17830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400050</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jc w:val="both"/>
        <w:ind w:left="960" w:right="8200" w:hanging="561"/>
        <w:spacing w:after="0" w:line="342" w:lineRule="auto"/>
        <w:tabs>
          <w:tab w:leader="none" w:pos="9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Names of Reporting Persons AF V Energy IV AIV 2, L.P.</w:t>
      </w:r>
    </w:p>
    <w:p>
      <w:pPr>
        <w:spacing w:after="0" w:line="123" w:lineRule="exact"/>
        <w:rPr>
          <w:rFonts w:ascii="Arial" w:cs="Arial" w:eastAsia="Arial" w:hAnsi="Arial"/>
          <w:sz w:val="16"/>
          <w:szCs w:val="16"/>
          <w:color w:val="auto"/>
        </w:rPr>
      </w:pPr>
    </w:p>
    <w:p>
      <w:pPr>
        <w:ind w:left="960" w:hanging="561"/>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920" w:hanging="954"/>
        <w:spacing w:after="0" w:line="207" w:lineRule="exact"/>
        <w:tabs>
          <w:tab w:leader="none" w:pos="1920" w:val="left"/>
        </w:tabs>
        <w:numPr>
          <w:ilvl w:val="1"/>
          <w:numId w:val="1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920" w:hanging="954"/>
        <w:spacing w:after="0" w:line="207" w:lineRule="exact"/>
        <w:tabs>
          <w:tab w:leader="none" w:pos="1920" w:val="left"/>
        </w:tabs>
        <w:numPr>
          <w:ilvl w:val="1"/>
          <w:numId w:val="1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60" w:hanging="561"/>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60" w:hanging="561"/>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78" w:lineRule="exact"/>
        <w:rPr>
          <w:rFonts w:ascii="Arial" w:cs="Arial" w:eastAsia="Arial" w:hAnsi="Arial"/>
          <w:sz w:val="18"/>
          <w:szCs w:val="18"/>
          <w:color w:val="auto"/>
        </w:rPr>
      </w:pPr>
    </w:p>
    <w:p>
      <w:pPr>
        <w:ind w:left="960" w:hanging="561"/>
        <w:spacing w:after="0" w:line="207" w:lineRule="exact"/>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hanging="561"/>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-259080</wp:posOffset>
            </wp:positionV>
            <wp:extent cx="655764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-533400</wp:posOffset>
            </wp:positionV>
            <wp:extent cx="655764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-944880</wp:posOffset>
            </wp:positionV>
            <wp:extent cx="655764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-1219200</wp:posOffset>
            </wp:positionV>
            <wp:extent cx="59836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-1364615</wp:posOffset>
            </wp:positionV>
            <wp:extent cx="598360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-1776095</wp:posOffset>
            </wp:positionV>
            <wp:extent cx="655764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5715</wp:posOffset>
            </wp:positionV>
            <wp:extent cx="655764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9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2,958,809*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60" w:hanging="456"/>
        <w:spacing w:after="0"/>
        <w:tabs>
          <w:tab w:leader="none" w:pos="1760" w:val="left"/>
        </w:tabs>
        <w:numPr>
          <w:ilvl w:val="2"/>
          <w:numId w:val="11"/>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60"/>
        <w:spacing w:after="0"/>
        <w:rPr>
          <w:rFonts w:ascii="Arial" w:cs="Arial" w:eastAsia="Arial" w:hAnsi="Arial"/>
          <w:sz w:val="18"/>
          <w:szCs w:val="18"/>
          <w:color w:val="auto"/>
        </w:rPr>
      </w:pPr>
      <w:r>
        <w:rPr>
          <w:rFonts w:ascii="Arial" w:cs="Arial" w:eastAsia="Arial" w:hAnsi="Arial"/>
          <w:sz w:val="18"/>
          <w:szCs w:val="18"/>
          <w:color w:val="auto"/>
        </w:rPr>
        <w:t>2,958,809 (See Items 3, 4, 5 and 6)</w:t>
      </w:r>
    </w:p>
    <w:p>
      <w:pPr>
        <w:spacing w:after="0" w:line="210" w:lineRule="exact"/>
        <w:rPr>
          <w:rFonts w:ascii="Arial" w:cs="Arial" w:eastAsia="Arial" w:hAnsi="Arial"/>
          <w:sz w:val="18"/>
          <w:szCs w:val="18"/>
          <w:color w:val="auto"/>
        </w:rPr>
      </w:pPr>
    </w:p>
    <w:p>
      <w:pPr>
        <w:ind w:left="960" w:right="5480" w:hanging="561"/>
        <w:spacing w:after="0" w:line="277" w:lineRule="auto"/>
        <w:tabs>
          <w:tab w:leader="none" w:pos="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2,958,809 (See Items 3, 4, 5 and 6)</w:t>
      </w:r>
    </w:p>
    <w:p>
      <w:pPr>
        <w:spacing w:after="0" w:line="137" w:lineRule="exact"/>
        <w:rPr>
          <w:rFonts w:ascii="Arial" w:cs="Arial" w:eastAsia="Arial" w:hAnsi="Arial"/>
          <w:sz w:val="18"/>
          <w:szCs w:val="18"/>
          <w:color w:val="auto"/>
        </w:rPr>
      </w:pPr>
    </w:p>
    <w:p>
      <w:pPr>
        <w:ind w:left="960" w:hanging="561"/>
        <w:spacing w:after="0" w:line="207" w:lineRule="exact"/>
        <w:tabs>
          <w:tab w:leader="none" w:pos="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hanging="561"/>
        <w:spacing w:after="0"/>
        <w:tabs>
          <w:tab w:leader="none" w:pos="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3.6%** (See Items 3, 4, 5 and 6)</w:t>
      </w:r>
    </w:p>
    <w:p>
      <w:pPr>
        <w:spacing w:after="0" w:line="210" w:lineRule="exact"/>
        <w:rPr>
          <w:rFonts w:ascii="Arial" w:cs="Arial" w:eastAsia="Arial" w:hAnsi="Arial"/>
          <w:sz w:val="18"/>
          <w:szCs w:val="18"/>
          <w:color w:val="auto"/>
        </w:rPr>
      </w:pPr>
    </w:p>
    <w:p>
      <w:pPr>
        <w:ind w:left="960" w:hanging="561"/>
        <w:spacing w:after="0"/>
        <w:tabs>
          <w:tab w:leader="none" w:pos="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51" w:lineRule="exact"/>
        <w:rPr>
          <w:rFonts w:ascii="Arial" w:cs="Arial" w:eastAsia="Arial" w:hAnsi="Arial"/>
          <w:sz w:val="18"/>
          <w:szCs w:val="18"/>
          <w:color w:val="auto"/>
        </w:rPr>
      </w:pPr>
    </w:p>
    <w:p>
      <w:pPr>
        <w:jc w:val="both"/>
        <w:spacing w:after="0" w:line="259" w:lineRule="auto"/>
        <w:rPr>
          <w:rFonts w:ascii="Arial" w:cs="Arial" w:eastAsia="Arial" w:hAnsi="Arial"/>
          <w:sz w:val="18"/>
          <w:szCs w:val="18"/>
          <w:color w:val="auto"/>
        </w:rPr>
      </w:pPr>
      <w:r>
        <w:rPr>
          <w:rFonts w:ascii="Arial" w:cs="Arial" w:eastAsia="Arial" w:hAnsi="Arial"/>
          <w:sz w:val="18"/>
          <w:szCs w:val="18"/>
          <w:color w:val="auto"/>
        </w:rPr>
        <w:t>* Pursuant to, and in accordance with, the Plan and the Elk Hills Settlement Agreement, the Issuer issued 17,324,848 shares of Common Stock to ECR on the Effective Date. Immediately thereafter, ECR distributed an aggregate of 12,465,956 shares of Common Stock to ECR I. ECR I subsequently distributed 2,958,809 shares of Common Stock to AF V Energy IV AIV 2, L.P., representing 100% of the shares of Common Stock beneficially owned by AF V Energy IV AIV 2, L.P.</w:t>
      </w:r>
    </w:p>
    <w:p>
      <w:pPr>
        <w:spacing w:after="0" w:line="186" w:lineRule="exact"/>
        <w:rPr>
          <w:rFonts w:ascii="Arial" w:cs="Arial" w:eastAsia="Arial" w:hAnsi="Arial"/>
          <w:sz w:val="18"/>
          <w:szCs w:val="18"/>
          <w:color w:val="auto"/>
        </w:rPr>
      </w:pPr>
    </w:p>
    <w:p>
      <w:pPr>
        <w:ind w:right="20" w:firstLine="8"/>
        <w:spacing w:after="0" w:line="277" w:lineRule="auto"/>
        <w:tabs>
          <w:tab w:leader="none" w:pos="23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calculation of the percentage of outstanding shares of Common Stock is based on 83,319,721 shares of Common Stock outstanding as of October 27, 2020 as disclosed by the Issuer in the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-1142365</wp:posOffset>
            </wp:positionV>
            <wp:extent cx="65576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-1553845</wp:posOffset>
            </wp:positionV>
            <wp:extent cx="65576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-1965325</wp:posOffset>
            </wp:positionV>
            <wp:extent cx="655764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-2239645</wp:posOffset>
            </wp:positionV>
            <wp:extent cx="655764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-2651125</wp:posOffset>
            </wp:positionV>
            <wp:extent cx="605218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521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-996315</wp:posOffset>
            </wp:positionV>
            <wp:extent cx="17830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60" w:right="8200" w:hanging="561"/>
        <w:spacing w:after="0" w:line="342" w:lineRule="auto"/>
        <w:tabs>
          <w:tab w:leader="none" w:pos="9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Names of Reporting Persons AEOF ECR AIV A-B, L.P.</w:t>
      </w:r>
    </w:p>
    <w:p>
      <w:pPr>
        <w:spacing w:after="0" w:line="123" w:lineRule="exact"/>
        <w:rPr>
          <w:rFonts w:ascii="Arial" w:cs="Arial" w:eastAsia="Arial" w:hAnsi="Arial"/>
          <w:sz w:val="16"/>
          <w:szCs w:val="16"/>
          <w:color w:val="auto"/>
        </w:rPr>
      </w:pPr>
    </w:p>
    <w:p>
      <w:pPr>
        <w:ind w:left="960" w:hanging="561"/>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920" w:hanging="954"/>
        <w:spacing w:after="0" w:line="207" w:lineRule="exact"/>
        <w:tabs>
          <w:tab w:leader="none" w:pos="1920" w:val="left"/>
        </w:tabs>
        <w:numPr>
          <w:ilvl w:val="1"/>
          <w:numId w:val="1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920" w:hanging="954"/>
        <w:spacing w:after="0" w:line="207" w:lineRule="exact"/>
        <w:tabs>
          <w:tab w:leader="none" w:pos="1920" w:val="left"/>
        </w:tabs>
        <w:numPr>
          <w:ilvl w:val="1"/>
          <w:numId w:val="1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60" w:hanging="561"/>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60" w:hanging="561"/>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78" w:lineRule="exact"/>
        <w:rPr>
          <w:rFonts w:ascii="Arial" w:cs="Arial" w:eastAsia="Arial" w:hAnsi="Arial"/>
          <w:sz w:val="18"/>
          <w:szCs w:val="18"/>
          <w:color w:val="auto"/>
        </w:rPr>
      </w:pPr>
    </w:p>
    <w:p>
      <w:pPr>
        <w:ind w:left="960" w:hanging="561"/>
        <w:spacing w:after="0" w:line="207" w:lineRule="exact"/>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hanging="561"/>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-259080</wp:posOffset>
            </wp:positionV>
            <wp:extent cx="655764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-533400</wp:posOffset>
            </wp:positionV>
            <wp:extent cx="655764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-944880</wp:posOffset>
            </wp:positionV>
            <wp:extent cx="655764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-1219200</wp:posOffset>
            </wp:positionV>
            <wp:extent cx="598360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-1364615</wp:posOffset>
            </wp:positionV>
            <wp:extent cx="598360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-1776095</wp:posOffset>
            </wp:positionV>
            <wp:extent cx="655764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5715</wp:posOffset>
            </wp:positionV>
            <wp:extent cx="655764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9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1,894,861*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60" w:hanging="456"/>
        <w:spacing w:after="0"/>
        <w:tabs>
          <w:tab w:leader="none" w:pos="1760" w:val="left"/>
        </w:tabs>
        <w:numPr>
          <w:ilvl w:val="2"/>
          <w:numId w:val="15"/>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60"/>
        <w:spacing w:after="0"/>
        <w:rPr>
          <w:rFonts w:ascii="Arial" w:cs="Arial" w:eastAsia="Arial" w:hAnsi="Arial"/>
          <w:sz w:val="18"/>
          <w:szCs w:val="18"/>
          <w:color w:val="auto"/>
        </w:rPr>
      </w:pPr>
      <w:r>
        <w:rPr>
          <w:rFonts w:ascii="Arial" w:cs="Arial" w:eastAsia="Arial" w:hAnsi="Arial"/>
          <w:sz w:val="18"/>
          <w:szCs w:val="18"/>
          <w:color w:val="auto"/>
        </w:rPr>
        <w:t>1,894,861 (See Items 3, 4, 5 and 6)</w:t>
      </w:r>
    </w:p>
    <w:p>
      <w:pPr>
        <w:spacing w:after="0" w:line="210" w:lineRule="exact"/>
        <w:rPr>
          <w:rFonts w:ascii="Arial" w:cs="Arial" w:eastAsia="Arial" w:hAnsi="Arial"/>
          <w:sz w:val="18"/>
          <w:szCs w:val="18"/>
          <w:color w:val="auto"/>
        </w:rPr>
      </w:pPr>
    </w:p>
    <w:p>
      <w:pPr>
        <w:ind w:left="960" w:right="5480" w:hanging="561"/>
        <w:spacing w:after="0" w:line="277" w:lineRule="auto"/>
        <w:tabs>
          <w:tab w:leader="none" w:pos="9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1,894,861 (See Items 3, 4, 5 and 6)</w:t>
      </w:r>
    </w:p>
    <w:p>
      <w:pPr>
        <w:spacing w:after="0" w:line="137" w:lineRule="exact"/>
        <w:rPr>
          <w:rFonts w:ascii="Arial" w:cs="Arial" w:eastAsia="Arial" w:hAnsi="Arial"/>
          <w:sz w:val="18"/>
          <w:szCs w:val="18"/>
          <w:color w:val="auto"/>
        </w:rPr>
      </w:pPr>
    </w:p>
    <w:p>
      <w:pPr>
        <w:ind w:left="960" w:hanging="561"/>
        <w:spacing w:after="0" w:line="207" w:lineRule="exact"/>
        <w:tabs>
          <w:tab w:leader="none" w:pos="9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hanging="561"/>
        <w:spacing w:after="0"/>
        <w:tabs>
          <w:tab w:leader="none" w:pos="9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2.3%** (See Items 3, 4, 5 and 6)</w:t>
      </w:r>
    </w:p>
    <w:p>
      <w:pPr>
        <w:spacing w:after="0" w:line="210" w:lineRule="exact"/>
        <w:rPr>
          <w:rFonts w:ascii="Arial" w:cs="Arial" w:eastAsia="Arial" w:hAnsi="Arial"/>
          <w:sz w:val="18"/>
          <w:szCs w:val="18"/>
          <w:color w:val="auto"/>
        </w:rPr>
      </w:pPr>
    </w:p>
    <w:p>
      <w:pPr>
        <w:ind w:left="960" w:hanging="561"/>
        <w:spacing w:after="0"/>
        <w:tabs>
          <w:tab w:leader="none" w:pos="9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51" w:lineRule="exact"/>
        <w:rPr>
          <w:rFonts w:ascii="Arial" w:cs="Arial" w:eastAsia="Arial" w:hAnsi="Arial"/>
          <w:sz w:val="18"/>
          <w:szCs w:val="18"/>
          <w:color w:val="auto"/>
        </w:rPr>
      </w:pPr>
    </w:p>
    <w:p>
      <w:pPr>
        <w:jc w:val="both"/>
        <w:spacing w:after="0" w:line="259" w:lineRule="auto"/>
        <w:rPr>
          <w:rFonts w:ascii="Arial" w:cs="Arial" w:eastAsia="Arial" w:hAnsi="Arial"/>
          <w:sz w:val="18"/>
          <w:szCs w:val="18"/>
          <w:color w:val="auto"/>
        </w:rPr>
      </w:pPr>
      <w:r>
        <w:rPr>
          <w:rFonts w:ascii="Arial" w:cs="Arial" w:eastAsia="Arial" w:hAnsi="Arial"/>
          <w:sz w:val="18"/>
          <w:szCs w:val="18"/>
          <w:color w:val="auto"/>
        </w:rPr>
        <w:t>* Pursuant to, and in accordance with, the Plan and the Elk Hills Settlement Agreement, the Issuer issued 17,324,848 shares of Common Stock to ECR on the Effective Date. Immediately thereafter, ECR distributed an aggregate of 2,699,385 shares of Common Stock to ECR II LLC (“</w:t>
      </w:r>
      <w:r>
        <w:rPr>
          <w:rFonts w:ascii="Arial" w:cs="Arial" w:eastAsia="Arial" w:hAnsi="Arial"/>
          <w:sz w:val="18"/>
          <w:szCs w:val="18"/>
          <w:u w:val="single" w:color="auto"/>
          <w:color w:val="auto"/>
        </w:rPr>
        <w:t>ECR II</w:t>
      </w:r>
      <w:r>
        <w:rPr>
          <w:rFonts w:ascii="Arial" w:cs="Arial" w:eastAsia="Arial" w:hAnsi="Arial"/>
          <w:sz w:val="18"/>
          <w:szCs w:val="18"/>
          <w:color w:val="auto"/>
        </w:rPr>
        <w:t>”). Through a series of subsequent distributions, ECR II distributed 1,894,861 shares of Common Stock to AEOF ECR AIV A-B, L.P., representing 100% of the shares of Common Stock beneficially owned by AEOF ECR AIV A-B, L.P.</w:t>
      </w:r>
    </w:p>
    <w:p>
      <w:pPr>
        <w:spacing w:after="0" w:line="186" w:lineRule="exact"/>
        <w:rPr>
          <w:rFonts w:ascii="Arial" w:cs="Arial" w:eastAsia="Arial" w:hAnsi="Arial"/>
          <w:sz w:val="18"/>
          <w:szCs w:val="18"/>
          <w:color w:val="auto"/>
        </w:rPr>
      </w:pPr>
    </w:p>
    <w:p>
      <w:pPr>
        <w:ind w:right="20" w:firstLine="8"/>
        <w:spacing w:after="0" w:line="277" w:lineRule="auto"/>
        <w:tabs>
          <w:tab w:leader="none" w:pos="23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calculation of the percentage of outstanding shares of Common Stock is based on 83,319,721 shares of Common Stock outstanding as of October 27, 2020 as disclosed by the Issuer in the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-1142365</wp:posOffset>
            </wp:positionV>
            <wp:extent cx="655764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-1553845</wp:posOffset>
            </wp:positionV>
            <wp:extent cx="65576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-1965325</wp:posOffset>
            </wp:positionV>
            <wp:extent cx="655764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-2239645</wp:posOffset>
            </wp:positionV>
            <wp:extent cx="655764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-2651125</wp:posOffset>
            </wp:positionV>
            <wp:extent cx="605218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521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-996315</wp:posOffset>
            </wp:positionV>
            <wp:extent cx="17830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60" w:hanging="561"/>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AEOF ECR AIV C, L.P.</w:t>
      </w:r>
    </w:p>
    <w:p>
      <w:pPr>
        <w:spacing w:after="0" w:line="210" w:lineRule="exact"/>
        <w:rPr>
          <w:rFonts w:ascii="Arial" w:cs="Arial" w:eastAsia="Arial" w:hAnsi="Arial"/>
          <w:sz w:val="18"/>
          <w:szCs w:val="18"/>
          <w:color w:val="auto"/>
        </w:rPr>
      </w:pPr>
    </w:p>
    <w:p>
      <w:pPr>
        <w:ind w:left="960" w:hanging="561"/>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920" w:hanging="954"/>
        <w:spacing w:after="0" w:line="207" w:lineRule="exact"/>
        <w:tabs>
          <w:tab w:leader="none" w:pos="1920" w:val="left"/>
        </w:tabs>
        <w:numPr>
          <w:ilvl w:val="1"/>
          <w:numId w:val="1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920" w:hanging="954"/>
        <w:spacing w:after="0" w:line="207" w:lineRule="exact"/>
        <w:tabs>
          <w:tab w:leader="none" w:pos="1920" w:val="left"/>
        </w:tabs>
        <w:numPr>
          <w:ilvl w:val="1"/>
          <w:numId w:val="1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60" w:hanging="561"/>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60" w:hanging="561"/>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78" w:lineRule="exact"/>
        <w:rPr>
          <w:rFonts w:ascii="Arial" w:cs="Arial" w:eastAsia="Arial" w:hAnsi="Arial"/>
          <w:sz w:val="18"/>
          <w:szCs w:val="18"/>
          <w:color w:val="auto"/>
        </w:rPr>
      </w:pPr>
    </w:p>
    <w:p>
      <w:pPr>
        <w:ind w:left="960" w:hanging="561"/>
        <w:spacing w:after="0" w:line="207" w:lineRule="exact"/>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hanging="561"/>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-259080</wp:posOffset>
            </wp:positionV>
            <wp:extent cx="655764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-533400</wp:posOffset>
            </wp:positionV>
            <wp:extent cx="655764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-944880</wp:posOffset>
            </wp:positionV>
            <wp:extent cx="655764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-1219200</wp:posOffset>
            </wp:positionV>
            <wp:extent cx="598360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-1364615</wp:posOffset>
            </wp:positionV>
            <wp:extent cx="598360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-1776095</wp:posOffset>
            </wp:positionV>
            <wp:extent cx="655764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5715</wp:posOffset>
            </wp:positionV>
            <wp:extent cx="655764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9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804,524*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60" w:hanging="456"/>
        <w:spacing w:after="0"/>
        <w:tabs>
          <w:tab w:leader="none" w:pos="1760" w:val="left"/>
        </w:tabs>
        <w:numPr>
          <w:ilvl w:val="2"/>
          <w:numId w:val="19"/>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60"/>
        <w:spacing w:after="0"/>
        <w:rPr>
          <w:rFonts w:ascii="Arial" w:cs="Arial" w:eastAsia="Arial" w:hAnsi="Arial"/>
          <w:sz w:val="18"/>
          <w:szCs w:val="18"/>
          <w:color w:val="auto"/>
        </w:rPr>
      </w:pPr>
      <w:r>
        <w:rPr>
          <w:rFonts w:ascii="Arial" w:cs="Arial" w:eastAsia="Arial" w:hAnsi="Arial"/>
          <w:sz w:val="18"/>
          <w:szCs w:val="18"/>
          <w:color w:val="auto"/>
        </w:rPr>
        <w:t>804,524 (See Items 3, 4, 5 and 6)</w:t>
      </w:r>
    </w:p>
    <w:p>
      <w:pPr>
        <w:spacing w:after="0" w:line="210" w:lineRule="exact"/>
        <w:rPr>
          <w:rFonts w:ascii="Arial" w:cs="Arial" w:eastAsia="Arial" w:hAnsi="Arial"/>
          <w:sz w:val="18"/>
          <w:szCs w:val="18"/>
          <w:color w:val="auto"/>
        </w:rPr>
      </w:pPr>
    </w:p>
    <w:p>
      <w:pPr>
        <w:ind w:left="960" w:right="5480" w:hanging="561"/>
        <w:spacing w:after="0" w:line="277" w:lineRule="auto"/>
        <w:tabs>
          <w:tab w:leader="none" w:pos="9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804,524 (See Items 3, 4, 5 and 6)</w:t>
      </w:r>
    </w:p>
    <w:p>
      <w:pPr>
        <w:spacing w:after="0" w:line="137" w:lineRule="exact"/>
        <w:rPr>
          <w:rFonts w:ascii="Arial" w:cs="Arial" w:eastAsia="Arial" w:hAnsi="Arial"/>
          <w:sz w:val="18"/>
          <w:szCs w:val="18"/>
          <w:color w:val="auto"/>
        </w:rPr>
      </w:pPr>
    </w:p>
    <w:p>
      <w:pPr>
        <w:ind w:left="960" w:hanging="561"/>
        <w:spacing w:after="0" w:line="207" w:lineRule="exact"/>
        <w:tabs>
          <w:tab w:leader="none" w:pos="9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hanging="561"/>
        <w:spacing w:after="0"/>
        <w:tabs>
          <w:tab w:leader="none" w:pos="9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1.0%** (See Items 3, 4, 5 and 6)</w:t>
      </w:r>
    </w:p>
    <w:p>
      <w:pPr>
        <w:spacing w:after="0" w:line="210" w:lineRule="exact"/>
        <w:rPr>
          <w:rFonts w:ascii="Arial" w:cs="Arial" w:eastAsia="Arial" w:hAnsi="Arial"/>
          <w:sz w:val="18"/>
          <w:szCs w:val="18"/>
          <w:color w:val="auto"/>
        </w:rPr>
      </w:pPr>
    </w:p>
    <w:p>
      <w:pPr>
        <w:ind w:left="960" w:hanging="561"/>
        <w:spacing w:after="0"/>
        <w:tabs>
          <w:tab w:leader="none" w:pos="9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51" w:lineRule="exact"/>
        <w:rPr>
          <w:rFonts w:ascii="Arial" w:cs="Arial" w:eastAsia="Arial" w:hAnsi="Arial"/>
          <w:sz w:val="18"/>
          <w:szCs w:val="18"/>
          <w:color w:val="auto"/>
        </w:rPr>
      </w:pPr>
    </w:p>
    <w:p>
      <w:pPr>
        <w:jc w:val="both"/>
        <w:spacing w:after="0" w:line="259" w:lineRule="auto"/>
        <w:rPr>
          <w:rFonts w:ascii="Arial" w:cs="Arial" w:eastAsia="Arial" w:hAnsi="Arial"/>
          <w:sz w:val="18"/>
          <w:szCs w:val="18"/>
          <w:color w:val="auto"/>
        </w:rPr>
      </w:pPr>
      <w:r>
        <w:rPr>
          <w:rFonts w:ascii="Arial" w:cs="Arial" w:eastAsia="Arial" w:hAnsi="Arial"/>
          <w:sz w:val="18"/>
          <w:szCs w:val="18"/>
          <w:color w:val="auto"/>
        </w:rPr>
        <w:t>* Pursuant to, and in accordance with, the Plan and the Elk Hills Settlement Agreement, the Issuer issued 17,324,848 shares of Common Stock to ECR on the Effective Date. Immediately thereafter, ECR distributed an aggregate of 2,699,385 shares of Common Stock to ECR II. Through a series of subsequent distributions, ECR II distributed 804,524 shares of Common Stock to AEOF ECR AIV C, L.P., representing 100% of the shares of Common Stock beneficially owned by AEOF ECR AIV C, L.P.</w:t>
      </w:r>
    </w:p>
    <w:p>
      <w:pPr>
        <w:spacing w:after="0" w:line="186" w:lineRule="exact"/>
        <w:rPr>
          <w:rFonts w:ascii="Arial" w:cs="Arial" w:eastAsia="Arial" w:hAnsi="Arial"/>
          <w:sz w:val="18"/>
          <w:szCs w:val="18"/>
          <w:color w:val="auto"/>
        </w:rPr>
      </w:pPr>
    </w:p>
    <w:p>
      <w:pPr>
        <w:ind w:right="20" w:firstLine="8"/>
        <w:spacing w:after="0" w:line="277" w:lineRule="auto"/>
        <w:tabs>
          <w:tab w:leader="none" w:pos="23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calculation of the percentage of outstanding shares of Common Stock is based on 83,319,721 shares of Common Stock outstanding as of October 27, 2020 as disclosed by the Issuer in the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-1142365</wp:posOffset>
            </wp:positionV>
            <wp:extent cx="655764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-1553845</wp:posOffset>
            </wp:positionV>
            <wp:extent cx="655764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-1965325</wp:posOffset>
            </wp:positionV>
            <wp:extent cx="655764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-2239645</wp:posOffset>
            </wp:positionV>
            <wp:extent cx="655764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-2651125</wp:posOffset>
            </wp:positionV>
            <wp:extent cx="605218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521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-996315</wp:posOffset>
            </wp:positionV>
            <wp:extent cx="17830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60" w:right="8200" w:hanging="561"/>
        <w:spacing w:after="0" w:line="342" w:lineRule="auto"/>
        <w:tabs>
          <w:tab w:leader="none" w:pos="9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Names of Reporting Persons AF Energy Feeder, L.P.</w:t>
      </w:r>
    </w:p>
    <w:p>
      <w:pPr>
        <w:spacing w:after="0" w:line="123" w:lineRule="exact"/>
        <w:rPr>
          <w:rFonts w:ascii="Arial" w:cs="Arial" w:eastAsia="Arial" w:hAnsi="Arial"/>
          <w:sz w:val="16"/>
          <w:szCs w:val="16"/>
          <w:color w:val="auto"/>
        </w:rPr>
      </w:pPr>
    </w:p>
    <w:p>
      <w:pPr>
        <w:ind w:left="960" w:hanging="561"/>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920" w:hanging="954"/>
        <w:spacing w:after="0" w:line="207" w:lineRule="exact"/>
        <w:tabs>
          <w:tab w:leader="none" w:pos="1920" w:val="left"/>
        </w:tabs>
        <w:numPr>
          <w:ilvl w:val="1"/>
          <w:numId w:val="2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920" w:hanging="954"/>
        <w:spacing w:after="0" w:line="207" w:lineRule="exact"/>
        <w:tabs>
          <w:tab w:leader="none" w:pos="1920" w:val="left"/>
        </w:tabs>
        <w:numPr>
          <w:ilvl w:val="1"/>
          <w:numId w:val="2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60" w:hanging="561"/>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60" w:hanging="561"/>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78" w:lineRule="exact"/>
        <w:rPr>
          <w:rFonts w:ascii="Arial" w:cs="Arial" w:eastAsia="Arial" w:hAnsi="Arial"/>
          <w:sz w:val="18"/>
          <w:szCs w:val="18"/>
          <w:color w:val="auto"/>
        </w:rPr>
      </w:pPr>
    </w:p>
    <w:p>
      <w:pPr>
        <w:ind w:left="960" w:hanging="561"/>
        <w:spacing w:after="0" w:line="207" w:lineRule="exact"/>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hanging="561"/>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-259080</wp:posOffset>
            </wp:positionV>
            <wp:extent cx="655764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-533400</wp:posOffset>
            </wp:positionV>
            <wp:extent cx="655764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-944880</wp:posOffset>
            </wp:positionV>
            <wp:extent cx="655764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-1219200</wp:posOffset>
            </wp:positionV>
            <wp:extent cx="598360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-1364615</wp:posOffset>
            </wp:positionV>
            <wp:extent cx="598360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-1776095</wp:posOffset>
            </wp:positionV>
            <wp:extent cx="655764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5715</wp:posOffset>
            </wp:positionV>
            <wp:extent cx="655764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9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5,815,182*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60" w:hanging="456"/>
        <w:spacing w:after="0"/>
        <w:tabs>
          <w:tab w:leader="none" w:pos="1760" w:val="left"/>
        </w:tabs>
        <w:numPr>
          <w:ilvl w:val="2"/>
          <w:numId w:val="23"/>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60"/>
        <w:spacing w:after="0"/>
        <w:rPr>
          <w:rFonts w:ascii="Arial" w:cs="Arial" w:eastAsia="Arial" w:hAnsi="Arial"/>
          <w:sz w:val="18"/>
          <w:szCs w:val="18"/>
          <w:color w:val="auto"/>
        </w:rPr>
      </w:pPr>
      <w:r>
        <w:rPr>
          <w:rFonts w:ascii="Arial" w:cs="Arial" w:eastAsia="Arial" w:hAnsi="Arial"/>
          <w:sz w:val="18"/>
          <w:szCs w:val="18"/>
          <w:color w:val="auto"/>
        </w:rPr>
        <w:t>5,815,182 (See Items 3, 4, 5 and 6)</w:t>
      </w:r>
    </w:p>
    <w:p>
      <w:pPr>
        <w:spacing w:after="0" w:line="210" w:lineRule="exact"/>
        <w:rPr>
          <w:rFonts w:ascii="Arial" w:cs="Arial" w:eastAsia="Arial" w:hAnsi="Arial"/>
          <w:sz w:val="18"/>
          <w:szCs w:val="18"/>
          <w:color w:val="auto"/>
        </w:rPr>
      </w:pPr>
    </w:p>
    <w:p>
      <w:pPr>
        <w:ind w:left="960" w:right="5480" w:hanging="561"/>
        <w:spacing w:after="0" w:line="277" w:lineRule="auto"/>
        <w:tabs>
          <w:tab w:leader="none" w:pos="9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5,815,182 (See Items 3, 4, 5 and 6)</w:t>
      </w:r>
    </w:p>
    <w:p>
      <w:pPr>
        <w:spacing w:after="0" w:line="137" w:lineRule="exact"/>
        <w:rPr>
          <w:rFonts w:ascii="Arial" w:cs="Arial" w:eastAsia="Arial" w:hAnsi="Arial"/>
          <w:sz w:val="18"/>
          <w:szCs w:val="18"/>
          <w:color w:val="auto"/>
        </w:rPr>
      </w:pPr>
    </w:p>
    <w:p>
      <w:pPr>
        <w:ind w:left="960" w:hanging="561"/>
        <w:spacing w:after="0" w:line="207" w:lineRule="exact"/>
        <w:tabs>
          <w:tab w:leader="none" w:pos="9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hanging="561"/>
        <w:spacing w:after="0"/>
        <w:tabs>
          <w:tab w:leader="none" w:pos="9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7.0%** (See Items 3, 4, 5 and 6)</w:t>
      </w:r>
    </w:p>
    <w:p>
      <w:pPr>
        <w:spacing w:after="0" w:line="210" w:lineRule="exact"/>
        <w:rPr>
          <w:rFonts w:ascii="Arial" w:cs="Arial" w:eastAsia="Arial" w:hAnsi="Arial"/>
          <w:sz w:val="18"/>
          <w:szCs w:val="18"/>
          <w:color w:val="auto"/>
        </w:rPr>
      </w:pPr>
    </w:p>
    <w:p>
      <w:pPr>
        <w:ind w:left="960" w:hanging="561"/>
        <w:spacing w:after="0"/>
        <w:tabs>
          <w:tab w:leader="none" w:pos="9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51" w:lineRule="exact"/>
        <w:rPr>
          <w:rFonts w:ascii="Arial" w:cs="Arial" w:eastAsia="Arial" w:hAnsi="Arial"/>
          <w:sz w:val="18"/>
          <w:szCs w:val="18"/>
          <w:color w:val="auto"/>
        </w:rPr>
      </w:pPr>
    </w:p>
    <w:p>
      <w:pPr>
        <w:jc w:val="both"/>
        <w:spacing w:after="0" w:line="259" w:lineRule="auto"/>
        <w:rPr>
          <w:rFonts w:ascii="Arial" w:cs="Arial" w:eastAsia="Arial" w:hAnsi="Arial"/>
          <w:sz w:val="18"/>
          <w:szCs w:val="18"/>
          <w:color w:val="auto"/>
        </w:rPr>
      </w:pPr>
      <w:r>
        <w:rPr>
          <w:rFonts w:ascii="Arial" w:cs="Arial" w:eastAsia="Arial" w:hAnsi="Arial"/>
          <w:sz w:val="18"/>
          <w:szCs w:val="18"/>
          <w:color w:val="auto"/>
        </w:rPr>
        <w:t>* Pursuant to, and in accordance with, the Plan and the Elk Hills Settlement Agreement, the Issuer issued 17,324,848 shares of Common Stock to ECR on the Effective Date. Immediately thereafter, ECR distributed an aggregate of 12,465,956 shares of Common Stock to ECR I. Through a series of subsequent distributions, ECR I distributed 5,815,182 shares of Common Stock to AF Energy Feeder, L.P., representing 100% of the shares of Common Stock beneficially owned by AF Energy Feeder, L.P.</w:t>
      </w:r>
    </w:p>
    <w:p>
      <w:pPr>
        <w:spacing w:after="0" w:line="186" w:lineRule="exact"/>
        <w:rPr>
          <w:rFonts w:ascii="Arial" w:cs="Arial" w:eastAsia="Arial" w:hAnsi="Arial"/>
          <w:sz w:val="18"/>
          <w:szCs w:val="18"/>
          <w:color w:val="auto"/>
        </w:rPr>
      </w:pPr>
    </w:p>
    <w:p>
      <w:pPr>
        <w:ind w:right="20" w:firstLine="8"/>
        <w:spacing w:after="0" w:line="277" w:lineRule="auto"/>
        <w:tabs>
          <w:tab w:leader="none" w:pos="23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calculation of the percentage of outstanding shares of Common Stock is based on 83,319,721 shares of Common Stock outstanding as of October 27, 2020 as disclosed by the Issuer in the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-1142365</wp:posOffset>
            </wp:positionV>
            <wp:extent cx="655764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-1553845</wp:posOffset>
            </wp:positionV>
            <wp:extent cx="655764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-1965325</wp:posOffset>
            </wp:positionV>
            <wp:extent cx="655764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-2239645</wp:posOffset>
            </wp:positionV>
            <wp:extent cx="655764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-2651125</wp:posOffset>
            </wp:positionV>
            <wp:extent cx="605218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521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-996315</wp:posOffset>
            </wp:positionV>
            <wp:extent cx="17830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60" w:hanging="561"/>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ACOF Investment Management LLC</w:t>
      </w:r>
    </w:p>
    <w:p>
      <w:pPr>
        <w:spacing w:after="0" w:line="210" w:lineRule="exact"/>
        <w:rPr>
          <w:rFonts w:ascii="Arial" w:cs="Arial" w:eastAsia="Arial" w:hAnsi="Arial"/>
          <w:sz w:val="18"/>
          <w:szCs w:val="18"/>
          <w:color w:val="auto"/>
        </w:rPr>
      </w:pPr>
    </w:p>
    <w:p>
      <w:pPr>
        <w:ind w:left="960" w:hanging="561"/>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920" w:hanging="954"/>
        <w:spacing w:after="0" w:line="207" w:lineRule="exact"/>
        <w:tabs>
          <w:tab w:leader="none" w:pos="1920" w:val="left"/>
        </w:tabs>
        <w:numPr>
          <w:ilvl w:val="1"/>
          <w:numId w:val="2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920" w:hanging="954"/>
        <w:spacing w:after="0" w:line="207" w:lineRule="exact"/>
        <w:tabs>
          <w:tab w:leader="none" w:pos="1920" w:val="left"/>
        </w:tabs>
        <w:numPr>
          <w:ilvl w:val="1"/>
          <w:numId w:val="2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60" w:hanging="561"/>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60" w:hanging="561"/>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78" w:lineRule="exact"/>
        <w:rPr>
          <w:rFonts w:ascii="Arial" w:cs="Arial" w:eastAsia="Arial" w:hAnsi="Arial"/>
          <w:sz w:val="18"/>
          <w:szCs w:val="18"/>
          <w:color w:val="auto"/>
        </w:rPr>
      </w:pPr>
    </w:p>
    <w:p>
      <w:pPr>
        <w:ind w:left="960" w:hanging="561"/>
        <w:spacing w:after="0" w:line="207" w:lineRule="exact"/>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hanging="561"/>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-259080</wp:posOffset>
            </wp:positionV>
            <wp:extent cx="655764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-533400</wp:posOffset>
            </wp:positionV>
            <wp:extent cx="655764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-944880</wp:posOffset>
            </wp:positionV>
            <wp:extent cx="655764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-1219200</wp:posOffset>
            </wp:positionV>
            <wp:extent cx="598360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-1364615</wp:posOffset>
            </wp:positionV>
            <wp:extent cx="598360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-1776095</wp:posOffset>
            </wp:positionV>
            <wp:extent cx="655764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5715</wp:posOffset>
            </wp:positionV>
            <wp:extent cx="655764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9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15,165,341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60" w:hanging="456"/>
        <w:spacing w:after="0"/>
        <w:tabs>
          <w:tab w:leader="none" w:pos="1760" w:val="left"/>
        </w:tabs>
        <w:numPr>
          <w:ilvl w:val="2"/>
          <w:numId w:val="27"/>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60"/>
        <w:spacing w:after="0"/>
        <w:rPr>
          <w:rFonts w:ascii="Arial" w:cs="Arial" w:eastAsia="Arial" w:hAnsi="Arial"/>
          <w:sz w:val="18"/>
          <w:szCs w:val="18"/>
          <w:color w:val="auto"/>
        </w:rPr>
      </w:pPr>
      <w:r>
        <w:rPr>
          <w:rFonts w:ascii="Arial" w:cs="Arial" w:eastAsia="Arial" w:hAnsi="Arial"/>
          <w:sz w:val="18"/>
          <w:szCs w:val="18"/>
          <w:color w:val="auto"/>
        </w:rPr>
        <w:t>15,165,341 (See Items 3, 4, 5 and 6)</w:t>
      </w:r>
    </w:p>
    <w:p>
      <w:pPr>
        <w:spacing w:after="0" w:line="210" w:lineRule="exact"/>
        <w:rPr>
          <w:rFonts w:ascii="Arial" w:cs="Arial" w:eastAsia="Arial" w:hAnsi="Arial"/>
          <w:sz w:val="18"/>
          <w:szCs w:val="18"/>
          <w:color w:val="auto"/>
        </w:rPr>
      </w:pPr>
    </w:p>
    <w:p>
      <w:pPr>
        <w:ind w:left="960" w:right="5480" w:hanging="561"/>
        <w:spacing w:after="0" w:line="277" w:lineRule="auto"/>
        <w:tabs>
          <w:tab w:leader="none" w:pos="9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15,165,341 (See Items 3, 4, 5 and 6)</w:t>
      </w:r>
    </w:p>
    <w:p>
      <w:pPr>
        <w:spacing w:after="0" w:line="137" w:lineRule="exact"/>
        <w:rPr>
          <w:rFonts w:ascii="Arial" w:cs="Arial" w:eastAsia="Arial" w:hAnsi="Arial"/>
          <w:sz w:val="18"/>
          <w:szCs w:val="18"/>
          <w:color w:val="auto"/>
        </w:rPr>
      </w:pPr>
    </w:p>
    <w:p>
      <w:pPr>
        <w:ind w:left="960" w:hanging="561"/>
        <w:spacing w:after="0" w:line="207" w:lineRule="exact"/>
        <w:tabs>
          <w:tab w:leader="none" w:pos="9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hanging="561"/>
        <w:spacing w:after="0"/>
        <w:tabs>
          <w:tab w:leader="none" w:pos="9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18.2%* (See Items 3, 4, 5 and 6)</w:t>
      </w:r>
    </w:p>
    <w:p>
      <w:pPr>
        <w:spacing w:after="0" w:line="210" w:lineRule="exact"/>
        <w:rPr>
          <w:rFonts w:ascii="Arial" w:cs="Arial" w:eastAsia="Arial" w:hAnsi="Arial"/>
          <w:sz w:val="18"/>
          <w:szCs w:val="18"/>
          <w:color w:val="auto"/>
        </w:rPr>
      </w:pPr>
    </w:p>
    <w:p>
      <w:pPr>
        <w:ind w:left="960" w:hanging="561"/>
        <w:spacing w:after="0"/>
        <w:tabs>
          <w:tab w:leader="none" w:pos="9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51" w:lineRule="exact"/>
        <w:rPr>
          <w:rFonts w:ascii="Arial" w:cs="Arial" w:eastAsia="Arial" w:hAnsi="Arial"/>
          <w:sz w:val="18"/>
          <w:szCs w:val="18"/>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of Common Stock is based on 83,319,721 shares of Common Stock outstanding as of October 27, 2020 as disclosed by the Issuer in the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-456565</wp:posOffset>
            </wp:positionV>
            <wp:extent cx="655764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-868045</wp:posOffset>
            </wp:positionV>
            <wp:extent cx="655764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-1279525</wp:posOffset>
            </wp:positionV>
            <wp:extent cx="655764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-1553845</wp:posOffset>
            </wp:positionV>
            <wp:extent cx="655764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-1965325</wp:posOffset>
            </wp:positionV>
            <wp:extent cx="605218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521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-310515</wp:posOffset>
            </wp:positionV>
            <wp:extent cx="17830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60" w:right="8080" w:hanging="561"/>
        <w:spacing w:after="0" w:line="308" w:lineRule="auto"/>
        <w:tabs>
          <w:tab w:leader="none" w:pos="9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Names of Reporting Persons SSF IV Energy I AIV 1A, L.P.</w:t>
      </w:r>
    </w:p>
    <w:p>
      <w:pPr>
        <w:spacing w:after="0" w:line="146" w:lineRule="exact"/>
        <w:rPr>
          <w:rFonts w:ascii="Arial" w:cs="Arial" w:eastAsia="Arial" w:hAnsi="Arial"/>
          <w:sz w:val="17"/>
          <w:szCs w:val="17"/>
          <w:color w:val="auto"/>
        </w:rPr>
      </w:pPr>
    </w:p>
    <w:p>
      <w:pPr>
        <w:ind w:left="960" w:hanging="561"/>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920" w:hanging="954"/>
        <w:spacing w:after="0" w:line="207" w:lineRule="exact"/>
        <w:tabs>
          <w:tab w:leader="none" w:pos="1920" w:val="left"/>
        </w:tabs>
        <w:numPr>
          <w:ilvl w:val="1"/>
          <w:numId w:val="2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920" w:hanging="954"/>
        <w:spacing w:after="0" w:line="207" w:lineRule="exact"/>
        <w:tabs>
          <w:tab w:leader="none" w:pos="1920" w:val="left"/>
        </w:tabs>
        <w:numPr>
          <w:ilvl w:val="1"/>
          <w:numId w:val="2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60" w:hanging="561"/>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60" w:hanging="561"/>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78" w:lineRule="exact"/>
        <w:rPr>
          <w:rFonts w:ascii="Arial" w:cs="Arial" w:eastAsia="Arial" w:hAnsi="Arial"/>
          <w:sz w:val="18"/>
          <w:szCs w:val="18"/>
          <w:color w:val="auto"/>
        </w:rPr>
      </w:pPr>
    </w:p>
    <w:p>
      <w:pPr>
        <w:ind w:left="960" w:hanging="561"/>
        <w:spacing w:after="0" w:line="207" w:lineRule="exact"/>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hanging="561"/>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-259080</wp:posOffset>
            </wp:positionV>
            <wp:extent cx="655764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-533400</wp:posOffset>
            </wp:positionV>
            <wp:extent cx="655764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-944880</wp:posOffset>
            </wp:positionV>
            <wp:extent cx="655764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-1219200</wp:posOffset>
            </wp:positionV>
            <wp:extent cx="598360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-1364615</wp:posOffset>
            </wp:positionV>
            <wp:extent cx="598360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-1776095</wp:posOffset>
            </wp:positionV>
            <wp:extent cx="655764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5715</wp:posOffset>
            </wp:positionV>
            <wp:extent cx="655764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9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645,985*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60" w:hanging="456"/>
        <w:spacing w:after="0"/>
        <w:tabs>
          <w:tab w:leader="none" w:pos="1760" w:val="left"/>
        </w:tabs>
        <w:numPr>
          <w:ilvl w:val="2"/>
          <w:numId w:val="30"/>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60"/>
        <w:spacing w:after="0"/>
        <w:rPr>
          <w:rFonts w:ascii="Arial" w:cs="Arial" w:eastAsia="Arial" w:hAnsi="Arial"/>
          <w:sz w:val="18"/>
          <w:szCs w:val="18"/>
          <w:color w:val="auto"/>
        </w:rPr>
      </w:pPr>
      <w:r>
        <w:rPr>
          <w:rFonts w:ascii="Arial" w:cs="Arial" w:eastAsia="Arial" w:hAnsi="Arial"/>
          <w:sz w:val="18"/>
          <w:szCs w:val="18"/>
          <w:color w:val="auto"/>
        </w:rPr>
        <w:t>645,985 (See Items 3, 4, 5 and 6)</w:t>
      </w:r>
    </w:p>
    <w:p>
      <w:pPr>
        <w:spacing w:after="0" w:line="210" w:lineRule="exact"/>
        <w:rPr>
          <w:rFonts w:ascii="Arial" w:cs="Arial" w:eastAsia="Arial" w:hAnsi="Arial"/>
          <w:sz w:val="18"/>
          <w:szCs w:val="18"/>
          <w:color w:val="auto"/>
        </w:rPr>
      </w:pPr>
    </w:p>
    <w:p>
      <w:pPr>
        <w:ind w:left="960" w:right="5480" w:hanging="561"/>
        <w:spacing w:after="0" w:line="277" w:lineRule="auto"/>
        <w:tabs>
          <w:tab w:leader="none" w:pos="9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645,985 (See Items 3, 4, 5 and 6)</w:t>
      </w:r>
    </w:p>
    <w:p>
      <w:pPr>
        <w:spacing w:after="0" w:line="137" w:lineRule="exact"/>
        <w:rPr>
          <w:rFonts w:ascii="Arial" w:cs="Arial" w:eastAsia="Arial" w:hAnsi="Arial"/>
          <w:sz w:val="18"/>
          <w:szCs w:val="18"/>
          <w:color w:val="auto"/>
        </w:rPr>
      </w:pPr>
    </w:p>
    <w:p>
      <w:pPr>
        <w:ind w:left="960" w:hanging="561"/>
        <w:spacing w:after="0" w:line="207" w:lineRule="exact"/>
        <w:tabs>
          <w:tab w:leader="none" w:pos="9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hanging="561"/>
        <w:spacing w:after="0"/>
        <w:tabs>
          <w:tab w:leader="none" w:pos="9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0.8%** (See Items 3, 4, 5 and 6)</w:t>
      </w:r>
    </w:p>
    <w:p>
      <w:pPr>
        <w:spacing w:after="0" w:line="210" w:lineRule="exact"/>
        <w:rPr>
          <w:rFonts w:ascii="Arial" w:cs="Arial" w:eastAsia="Arial" w:hAnsi="Arial"/>
          <w:sz w:val="18"/>
          <w:szCs w:val="18"/>
          <w:color w:val="auto"/>
        </w:rPr>
      </w:pPr>
    </w:p>
    <w:p>
      <w:pPr>
        <w:ind w:left="960" w:hanging="561"/>
        <w:spacing w:after="0"/>
        <w:tabs>
          <w:tab w:leader="none" w:pos="9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51" w:lineRule="exact"/>
        <w:rPr>
          <w:rFonts w:ascii="Arial" w:cs="Arial" w:eastAsia="Arial" w:hAnsi="Arial"/>
          <w:sz w:val="18"/>
          <w:szCs w:val="18"/>
          <w:color w:val="auto"/>
        </w:rPr>
      </w:pPr>
    </w:p>
    <w:p>
      <w:pPr>
        <w:jc w:val="both"/>
        <w:spacing w:after="0" w:line="259" w:lineRule="auto"/>
        <w:rPr>
          <w:rFonts w:ascii="Arial" w:cs="Arial" w:eastAsia="Arial" w:hAnsi="Arial"/>
          <w:sz w:val="18"/>
          <w:szCs w:val="18"/>
          <w:color w:val="auto"/>
        </w:rPr>
      </w:pPr>
      <w:r>
        <w:rPr>
          <w:rFonts w:ascii="Arial" w:cs="Arial" w:eastAsia="Arial" w:hAnsi="Arial"/>
          <w:sz w:val="18"/>
          <w:szCs w:val="18"/>
          <w:color w:val="auto"/>
        </w:rPr>
        <w:t>* Pursuant to, and in accordance with, the Plan and the Elk Hills Settlement Agreement, the Issuer issued 17,324,848 shares of Common Stock to ECR on the Effective Date. Immediately thereafter, ECR distributed an aggregate of 1,221,911 shares of Common Stock to SSF IV Energy I AIV 1, L.P. (“</w:t>
      </w:r>
      <w:r>
        <w:rPr>
          <w:rFonts w:ascii="Arial" w:cs="Arial" w:eastAsia="Arial" w:hAnsi="Arial"/>
          <w:sz w:val="18"/>
          <w:szCs w:val="18"/>
          <w:u w:val="single" w:color="auto"/>
          <w:color w:val="auto"/>
        </w:rPr>
        <w:t>SSF AIV</w:t>
      </w:r>
      <w:r>
        <w:rPr>
          <w:rFonts w:ascii="Arial" w:cs="Arial" w:eastAsia="Arial" w:hAnsi="Arial"/>
          <w:sz w:val="18"/>
          <w:szCs w:val="18"/>
          <w:color w:val="auto"/>
        </w:rPr>
        <w:t xml:space="preserve"> </w:t>
      </w:r>
      <w:r>
        <w:rPr>
          <w:rFonts w:ascii="Arial" w:cs="Arial" w:eastAsia="Arial" w:hAnsi="Arial"/>
          <w:sz w:val="18"/>
          <w:szCs w:val="18"/>
          <w:u w:val="single" w:color="auto"/>
          <w:color w:val="auto"/>
        </w:rPr>
        <w:t>1</w:t>
      </w:r>
      <w:r>
        <w:rPr>
          <w:rFonts w:ascii="Arial" w:cs="Arial" w:eastAsia="Arial" w:hAnsi="Arial"/>
          <w:sz w:val="18"/>
          <w:szCs w:val="18"/>
          <w:color w:val="auto"/>
        </w:rPr>
        <w:t>”). Through a series of subsequent distributions, SSF AIV 1 distributed 645,985 shares of Common Stock to SSF IV Energy I AIV 1A, L.P., representing 100% of the shares of Common Stock beneficially owned by SSF IV Energy I AIV 1A, L.P.</w:t>
      </w:r>
    </w:p>
    <w:p>
      <w:pPr>
        <w:spacing w:after="0" w:line="186" w:lineRule="exact"/>
        <w:rPr>
          <w:rFonts w:ascii="Arial" w:cs="Arial" w:eastAsia="Arial" w:hAnsi="Arial"/>
          <w:sz w:val="18"/>
          <w:szCs w:val="18"/>
          <w:color w:val="auto"/>
        </w:rPr>
      </w:pPr>
    </w:p>
    <w:p>
      <w:pPr>
        <w:ind w:right="20" w:firstLine="8"/>
        <w:spacing w:after="0" w:line="277" w:lineRule="auto"/>
        <w:tabs>
          <w:tab w:leader="none" w:pos="23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calculation of the percentage of outstanding shares of Common Stock is based on 83,319,721 shares of Common Stock outstanding as of October 27, 2020 as disclosed by the Issuer in the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-1142365</wp:posOffset>
            </wp:positionV>
            <wp:extent cx="655764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-1553845</wp:posOffset>
            </wp:positionV>
            <wp:extent cx="655764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-1965325</wp:posOffset>
            </wp:positionV>
            <wp:extent cx="655764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-2239645</wp:posOffset>
            </wp:positionV>
            <wp:extent cx="655764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-2651125</wp:posOffset>
            </wp:positionV>
            <wp:extent cx="605218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521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-996315</wp:posOffset>
            </wp:positionV>
            <wp:extent cx="17830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0"/>
          <w:szCs w:val="20"/>
          <w:color w:val="auto"/>
        </w:rPr>
      </w:pPr>
    </w:p>
    <w:p>
      <w:pPr>
        <w:ind w:left="960" w:right="8080" w:hanging="561"/>
        <w:spacing w:after="0" w:line="308" w:lineRule="auto"/>
        <w:tabs>
          <w:tab w:leader="none" w:pos="9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Names of Reporting Persons SSF IV Energy I AIV 1B, L.P.</w:t>
      </w:r>
    </w:p>
    <w:p>
      <w:pPr>
        <w:spacing w:after="0" w:line="146" w:lineRule="exact"/>
        <w:rPr>
          <w:rFonts w:ascii="Arial" w:cs="Arial" w:eastAsia="Arial" w:hAnsi="Arial"/>
          <w:sz w:val="17"/>
          <w:szCs w:val="17"/>
          <w:color w:val="auto"/>
        </w:rPr>
      </w:pPr>
    </w:p>
    <w:p>
      <w:pPr>
        <w:ind w:left="960" w:hanging="561"/>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920" w:hanging="954"/>
        <w:spacing w:after="0" w:line="207" w:lineRule="exact"/>
        <w:tabs>
          <w:tab w:leader="none" w:pos="1920" w:val="left"/>
        </w:tabs>
        <w:numPr>
          <w:ilvl w:val="1"/>
          <w:numId w:val="3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920" w:hanging="954"/>
        <w:spacing w:after="0" w:line="207" w:lineRule="exact"/>
        <w:tabs>
          <w:tab w:leader="none" w:pos="1920" w:val="left"/>
        </w:tabs>
        <w:numPr>
          <w:ilvl w:val="1"/>
          <w:numId w:val="3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60" w:hanging="561"/>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60" w:hanging="561"/>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78" w:lineRule="exact"/>
        <w:rPr>
          <w:rFonts w:ascii="Arial" w:cs="Arial" w:eastAsia="Arial" w:hAnsi="Arial"/>
          <w:sz w:val="18"/>
          <w:szCs w:val="18"/>
          <w:color w:val="auto"/>
        </w:rPr>
      </w:pPr>
    </w:p>
    <w:p>
      <w:pPr>
        <w:ind w:left="960" w:hanging="561"/>
        <w:spacing w:after="0" w:line="207" w:lineRule="exact"/>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hanging="561"/>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-259080</wp:posOffset>
            </wp:positionV>
            <wp:extent cx="655764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-533400</wp:posOffset>
            </wp:positionV>
            <wp:extent cx="655764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-944880</wp:posOffset>
            </wp:positionV>
            <wp:extent cx="655764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-1219200</wp:posOffset>
            </wp:positionV>
            <wp:extent cx="598360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-1364615</wp:posOffset>
            </wp:positionV>
            <wp:extent cx="598360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-1776095</wp:posOffset>
            </wp:positionV>
            <wp:extent cx="655764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5715</wp:posOffset>
            </wp:positionV>
            <wp:extent cx="655764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9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575,926*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60" w:hanging="456"/>
        <w:spacing w:after="0"/>
        <w:tabs>
          <w:tab w:leader="none" w:pos="1760" w:val="left"/>
        </w:tabs>
        <w:numPr>
          <w:ilvl w:val="2"/>
          <w:numId w:val="34"/>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60"/>
        <w:spacing w:after="0"/>
        <w:rPr>
          <w:rFonts w:ascii="Arial" w:cs="Arial" w:eastAsia="Arial" w:hAnsi="Arial"/>
          <w:sz w:val="18"/>
          <w:szCs w:val="18"/>
          <w:color w:val="auto"/>
        </w:rPr>
      </w:pPr>
      <w:r>
        <w:rPr>
          <w:rFonts w:ascii="Arial" w:cs="Arial" w:eastAsia="Arial" w:hAnsi="Arial"/>
          <w:sz w:val="18"/>
          <w:szCs w:val="18"/>
          <w:color w:val="auto"/>
        </w:rPr>
        <w:t>575,926 (See Items 3, 4, 5 and 6)</w:t>
      </w:r>
    </w:p>
    <w:p>
      <w:pPr>
        <w:spacing w:after="0" w:line="210" w:lineRule="exact"/>
        <w:rPr>
          <w:rFonts w:ascii="Arial" w:cs="Arial" w:eastAsia="Arial" w:hAnsi="Arial"/>
          <w:sz w:val="18"/>
          <w:szCs w:val="18"/>
          <w:color w:val="auto"/>
        </w:rPr>
      </w:pPr>
    </w:p>
    <w:p>
      <w:pPr>
        <w:ind w:left="960" w:right="5480" w:hanging="561"/>
        <w:spacing w:after="0" w:line="277" w:lineRule="auto"/>
        <w:tabs>
          <w:tab w:leader="none" w:pos="9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575,926 (See Items 3, 4, 5 and 6)</w:t>
      </w:r>
    </w:p>
    <w:p>
      <w:pPr>
        <w:spacing w:after="0" w:line="137" w:lineRule="exact"/>
        <w:rPr>
          <w:rFonts w:ascii="Arial" w:cs="Arial" w:eastAsia="Arial" w:hAnsi="Arial"/>
          <w:sz w:val="18"/>
          <w:szCs w:val="18"/>
          <w:color w:val="auto"/>
        </w:rPr>
      </w:pPr>
    </w:p>
    <w:p>
      <w:pPr>
        <w:ind w:left="960" w:hanging="561"/>
        <w:spacing w:after="0" w:line="207" w:lineRule="exact"/>
        <w:tabs>
          <w:tab w:leader="none" w:pos="9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hanging="561"/>
        <w:spacing w:after="0"/>
        <w:tabs>
          <w:tab w:leader="none" w:pos="9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0.7%** (See Items 3, 4, 5 and 6)</w:t>
      </w:r>
    </w:p>
    <w:p>
      <w:pPr>
        <w:spacing w:after="0" w:line="210" w:lineRule="exact"/>
        <w:rPr>
          <w:rFonts w:ascii="Arial" w:cs="Arial" w:eastAsia="Arial" w:hAnsi="Arial"/>
          <w:sz w:val="18"/>
          <w:szCs w:val="18"/>
          <w:color w:val="auto"/>
        </w:rPr>
      </w:pPr>
    </w:p>
    <w:p>
      <w:pPr>
        <w:ind w:left="960" w:hanging="561"/>
        <w:spacing w:after="0"/>
        <w:tabs>
          <w:tab w:leader="none" w:pos="9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51" w:lineRule="exact"/>
        <w:rPr>
          <w:rFonts w:ascii="Arial" w:cs="Arial" w:eastAsia="Arial" w:hAnsi="Arial"/>
          <w:sz w:val="18"/>
          <w:szCs w:val="18"/>
          <w:color w:val="auto"/>
        </w:rPr>
      </w:pPr>
    </w:p>
    <w:p>
      <w:pPr>
        <w:jc w:val="both"/>
        <w:spacing w:after="0" w:line="259" w:lineRule="auto"/>
        <w:rPr>
          <w:rFonts w:ascii="Arial" w:cs="Arial" w:eastAsia="Arial" w:hAnsi="Arial"/>
          <w:sz w:val="18"/>
          <w:szCs w:val="18"/>
          <w:color w:val="auto"/>
        </w:rPr>
      </w:pPr>
      <w:r>
        <w:rPr>
          <w:rFonts w:ascii="Arial" w:cs="Arial" w:eastAsia="Arial" w:hAnsi="Arial"/>
          <w:sz w:val="18"/>
          <w:szCs w:val="18"/>
          <w:color w:val="auto"/>
        </w:rPr>
        <w:t>* Pursuant to, and in accordance with, the Plan and the Elk Hills Settlement Agreement, the Issuer issued 17,324,848 shares of Common Stock to ECR on the Effective Date. Immediately thereafter, ECR distributed an aggregate of 1,221,911 shares of Common Stock to SSF AIV 1. Through a series of subsequent distributions, SSF AIV 1 distributed 575,926 shares of Common Stock to SSF IV Energy I AIV 1B, L.P., representing 100% of the shares of Common Stock beneficially owned by SSF IV Energy I AIV 1B, L.P.</w:t>
      </w:r>
    </w:p>
    <w:p>
      <w:pPr>
        <w:spacing w:after="0" w:line="186" w:lineRule="exact"/>
        <w:rPr>
          <w:rFonts w:ascii="Arial" w:cs="Arial" w:eastAsia="Arial" w:hAnsi="Arial"/>
          <w:sz w:val="18"/>
          <w:szCs w:val="18"/>
          <w:color w:val="auto"/>
        </w:rPr>
      </w:pPr>
    </w:p>
    <w:p>
      <w:pPr>
        <w:ind w:right="20" w:firstLine="8"/>
        <w:spacing w:after="0" w:line="277" w:lineRule="auto"/>
        <w:tabs>
          <w:tab w:leader="none" w:pos="234"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calculation of the percentage of outstanding shares of Common Stock is based on 83,319,721 shares of Common Stock outstanding as of October 27, 2020 as disclosed by the Issuer in the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-1142365</wp:posOffset>
            </wp:positionV>
            <wp:extent cx="655764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-1553845</wp:posOffset>
            </wp:positionV>
            <wp:extent cx="655764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-1965325</wp:posOffset>
            </wp:positionV>
            <wp:extent cx="655764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-2239645</wp:posOffset>
            </wp:positionV>
            <wp:extent cx="655764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-2651125</wp:posOffset>
            </wp:positionV>
            <wp:extent cx="605218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521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-996315</wp:posOffset>
            </wp:positionV>
            <wp:extent cx="17830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jc w:val="both"/>
        <w:ind w:left="960" w:right="8200" w:hanging="561"/>
        <w:spacing w:after="0" w:line="342" w:lineRule="auto"/>
        <w:tabs>
          <w:tab w:leader="none" w:pos="9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Names of Reporting Persons SSF IV Energy I AIV 2, L.P.</w:t>
      </w:r>
    </w:p>
    <w:p>
      <w:pPr>
        <w:spacing w:after="0" w:line="123" w:lineRule="exact"/>
        <w:rPr>
          <w:rFonts w:ascii="Arial" w:cs="Arial" w:eastAsia="Arial" w:hAnsi="Arial"/>
          <w:sz w:val="16"/>
          <w:szCs w:val="16"/>
          <w:color w:val="auto"/>
        </w:rPr>
      </w:pPr>
    </w:p>
    <w:p>
      <w:pPr>
        <w:ind w:left="960" w:hanging="561"/>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920" w:hanging="954"/>
        <w:spacing w:after="0" w:line="207" w:lineRule="exact"/>
        <w:tabs>
          <w:tab w:leader="none" w:pos="1920" w:val="left"/>
        </w:tabs>
        <w:numPr>
          <w:ilvl w:val="1"/>
          <w:numId w:val="3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920" w:hanging="954"/>
        <w:spacing w:after="0" w:line="207" w:lineRule="exact"/>
        <w:tabs>
          <w:tab w:leader="none" w:pos="1920" w:val="left"/>
        </w:tabs>
        <w:numPr>
          <w:ilvl w:val="1"/>
          <w:numId w:val="3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60" w:hanging="561"/>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60" w:hanging="561"/>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78" w:lineRule="exact"/>
        <w:rPr>
          <w:rFonts w:ascii="Arial" w:cs="Arial" w:eastAsia="Arial" w:hAnsi="Arial"/>
          <w:sz w:val="18"/>
          <w:szCs w:val="18"/>
          <w:color w:val="auto"/>
        </w:rPr>
      </w:pPr>
    </w:p>
    <w:p>
      <w:pPr>
        <w:ind w:left="960" w:hanging="561"/>
        <w:spacing w:after="0" w:line="207" w:lineRule="exact"/>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hanging="561"/>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-259080</wp:posOffset>
            </wp:positionV>
            <wp:extent cx="655764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-533400</wp:posOffset>
            </wp:positionV>
            <wp:extent cx="655764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-944880</wp:posOffset>
            </wp:positionV>
            <wp:extent cx="655764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-1219200</wp:posOffset>
            </wp:positionV>
            <wp:extent cx="598360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-1364615</wp:posOffset>
            </wp:positionV>
            <wp:extent cx="598360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-1776095</wp:posOffset>
            </wp:positionV>
            <wp:extent cx="655764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5715</wp:posOffset>
            </wp:positionV>
            <wp:extent cx="655764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9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937,596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60" w:hanging="456"/>
        <w:spacing w:after="0"/>
        <w:tabs>
          <w:tab w:leader="none" w:pos="1760" w:val="left"/>
        </w:tabs>
        <w:numPr>
          <w:ilvl w:val="2"/>
          <w:numId w:val="38"/>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60"/>
        <w:spacing w:after="0"/>
        <w:rPr>
          <w:rFonts w:ascii="Arial" w:cs="Arial" w:eastAsia="Arial" w:hAnsi="Arial"/>
          <w:sz w:val="18"/>
          <w:szCs w:val="18"/>
          <w:color w:val="auto"/>
        </w:rPr>
      </w:pPr>
      <w:r>
        <w:rPr>
          <w:rFonts w:ascii="Arial" w:cs="Arial" w:eastAsia="Arial" w:hAnsi="Arial"/>
          <w:sz w:val="18"/>
          <w:szCs w:val="18"/>
          <w:color w:val="auto"/>
        </w:rPr>
        <w:t>937,596 (See Items 3, 4, 5 and 6)</w:t>
      </w:r>
    </w:p>
    <w:p>
      <w:pPr>
        <w:spacing w:after="0" w:line="210" w:lineRule="exact"/>
        <w:rPr>
          <w:rFonts w:ascii="Arial" w:cs="Arial" w:eastAsia="Arial" w:hAnsi="Arial"/>
          <w:sz w:val="18"/>
          <w:szCs w:val="18"/>
          <w:color w:val="auto"/>
        </w:rPr>
      </w:pPr>
    </w:p>
    <w:p>
      <w:pPr>
        <w:ind w:left="960" w:right="5480" w:hanging="561"/>
        <w:spacing w:after="0" w:line="277" w:lineRule="auto"/>
        <w:tabs>
          <w:tab w:leader="none" w:pos="9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937,596 (See Items 3, 4, 5 and 6)</w:t>
      </w:r>
    </w:p>
    <w:p>
      <w:pPr>
        <w:spacing w:after="0" w:line="137" w:lineRule="exact"/>
        <w:rPr>
          <w:rFonts w:ascii="Arial" w:cs="Arial" w:eastAsia="Arial" w:hAnsi="Arial"/>
          <w:sz w:val="18"/>
          <w:szCs w:val="18"/>
          <w:color w:val="auto"/>
        </w:rPr>
      </w:pPr>
    </w:p>
    <w:p>
      <w:pPr>
        <w:ind w:left="960" w:hanging="561"/>
        <w:spacing w:after="0" w:line="207" w:lineRule="exact"/>
        <w:tabs>
          <w:tab w:leader="none" w:pos="9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hanging="561"/>
        <w:spacing w:after="0"/>
        <w:tabs>
          <w:tab w:leader="none" w:pos="9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1.1%** (See Items 3, 4, 5 and 6)</w:t>
      </w:r>
    </w:p>
    <w:p>
      <w:pPr>
        <w:spacing w:after="0" w:line="210" w:lineRule="exact"/>
        <w:rPr>
          <w:rFonts w:ascii="Arial" w:cs="Arial" w:eastAsia="Arial" w:hAnsi="Arial"/>
          <w:sz w:val="18"/>
          <w:szCs w:val="18"/>
          <w:color w:val="auto"/>
        </w:rPr>
      </w:pPr>
    </w:p>
    <w:p>
      <w:pPr>
        <w:ind w:left="960" w:hanging="561"/>
        <w:spacing w:after="0"/>
        <w:tabs>
          <w:tab w:leader="none" w:pos="9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51" w:lineRule="exact"/>
        <w:rPr>
          <w:rFonts w:ascii="Arial" w:cs="Arial" w:eastAsia="Arial" w:hAnsi="Arial"/>
          <w:sz w:val="18"/>
          <w:szCs w:val="18"/>
          <w:color w:val="auto"/>
        </w:rPr>
      </w:pPr>
    </w:p>
    <w:p>
      <w:pPr>
        <w:jc w:val="both"/>
        <w:spacing w:after="0" w:line="263" w:lineRule="auto"/>
        <w:rPr>
          <w:rFonts w:ascii="Arial" w:cs="Arial" w:eastAsia="Arial" w:hAnsi="Arial"/>
          <w:sz w:val="18"/>
          <w:szCs w:val="18"/>
          <w:color w:val="auto"/>
        </w:rPr>
      </w:pPr>
      <w:r>
        <w:rPr>
          <w:rFonts w:ascii="Arial" w:cs="Arial" w:eastAsia="Arial" w:hAnsi="Arial"/>
          <w:sz w:val="18"/>
          <w:szCs w:val="18"/>
          <w:color w:val="auto"/>
        </w:rPr>
        <w:t>* Pursuant to, and in accordance with, the Plan and the Elk Hills Settlement Agreement, the Issuer issued 17,324,848 shares of Common Stock to ECR on the Effective Date. Immediately thereafter, ECR distributed an aggregate of 937,596 shares of Common Stock to SSF IV Energy I AIV 2, L.P., representing 100% of the shares of Common Stock beneficially owned by SSF IV Energy I AIV 2, L.P.</w:t>
      </w:r>
    </w:p>
    <w:p>
      <w:pPr>
        <w:spacing w:after="0" w:line="183" w:lineRule="exact"/>
        <w:rPr>
          <w:rFonts w:ascii="Arial" w:cs="Arial" w:eastAsia="Arial" w:hAnsi="Arial"/>
          <w:sz w:val="18"/>
          <w:szCs w:val="18"/>
          <w:color w:val="auto"/>
        </w:rPr>
      </w:pPr>
    </w:p>
    <w:p>
      <w:pPr>
        <w:ind w:right="20" w:firstLine="8"/>
        <w:spacing w:after="0" w:line="277" w:lineRule="auto"/>
        <w:tabs>
          <w:tab w:leader="none" w:pos="234"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calculation of the percentage of outstanding shares of Common Stock is based on 83,319,721 shares of Common Stock outstanding as of October 27, 2020 as disclosed by the Issuer in the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-1005205</wp:posOffset>
            </wp:positionV>
            <wp:extent cx="655764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-1416685</wp:posOffset>
            </wp:positionV>
            <wp:extent cx="655764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-1828165</wp:posOffset>
            </wp:positionV>
            <wp:extent cx="655764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-2102485</wp:posOffset>
            </wp:positionV>
            <wp:extent cx="655764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-2513965</wp:posOffset>
            </wp:positionV>
            <wp:extent cx="605218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521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-859155</wp:posOffset>
            </wp:positionV>
            <wp:extent cx="17830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60" w:right="7820" w:hanging="561"/>
        <w:spacing w:after="0" w:line="342" w:lineRule="auto"/>
        <w:tabs>
          <w:tab w:leader="none" w:pos="9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Names of Reporting Persons ASSF Operating Manager IV, L.P.</w:t>
      </w:r>
    </w:p>
    <w:p>
      <w:pPr>
        <w:spacing w:after="0" w:line="123" w:lineRule="exact"/>
        <w:rPr>
          <w:rFonts w:ascii="Arial" w:cs="Arial" w:eastAsia="Arial" w:hAnsi="Arial"/>
          <w:sz w:val="16"/>
          <w:szCs w:val="16"/>
          <w:color w:val="auto"/>
        </w:rPr>
      </w:pPr>
    </w:p>
    <w:p>
      <w:pPr>
        <w:ind w:left="960" w:hanging="561"/>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920" w:hanging="954"/>
        <w:spacing w:after="0" w:line="207" w:lineRule="exact"/>
        <w:tabs>
          <w:tab w:leader="none" w:pos="1920" w:val="left"/>
        </w:tabs>
        <w:numPr>
          <w:ilvl w:val="1"/>
          <w:numId w:val="4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920" w:hanging="954"/>
        <w:spacing w:after="0" w:line="207" w:lineRule="exact"/>
        <w:tabs>
          <w:tab w:leader="none" w:pos="1920" w:val="left"/>
        </w:tabs>
        <w:numPr>
          <w:ilvl w:val="1"/>
          <w:numId w:val="4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60" w:hanging="561"/>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60" w:hanging="561"/>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78" w:lineRule="exact"/>
        <w:rPr>
          <w:rFonts w:ascii="Arial" w:cs="Arial" w:eastAsia="Arial" w:hAnsi="Arial"/>
          <w:sz w:val="18"/>
          <w:szCs w:val="18"/>
          <w:color w:val="auto"/>
        </w:rPr>
      </w:pPr>
    </w:p>
    <w:p>
      <w:pPr>
        <w:ind w:left="960" w:hanging="561"/>
        <w:spacing w:after="0" w:line="207" w:lineRule="exact"/>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hanging="561"/>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-259080</wp:posOffset>
            </wp:positionV>
            <wp:extent cx="655764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-533400</wp:posOffset>
            </wp:positionV>
            <wp:extent cx="655764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-944880</wp:posOffset>
            </wp:positionV>
            <wp:extent cx="655764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-1219200</wp:posOffset>
            </wp:positionV>
            <wp:extent cx="598360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-1364615</wp:posOffset>
            </wp:positionV>
            <wp:extent cx="598360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-1776095</wp:posOffset>
            </wp:positionV>
            <wp:extent cx="655764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5715</wp:posOffset>
            </wp:positionV>
            <wp:extent cx="655764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9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2,159,507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60" w:hanging="456"/>
        <w:spacing w:after="0"/>
        <w:tabs>
          <w:tab w:leader="none" w:pos="1760" w:val="left"/>
        </w:tabs>
        <w:numPr>
          <w:ilvl w:val="2"/>
          <w:numId w:val="42"/>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60"/>
        <w:spacing w:after="0"/>
        <w:rPr>
          <w:rFonts w:ascii="Arial" w:cs="Arial" w:eastAsia="Arial" w:hAnsi="Arial"/>
          <w:sz w:val="18"/>
          <w:szCs w:val="18"/>
          <w:color w:val="auto"/>
        </w:rPr>
      </w:pPr>
      <w:r>
        <w:rPr>
          <w:rFonts w:ascii="Arial" w:cs="Arial" w:eastAsia="Arial" w:hAnsi="Arial"/>
          <w:sz w:val="18"/>
          <w:szCs w:val="18"/>
          <w:color w:val="auto"/>
        </w:rPr>
        <w:t>2,159,507 (See Items 3, 4, 5 and 6)</w:t>
      </w:r>
    </w:p>
    <w:p>
      <w:pPr>
        <w:spacing w:after="0" w:line="210" w:lineRule="exact"/>
        <w:rPr>
          <w:rFonts w:ascii="Arial" w:cs="Arial" w:eastAsia="Arial" w:hAnsi="Arial"/>
          <w:sz w:val="18"/>
          <w:szCs w:val="18"/>
          <w:color w:val="auto"/>
        </w:rPr>
      </w:pPr>
    </w:p>
    <w:p>
      <w:pPr>
        <w:ind w:left="960" w:right="5480" w:hanging="561"/>
        <w:spacing w:after="0" w:line="277" w:lineRule="auto"/>
        <w:tabs>
          <w:tab w:leader="none" w:pos="9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2,159,507 (See Items 3, 4, 5 and 6)</w:t>
      </w:r>
    </w:p>
    <w:p>
      <w:pPr>
        <w:spacing w:after="0" w:line="137" w:lineRule="exact"/>
        <w:rPr>
          <w:rFonts w:ascii="Arial" w:cs="Arial" w:eastAsia="Arial" w:hAnsi="Arial"/>
          <w:sz w:val="18"/>
          <w:szCs w:val="18"/>
          <w:color w:val="auto"/>
        </w:rPr>
      </w:pPr>
    </w:p>
    <w:p>
      <w:pPr>
        <w:ind w:left="960" w:hanging="561"/>
        <w:spacing w:after="0" w:line="207" w:lineRule="exact"/>
        <w:tabs>
          <w:tab w:leader="none" w:pos="9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hanging="561"/>
        <w:spacing w:after="0"/>
        <w:tabs>
          <w:tab w:leader="none" w:pos="9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2.6%* (See Items 3, 4, 5 and 6)</w:t>
      </w:r>
    </w:p>
    <w:p>
      <w:pPr>
        <w:spacing w:after="0" w:line="210" w:lineRule="exact"/>
        <w:rPr>
          <w:rFonts w:ascii="Arial" w:cs="Arial" w:eastAsia="Arial" w:hAnsi="Arial"/>
          <w:sz w:val="18"/>
          <w:szCs w:val="18"/>
          <w:color w:val="auto"/>
        </w:rPr>
      </w:pPr>
    </w:p>
    <w:p>
      <w:pPr>
        <w:ind w:left="960" w:hanging="561"/>
        <w:spacing w:after="0"/>
        <w:tabs>
          <w:tab w:leader="none" w:pos="9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51" w:lineRule="exact"/>
        <w:rPr>
          <w:rFonts w:ascii="Arial" w:cs="Arial" w:eastAsia="Arial" w:hAnsi="Arial"/>
          <w:sz w:val="18"/>
          <w:szCs w:val="18"/>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of Common Stock is based on 83,319,721 shares of Common Stock outstanding as of October 27, 2020 as disclosed by the Issuer in the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-456565</wp:posOffset>
            </wp:positionV>
            <wp:extent cx="655764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-868045</wp:posOffset>
            </wp:positionV>
            <wp:extent cx="655764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-1279525</wp:posOffset>
            </wp:positionV>
            <wp:extent cx="655764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-1553845</wp:posOffset>
            </wp:positionV>
            <wp:extent cx="655764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-1965325</wp:posOffset>
            </wp:positionV>
            <wp:extent cx="605218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521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-310515</wp:posOffset>
            </wp:positionV>
            <wp:extent cx="17830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60" w:right="8200" w:hanging="561"/>
        <w:spacing w:after="0" w:line="342" w:lineRule="auto"/>
        <w:tabs>
          <w:tab w:leader="none" w:pos="9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Names of Reporting Persons Ares Management LLC</w:t>
      </w:r>
    </w:p>
    <w:p>
      <w:pPr>
        <w:spacing w:after="0" w:line="123" w:lineRule="exact"/>
        <w:rPr>
          <w:rFonts w:ascii="Arial" w:cs="Arial" w:eastAsia="Arial" w:hAnsi="Arial"/>
          <w:sz w:val="16"/>
          <w:szCs w:val="16"/>
          <w:color w:val="auto"/>
        </w:rPr>
      </w:pPr>
    </w:p>
    <w:p>
      <w:pPr>
        <w:ind w:left="960" w:hanging="561"/>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920" w:hanging="954"/>
        <w:spacing w:after="0" w:line="207" w:lineRule="exact"/>
        <w:tabs>
          <w:tab w:leader="none" w:pos="1920" w:val="left"/>
        </w:tabs>
        <w:numPr>
          <w:ilvl w:val="1"/>
          <w:numId w:val="4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920" w:hanging="954"/>
        <w:spacing w:after="0" w:line="207" w:lineRule="exact"/>
        <w:tabs>
          <w:tab w:leader="none" w:pos="1920" w:val="left"/>
        </w:tabs>
        <w:numPr>
          <w:ilvl w:val="1"/>
          <w:numId w:val="4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60" w:hanging="561"/>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60" w:hanging="561"/>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78" w:lineRule="exact"/>
        <w:rPr>
          <w:rFonts w:ascii="Arial" w:cs="Arial" w:eastAsia="Arial" w:hAnsi="Arial"/>
          <w:sz w:val="18"/>
          <w:szCs w:val="18"/>
          <w:color w:val="auto"/>
        </w:rPr>
      </w:pPr>
    </w:p>
    <w:p>
      <w:pPr>
        <w:ind w:left="960" w:hanging="561"/>
        <w:spacing w:after="0" w:line="207" w:lineRule="exact"/>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hanging="561"/>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-259080</wp:posOffset>
            </wp:positionV>
            <wp:extent cx="655764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-533400</wp:posOffset>
            </wp:positionV>
            <wp:extent cx="655764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-944880</wp:posOffset>
            </wp:positionV>
            <wp:extent cx="655764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-1219200</wp:posOffset>
            </wp:positionV>
            <wp:extent cx="598360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-1364615</wp:posOffset>
            </wp:positionV>
            <wp:extent cx="598360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-1776095</wp:posOffset>
            </wp:positionV>
            <wp:extent cx="655764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5715</wp:posOffset>
            </wp:positionV>
            <wp:extent cx="655764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9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17,324,848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60" w:hanging="456"/>
        <w:spacing w:after="0"/>
        <w:tabs>
          <w:tab w:leader="none" w:pos="1760" w:val="left"/>
        </w:tabs>
        <w:numPr>
          <w:ilvl w:val="2"/>
          <w:numId w:val="45"/>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60"/>
        <w:spacing w:after="0"/>
        <w:rPr>
          <w:rFonts w:ascii="Arial" w:cs="Arial" w:eastAsia="Arial" w:hAnsi="Arial"/>
          <w:sz w:val="18"/>
          <w:szCs w:val="18"/>
          <w:color w:val="auto"/>
        </w:rPr>
      </w:pPr>
      <w:r>
        <w:rPr>
          <w:rFonts w:ascii="Arial" w:cs="Arial" w:eastAsia="Arial" w:hAnsi="Arial"/>
          <w:sz w:val="18"/>
          <w:szCs w:val="18"/>
          <w:color w:val="auto"/>
        </w:rPr>
        <w:t>17,324,848 (See Items 3, 4, 5 and 6)</w:t>
      </w:r>
    </w:p>
    <w:p>
      <w:pPr>
        <w:spacing w:after="0" w:line="210" w:lineRule="exact"/>
        <w:rPr>
          <w:rFonts w:ascii="Arial" w:cs="Arial" w:eastAsia="Arial" w:hAnsi="Arial"/>
          <w:sz w:val="18"/>
          <w:szCs w:val="18"/>
          <w:color w:val="auto"/>
        </w:rPr>
      </w:pPr>
    </w:p>
    <w:p>
      <w:pPr>
        <w:ind w:left="960" w:right="5480" w:hanging="561"/>
        <w:spacing w:after="0" w:line="277" w:lineRule="auto"/>
        <w:tabs>
          <w:tab w:leader="none" w:pos="9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17,324,848 (See Items 3, 4, 5 and 6)</w:t>
      </w:r>
    </w:p>
    <w:p>
      <w:pPr>
        <w:spacing w:after="0" w:line="137" w:lineRule="exact"/>
        <w:rPr>
          <w:rFonts w:ascii="Arial" w:cs="Arial" w:eastAsia="Arial" w:hAnsi="Arial"/>
          <w:sz w:val="18"/>
          <w:szCs w:val="18"/>
          <w:color w:val="auto"/>
        </w:rPr>
      </w:pPr>
    </w:p>
    <w:p>
      <w:pPr>
        <w:ind w:left="960" w:hanging="561"/>
        <w:spacing w:after="0" w:line="207" w:lineRule="exact"/>
        <w:tabs>
          <w:tab w:leader="none" w:pos="9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hanging="561"/>
        <w:spacing w:after="0"/>
        <w:tabs>
          <w:tab w:leader="none" w:pos="9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20.8%* (See Items 3, 4, 5 and 6)</w:t>
      </w:r>
    </w:p>
    <w:p>
      <w:pPr>
        <w:spacing w:after="0" w:line="210" w:lineRule="exact"/>
        <w:rPr>
          <w:rFonts w:ascii="Arial" w:cs="Arial" w:eastAsia="Arial" w:hAnsi="Arial"/>
          <w:sz w:val="18"/>
          <w:szCs w:val="18"/>
          <w:color w:val="auto"/>
        </w:rPr>
      </w:pPr>
    </w:p>
    <w:p>
      <w:pPr>
        <w:ind w:left="960" w:hanging="561"/>
        <w:spacing w:after="0"/>
        <w:tabs>
          <w:tab w:leader="none" w:pos="9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51" w:lineRule="exact"/>
        <w:rPr>
          <w:rFonts w:ascii="Arial" w:cs="Arial" w:eastAsia="Arial" w:hAnsi="Arial"/>
          <w:sz w:val="18"/>
          <w:szCs w:val="18"/>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of Common Stock is based on 83,319,721 shares of Common Stock outstanding as of October 27, 2020 as disclosed by the Issuer in the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-456565</wp:posOffset>
            </wp:positionV>
            <wp:extent cx="655764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-868045</wp:posOffset>
            </wp:positionV>
            <wp:extent cx="655764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-1279525</wp:posOffset>
            </wp:positionV>
            <wp:extent cx="655764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-1553845</wp:posOffset>
            </wp:positionV>
            <wp:extent cx="655764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-1965325</wp:posOffset>
            </wp:positionV>
            <wp:extent cx="605218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521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-310515</wp:posOffset>
            </wp:positionV>
            <wp:extent cx="17830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60" w:right="7920" w:hanging="561"/>
        <w:spacing w:after="0" w:line="342" w:lineRule="auto"/>
        <w:tabs>
          <w:tab w:leader="none" w:pos="9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Names of Reporting Persons Ares Management Holdings L.P.</w:t>
      </w:r>
    </w:p>
    <w:p>
      <w:pPr>
        <w:spacing w:after="0" w:line="123" w:lineRule="exact"/>
        <w:rPr>
          <w:rFonts w:ascii="Arial" w:cs="Arial" w:eastAsia="Arial" w:hAnsi="Arial"/>
          <w:sz w:val="16"/>
          <w:szCs w:val="16"/>
          <w:color w:val="auto"/>
        </w:rPr>
      </w:pPr>
    </w:p>
    <w:p>
      <w:pPr>
        <w:ind w:left="960" w:hanging="561"/>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920" w:hanging="954"/>
        <w:spacing w:after="0" w:line="207" w:lineRule="exact"/>
        <w:tabs>
          <w:tab w:leader="none" w:pos="1920" w:val="left"/>
        </w:tabs>
        <w:numPr>
          <w:ilvl w:val="1"/>
          <w:numId w:val="4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920" w:hanging="954"/>
        <w:spacing w:after="0" w:line="207" w:lineRule="exact"/>
        <w:tabs>
          <w:tab w:leader="none" w:pos="1920" w:val="left"/>
        </w:tabs>
        <w:numPr>
          <w:ilvl w:val="1"/>
          <w:numId w:val="4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60" w:hanging="561"/>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60" w:hanging="561"/>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78" w:lineRule="exact"/>
        <w:rPr>
          <w:rFonts w:ascii="Arial" w:cs="Arial" w:eastAsia="Arial" w:hAnsi="Arial"/>
          <w:sz w:val="18"/>
          <w:szCs w:val="18"/>
          <w:color w:val="auto"/>
        </w:rPr>
      </w:pPr>
    </w:p>
    <w:p>
      <w:pPr>
        <w:ind w:left="960" w:hanging="561"/>
        <w:spacing w:after="0" w:line="207" w:lineRule="exact"/>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hanging="561"/>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-259080</wp:posOffset>
            </wp:positionV>
            <wp:extent cx="655764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-533400</wp:posOffset>
            </wp:positionV>
            <wp:extent cx="655764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-944880</wp:posOffset>
            </wp:positionV>
            <wp:extent cx="655764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-1219200</wp:posOffset>
            </wp:positionV>
            <wp:extent cx="598360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-1364615</wp:posOffset>
            </wp:positionV>
            <wp:extent cx="598360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-1776095</wp:posOffset>
            </wp:positionV>
            <wp:extent cx="655764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5715</wp:posOffset>
            </wp:positionV>
            <wp:extent cx="655764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9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17,324,848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60" w:hanging="456"/>
        <w:spacing w:after="0"/>
        <w:tabs>
          <w:tab w:leader="none" w:pos="1760" w:val="left"/>
        </w:tabs>
        <w:numPr>
          <w:ilvl w:val="2"/>
          <w:numId w:val="48"/>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60"/>
        <w:spacing w:after="0"/>
        <w:rPr>
          <w:rFonts w:ascii="Arial" w:cs="Arial" w:eastAsia="Arial" w:hAnsi="Arial"/>
          <w:sz w:val="18"/>
          <w:szCs w:val="18"/>
          <w:color w:val="auto"/>
        </w:rPr>
      </w:pPr>
      <w:r>
        <w:rPr>
          <w:rFonts w:ascii="Arial" w:cs="Arial" w:eastAsia="Arial" w:hAnsi="Arial"/>
          <w:sz w:val="18"/>
          <w:szCs w:val="18"/>
          <w:color w:val="auto"/>
        </w:rPr>
        <w:t>17,324,848 (See Items 3, 4, 5 and 6)</w:t>
      </w:r>
    </w:p>
    <w:p>
      <w:pPr>
        <w:spacing w:after="0" w:line="210" w:lineRule="exact"/>
        <w:rPr>
          <w:rFonts w:ascii="Arial" w:cs="Arial" w:eastAsia="Arial" w:hAnsi="Arial"/>
          <w:sz w:val="18"/>
          <w:szCs w:val="18"/>
          <w:color w:val="auto"/>
        </w:rPr>
      </w:pPr>
    </w:p>
    <w:p>
      <w:pPr>
        <w:ind w:left="960" w:right="5480" w:hanging="561"/>
        <w:spacing w:after="0" w:line="277" w:lineRule="auto"/>
        <w:tabs>
          <w:tab w:leader="none" w:pos="9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17,324,848 (See Items 3, 4, 5 and 6)</w:t>
      </w:r>
    </w:p>
    <w:p>
      <w:pPr>
        <w:spacing w:after="0" w:line="137" w:lineRule="exact"/>
        <w:rPr>
          <w:rFonts w:ascii="Arial" w:cs="Arial" w:eastAsia="Arial" w:hAnsi="Arial"/>
          <w:sz w:val="18"/>
          <w:szCs w:val="18"/>
          <w:color w:val="auto"/>
        </w:rPr>
      </w:pPr>
    </w:p>
    <w:p>
      <w:pPr>
        <w:ind w:left="960" w:hanging="561"/>
        <w:spacing w:after="0" w:line="207" w:lineRule="exact"/>
        <w:tabs>
          <w:tab w:leader="none" w:pos="9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hanging="561"/>
        <w:spacing w:after="0"/>
        <w:tabs>
          <w:tab w:leader="none" w:pos="9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20.8%* (See Items 3, 4, 5 and 6)</w:t>
      </w:r>
    </w:p>
    <w:p>
      <w:pPr>
        <w:spacing w:after="0" w:line="210" w:lineRule="exact"/>
        <w:rPr>
          <w:rFonts w:ascii="Arial" w:cs="Arial" w:eastAsia="Arial" w:hAnsi="Arial"/>
          <w:sz w:val="18"/>
          <w:szCs w:val="18"/>
          <w:color w:val="auto"/>
        </w:rPr>
      </w:pPr>
    </w:p>
    <w:p>
      <w:pPr>
        <w:ind w:left="960" w:hanging="561"/>
        <w:spacing w:after="0"/>
        <w:tabs>
          <w:tab w:leader="none" w:pos="9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51" w:lineRule="exact"/>
        <w:rPr>
          <w:rFonts w:ascii="Arial" w:cs="Arial" w:eastAsia="Arial" w:hAnsi="Arial"/>
          <w:sz w:val="18"/>
          <w:szCs w:val="18"/>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of Common Stock is based on 83,319,721 shares of Common Stock outstanding as of October 27, 2020 as disclosed by the Issuer in the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-456565</wp:posOffset>
            </wp:positionV>
            <wp:extent cx="655764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-868045</wp:posOffset>
            </wp:positionV>
            <wp:extent cx="655764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-1279525</wp:posOffset>
            </wp:positionV>
            <wp:extent cx="655764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-1553845</wp:posOffset>
            </wp:positionV>
            <wp:extent cx="655764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-1965325</wp:posOffset>
            </wp:positionV>
            <wp:extent cx="605218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0521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-310515</wp:posOffset>
            </wp:positionV>
            <wp:extent cx="17830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60" w:right="8200" w:hanging="561"/>
        <w:spacing w:after="0" w:line="277" w:lineRule="auto"/>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Names of Reporting Persons Ares Holdco LLC</w:t>
      </w:r>
    </w:p>
    <w:p>
      <w:pPr>
        <w:spacing w:after="0" w:line="170" w:lineRule="exact"/>
        <w:rPr>
          <w:rFonts w:ascii="Arial" w:cs="Arial" w:eastAsia="Arial" w:hAnsi="Arial"/>
          <w:sz w:val="18"/>
          <w:szCs w:val="18"/>
          <w:color w:val="auto"/>
        </w:rPr>
      </w:pPr>
    </w:p>
    <w:p>
      <w:pPr>
        <w:ind w:left="960" w:hanging="561"/>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920" w:hanging="954"/>
        <w:spacing w:after="0" w:line="207" w:lineRule="exact"/>
        <w:tabs>
          <w:tab w:leader="none" w:pos="1920" w:val="left"/>
        </w:tabs>
        <w:numPr>
          <w:ilvl w:val="1"/>
          <w:numId w:val="5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920" w:hanging="954"/>
        <w:spacing w:after="0" w:line="207" w:lineRule="exact"/>
        <w:tabs>
          <w:tab w:leader="none" w:pos="1920" w:val="left"/>
        </w:tabs>
        <w:numPr>
          <w:ilvl w:val="1"/>
          <w:numId w:val="5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60" w:hanging="561"/>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60" w:hanging="561"/>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78" w:lineRule="exact"/>
        <w:rPr>
          <w:rFonts w:ascii="Arial" w:cs="Arial" w:eastAsia="Arial" w:hAnsi="Arial"/>
          <w:sz w:val="18"/>
          <w:szCs w:val="18"/>
          <w:color w:val="auto"/>
        </w:rPr>
      </w:pPr>
    </w:p>
    <w:p>
      <w:pPr>
        <w:ind w:left="960" w:hanging="561"/>
        <w:spacing w:after="0" w:line="207" w:lineRule="exact"/>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hanging="561"/>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-259080</wp:posOffset>
            </wp:positionV>
            <wp:extent cx="655764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-533400</wp:posOffset>
            </wp:positionV>
            <wp:extent cx="655764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-944880</wp:posOffset>
            </wp:positionV>
            <wp:extent cx="655764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-1219200</wp:posOffset>
            </wp:positionV>
            <wp:extent cx="598360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-1364615</wp:posOffset>
            </wp:positionV>
            <wp:extent cx="598360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-1776095</wp:posOffset>
            </wp:positionV>
            <wp:extent cx="655764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5715</wp:posOffset>
            </wp:positionV>
            <wp:extent cx="655764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9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17,324,848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60" w:hanging="456"/>
        <w:spacing w:after="0"/>
        <w:tabs>
          <w:tab w:leader="none" w:pos="1760" w:val="left"/>
        </w:tabs>
        <w:numPr>
          <w:ilvl w:val="2"/>
          <w:numId w:val="51"/>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60"/>
        <w:spacing w:after="0"/>
        <w:rPr>
          <w:rFonts w:ascii="Arial" w:cs="Arial" w:eastAsia="Arial" w:hAnsi="Arial"/>
          <w:sz w:val="18"/>
          <w:szCs w:val="18"/>
          <w:color w:val="auto"/>
        </w:rPr>
      </w:pPr>
      <w:r>
        <w:rPr>
          <w:rFonts w:ascii="Arial" w:cs="Arial" w:eastAsia="Arial" w:hAnsi="Arial"/>
          <w:sz w:val="18"/>
          <w:szCs w:val="18"/>
          <w:color w:val="auto"/>
        </w:rPr>
        <w:t>17,324,848 (See Items 3, 4, 5 and 6)</w:t>
      </w:r>
    </w:p>
    <w:p>
      <w:pPr>
        <w:spacing w:after="0" w:line="210" w:lineRule="exact"/>
        <w:rPr>
          <w:rFonts w:ascii="Arial" w:cs="Arial" w:eastAsia="Arial" w:hAnsi="Arial"/>
          <w:sz w:val="18"/>
          <w:szCs w:val="18"/>
          <w:color w:val="auto"/>
        </w:rPr>
      </w:pPr>
    </w:p>
    <w:p>
      <w:pPr>
        <w:ind w:left="960" w:right="5480" w:hanging="561"/>
        <w:spacing w:after="0" w:line="277" w:lineRule="auto"/>
        <w:tabs>
          <w:tab w:leader="none" w:pos="9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17,324,848 (See Items 3, 4, 5 and 6)</w:t>
      </w:r>
    </w:p>
    <w:p>
      <w:pPr>
        <w:spacing w:after="0" w:line="137" w:lineRule="exact"/>
        <w:rPr>
          <w:rFonts w:ascii="Arial" w:cs="Arial" w:eastAsia="Arial" w:hAnsi="Arial"/>
          <w:sz w:val="18"/>
          <w:szCs w:val="18"/>
          <w:color w:val="auto"/>
        </w:rPr>
      </w:pPr>
    </w:p>
    <w:p>
      <w:pPr>
        <w:ind w:left="960" w:hanging="561"/>
        <w:spacing w:after="0" w:line="207" w:lineRule="exact"/>
        <w:tabs>
          <w:tab w:leader="none" w:pos="9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hanging="561"/>
        <w:spacing w:after="0"/>
        <w:tabs>
          <w:tab w:leader="none" w:pos="9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20.8%* (See Items 3, 4, 5 and 6)</w:t>
      </w:r>
    </w:p>
    <w:p>
      <w:pPr>
        <w:spacing w:after="0" w:line="210" w:lineRule="exact"/>
        <w:rPr>
          <w:rFonts w:ascii="Arial" w:cs="Arial" w:eastAsia="Arial" w:hAnsi="Arial"/>
          <w:sz w:val="18"/>
          <w:szCs w:val="18"/>
          <w:color w:val="auto"/>
        </w:rPr>
      </w:pPr>
    </w:p>
    <w:p>
      <w:pPr>
        <w:ind w:left="960" w:hanging="561"/>
        <w:spacing w:after="0"/>
        <w:tabs>
          <w:tab w:leader="none" w:pos="9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51" w:lineRule="exact"/>
        <w:rPr>
          <w:rFonts w:ascii="Arial" w:cs="Arial" w:eastAsia="Arial" w:hAnsi="Arial"/>
          <w:sz w:val="18"/>
          <w:szCs w:val="18"/>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of Common Stock is based on 83,319,721 shares of Common Stock outstanding as of October 27, 2020 as disclosed by the Issuer in the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-456565</wp:posOffset>
            </wp:positionV>
            <wp:extent cx="655764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-868045</wp:posOffset>
            </wp:positionV>
            <wp:extent cx="655764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-1279525</wp:posOffset>
            </wp:positionV>
            <wp:extent cx="655764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-1553845</wp:posOffset>
            </wp:positionV>
            <wp:extent cx="655764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-1965325</wp:posOffset>
            </wp:positionV>
            <wp:extent cx="605218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0521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-310515</wp:posOffset>
            </wp:positionV>
            <wp:extent cx="17830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60" w:right="8200" w:hanging="561"/>
        <w:spacing w:after="0" w:line="308" w:lineRule="auto"/>
        <w:tabs>
          <w:tab w:leader="none" w:pos="9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Names of Reporting Persons Ares Holdings Inc.</w:t>
      </w:r>
    </w:p>
    <w:p>
      <w:pPr>
        <w:spacing w:after="0" w:line="146" w:lineRule="exact"/>
        <w:rPr>
          <w:rFonts w:ascii="Arial" w:cs="Arial" w:eastAsia="Arial" w:hAnsi="Arial"/>
          <w:sz w:val="17"/>
          <w:szCs w:val="17"/>
          <w:color w:val="auto"/>
        </w:rPr>
      </w:pPr>
    </w:p>
    <w:p>
      <w:pPr>
        <w:ind w:left="960" w:hanging="561"/>
        <w:spacing w:after="0"/>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920" w:hanging="954"/>
        <w:spacing w:after="0" w:line="207" w:lineRule="exact"/>
        <w:tabs>
          <w:tab w:leader="none" w:pos="1920" w:val="left"/>
        </w:tabs>
        <w:numPr>
          <w:ilvl w:val="1"/>
          <w:numId w:val="5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920" w:hanging="954"/>
        <w:spacing w:after="0" w:line="207" w:lineRule="exact"/>
        <w:tabs>
          <w:tab w:leader="none" w:pos="1920" w:val="left"/>
        </w:tabs>
        <w:numPr>
          <w:ilvl w:val="1"/>
          <w:numId w:val="5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60" w:hanging="561"/>
        <w:spacing w:after="0"/>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60" w:hanging="561"/>
        <w:spacing w:after="0"/>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78" w:lineRule="exact"/>
        <w:rPr>
          <w:rFonts w:ascii="Arial" w:cs="Arial" w:eastAsia="Arial" w:hAnsi="Arial"/>
          <w:sz w:val="18"/>
          <w:szCs w:val="18"/>
          <w:color w:val="auto"/>
        </w:rPr>
      </w:pPr>
    </w:p>
    <w:p>
      <w:pPr>
        <w:ind w:left="960" w:hanging="561"/>
        <w:spacing w:after="0" w:line="207" w:lineRule="exact"/>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hanging="561"/>
        <w:spacing w:after="0"/>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-259080</wp:posOffset>
            </wp:positionV>
            <wp:extent cx="655764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-533400</wp:posOffset>
            </wp:positionV>
            <wp:extent cx="655764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-944880</wp:posOffset>
            </wp:positionV>
            <wp:extent cx="655764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-1219200</wp:posOffset>
            </wp:positionV>
            <wp:extent cx="598360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-1364615</wp:posOffset>
            </wp:positionV>
            <wp:extent cx="598360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-1776095</wp:posOffset>
            </wp:positionV>
            <wp:extent cx="655764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5715</wp:posOffset>
            </wp:positionV>
            <wp:extent cx="655764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9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17,324,848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60" w:hanging="456"/>
        <w:spacing w:after="0"/>
        <w:tabs>
          <w:tab w:leader="none" w:pos="1760" w:val="left"/>
        </w:tabs>
        <w:numPr>
          <w:ilvl w:val="2"/>
          <w:numId w:val="54"/>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60"/>
        <w:spacing w:after="0"/>
        <w:rPr>
          <w:rFonts w:ascii="Arial" w:cs="Arial" w:eastAsia="Arial" w:hAnsi="Arial"/>
          <w:sz w:val="18"/>
          <w:szCs w:val="18"/>
          <w:color w:val="auto"/>
        </w:rPr>
      </w:pPr>
      <w:r>
        <w:rPr>
          <w:rFonts w:ascii="Arial" w:cs="Arial" w:eastAsia="Arial" w:hAnsi="Arial"/>
          <w:sz w:val="18"/>
          <w:szCs w:val="18"/>
          <w:color w:val="auto"/>
        </w:rPr>
        <w:t>17,324,848 (See Items 3, 4, 5 and 6)</w:t>
      </w:r>
    </w:p>
    <w:p>
      <w:pPr>
        <w:spacing w:after="0" w:line="210" w:lineRule="exact"/>
        <w:rPr>
          <w:rFonts w:ascii="Arial" w:cs="Arial" w:eastAsia="Arial" w:hAnsi="Arial"/>
          <w:sz w:val="18"/>
          <w:szCs w:val="18"/>
          <w:color w:val="auto"/>
        </w:rPr>
      </w:pPr>
    </w:p>
    <w:p>
      <w:pPr>
        <w:ind w:left="960" w:right="5480" w:hanging="561"/>
        <w:spacing w:after="0" w:line="277" w:lineRule="auto"/>
        <w:tabs>
          <w:tab w:leader="none" w:pos="9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17,324,848 (See Items 3, 4, 5 and 6)</w:t>
      </w:r>
    </w:p>
    <w:p>
      <w:pPr>
        <w:spacing w:after="0" w:line="137" w:lineRule="exact"/>
        <w:rPr>
          <w:rFonts w:ascii="Arial" w:cs="Arial" w:eastAsia="Arial" w:hAnsi="Arial"/>
          <w:sz w:val="18"/>
          <w:szCs w:val="18"/>
          <w:color w:val="auto"/>
        </w:rPr>
      </w:pPr>
    </w:p>
    <w:p>
      <w:pPr>
        <w:ind w:left="960" w:hanging="561"/>
        <w:spacing w:after="0" w:line="207" w:lineRule="exact"/>
        <w:tabs>
          <w:tab w:leader="none" w:pos="9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hanging="561"/>
        <w:spacing w:after="0"/>
        <w:tabs>
          <w:tab w:leader="none" w:pos="9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20.8%* (See Items 3, 4, 5 and 6)</w:t>
      </w:r>
    </w:p>
    <w:p>
      <w:pPr>
        <w:spacing w:after="0" w:line="210" w:lineRule="exact"/>
        <w:rPr>
          <w:rFonts w:ascii="Arial" w:cs="Arial" w:eastAsia="Arial" w:hAnsi="Arial"/>
          <w:sz w:val="18"/>
          <w:szCs w:val="18"/>
          <w:color w:val="auto"/>
        </w:rPr>
      </w:pPr>
    </w:p>
    <w:p>
      <w:pPr>
        <w:ind w:left="960" w:hanging="561"/>
        <w:spacing w:after="0"/>
        <w:tabs>
          <w:tab w:leader="none" w:pos="9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51" w:lineRule="exact"/>
        <w:rPr>
          <w:rFonts w:ascii="Arial" w:cs="Arial" w:eastAsia="Arial" w:hAnsi="Arial"/>
          <w:sz w:val="18"/>
          <w:szCs w:val="18"/>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of Common Stock is based on 83,319,721 shares of Common Stock outstanding as of October 27, 2020 as disclosed by the Issuer in the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-456565</wp:posOffset>
            </wp:positionV>
            <wp:extent cx="655764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-868045</wp:posOffset>
            </wp:positionV>
            <wp:extent cx="655764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-1279525</wp:posOffset>
            </wp:positionV>
            <wp:extent cx="655764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-1553845</wp:posOffset>
            </wp:positionV>
            <wp:extent cx="655764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-1965325</wp:posOffset>
            </wp:positionV>
            <wp:extent cx="605218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0521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-310515</wp:posOffset>
            </wp:positionV>
            <wp:extent cx="17830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60" w:right="8040" w:hanging="561"/>
        <w:spacing w:after="0" w:line="342" w:lineRule="auto"/>
        <w:tabs>
          <w:tab w:leader="none" w:pos="9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Names of Reporting Persons Ares Management Corporation</w:t>
      </w:r>
    </w:p>
    <w:p>
      <w:pPr>
        <w:spacing w:after="0" w:line="123" w:lineRule="exact"/>
        <w:rPr>
          <w:rFonts w:ascii="Arial" w:cs="Arial" w:eastAsia="Arial" w:hAnsi="Arial"/>
          <w:sz w:val="16"/>
          <w:szCs w:val="16"/>
          <w:color w:val="auto"/>
        </w:rPr>
      </w:pPr>
    </w:p>
    <w:p>
      <w:pPr>
        <w:ind w:left="960" w:hanging="561"/>
        <w:spacing w:after="0"/>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920" w:hanging="954"/>
        <w:spacing w:after="0" w:line="207" w:lineRule="exact"/>
        <w:tabs>
          <w:tab w:leader="none" w:pos="1920" w:val="left"/>
        </w:tabs>
        <w:numPr>
          <w:ilvl w:val="1"/>
          <w:numId w:val="5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920" w:hanging="954"/>
        <w:spacing w:after="0" w:line="207" w:lineRule="exact"/>
        <w:tabs>
          <w:tab w:leader="none" w:pos="1920" w:val="left"/>
        </w:tabs>
        <w:numPr>
          <w:ilvl w:val="1"/>
          <w:numId w:val="5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60" w:hanging="561"/>
        <w:spacing w:after="0"/>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60" w:hanging="561"/>
        <w:spacing w:after="0"/>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78" w:lineRule="exact"/>
        <w:rPr>
          <w:rFonts w:ascii="Arial" w:cs="Arial" w:eastAsia="Arial" w:hAnsi="Arial"/>
          <w:sz w:val="18"/>
          <w:szCs w:val="18"/>
          <w:color w:val="auto"/>
        </w:rPr>
      </w:pPr>
    </w:p>
    <w:p>
      <w:pPr>
        <w:ind w:left="960" w:hanging="561"/>
        <w:spacing w:after="0" w:line="207" w:lineRule="exact"/>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hanging="561"/>
        <w:spacing w:after="0"/>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-259080</wp:posOffset>
            </wp:positionV>
            <wp:extent cx="655764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-533400</wp:posOffset>
            </wp:positionV>
            <wp:extent cx="655764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-944880</wp:posOffset>
            </wp:positionV>
            <wp:extent cx="655764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-1219200</wp:posOffset>
            </wp:positionV>
            <wp:extent cx="598360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-1364615</wp:posOffset>
            </wp:positionV>
            <wp:extent cx="598360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-1776095</wp:posOffset>
            </wp:positionV>
            <wp:extent cx="655764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557645" cy="8890"/>
                    </a:xfrm>
                    <a:prstGeom prst="rect">
                      <a:avLst/>
                    </a:prstGeom>
                    <a:noFill/>
                  </pic:spPr>
                </pic:pic>
              </a:graphicData>
            </a:graphic>
          </wp:anchor>
        </w:drawing>
      </w:r>
    </w:p>
    <w:p>
      <w:pPr>
        <w:spacing w:after="0" w:line="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5715</wp:posOffset>
            </wp:positionV>
            <wp:extent cx="655764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9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17,324,848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60" w:hanging="456"/>
        <w:spacing w:after="0"/>
        <w:tabs>
          <w:tab w:leader="none" w:pos="1760" w:val="left"/>
        </w:tabs>
        <w:numPr>
          <w:ilvl w:val="2"/>
          <w:numId w:val="57"/>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60"/>
        <w:spacing w:after="0"/>
        <w:rPr>
          <w:rFonts w:ascii="Arial" w:cs="Arial" w:eastAsia="Arial" w:hAnsi="Arial"/>
          <w:sz w:val="18"/>
          <w:szCs w:val="18"/>
          <w:color w:val="auto"/>
        </w:rPr>
      </w:pPr>
      <w:r>
        <w:rPr>
          <w:rFonts w:ascii="Arial" w:cs="Arial" w:eastAsia="Arial" w:hAnsi="Arial"/>
          <w:sz w:val="18"/>
          <w:szCs w:val="18"/>
          <w:color w:val="auto"/>
        </w:rPr>
        <w:t>17,324,848 (See Items 3, 4, 5 and 6)</w:t>
      </w:r>
    </w:p>
    <w:p>
      <w:pPr>
        <w:spacing w:after="0" w:line="210" w:lineRule="exact"/>
        <w:rPr>
          <w:rFonts w:ascii="Arial" w:cs="Arial" w:eastAsia="Arial" w:hAnsi="Arial"/>
          <w:sz w:val="18"/>
          <w:szCs w:val="18"/>
          <w:color w:val="auto"/>
        </w:rPr>
      </w:pPr>
    </w:p>
    <w:p>
      <w:pPr>
        <w:ind w:left="960" w:right="5480" w:hanging="561"/>
        <w:spacing w:after="0" w:line="277" w:lineRule="auto"/>
        <w:tabs>
          <w:tab w:leader="none" w:pos="9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17,324,848 (See Items 3, 4, 5 and 6)</w:t>
      </w:r>
    </w:p>
    <w:p>
      <w:pPr>
        <w:spacing w:after="0" w:line="137" w:lineRule="exact"/>
        <w:rPr>
          <w:rFonts w:ascii="Arial" w:cs="Arial" w:eastAsia="Arial" w:hAnsi="Arial"/>
          <w:sz w:val="18"/>
          <w:szCs w:val="18"/>
          <w:color w:val="auto"/>
        </w:rPr>
      </w:pPr>
    </w:p>
    <w:p>
      <w:pPr>
        <w:ind w:left="960" w:hanging="561"/>
        <w:spacing w:after="0" w:line="207" w:lineRule="exact"/>
        <w:tabs>
          <w:tab w:leader="none" w:pos="9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hanging="561"/>
        <w:spacing w:after="0"/>
        <w:tabs>
          <w:tab w:leader="none" w:pos="9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20.8%* (See Items 3, 4, 5 and 6)</w:t>
      </w:r>
    </w:p>
    <w:p>
      <w:pPr>
        <w:spacing w:after="0" w:line="210" w:lineRule="exact"/>
        <w:rPr>
          <w:rFonts w:ascii="Arial" w:cs="Arial" w:eastAsia="Arial" w:hAnsi="Arial"/>
          <w:sz w:val="18"/>
          <w:szCs w:val="18"/>
          <w:color w:val="auto"/>
        </w:rPr>
      </w:pPr>
    </w:p>
    <w:p>
      <w:pPr>
        <w:ind w:left="960" w:hanging="561"/>
        <w:spacing w:after="0"/>
        <w:tabs>
          <w:tab w:leader="none" w:pos="9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51" w:lineRule="exact"/>
        <w:rPr>
          <w:rFonts w:ascii="Arial" w:cs="Arial" w:eastAsia="Arial" w:hAnsi="Arial"/>
          <w:sz w:val="18"/>
          <w:szCs w:val="18"/>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of Common Stock is based on 83,319,721 shares of Common Stock outstanding as of October 27, 2020 as disclosed by the Issuer in the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-456565</wp:posOffset>
            </wp:positionV>
            <wp:extent cx="655764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-868045</wp:posOffset>
            </wp:positionV>
            <wp:extent cx="655764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-1279525</wp:posOffset>
            </wp:positionV>
            <wp:extent cx="655764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-1553845</wp:posOffset>
            </wp:positionV>
            <wp:extent cx="655764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-1965325</wp:posOffset>
            </wp:positionV>
            <wp:extent cx="605218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0521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-310515</wp:posOffset>
            </wp:positionV>
            <wp:extent cx="17830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0"/>
          <w:szCs w:val="20"/>
          <w:color w:val="auto"/>
        </w:rPr>
      </w:pPr>
    </w:p>
    <w:p>
      <w:pPr>
        <w:ind w:left="960" w:right="8200" w:hanging="561"/>
        <w:spacing w:after="0" w:line="277" w:lineRule="auto"/>
        <w:tabs>
          <w:tab w:leader="none" w:pos="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Names of Reporting Persons Ares Voting LLC</w:t>
      </w:r>
    </w:p>
    <w:p>
      <w:pPr>
        <w:spacing w:after="0" w:line="170" w:lineRule="exact"/>
        <w:rPr>
          <w:rFonts w:ascii="Arial" w:cs="Arial" w:eastAsia="Arial" w:hAnsi="Arial"/>
          <w:sz w:val="18"/>
          <w:szCs w:val="18"/>
          <w:color w:val="auto"/>
        </w:rPr>
      </w:pPr>
    </w:p>
    <w:p>
      <w:pPr>
        <w:ind w:left="960" w:hanging="561"/>
        <w:spacing w:after="0"/>
        <w:tabs>
          <w:tab w:leader="none" w:pos="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920" w:hanging="954"/>
        <w:spacing w:after="0" w:line="207" w:lineRule="exact"/>
        <w:tabs>
          <w:tab w:leader="none" w:pos="1920" w:val="left"/>
        </w:tabs>
        <w:numPr>
          <w:ilvl w:val="1"/>
          <w:numId w:val="5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920" w:hanging="954"/>
        <w:spacing w:after="0" w:line="207" w:lineRule="exact"/>
        <w:tabs>
          <w:tab w:leader="none" w:pos="1920" w:val="left"/>
        </w:tabs>
        <w:numPr>
          <w:ilvl w:val="1"/>
          <w:numId w:val="5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60" w:hanging="561"/>
        <w:spacing w:after="0"/>
        <w:tabs>
          <w:tab w:leader="none" w:pos="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60" w:hanging="561"/>
        <w:spacing w:after="0"/>
        <w:tabs>
          <w:tab w:leader="none" w:pos="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78" w:lineRule="exact"/>
        <w:rPr>
          <w:rFonts w:ascii="Arial" w:cs="Arial" w:eastAsia="Arial" w:hAnsi="Arial"/>
          <w:sz w:val="18"/>
          <w:szCs w:val="18"/>
          <w:color w:val="auto"/>
        </w:rPr>
      </w:pPr>
    </w:p>
    <w:p>
      <w:pPr>
        <w:ind w:left="960" w:hanging="561"/>
        <w:spacing w:after="0" w:line="207" w:lineRule="exact"/>
        <w:tabs>
          <w:tab w:leader="none" w:pos="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hanging="561"/>
        <w:spacing w:after="0"/>
        <w:tabs>
          <w:tab w:leader="none" w:pos="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-259080</wp:posOffset>
            </wp:positionV>
            <wp:extent cx="655764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-533400</wp:posOffset>
            </wp:positionV>
            <wp:extent cx="655764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-944880</wp:posOffset>
            </wp:positionV>
            <wp:extent cx="655764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-1219200</wp:posOffset>
            </wp:positionV>
            <wp:extent cx="598360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-1364615</wp:posOffset>
            </wp:positionV>
            <wp:extent cx="598360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-1776095</wp:posOffset>
            </wp:positionV>
            <wp:extent cx="655764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5715</wp:posOffset>
            </wp:positionV>
            <wp:extent cx="655764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9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17,324,848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60" w:hanging="456"/>
        <w:spacing w:after="0"/>
        <w:tabs>
          <w:tab w:leader="none" w:pos="1760" w:val="left"/>
        </w:tabs>
        <w:numPr>
          <w:ilvl w:val="2"/>
          <w:numId w:val="60"/>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60"/>
        <w:spacing w:after="0"/>
        <w:rPr>
          <w:rFonts w:ascii="Arial" w:cs="Arial" w:eastAsia="Arial" w:hAnsi="Arial"/>
          <w:sz w:val="18"/>
          <w:szCs w:val="18"/>
          <w:color w:val="auto"/>
        </w:rPr>
      </w:pPr>
      <w:r>
        <w:rPr>
          <w:rFonts w:ascii="Arial" w:cs="Arial" w:eastAsia="Arial" w:hAnsi="Arial"/>
          <w:sz w:val="18"/>
          <w:szCs w:val="18"/>
          <w:color w:val="auto"/>
        </w:rPr>
        <w:t>17,324,848 (See Items 3, 4, 5 and 6)</w:t>
      </w:r>
    </w:p>
    <w:p>
      <w:pPr>
        <w:spacing w:after="0" w:line="210" w:lineRule="exact"/>
        <w:rPr>
          <w:rFonts w:ascii="Arial" w:cs="Arial" w:eastAsia="Arial" w:hAnsi="Arial"/>
          <w:sz w:val="18"/>
          <w:szCs w:val="18"/>
          <w:color w:val="auto"/>
        </w:rPr>
      </w:pPr>
    </w:p>
    <w:p>
      <w:pPr>
        <w:ind w:left="960" w:right="5480" w:hanging="561"/>
        <w:spacing w:after="0" w:line="277" w:lineRule="auto"/>
        <w:tabs>
          <w:tab w:leader="none" w:pos="9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17,324,848 (See Items 3, 4, 5 and 6)</w:t>
      </w:r>
    </w:p>
    <w:p>
      <w:pPr>
        <w:spacing w:after="0" w:line="137" w:lineRule="exact"/>
        <w:rPr>
          <w:rFonts w:ascii="Arial" w:cs="Arial" w:eastAsia="Arial" w:hAnsi="Arial"/>
          <w:sz w:val="18"/>
          <w:szCs w:val="18"/>
          <w:color w:val="auto"/>
        </w:rPr>
      </w:pPr>
    </w:p>
    <w:p>
      <w:pPr>
        <w:ind w:left="960" w:hanging="561"/>
        <w:spacing w:after="0" w:line="207" w:lineRule="exact"/>
        <w:tabs>
          <w:tab w:leader="none" w:pos="9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hanging="561"/>
        <w:spacing w:after="0"/>
        <w:tabs>
          <w:tab w:leader="none" w:pos="9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20.8%* (See Items 3, 4, 5 and 6)</w:t>
      </w:r>
    </w:p>
    <w:p>
      <w:pPr>
        <w:spacing w:after="0" w:line="210" w:lineRule="exact"/>
        <w:rPr>
          <w:rFonts w:ascii="Arial" w:cs="Arial" w:eastAsia="Arial" w:hAnsi="Arial"/>
          <w:sz w:val="18"/>
          <w:szCs w:val="18"/>
          <w:color w:val="auto"/>
        </w:rPr>
      </w:pPr>
    </w:p>
    <w:p>
      <w:pPr>
        <w:ind w:left="960" w:hanging="561"/>
        <w:spacing w:after="0"/>
        <w:tabs>
          <w:tab w:leader="none" w:pos="9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51" w:lineRule="exact"/>
        <w:rPr>
          <w:rFonts w:ascii="Arial" w:cs="Arial" w:eastAsia="Arial" w:hAnsi="Arial"/>
          <w:sz w:val="18"/>
          <w:szCs w:val="18"/>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of Common Stock is based on 83,319,721 shares of Common Stock outstanding as of October 27, 2020 as disclosed by the Issuer in the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-456565</wp:posOffset>
            </wp:positionV>
            <wp:extent cx="655764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-868045</wp:posOffset>
            </wp:positionV>
            <wp:extent cx="655764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-1279525</wp:posOffset>
            </wp:positionV>
            <wp:extent cx="655764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-1553845</wp:posOffset>
            </wp:positionV>
            <wp:extent cx="655764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-1965325</wp:posOffset>
            </wp:positionV>
            <wp:extent cx="605218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0521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-310515</wp:posOffset>
            </wp:positionV>
            <wp:extent cx="17830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0"/>
          <w:szCs w:val="20"/>
          <w:color w:val="auto"/>
        </w:rPr>
      </w:pPr>
    </w:p>
    <w:p>
      <w:pPr>
        <w:ind w:left="960" w:right="8200" w:hanging="561"/>
        <w:spacing w:after="0" w:line="342" w:lineRule="auto"/>
        <w:tabs>
          <w:tab w:leader="none" w:pos="9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Names of Reporting Persons Ares Management GP LLC</w:t>
      </w:r>
    </w:p>
    <w:p>
      <w:pPr>
        <w:spacing w:after="0" w:line="123" w:lineRule="exact"/>
        <w:rPr>
          <w:rFonts w:ascii="Arial" w:cs="Arial" w:eastAsia="Arial" w:hAnsi="Arial"/>
          <w:sz w:val="16"/>
          <w:szCs w:val="16"/>
          <w:color w:val="auto"/>
        </w:rPr>
      </w:pPr>
    </w:p>
    <w:p>
      <w:pPr>
        <w:ind w:left="960" w:hanging="561"/>
        <w:spacing w:after="0"/>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920" w:hanging="954"/>
        <w:spacing w:after="0" w:line="207" w:lineRule="exact"/>
        <w:tabs>
          <w:tab w:leader="none" w:pos="1920" w:val="left"/>
        </w:tabs>
        <w:numPr>
          <w:ilvl w:val="1"/>
          <w:numId w:val="6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920" w:hanging="954"/>
        <w:spacing w:after="0" w:line="207" w:lineRule="exact"/>
        <w:tabs>
          <w:tab w:leader="none" w:pos="1920" w:val="left"/>
        </w:tabs>
        <w:numPr>
          <w:ilvl w:val="1"/>
          <w:numId w:val="6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60" w:hanging="561"/>
        <w:spacing w:after="0"/>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60" w:hanging="561"/>
        <w:spacing w:after="0"/>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78" w:lineRule="exact"/>
        <w:rPr>
          <w:rFonts w:ascii="Arial" w:cs="Arial" w:eastAsia="Arial" w:hAnsi="Arial"/>
          <w:sz w:val="18"/>
          <w:szCs w:val="18"/>
          <w:color w:val="auto"/>
        </w:rPr>
      </w:pPr>
    </w:p>
    <w:p>
      <w:pPr>
        <w:ind w:left="960" w:hanging="561"/>
        <w:spacing w:after="0" w:line="207" w:lineRule="exact"/>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hanging="561"/>
        <w:spacing w:after="0"/>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-259080</wp:posOffset>
            </wp:positionV>
            <wp:extent cx="655764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-533400</wp:posOffset>
            </wp:positionV>
            <wp:extent cx="655764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-944880</wp:posOffset>
            </wp:positionV>
            <wp:extent cx="655764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-1219200</wp:posOffset>
            </wp:positionV>
            <wp:extent cx="598360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-1364615</wp:posOffset>
            </wp:positionV>
            <wp:extent cx="598360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-1776095</wp:posOffset>
            </wp:positionV>
            <wp:extent cx="655764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5715</wp:posOffset>
            </wp:positionV>
            <wp:extent cx="655764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9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17,324,848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60" w:hanging="456"/>
        <w:spacing w:after="0"/>
        <w:tabs>
          <w:tab w:leader="none" w:pos="1760" w:val="left"/>
        </w:tabs>
        <w:numPr>
          <w:ilvl w:val="2"/>
          <w:numId w:val="63"/>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60"/>
        <w:spacing w:after="0"/>
        <w:rPr>
          <w:rFonts w:ascii="Arial" w:cs="Arial" w:eastAsia="Arial" w:hAnsi="Arial"/>
          <w:sz w:val="18"/>
          <w:szCs w:val="18"/>
          <w:color w:val="auto"/>
        </w:rPr>
      </w:pPr>
      <w:r>
        <w:rPr>
          <w:rFonts w:ascii="Arial" w:cs="Arial" w:eastAsia="Arial" w:hAnsi="Arial"/>
          <w:sz w:val="18"/>
          <w:szCs w:val="18"/>
          <w:color w:val="auto"/>
        </w:rPr>
        <w:t>17,324,848 (See Items 3, 4, 5 and 6)</w:t>
      </w:r>
    </w:p>
    <w:p>
      <w:pPr>
        <w:spacing w:after="0" w:line="210" w:lineRule="exact"/>
        <w:rPr>
          <w:rFonts w:ascii="Arial" w:cs="Arial" w:eastAsia="Arial" w:hAnsi="Arial"/>
          <w:sz w:val="18"/>
          <w:szCs w:val="18"/>
          <w:color w:val="auto"/>
        </w:rPr>
      </w:pPr>
    </w:p>
    <w:p>
      <w:pPr>
        <w:ind w:left="960" w:right="5480" w:hanging="561"/>
        <w:spacing w:after="0" w:line="277" w:lineRule="auto"/>
        <w:tabs>
          <w:tab w:leader="none" w:pos="9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17,324,848 (See Items 3, 4, 5 and 6)</w:t>
      </w:r>
    </w:p>
    <w:p>
      <w:pPr>
        <w:spacing w:after="0" w:line="137" w:lineRule="exact"/>
        <w:rPr>
          <w:rFonts w:ascii="Arial" w:cs="Arial" w:eastAsia="Arial" w:hAnsi="Arial"/>
          <w:sz w:val="18"/>
          <w:szCs w:val="18"/>
          <w:color w:val="auto"/>
        </w:rPr>
      </w:pPr>
    </w:p>
    <w:p>
      <w:pPr>
        <w:ind w:left="960" w:hanging="561"/>
        <w:spacing w:after="0" w:line="207" w:lineRule="exact"/>
        <w:tabs>
          <w:tab w:leader="none" w:pos="9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hanging="561"/>
        <w:spacing w:after="0"/>
        <w:tabs>
          <w:tab w:leader="none" w:pos="9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20.8%* (See Items 3, 4, 5 and 6)</w:t>
      </w:r>
    </w:p>
    <w:p>
      <w:pPr>
        <w:spacing w:after="0" w:line="210" w:lineRule="exact"/>
        <w:rPr>
          <w:rFonts w:ascii="Arial" w:cs="Arial" w:eastAsia="Arial" w:hAnsi="Arial"/>
          <w:sz w:val="18"/>
          <w:szCs w:val="18"/>
          <w:color w:val="auto"/>
        </w:rPr>
      </w:pPr>
    </w:p>
    <w:p>
      <w:pPr>
        <w:ind w:left="960" w:hanging="561"/>
        <w:spacing w:after="0"/>
        <w:tabs>
          <w:tab w:leader="none" w:pos="9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64" w:lineRule="exact"/>
        <w:rPr>
          <w:rFonts w:ascii="Arial" w:cs="Arial" w:eastAsia="Arial" w:hAnsi="Arial"/>
          <w:sz w:val="18"/>
          <w:szCs w:val="18"/>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of Common Stock is based on 83,319,721 shares of Common Stock outstanding as of October 27, 2020 as disclosed by the Issuer in the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-464820</wp:posOffset>
            </wp:positionV>
            <wp:extent cx="655764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-876300</wp:posOffset>
            </wp:positionV>
            <wp:extent cx="655764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-1287780</wp:posOffset>
            </wp:positionV>
            <wp:extent cx="655764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-1562100</wp:posOffset>
            </wp:positionV>
            <wp:extent cx="655764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-1973580</wp:posOffset>
            </wp:positionV>
            <wp:extent cx="605218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0521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-310515</wp:posOffset>
            </wp:positionV>
            <wp:extent cx="17830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0"/>
          <w:szCs w:val="20"/>
          <w:color w:val="auto"/>
        </w:rPr>
      </w:pPr>
    </w:p>
    <w:p>
      <w:pPr>
        <w:ind w:left="960" w:right="8200" w:hanging="561"/>
        <w:spacing w:after="0" w:line="342" w:lineRule="auto"/>
        <w:tabs>
          <w:tab w:leader="none" w:pos="9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Names of Reporting Persons Ares Partners Holdco LLC</w:t>
      </w:r>
    </w:p>
    <w:p>
      <w:pPr>
        <w:spacing w:after="0" w:line="123" w:lineRule="exact"/>
        <w:rPr>
          <w:rFonts w:ascii="Arial" w:cs="Arial" w:eastAsia="Arial" w:hAnsi="Arial"/>
          <w:sz w:val="16"/>
          <w:szCs w:val="16"/>
          <w:color w:val="auto"/>
        </w:rPr>
      </w:pPr>
    </w:p>
    <w:p>
      <w:pPr>
        <w:ind w:left="960" w:hanging="561"/>
        <w:spacing w:after="0"/>
        <w:tabs>
          <w:tab w:leader="none" w:pos="9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920" w:hanging="954"/>
        <w:spacing w:after="0" w:line="207" w:lineRule="exact"/>
        <w:tabs>
          <w:tab w:leader="none" w:pos="1920" w:val="left"/>
        </w:tabs>
        <w:numPr>
          <w:ilvl w:val="1"/>
          <w:numId w:val="6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920" w:hanging="954"/>
        <w:spacing w:after="0" w:line="207" w:lineRule="exact"/>
        <w:tabs>
          <w:tab w:leader="none" w:pos="1920" w:val="left"/>
        </w:tabs>
        <w:numPr>
          <w:ilvl w:val="1"/>
          <w:numId w:val="6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60" w:hanging="561"/>
        <w:spacing w:after="0"/>
        <w:tabs>
          <w:tab w:leader="none" w:pos="9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60" w:hanging="561"/>
        <w:spacing w:after="0"/>
        <w:tabs>
          <w:tab w:leader="none" w:pos="9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78" w:lineRule="exact"/>
        <w:rPr>
          <w:rFonts w:ascii="Arial" w:cs="Arial" w:eastAsia="Arial" w:hAnsi="Arial"/>
          <w:sz w:val="18"/>
          <w:szCs w:val="18"/>
          <w:color w:val="auto"/>
        </w:rPr>
      </w:pPr>
    </w:p>
    <w:p>
      <w:pPr>
        <w:ind w:left="960" w:hanging="561"/>
        <w:spacing w:after="0" w:line="207" w:lineRule="exact"/>
        <w:tabs>
          <w:tab w:leader="none" w:pos="9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hanging="561"/>
        <w:spacing w:after="0"/>
        <w:tabs>
          <w:tab w:leader="none" w:pos="9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-259080</wp:posOffset>
            </wp:positionV>
            <wp:extent cx="655764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-533400</wp:posOffset>
            </wp:positionV>
            <wp:extent cx="655764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-944880</wp:posOffset>
            </wp:positionV>
            <wp:extent cx="655764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-1219200</wp:posOffset>
            </wp:positionV>
            <wp:extent cx="598360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-1364615</wp:posOffset>
            </wp:positionV>
            <wp:extent cx="598360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-1776095</wp:posOffset>
            </wp:positionV>
            <wp:extent cx="655764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5715</wp:posOffset>
            </wp:positionV>
            <wp:extent cx="655764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9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17,324,848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60" w:hanging="456"/>
        <w:spacing w:after="0"/>
        <w:tabs>
          <w:tab w:leader="none" w:pos="1760" w:val="left"/>
        </w:tabs>
        <w:numPr>
          <w:ilvl w:val="2"/>
          <w:numId w:val="66"/>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60"/>
        <w:spacing w:after="0"/>
        <w:rPr>
          <w:rFonts w:ascii="Arial" w:cs="Arial" w:eastAsia="Arial" w:hAnsi="Arial"/>
          <w:sz w:val="18"/>
          <w:szCs w:val="18"/>
          <w:color w:val="auto"/>
        </w:rPr>
      </w:pPr>
      <w:r>
        <w:rPr>
          <w:rFonts w:ascii="Arial" w:cs="Arial" w:eastAsia="Arial" w:hAnsi="Arial"/>
          <w:sz w:val="18"/>
          <w:szCs w:val="18"/>
          <w:color w:val="auto"/>
        </w:rPr>
        <w:t>17,324,848 (See Items 3, 4, 5 and 6)</w:t>
      </w:r>
    </w:p>
    <w:p>
      <w:pPr>
        <w:spacing w:after="0" w:line="210" w:lineRule="exact"/>
        <w:rPr>
          <w:rFonts w:ascii="Arial" w:cs="Arial" w:eastAsia="Arial" w:hAnsi="Arial"/>
          <w:sz w:val="18"/>
          <w:szCs w:val="18"/>
          <w:color w:val="auto"/>
        </w:rPr>
      </w:pPr>
    </w:p>
    <w:p>
      <w:pPr>
        <w:ind w:left="960" w:right="5480" w:hanging="561"/>
        <w:spacing w:after="0" w:line="277" w:lineRule="auto"/>
        <w:tabs>
          <w:tab w:leader="none" w:pos="9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17,324,848 (See Items 3, 4, 5 and 6)</w:t>
      </w:r>
    </w:p>
    <w:p>
      <w:pPr>
        <w:spacing w:after="0" w:line="137" w:lineRule="exact"/>
        <w:rPr>
          <w:rFonts w:ascii="Arial" w:cs="Arial" w:eastAsia="Arial" w:hAnsi="Arial"/>
          <w:sz w:val="18"/>
          <w:szCs w:val="18"/>
          <w:color w:val="auto"/>
        </w:rPr>
      </w:pPr>
    </w:p>
    <w:p>
      <w:pPr>
        <w:ind w:left="960" w:hanging="561"/>
        <w:spacing w:after="0" w:line="207" w:lineRule="exact"/>
        <w:tabs>
          <w:tab w:leader="none" w:pos="9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hanging="561"/>
        <w:spacing w:after="0"/>
        <w:tabs>
          <w:tab w:leader="none" w:pos="9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20.8%* (See Items 3, 4, 5 and 6)</w:t>
      </w:r>
    </w:p>
    <w:p>
      <w:pPr>
        <w:spacing w:after="0" w:line="210" w:lineRule="exact"/>
        <w:rPr>
          <w:rFonts w:ascii="Arial" w:cs="Arial" w:eastAsia="Arial" w:hAnsi="Arial"/>
          <w:sz w:val="18"/>
          <w:szCs w:val="18"/>
          <w:color w:val="auto"/>
        </w:rPr>
      </w:pPr>
    </w:p>
    <w:p>
      <w:pPr>
        <w:ind w:left="960" w:hanging="561"/>
        <w:spacing w:after="0"/>
        <w:tabs>
          <w:tab w:leader="none" w:pos="9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64" w:lineRule="exact"/>
        <w:rPr>
          <w:rFonts w:ascii="Arial" w:cs="Arial" w:eastAsia="Arial" w:hAnsi="Arial"/>
          <w:sz w:val="18"/>
          <w:szCs w:val="18"/>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of Common Stock is based on 83,319,721 shares of Common Stock outstanding as of October 27, 2020 as disclosed by the Issuer in the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-464820</wp:posOffset>
            </wp:positionV>
            <wp:extent cx="655764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-876300</wp:posOffset>
            </wp:positionV>
            <wp:extent cx="655764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-1287780</wp:posOffset>
            </wp:positionV>
            <wp:extent cx="655764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-1562100</wp:posOffset>
            </wp:positionV>
            <wp:extent cx="655764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-1973580</wp:posOffset>
            </wp:positionV>
            <wp:extent cx="605218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0521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-310515</wp:posOffset>
            </wp:positionV>
            <wp:extent cx="17830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1. Security and Issuer</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statement on Schedule 13D (this “</w:t>
      </w:r>
      <w:r>
        <w:rPr>
          <w:rFonts w:ascii="Arial" w:cs="Arial" w:eastAsia="Arial" w:hAnsi="Arial"/>
          <w:sz w:val="18"/>
          <w:szCs w:val="18"/>
          <w:u w:val="single" w:color="auto"/>
          <w:color w:val="auto"/>
        </w:rPr>
        <w:t>Schedule 13D</w:t>
      </w:r>
      <w:r>
        <w:rPr>
          <w:rFonts w:ascii="Arial" w:cs="Arial" w:eastAsia="Arial" w:hAnsi="Arial"/>
          <w:sz w:val="18"/>
          <w:szCs w:val="18"/>
          <w:color w:val="auto"/>
        </w:rPr>
        <w:t>”) relates to the common stock, par value $0.01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of California Resources Corporation, a Delaware corporation (the “</w:t>
      </w:r>
      <w:r>
        <w:rPr>
          <w:rFonts w:ascii="Arial" w:cs="Arial" w:eastAsia="Arial" w:hAnsi="Arial"/>
          <w:sz w:val="18"/>
          <w:szCs w:val="18"/>
          <w:u w:val="single" w:color="auto"/>
          <w:color w:val="auto"/>
        </w:rPr>
        <w:t>Issuer</w:t>
      </w:r>
      <w:r>
        <w:rPr>
          <w:rFonts w:ascii="Arial" w:cs="Arial" w:eastAsia="Arial" w:hAnsi="Arial"/>
          <w:sz w:val="18"/>
          <w:szCs w:val="18"/>
          <w:color w:val="auto"/>
        </w:rPr>
        <w:t>”). The address of the principal executive offices of the Issuer is 27200 Tourney Road, Suite 200, Santa Clarita, California 91355.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29" w:lineRule="exact"/>
        <w:rPr>
          <w:sz w:val="20"/>
          <w:szCs w:val="20"/>
          <w:color w:val="auto"/>
        </w:rPr>
      </w:pPr>
    </w:p>
    <w:p>
      <w:pPr>
        <w:ind w:left="260" w:hanging="252"/>
        <w:spacing w:after="0"/>
        <w:tabs>
          <w:tab w:leader="none" w:pos="2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This statement is being filed jointly by (i) AF V Energy IV AIV 1A, L.P. (“</w:t>
      </w:r>
      <w:r>
        <w:rPr>
          <w:rFonts w:ascii="Arial" w:cs="Arial" w:eastAsia="Arial" w:hAnsi="Arial"/>
          <w:sz w:val="17"/>
          <w:szCs w:val="17"/>
          <w:u w:val="single" w:color="auto"/>
          <w:color w:val="auto"/>
        </w:rPr>
        <w:t>ACOF AIV 1A</w:t>
      </w:r>
      <w:r>
        <w:rPr>
          <w:rFonts w:ascii="Arial" w:cs="Arial" w:eastAsia="Arial" w:hAnsi="Arial"/>
          <w:sz w:val="17"/>
          <w:szCs w:val="17"/>
          <w:color w:val="auto"/>
        </w:rPr>
        <w:t>”), (ii) AF V Energy IV AIV 1B, L.P. (“</w:t>
      </w:r>
      <w:r>
        <w:rPr>
          <w:rFonts w:ascii="Arial" w:cs="Arial" w:eastAsia="Arial" w:hAnsi="Arial"/>
          <w:sz w:val="17"/>
          <w:szCs w:val="17"/>
          <w:u w:val="single" w:color="auto"/>
          <w:color w:val="auto"/>
        </w:rPr>
        <w:t>ACOF AIV 1B</w:t>
      </w:r>
      <w:r>
        <w:rPr>
          <w:rFonts w:ascii="Arial" w:cs="Arial" w:eastAsia="Arial" w:hAnsi="Arial"/>
          <w:sz w:val="17"/>
          <w:szCs w:val="17"/>
          <w:color w:val="auto"/>
        </w:rPr>
        <w:t>”),</w:t>
      </w:r>
    </w:p>
    <w:p>
      <w:pPr>
        <w:spacing w:after="0" w:line="34" w:lineRule="exact"/>
        <w:rPr>
          <w:rFonts w:ascii="Arial" w:cs="Arial" w:eastAsia="Arial" w:hAnsi="Arial"/>
          <w:sz w:val="17"/>
          <w:szCs w:val="17"/>
          <w:color w:val="auto"/>
        </w:rPr>
      </w:pPr>
    </w:p>
    <w:p>
      <w:pPr>
        <w:jc w:val="both"/>
        <w:ind w:firstLine="8"/>
        <w:spacing w:after="0" w:line="251" w:lineRule="auto"/>
        <w:tabs>
          <w:tab w:leader="none" w:pos="31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AF V Energy IV AIV 2, L.P. (“</w:t>
      </w:r>
      <w:r>
        <w:rPr>
          <w:rFonts w:ascii="Arial" w:cs="Arial" w:eastAsia="Arial" w:hAnsi="Arial"/>
          <w:sz w:val="18"/>
          <w:szCs w:val="18"/>
          <w:u w:val="single" w:color="auto"/>
          <w:color w:val="auto"/>
        </w:rPr>
        <w:t>ACOF AIV 2</w:t>
      </w:r>
      <w:r>
        <w:rPr>
          <w:rFonts w:ascii="Arial" w:cs="Arial" w:eastAsia="Arial" w:hAnsi="Arial"/>
          <w:sz w:val="18"/>
          <w:szCs w:val="18"/>
          <w:color w:val="auto"/>
        </w:rPr>
        <w:t>” and, together with ACOF AIV 1A and ACOF AIV 1B, the “</w:t>
      </w:r>
      <w:r>
        <w:rPr>
          <w:rFonts w:ascii="Arial" w:cs="Arial" w:eastAsia="Arial" w:hAnsi="Arial"/>
          <w:sz w:val="18"/>
          <w:szCs w:val="18"/>
          <w:u w:val="single" w:color="auto"/>
          <w:color w:val="auto"/>
        </w:rPr>
        <w:t>ACOF AIVs</w:t>
      </w:r>
      <w:r>
        <w:rPr>
          <w:rFonts w:ascii="Arial" w:cs="Arial" w:eastAsia="Arial" w:hAnsi="Arial"/>
          <w:sz w:val="18"/>
          <w:szCs w:val="18"/>
          <w:color w:val="auto"/>
        </w:rPr>
        <w:t>”), (iv) AEOF ECR AIV A-B, L.P. (“</w:t>
      </w:r>
      <w:r>
        <w:rPr>
          <w:rFonts w:ascii="Arial" w:cs="Arial" w:eastAsia="Arial" w:hAnsi="Arial"/>
          <w:sz w:val="18"/>
          <w:szCs w:val="18"/>
          <w:u w:val="single" w:color="auto"/>
          <w:color w:val="auto"/>
        </w:rPr>
        <w:t>AEOF AIV A-B</w:t>
      </w:r>
      <w:r>
        <w:rPr>
          <w:rFonts w:ascii="Arial" w:cs="Arial" w:eastAsia="Arial" w:hAnsi="Arial"/>
          <w:sz w:val="18"/>
          <w:szCs w:val="18"/>
          <w:color w:val="auto"/>
        </w:rPr>
        <w:t>”), (v) AEOF ECR AIV C, L.P. (“</w:t>
      </w:r>
      <w:r>
        <w:rPr>
          <w:rFonts w:ascii="Arial" w:cs="Arial" w:eastAsia="Arial" w:hAnsi="Arial"/>
          <w:sz w:val="18"/>
          <w:szCs w:val="18"/>
          <w:u w:val="single" w:color="auto"/>
          <w:color w:val="auto"/>
        </w:rPr>
        <w:t>AEOF AIV C</w:t>
      </w:r>
      <w:r>
        <w:rPr>
          <w:rFonts w:ascii="Arial" w:cs="Arial" w:eastAsia="Arial" w:hAnsi="Arial"/>
          <w:sz w:val="18"/>
          <w:szCs w:val="18"/>
          <w:color w:val="auto"/>
        </w:rPr>
        <w:t>” and, together with AEOF AIV A-B, the “</w:t>
      </w:r>
      <w:r>
        <w:rPr>
          <w:rFonts w:ascii="Arial" w:cs="Arial" w:eastAsia="Arial" w:hAnsi="Arial"/>
          <w:sz w:val="18"/>
          <w:szCs w:val="18"/>
          <w:u w:val="single" w:color="auto"/>
          <w:color w:val="auto"/>
        </w:rPr>
        <w:t>AEOF AIVs</w:t>
      </w:r>
      <w:r>
        <w:rPr>
          <w:rFonts w:ascii="Arial" w:cs="Arial" w:eastAsia="Arial" w:hAnsi="Arial"/>
          <w:sz w:val="18"/>
          <w:szCs w:val="18"/>
          <w:color w:val="auto"/>
        </w:rPr>
        <w:t>”), (vi) AF Energy Feeder, L.P., (vii) ACOF Investment Management LLC (“</w:t>
      </w:r>
      <w:r>
        <w:rPr>
          <w:rFonts w:ascii="Arial" w:cs="Arial" w:eastAsia="Arial" w:hAnsi="Arial"/>
          <w:sz w:val="18"/>
          <w:szCs w:val="18"/>
          <w:u w:val="single" w:color="auto"/>
          <w:color w:val="auto"/>
        </w:rPr>
        <w:t>ACOF Investment Management</w:t>
      </w:r>
      <w:r>
        <w:rPr>
          <w:rFonts w:ascii="Arial" w:cs="Arial" w:eastAsia="Arial" w:hAnsi="Arial"/>
          <w:sz w:val="18"/>
          <w:szCs w:val="18"/>
          <w:color w:val="auto"/>
        </w:rPr>
        <w:t>”), (viii) SSF IV Energy I AIV 1A, L.P. (“</w:t>
      </w:r>
      <w:r>
        <w:rPr>
          <w:rFonts w:ascii="Arial" w:cs="Arial" w:eastAsia="Arial" w:hAnsi="Arial"/>
          <w:sz w:val="18"/>
          <w:szCs w:val="18"/>
          <w:u w:val="single" w:color="auto"/>
          <w:color w:val="auto"/>
        </w:rPr>
        <w:t>SSF AIV 1A</w:t>
      </w:r>
      <w:r>
        <w:rPr>
          <w:rFonts w:ascii="Arial" w:cs="Arial" w:eastAsia="Arial" w:hAnsi="Arial"/>
          <w:sz w:val="18"/>
          <w:szCs w:val="18"/>
          <w:color w:val="auto"/>
        </w:rPr>
        <w:t>”), (ix) SSF IV Energy I AIV 1B, L.P. (“</w:t>
      </w:r>
      <w:r>
        <w:rPr>
          <w:rFonts w:ascii="Arial" w:cs="Arial" w:eastAsia="Arial" w:hAnsi="Arial"/>
          <w:sz w:val="18"/>
          <w:szCs w:val="18"/>
          <w:u w:val="single" w:color="auto"/>
          <w:color w:val="auto"/>
        </w:rPr>
        <w:t>SSF AIV 1B</w:t>
      </w:r>
      <w:r>
        <w:rPr>
          <w:rFonts w:ascii="Arial" w:cs="Arial" w:eastAsia="Arial" w:hAnsi="Arial"/>
          <w:sz w:val="18"/>
          <w:szCs w:val="18"/>
          <w:color w:val="auto"/>
        </w:rPr>
        <w:t>”), (x) SSF IV Energy I AIV 2, L.P. (“</w:t>
      </w:r>
      <w:r>
        <w:rPr>
          <w:rFonts w:ascii="Arial" w:cs="Arial" w:eastAsia="Arial" w:hAnsi="Arial"/>
          <w:sz w:val="18"/>
          <w:szCs w:val="18"/>
          <w:u w:val="single" w:color="auto"/>
          <w:color w:val="auto"/>
        </w:rPr>
        <w:t>SSF AIV 2</w:t>
      </w:r>
      <w:r>
        <w:rPr>
          <w:rFonts w:ascii="Arial" w:cs="Arial" w:eastAsia="Arial" w:hAnsi="Arial"/>
          <w:sz w:val="18"/>
          <w:szCs w:val="18"/>
          <w:color w:val="auto"/>
        </w:rPr>
        <w:t>” and, together with SSF AIV 1A and SSF AIV 1B, the “</w:t>
      </w:r>
      <w:r>
        <w:rPr>
          <w:rFonts w:ascii="Arial" w:cs="Arial" w:eastAsia="Arial" w:hAnsi="Arial"/>
          <w:sz w:val="18"/>
          <w:szCs w:val="18"/>
          <w:u w:val="single" w:color="auto"/>
          <w:color w:val="auto"/>
        </w:rPr>
        <w:t>SSF</w:t>
      </w:r>
      <w:r>
        <w:rPr>
          <w:rFonts w:ascii="Arial" w:cs="Arial" w:eastAsia="Arial" w:hAnsi="Arial"/>
          <w:sz w:val="18"/>
          <w:szCs w:val="18"/>
          <w:color w:val="auto"/>
        </w:rPr>
        <w:t xml:space="preserve"> </w:t>
      </w:r>
      <w:r>
        <w:rPr>
          <w:rFonts w:ascii="Arial" w:cs="Arial" w:eastAsia="Arial" w:hAnsi="Arial"/>
          <w:sz w:val="18"/>
          <w:szCs w:val="18"/>
          <w:u w:val="single" w:color="auto"/>
          <w:color w:val="auto"/>
        </w:rPr>
        <w:t>AIVs</w:t>
      </w:r>
      <w:r>
        <w:rPr>
          <w:rFonts w:ascii="Arial" w:cs="Arial" w:eastAsia="Arial" w:hAnsi="Arial"/>
          <w:sz w:val="18"/>
          <w:szCs w:val="18"/>
          <w:color w:val="auto"/>
        </w:rPr>
        <w:t>”), (xi) ASSF Operating Manager IV, L.P. (“</w:t>
      </w:r>
      <w:r>
        <w:rPr>
          <w:rFonts w:ascii="Arial" w:cs="Arial" w:eastAsia="Arial" w:hAnsi="Arial"/>
          <w:sz w:val="18"/>
          <w:szCs w:val="18"/>
          <w:u w:val="single" w:color="auto"/>
          <w:color w:val="auto"/>
        </w:rPr>
        <w:t>ASSF Operating Manager IV</w:t>
      </w:r>
      <w:r>
        <w:rPr>
          <w:rFonts w:ascii="Arial" w:cs="Arial" w:eastAsia="Arial" w:hAnsi="Arial"/>
          <w:sz w:val="18"/>
          <w:szCs w:val="18"/>
          <w:color w:val="auto"/>
        </w:rPr>
        <w:t>”), (xii) Ares Management LLC, (xiii) Ares Management Holdings L.P. (“</w:t>
      </w:r>
      <w:r>
        <w:rPr>
          <w:rFonts w:ascii="Arial" w:cs="Arial" w:eastAsia="Arial" w:hAnsi="Arial"/>
          <w:sz w:val="18"/>
          <w:szCs w:val="18"/>
          <w:u w:val="single" w:color="auto"/>
          <w:color w:val="auto"/>
        </w:rPr>
        <w:t>Ares Management Holdings</w:t>
      </w:r>
      <w:r>
        <w:rPr>
          <w:rFonts w:ascii="Arial" w:cs="Arial" w:eastAsia="Arial" w:hAnsi="Arial"/>
          <w:sz w:val="18"/>
          <w:szCs w:val="18"/>
          <w:color w:val="auto"/>
        </w:rPr>
        <w:t>”), (xiv) Ares Holdco LLC (“</w:t>
      </w:r>
      <w:r>
        <w:rPr>
          <w:rFonts w:ascii="Arial" w:cs="Arial" w:eastAsia="Arial" w:hAnsi="Arial"/>
          <w:sz w:val="18"/>
          <w:szCs w:val="18"/>
          <w:u w:val="single" w:color="auto"/>
          <w:color w:val="auto"/>
        </w:rPr>
        <w:t>Ares Holdco</w:t>
      </w:r>
      <w:r>
        <w:rPr>
          <w:rFonts w:ascii="Arial" w:cs="Arial" w:eastAsia="Arial" w:hAnsi="Arial"/>
          <w:sz w:val="18"/>
          <w:szCs w:val="18"/>
          <w:color w:val="auto"/>
        </w:rPr>
        <w:t>”), (xv) Ares Holdings Inc. (“</w:t>
      </w:r>
      <w:r>
        <w:rPr>
          <w:rFonts w:ascii="Arial" w:cs="Arial" w:eastAsia="Arial" w:hAnsi="Arial"/>
          <w:sz w:val="18"/>
          <w:szCs w:val="18"/>
          <w:u w:val="single" w:color="auto"/>
          <w:color w:val="auto"/>
        </w:rPr>
        <w:t>Ares Holdings</w:t>
      </w:r>
      <w:r>
        <w:rPr>
          <w:rFonts w:ascii="Arial" w:cs="Arial" w:eastAsia="Arial" w:hAnsi="Arial"/>
          <w:sz w:val="18"/>
          <w:szCs w:val="18"/>
          <w:color w:val="auto"/>
        </w:rPr>
        <w:t>”), (xvi) Ares Management Corporation (“</w:t>
      </w:r>
      <w:r>
        <w:rPr>
          <w:rFonts w:ascii="Arial" w:cs="Arial" w:eastAsia="Arial" w:hAnsi="Arial"/>
          <w:sz w:val="18"/>
          <w:szCs w:val="18"/>
          <w:u w:val="single" w:color="auto"/>
          <w:color w:val="auto"/>
        </w:rPr>
        <w:t>Ares Management</w:t>
      </w:r>
      <w:r>
        <w:rPr>
          <w:rFonts w:ascii="Arial" w:cs="Arial" w:eastAsia="Arial" w:hAnsi="Arial"/>
          <w:sz w:val="18"/>
          <w:szCs w:val="18"/>
          <w:color w:val="auto"/>
        </w:rPr>
        <w:t>”), (xvii) Ares Voting LLC (“</w:t>
      </w:r>
      <w:r>
        <w:rPr>
          <w:rFonts w:ascii="Arial" w:cs="Arial" w:eastAsia="Arial" w:hAnsi="Arial"/>
          <w:sz w:val="18"/>
          <w:szCs w:val="18"/>
          <w:u w:val="single" w:color="auto"/>
          <w:color w:val="auto"/>
        </w:rPr>
        <w:t>Ares Voting</w:t>
      </w:r>
      <w:r>
        <w:rPr>
          <w:rFonts w:ascii="Arial" w:cs="Arial" w:eastAsia="Arial" w:hAnsi="Arial"/>
          <w:sz w:val="18"/>
          <w:szCs w:val="18"/>
          <w:color w:val="auto"/>
        </w:rPr>
        <w:t>”), (xviii) Ares Management GP LLC (“</w:t>
      </w:r>
      <w:r>
        <w:rPr>
          <w:rFonts w:ascii="Arial" w:cs="Arial" w:eastAsia="Arial" w:hAnsi="Arial"/>
          <w:sz w:val="18"/>
          <w:szCs w:val="18"/>
          <w:u w:val="single" w:color="auto"/>
          <w:color w:val="auto"/>
        </w:rPr>
        <w:t>Ares Management GP</w:t>
      </w:r>
      <w:r>
        <w:rPr>
          <w:rFonts w:ascii="Arial" w:cs="Arial" w:eastAsia="Arial" w:hAnsi="Arial"/>
          <w:sz w:val="18"/>
          <w:szCs w:val="18"/>
          <w:color w:val="auto"/>
        </w:rPr>
        <w:t>”) and (xix) Ares Partners Holdco LLC (“</w:t>
      </w:r>
      <w:r>
        <w:rPr>
          <w:rFonts w:ascii="Arial" w:cs="Arial" w:eastAsia="Arial" w:hAnsi="Arial"/>
          <w:sz w:val="18"/>
          <w:szCs w:val="18"/>
          <w:u w:val="single" w:color="auto"/>
          <w:color w:val="auto"/>
        </w:rPr>
        <w:t>Ares Partners</w:t>
      </w:r>
      <w:r>
        <w:rPr>
          <w:rFonts w:ascii="Arial" w:cs="Arial" w:eastAsia="Arial" w:hAnsi="Arial"/>
          <w:sz w:val="18"/>
          <w:szCs w:val="18"/>
          <w:color w:val="auto"/>
        </w:rPr>
        <w:t>”) (collectively, the “</w:t>
      </w:r>
      <w:r>
        <w:rPr>
          <w:rFonts w:ascii="Arial" w:cs="Arial" w:eastAsia="Arial" w:hAnsi="Arial"/>
          <w:sz w:val="18"/>
          <w:szCs w:val="18"/>
          <w:u w:val="single" w:color="auto"/>
          <w:color w:val="auto"/>
        </w:rPr>
        <w:t>Reporting Persons</w:t>
      </w:r>
      <w:r>
        <w:rPr>
          <w:rFonts w:ascii="Arial" w:cs="Arial" w:eastAsia="Arial" w:hAnsi="Arial"/>
          <w:sz w:val="18"/>
          <w:szCs w:val="18"/>
          <w:color w:val="auto"/>
        </w:rPr>
        <w:t xml:space="preserve">”). The Reporting Persons have entered into a joint filing agreement, dated as of November 6, 2020, a copy of which is attached to this Schedule 13D as </w:t>
      </w:r>
      <w:r>
        <w:rPr>
          <w:rFonts w:ascii="Arial" w:cs="Arial" w:eastAsia="Arial" w:hAnsi="Arial"/>
          <w:sz w:val="18"/>
          <w:szCs w:val="18"/>
          <w:u w:val="single" w:color="auto"/>
          <w:color w:val="auto"/>
        </w:rPr>
        <w:t>Exhibit 99.1</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jc w:val="both"/>
        <w:ind w:firstLine="8"/>
        <w:spacing w:after="0" w:line="263" w:lineRule="auto"/>
        <w:tabs>
          <w:tab w:leader="none" w:pos="276"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The address of the principal office of each of the Reporting Persons, the Board Members (as defined below) and the other individuals set forth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of this Schedule 13D (such other individuals, together with the Board Members, the “</w:t>
      </w:r>
      <w:r>
        <w:rPr>
          <w:rFonts w:ascii="Arial" w:cs="Arial" w:eastAsia="Arial" w:hAnsi="Arial"/>
          <w:sz w:val="18"/>
          <w:szCs w:val="18"/>
          <w:u w:val="single" w:color="auto"/>
          <w:color w:val="auto"/>
        </w:rPr>
        <w:t>Managers</w:t>
      </w:r>
      <w:r>
        <w:rPr>
          <w:rFonts w:ascii="Arial" w:cs="Arial" w:eastAsia="Arial" w:hAnsi="Arial"/>
          <w:sz w:val="18"/>
          <w:szCs w:val="18"/>
          <w:color w:val="auto"/>
        </w:rPr>
        <w:t>”) is c/o Ares Management LLC, 2000 Avenue of the Stars, 12th Floor, Los Angeles, California 90067.</w:t>
      </w:r>
    </w:p>
    <w:p>
      <w:pPr>
        <w:spacing w:after="0" w:line="183" w:lineRule="exact"/>
        <w:rPr>
          <w:rFonts w:ascii="Arial" w:cs="Arial" w:eastAsia="Arial" w:hAnsi="Arial"/>
          <w:sz w:val="18"/>
          <w:szCs w:val="18"/>
          <w:color w:val="auto"/>
        </w:rPr>
      </w:pPr>
    </w:p>
    <w:p>
      <w:pPr>
        <w:jc w:val="both"/>
        <w:ind w:firstLine="8"/>
        <w:spacing w:after="0" w:line="286" w:lineRule="auto"/>
        <w:tabs>
          <w:tab w:leader="none" w:pos="272"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Reporting Persons are either holding companies without operations, or are principally engaged in the business of investment management or making, purchasing, selling and holding investments. ACOF Investment Management is the manager of each of the ACOF AIVs, the AEOF AIVs and AF Energy Feeder, L.P., and the sole member of ACOF Investment Management is Ares Management LLC. ASSF Operating Manager IV is the manager of the SSF AIVs, and the general partner of ASSF Operating Manager IV is Ares Management LLC. The sole member of Ares Management LLC is Ares Management Holdings, and the general partner of Ares Management Holdings is Ares Holdco. The sole member of Ares Holdco is Ares Holdings. The sole stockholder of Ares Holdings is Ares Management. Ares Management GP is the sole holder of the Class B common stock, $0.01 par value per share, of Ares Management (the “</w:t>
      </w:r>
      <w:r>
        <w:rPr>
          <w:rFonts w:ascii="Arial" w:cs="Arial" w:eastAsia="Arial" w:hAnsi="Arial"/>
          <w:sz w:val="16"/>
          <w:szCs w:val="16"/>
          <w:u w:val="single" w:color="auto"/>
          <w:color w:val="auto"/>
        </w:rPr>
        <w:t>Class B Common Stock</w:t>
      </w:r>
      <w:r>
        <w:rPr>
          <w:rFonts w:ascii="Arial" w:cs="Arial" w:eastAsia="Arial" w:hAnsi="Arial"/>
          <w:sz w:val="16"/>
          <w:szCs w:val="16"/>
          <w:color w:val="auto"/>
        </w:rPr>
        <w:t>”) and Ares Voting is the sole holder of the Class C common stock, $0.01 par value per share, of Ares Management (the “</w:t>
      </w:r>
      <w:r>
        <w:rPr>
          <w:rFonts w:ascii="Arial" w:cs="Arial" w:eastAsia="Arial" w:hAnsi="Arial"/>
          <w:sz w:val="16"/>
          <w:szCs w:val="16"/>
          <w:u w:val="single" w:color="auto"/>
          <w:color w:val="auto"/>
        </w:rPr>
        <w:t>Class C Common Stock</w:t>
      </w:r>
      <w:r>
        <w:rPr>
          <w:rFonts w:ascii="Arial" w:cs="Arial" w:eastAsia="Arial" w:hAnsi="Arial"/>
          <w:sz w:val="16"/>
          <w:szCs w:val="16"/>
          <w:color w:val="auto"/>
        </w:rPr>
        <w:t xml:space="preserve">”). Pursuant to Ares Management’s Certificate of Incorporation in effect as of the date of this Schedule 13D, the holders of the Class B Common Stock and the Class C Common Stock, collectively, will generally have the majority of the votes on any matter submitted to the stockholders of Ares Management if certain conditions are met. The officers and directors of Ares Management and their principal occupations are set forth in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to this Schedule 13D. The sole member of both Ares Management GP and Ares Voting is Ares Partners. Ares Partners is managed by a board of managers, which is composed of Michael J Arougheti, Ryan Berry, R. Kipp deVeer, David B. Kaplan, Michael R. McFerran, Antony P. Ressler and Bennett Rosenthal (collectively, the “</w:t>
      </w:r>
      <w:r>
        <w:rPr>
          <w:rFonts w:ascii="Arial" w:cs="Arial" w:eastAsia="Arial" w:hAnsi="Arial"/>
          <w:sz w:val="16"/>
          <w:szCs w:val="16"/>
          <w:u w:val="single" w:color="auto"/>
          <w:color w:val="auto"/>
        </w:rPr>
        <w:t>Board Members</w:t>
      </w:r>
      <w:r>
        <w:rPr>
          <w:rFonts w:ascii="Arial" w:cs="Arial" w:eastAsia="Arial" w:hAnsi="Arial"/>
          <w:sz w:val="16"/>
          <w:szCs w:val="16"/>
          <w:color w:val="auto"/>
        </w:rPr>
        <w:t xml:space="preserve">”). Mr. Ressler generally has veto authority over decisions by the Board Members. The present principal occupation of each of the Board Members is set forth in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to this Schedule 13D.</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of the Reporting Persons (other than the ACOF AIVs, the AEOF AIVs, the SSF AIVs and AF Energy Feeder, L.P., in each case, solely with respect to the shares of Common Stock held directly by each such Reporting Person), the Managers, and the other directors, officers, partners, stockholders, members and managers of the Reporting Persons, expressly disclaims beneficial ownership of the Common Stock for purposes of Section 13(d) of the Act and the rules under Section 13(d) of the Act.</w:t>
      </w:r>
    </w:p>
    <w:p>
      <w:pPr>
        <w:spacing w:after="0" w:line="187" w:lineRule="exact"/>
        <w:rPr>
          <w:sz w:val="20"/>
          <w:szCs w:val="20"/>
          <w:color w:val="auto"/>
        </w:rPr>
      </w:pPr>
    </w:p>
    <w:p>
      <w:pPr>
        <w:ind w:right="20" w:firstLine="8"/>
        <w:spacing w:after="0" w:line="277" w:lineRule="auto"/>
        <w:tabs>
          <w:tab w:leader="none" w:pos="2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During the last five years, none of the Reporting Persons or the Managers have been convicted in any criminal proceeding (excluding traffic violations or similar misdemeanors).</w:t>
      </w:r>
    </w:p>
    <w:p>
      <w:pPr>
        <w:spacing w:after="0" w:line="170" w:lineRule="exact"/>
        <w:rPr>
          <w:rFonts w:ascii="Arial" w:cs="Arial" w:eastAsia="Arial" w:hAnsi="Arial"/>
          <w:sz w:val="18"/>
          <w:szCs w:val="18"/>
          <w:color w:val="auto"/>
        </w:rPr>
      </w:pPr>
    </w:p>
    <w:p>
      <w:pPr>
        <w:jc w:val="both"/>
        <w:ind w:firstLine="8"/>
        <w:spacing w:after="0" w:line="286" w:lineRule="auto"/>
        <w:tabs>
          <w:tab w:leader="none" w:pos="248" w:val="left"/>
        </w:tabs>
        <w:numPr>
          <w:ilvl w:val="0"/>
          <w:numId w:val="71"/>
        </w:numPr>
        <w:rPr>
          <w:rFonts w:ascii="Arial" w:cs="Arial" w:eastAsia="Arial" w:hAnsi="Arial"/>
          <w:sz w:val="17"/>
          <w:szCs w:val="17"/>
          <w:color w:val="auto"/>
        </w:rPr>
      </w:pPr>
      <w:r>
        <w:rPr>
          <w:rFonts w:ascii="Arial" w:cs="Arial" w:eastAsia="Arial" w:hAnsi="Arial"/>
          <w:sz w:val="17"/>
          <w:szCs w:val="17"/>
          <w:color w:val="auto"/>
        </w:rPr>
        <w:t>During the last five years, none of the Reporting Persons or the Managers have been a party to a civil proceeding of a judicial or administrative body of competent jurisdiction as a result of which proceeding he or she was or is subject to a judgment, decree or final order enjoining future violations of, or prohibiting or mandating activities subject to, federal or state securities laws or finding any violation with respect to such laws.</w:t>
      </w:r>
    </w:p>
    <w:p>
      <w:pPr>
        <w:spacing w:after="0" w:line="165" w:lineRule="exact"/>
        <w:rPr>
          <w:rFonts w:ascii="Arial" w:cs="Arial" w:eastAsia="Arial" w:hAnsi="Arial"/>
          <w:sz w:val="17"/>
          <w:szCs w:val="17"/>
          <w:color w:val="auto"/>
        </w:rPr>
      </w:pPr>
    </w:p>
    <w:p>
      <w:pPr>
        <w:ind w:firstLine="8"/>
        <w:spacing w:after="0" w:line="277" w:lineRule="auto"/>
        <w:tabs>
          <w:tab w:leader="none" w:pos="2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Each of the Reporting Persons is organized in the State of Delaware. Each of the Managers, other than Ryan Berry, is a citizen of the United States. Ryan Berry is a citizen of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15, 2020 (the “</w:t>
      </w:r>
      <w:r>
        <w:rPr>
          <w:rFonts w:ascii="Arial" w:cs="Arial" w:eastAsia="Arial" w:hAnsi="Arial"/>
          <w:sz w:val="18"/>
          <w:szCs w:val="18"/>
          <w:u w:val="single" w:color="auto"/>
          <w:color w:val="auto"/>
        </w:rPr>
        <w:t>Petition Date</w:t>
      </w:r>
      <w:r>
        <w:rPr>
          <w:rFonts w:ascii="Arial" w:cs="Arial" w:eastAsia="Arial" w:hAnsi="Arial"/>
          <w:sz w:val="18"/>
          <w:szCs w:val="18"/>
          <w:color w:val="auto"/>
        </w:rPr>
        <w:t>”), the Issuer and certain of its subsidiaries filed voluntary petitions for relief under Chapter 11 of the United States Code, 11 U.S.C. §§ 101-1532 in the United States Bankruptcy Court for the Southern District of Texas (the “</w:t>
      </w:r>
      <w:r>
        <w:rPr>
          <w:rFonts w:ascii="Arial" w:cs="Arial" w:eastAsia="Arial" w:hAnsi="Arial"/>
          <w:sz w:val="18"/>
          <w:szCs w:val="18"/>
          <w:u w:val="single" w:color="auto"/>
          <w:color w:val="auto"/>
        </w:rPr>
        <w:t>Bankruptcy Court</w:t>
      </w:r>
      <w:r>
        <w:rPr>
          <w:rFonts w:ascii="Arial" w:cs="Arial" w:eastAsia="Arial" w:hAnsi="Arial"/>
          <w:sz w:val="18"/>
          <w:szCs w:val="18"/>
          <w:color w:val="auto"/>
        </w:rPr>
        <w:t xml:space="preserve">”). On July 24, 2020, the Issuer filed with the Bankruptcy Court the </w:t>
      </w:r>
      <w:r>
        <w:rPr>
          <w:rFonts w:ascii="Arial" w:cs="Arial" w:eastAsia="Arial" w:hAnsi="Arial"/>
          <w:sz w:val="18"/>
          <w:szCs w:val="18"/>
          <w:i w:val="1"/>
          <w:iCs w:val="1"/>
          <w:color w:val="auto"/>
        </w:rPr>
        <w:t>Debtors’ Joint Plan of Reorganization Under Chapter 11 of the Bankruptcy Code</w:t>
      </w:r>
      <w:r>
        <w:rPr>
          <w:rFonts w:ascii="Arial" w:cs="Arial" w:eastAsia="Arial" w:hAnsi="Arial"/>
          <w:sz w:val="18"/>
          <w:szCs w:val="18"/>
          <w:color w:val="auto"/>
        </w:rPr>
        <w:t xml:space="preserve"> and, on October 8, 2020, the </w:t>
      </w:r>
      <w:r>
        <w:rPr>
          <w:rFonts w:ascii="Arial" w:cs="Arial" w:eastAsia="Arial" w:hAnsi="Arial"/>
          <w:sz w:val="18"/>
          <w:szCs w:val="18"/>
          <w:i w:val="1"/>
          <w:iCs w:val="1"/>
          <w:color w:val="auto"/>
        </w:rPr>
        <w:t xml:space="preserve">Amended Debtors’ Joint Plan of Reorganization Under Chapter 11 of the Bankruptcy Code </w:t>
      </w:r>
      <w:r>
        <w:rPr>
          <w:rFonts w:ascii="Arial" w:cs="Arial" w:eastAsia="Arial" w:hAnsi="Arial"/>
          <w:sz w:val="18"/>
          <w:szCs w:val="18"/>
          <w:color w:val="auto"/>
        </w:rPr>
        <w:t>(the “</w:t>
      </w:r>
      <w:r>
        <w:rPr>
          <w:rFonts w:ascii="Arial" w:cs="Arial" w:eastAsia="Arial" w:hAnsi="Arial"/>
          <w:sz w:val="18"/>
          <w:szCs w:val="18"/>
          <w:u w:val="single" w:color="auto"/>
          <w:color w:val="auto"/>
        </w:rPr>
        <w:t>Plan</w:t>
      </w:r>
      <w:r>
        <w:rPr>
          <w:rFonts w:ascii="Arial" w:cs="Arial" w:eastAsia="Arial" w:hAnsi="Arial"/>
          <w:sz w:val="18"/>
          <w:szCs w:val="18"/>
          <w:color w:val="auto"/>
        </w:rPr>
        <w:t>”). On October 13, 2020, the Bankruptcy Court</w:t>
      </w:r>
      <w:r>
        <w:rPr>
          <w:rFonts w:ascii="Arial" w:cs="Arial" w:eastAsia="Arial" w:hAnsi="Arial"/>
          <w:sz w:val="18"/>
          <w:szCs w:val="18"/>
          <w:i w:val="1"/>
          <w:iCs w:val="1"/>
          <w:color w:val="auto"/>
        </w:rPr>
        <w:t xml:space="preserve"> </w:t>
      </w:r>
      <w:r>
        <w:rPr>
          <w:rFonts w:ascii="Arial" w:cs="Arial" w:eastAsia="Arial" w:hAnsi="Arial"/>
          <w:sz w:val="18"/>
          <w:szCs w:val="18"/>
          <w:color w:val="auto"/>
        </w:rPr>
        <w:t>entered an order (the “</w:t>
      </w:r>
      <w:r>
        <w:rPr>
          <w:rFonts w:ascii="Arial" w:cs="Arial" w:eastAsia="Arial" w:hAnsi="Arial"/>
          <w:sz w:val="18"/>
          <w:szCs w:val="18"/>
          <w:u w:val="single" w:color="auto"/>
          <w:color w:val="auto"/>
        </w:rPr>
        <w:t>Confirmation Order</w:t>
      </w:r>
      <w:r>
        <w:rPr>
          <w:rFonts w:ascii="Arial" w:cs="Arial" w:eastAsia="Arial" w:hAnsi="Arial"/>
          <w:sz w:val="18"/>
          <w:szCs w:val="18"/>
          <w:color w:val="auto"/>
        </w:rPr>
        <w:t>”) confirming the Plan. On October 27, 2020 (the “</w:t>
      </w:r>
      <w:r>
        <w:rPr>
          <w:rFonts w:ascii="Arial" w:cs="Arial" w:eastAsia="Arial" w:hAnsi="Arial"/>
          <w:sz w:val="18"/>
          <w:szCs w:val="18"/>
          <w:u w:val="single" w:color="auto"/>
          <w:color w:val="auto"/>
        </w:rPr>
        <w:t>Effective Date</w:t>
      </w:r>
      <w:r>
        <w:rPr>
          <w:rFonts w:ascii="Arial" w:cs="Arial" w:eastAsia="Arial" w:hAnsi="Arial"/>
          <w:sz w:val="18"/>
          <w:szCs w:val="18"/>
          <w:color w:val="auto"/>
        </w:rPr>
        <w:t>”), the conditions to effectiveness of the Plan were satisfied or waived and the Issuer emerged from Chapter 11.</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the Petition Date, prior to the commencement of the Issuer’s Chapter 11 case, the Issuer, California Elk Hills, LLC (“</w:t>
      </w:r>
      <w:r>
        <w:rPr>
          <w:rFonts w:ascii="Arial" w:cs="Arial" w:eastAsia="Arial" w:hAnsi="Arial"/>
          <w:sz w:val="17"/>
          <w:szCs w:val="17"/>
          <w:u w:val="single" w:color="auto"/>
          <w:color w:val="auto"/>
        </w:rPr>
        <w:t>CREH</w:t>
      </w:r>
      <w:r>
        <w:rPr>
          <w:rFonts w:ascii="Arial" w:cs="Arial" w:eastAsia="Arial" w:hAnsi="Arial"/>
          <w:sz w:val="17"/>
          <w:szCs w:val="17"/>
          <w:color w:val="auto"/>
        </w:rPr>
        <w:t>”), Elk Hills Power, LLC, a midstream joint venture entity which holds the Issuer’s Elk Hills power plant and a cryogenic gas processing plant (“</w:t>
      </w:r>
      <w:r>
        <w:rPr>
          <w:rFonts w:ascii="Arial" w:cs="Arial" w:eastAsia="Arial" w:hAnsi="Arial"/>
          <w:sz w:val="17"/>
          <w:szCs w:val="17"/>
          <w:u w:val="single" w:color="auto"/>
          <w:color w:val="auto"/>
        </w:rPr>
        <w:t>Elk Hills Power</w:t>
      </w:r>
      <w:r>
        <w:rPr>
          <w:rFonts w:ascii="Arial" w:cs="Arial" w:eastAsia="Arial" w:hAnsi="Arial"/>
          <w:sz w:val="17"/>
          <w:szCs w:val="17"/>
          <w:color w:val="auto"/>
        </w:rPr>
        <w:t>”), ECR Corporate Holdings L.P. (“</w:t>
      </w:r>
      <w:r>
        <w:rPr>
          <w:rFonts w:ascii="Arial" w:cs="Arial" w:eastAsia="Arial" w:hAnsi="Arial"/>
          <w:sz w:val="17"/>
          <w:szCs w:val="17"/>
          <w:u w:val="single" w:color="auto"/>
          <w:color w:val="auto"/>
        </w:rPr>
        <w:t>ECR</w:t>
      </w:r>
      <w:r>
        <w:rPr>
          <w:rFonts w:ascii="Arial" w:cs="Arial" w:eastAsia="Arial" w:hAnsi="Arial"/>
          <w:sz w:val="17"/>
          <w:szCs w:val="17"/>
          <w:color w:val="auto"/>
        </w:rPr>
        <w:t>”) and certain affiliates of Ares Management LLC entered into a Settlement and Assumption Agreement (the “</w:t>
      </w:r>
      <w:r>
        <w:rPr>
          <w:rFonts w:ascii="Arial" w:cs="Arial" w:eastAsia="Arial" w:hAnsi="Arial"/>
          <w:sz w:val="17"/>
          <w:szCs w:val="17"/>
          <w:u w:val="single" w:color="auto"/>
          <w:color w:val="auto"/>
        </w:rPr>
        <w:t>Elk Hills Settlement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pursuant to which the Issuer obtained the right to acquire all (but not less than all) of the equity interests of Elk Hills Power owned by ECR in exchange for shares of Common Stock (all of which were issued to ECR) and certain Eligible Notes (as defined below) (the “</w:t>
      </w:r>
      <w:r>
        <w:rPr>
          <w:rFonts w:ascii="Arial" w:cs="Arial" w:eastAsia="Arial" w:hAnsi="Arial"/>
          <w:sz w:val="17"/>
          <w:szCs w:val="17"/>
          <w:u w:val="single" w:color="auto"/>
          <w:color w:val="auto"/>
        </w:rPr>
        <w:t>Conversion Right</w:t>
      </w:r>
      <w:r>
        <w:rPr>
          <w:rFonts w:ascii="Arial" w:cs="Arial" w:eastAsia="Arial" w:hAnsi="Arial"/>
          <w:sz w:val="17"/>
          <w:szCs w:val="17"/>
          <w:color w:val="auto"/>
        </w:rPr>
        <w:t>”). Pursuant to the Confirmation Order, the Issuer was deemed to have exercised the Conversion Right on the Effective Date, and, as a result of such deemed exercise, the Issuer acquired all of the equity interests of Elk Hills Power owned by ECR in exchange for the issuance of 17,324,848 shares of Common Stock (the “</w:t>
      </w:r>
      <w:r>
        <w:rPr>
          <w:rFonts w:ascii="Arial" w:cs="Arial" w:eastAsia="Arial" w:hAnsi="Arial"/>
          <w:sz w:val="17"/>
          <w:szCs w:val="17"/>
          <w:u w:val="single" w:color="auto"/>
          <w:color w:val="auto"/>
        </w:rPr>
        <w:t>Subject Shares</w:t>
      </w:r>
      <w:r>
        <w:rPr>
          <w:rFonts w:ascii="Arial" w:cs="Arial" w:eastAsia="Arial" w:hAnsi="Arial"/>
          <w:sz w:val="17"/>
          <w:szCs w:val="17"/>
          <w:color w:val="auto"/>
        </w:rPr>
        <w:t>”) and certain Eligible Notes to ECR. As described in the cover pages to, and Item 5 of, this Schedule 13D, ECR distributed the Subject Shares to the ACOF AIVs, the AEOF AIVs, the SSF AIVs and AF Energy Feeder, L.P in the amounts set forth on the cover pages to this Schedule 13D through a series of subsequent distributions (collectively, the “</w:t>
      </w:r>
      <w:r>
        <w:rPr>
          <w:rFonts w:ascii="Arial" w:cs="Arial" w:eastAsia="Arial" w:hAnsi="Arial"/>
          <w:sz w:val="17"/>
          <w:szCs w:val="17"/>
          <w:u w:val="single" w:color="auto"/>
          <w:color w:val="auto"/>
        </w:rPr>
        <w:t>Share Distributions</w:t>
      </w:r>
      <w:r>
        <w:rPr>
          <w:rFonts w:ascii="Arial" w:cs="Arial" w:eastAsia="Arial" w:hAnsi="Arial"/>
          <w:sz w:val="17"/>
          <w:szCs w:val="17"/>
          <w:color w:val="auto"/>
        </w:rPr>
        <w:t>”).</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July 24, 2020, the Issuer, certain subsidiaries of the Issuer, certain creditors of the Issuer and certain affiliates of Ares Management LLC, including ECR, entered into an Amended and Restated Restructuring Support Agreement (the “</w:t>
      </w:r>
      <w:r>
        <w:rPr>
          <w:rFonts w:ascii="Arial" w:cs="Arial" w:eastAsia="Arial" w:hAnsi="Arial"/>
          <w:sz w:val="17"/>
          <w:szCs w:val="17"/>
          <w:u w:val="single" w:color="auto"/>
          <w:color w:val="auto"/>
        </w:rPr>
        <w:t>RSA</w:t>
      </w:r>
      <w:r>
        <w:rPr>
          <w:rFonts w:ascii="Arial" w:cs="Arial" w:eastAsia="Arial" w:hAnsi="Arial"/>
          <w:sz w:val="17"/>
          <w:szCs w:val="17"/>
          <w:color w:val="auto"/>
        </w:rPr>
        <w:t>”), pursuant to which, among other things, one or more funds, investment vehicles and/or accounts managed or advised by Ares Management LLC or one or more of their affiliates, including ECR (collectively, “</w:t>
      </w:r>
      <w:r>
        <w:rPr>
          <w:rFonts w:ascii="Arial" w:cs="Arial" w:eastAsia="Arial" w:hAnsi="Arial"/>
          <w:sz w:val="17"/>
          <w:szCs w:val="17"/>
          <w:u w:val="single" w:color="auto"/>
          <w:color w:val="auto"/>
        </w:rPr>
        <w:t>Ares</w:t>
      </w:r>
      <w:r>
        <w:rPr>
          <w:rFonts w:ascii="Arial" w:cs="Arial" w:eastAsia="Arial" w:hAnsi="Arial"/>
          <w:sz w:val="17"/>
          <w:szCs w:val="17"/>
          <w:color w:val="auto"/>
        </w:rPr>
        <w:t>”), were granted the right to appoint one director to the Issuer’s board of directors (the “</w:t>
      </w:r>
      <w:r>
        <w:rPr>
          <w:rFonts w:ascii="Arial" w:cs="Arial" w:eastAsia="Arial" w:hAnsi="Arial"/>
          <w:sz w:val="17"/>
          <w:szCs w:val="17"/>
          <w:u w:val="single" w:color="auto"/>
          <w:color w:val="auto"/>
        </w:rPr>
        <w:t>Board</w:t>
      </w:r>
      <w:r>
        <w:rPr>
          <w:rFonts w:ascii="Arial" w:cs="Arial" w:eastAsia="Arial" w:hAnsi="Arial"/>
          <w:sz w:val="17"/>
          <w:szCs w:val="17"/>
          <w:color w:val="auto"/>
        </w:rPr>
        <w:t>”) who is neither employed by nor affiliated with Ares. In accordance with the terms and subject to the conditions of the Plan and the RSA, Ares appointed Douglas E. Brooks to the Board effective as of the Effective Date to serve until the next annual meeting of the holders of the Common Stock.</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foregoing descriptions of the Elk Hills Settlement Agreement and the RSA do not purport to be complete, and are subject to and qualified in their entirety by reference to the full text of the Elk Hills Settlement Agreement and the RSA, copies of which are filed as </w:t>
      </w:r>
      <w:r>
        <w:rPr>
          <w:rFonts w:ascii="Arial" w:cs="Arial" w:eastAsia="Arial" w:hAnsi="Arial"/>
          <w:sz w:val="18"/>
          <w:szCs w:val="18"/>
          <w:u w:val="single" w:color="auto"/>
          <w:color w:val="auto"/>
        </w:rPr>
        <w:t>Exhibit 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Exhibit 2</w:t>
      </w:r>
      <w:r>
        <w:rPr>
          <w:rFonts w:ascii="Arial" w:cs="Arial" w:eastAsia="Arial" w:hAnsi="Arial"/>
          <w:sz w:val="18"/>
          <w:szCs w:val="18"/>
          <w:color w:val="auto"/>
        </w:rPr>
        <w:t>, respectively, to this Schedule 13D, and are incorporated into this Item 3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Subject Shares were acquired by the Reporting Persons for investment purposes and for the purposes described below.</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Reporting Persons received the Subject Shares pursuant to the transactions described in Item 3 above, which information is hereby incorporated into this Item 4 by reference. The description of the Registration Rights Agreement contained in Item 6 below is also hereby incorporated into this Item 4 by reference.</w:t>
      </w:r>
    </w:p>
    <w:p>
      <w:pPr>
        <w:spacing w:after="0" w:line="18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Reporting Persons and their respective representatives have engaged and/or may engage, from time to time, in discussions with the Issuer’s management and/or the Board, including any special committees of the Board, and/or their respective advisors, regarding, among other things, the Issuer’s business, strategies, management, governance, operations, personnel, performance, financial matters, capital structure, corporate expenses, status of projects, hedging, environmental, health and safety matters and strategic and other transactions (including transactions involving one or more of the Reporting Persons and/or their respective affiliates and/or portfolio companies and/or other stockholders or creditors of the Issuer), and have engaged and/or intend to, from time to time, engage in discussions with other current or prospective holders of Common Stock and/or other equity, debt, notes, instruments or securities, or rights convertible into or exchangeable or exercisable for Common Stock or such other equity, debt, notes, instruments or securities, of the Issuer (collectively, “</w:t>
      </w:r>
      <w:r>
        <w:rPr>
          <w:rFonts w:ascii="Arial" w:cs="Arial" w:eastAsia="Arial" w:hAnsi="Arial"/>
          <w:sz w:val="16"/>
          <w:szCs w:val="16"/>
          <w:u w:val="single" w:color="auto"/>
          <w:color w:val="auto"/>
        </w:rPr>
        <w:t>Securities</w:t>
      </w:r>
      <w:r>
        <w:rPr>
          <w:rFonts w:ascii="Arial" w:cs="Arial" w:eastAsia="Arial" w:hAnsi="Arial"/>
          <w:sz w:val="16"/>
          <w:szCs w:val="16"/>
          <w:color w:val="auto"/>
        </w:rPr>
        <w:t>”), industry analysts, research analysts, rating agencies, existing or potential strategic partners, acquirers or competitors, financial sponsors, investment firms, investment professionals, capital and potential capital sources (including co-investors), operators, financial, and other consultants and advisors and other third parties regarding such matters (in each case, including with respect to providing or potentially providing capital to the Issuer or to existing or potential strategic partners or acquirers of the Issuer, including in connection with an acquisition or other strategic transaction involving one or more of the Reporting Persons and/or their respective affiliates and/or portfolio companies and/or other stockholders or creditors of the Issuer) as well as other matters set forth in clauses (a)-(j) of Item 4 of Schedule 13D. These discussions have encompassed, and/or the Reporting Persons expect will encompass, a broad range of matters relating to the Issuer, including, among other things, the Issuer’s business, operations, finances, management, organizational documents, ownership, capital and corporate structure, dividend policy, corporate governance, the Board and committees thereof, management and director incentive programs, strategic alternatives and transactions, including the sale of the Issuer, its Securities or one or more of its subsidiaries or their respective businesses or assets or a business combination or other strategic transaction involving the Issuer or one or more of its subsidiaries (and potentially involving one or more of the Reporting Persons and/or their respective affiliates and/or portfolio companies and/or other stockholders or creditors of the Issuer), and any regulatory or legal filings, clearances, approvals or waivers relating to the foregoing. The Reporting Persons may exchange information with the Issuer or other persons or entities pursuant to confidentiality or similar agreements and may enter into expense reimbursement agreements with the Issuer and others. The Reporting Persons intend to consider, explore and develop plans, make proposals and negotiate agreements with respect to or relating to, among other things, the foregoing matters and may take other steps seeking to bring about changes with respect to the Issuer as well as pursue other plans or proposals that relate to or could result in any of the matters set forth in clauses (a)-(j) of Item 4 of Schedule 13D. The Reporting Persons may also take steps to explore or prepare for various plans, proposals or actions, or propose transactions, regarding any of the foregoing matters, before forming an intention to engage in any such plans, proposals or actions or proceed with any such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393065</wp:posOffset>
            </wp:positionV>
            <wp:extent cx="713232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spacing w:after="0" w:line="285" w:lineRule="auto"/>
        <w:rPr>
          <w:sz w:val="20"/>
          <w:szCs w:val="20"/>
          <w:color w:val="auto"/>
        </w:rPr>
      </w:pPr>
      <w:r>
        <w:rPr>
          <w:rFonts w:ascii="Arial" w:cs="Arial" w:eastAsia="Arial" w:hAnsi="Arial"/>
          <w:sz w:val="16"/>
          <w:szCs w:val="16"/>
          <w:color w:val="auto"/>
        </w:rPr>
        <w:t>The Reporting Persons intend to review their investment in the Issuer on an ongoing basis. Depending on various factors, including the outcome of any discussions referenced above, the Issuer’s business, financial position, results, strategic direction or prospects or any strategic alternatives or transactions, actions taken by the Issuer’s management or the Board, price levels of one or more Securities, other investment opportunities available to the Reporting Persons, the available capital of the Reporting Persons, conditions in the securities, loan or bond markets, factors relating to COVID-19 and other potential pandemics, general economic or industry conditions or any changes in law or regulations, the Reporting Persons may in the future take such actions with respect to their investment in the Issuer as they deem appropriate, including the actions and matters described in the preceding paragraph, acquiring, or causing to be acquired, additional Securities, including taking a control position in one or more of the Securities, or disposing of, or causing to be disposed, some or all of the Securities beneficially owned by them, in the public market, in privately negotiated transactions or otherwise, modifying or seeking to modify the terms of any Securities held by them, including through refinancing or restructuring such Securities, entering into derivatives transactions and other agreements or instruments that increase or decrease the Reporting Persons’ economic exposure with respect to their investment in the Issuer, forming joint ventures with the Issuer or with third parties with respect to the Issuer, its assets or Securities or its subsidiaries, providing debt financing or other forms of capital to the Issuer or to potential strategic partners or acquirers of the Issuer, pledging their interest in Securities as a means of obtaining liquidity or as credit support for loans or other extensions of credit, entering into strategic or other transactions involving the Issuer, its assets or Securities or its subsidiaries or their assets and one or more of the Reporting Persons and/or their affiliates and/or portfolio companies and/or other stockholders or creditors of the Issuer, including transactions involving a take-private transaction of the Issuer or acquisition by the Issuer or its subsidiaries of all or a portion of the securities or assets of a portfolio company of the Reporting Persons and/or their affiliates, or forming, making or undertaking other purposes, plans or proposals regarding the Issuer or any of its Securities or its subsidiaries, businesses or assets. If the Reporting Persons were to acquire additional Securities, the Reporting Persons’ ability to influence the Issuer’s management, the Board or the policies of the Issuer may increase.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5" w:lineRule="exact"/>
        <w:rPr>
          <w:sz w:val="20"/>
          <w:szCs w:val="20"/>
          <w:color w:val="auto"/>
        </w:rPr>
      </w:pPr>
    </w:p>
    <w:p>
      <w:pPr>
        <w:jc w:val="both"/>
        <w:ind w:firstLine="8"/>
        <w:spacing w:after="0" w:line="291" w:lineRule="auto"/>
        <w:tabs>
          <w:tab w:leader="none" w:pos="244" w:val="left"/>
        </w:tabs>
        <w:numPr>
          <w:ilvl w:val="0"/>
          <w:numId w:val="72"/>
        </w:numPr>
        <w:rPr>
          <w:rFonts w:ascii="Arial" w:cs="Arial" w:eastAsia="Arial" w:hAnsi="Arial"/>
          <w:sz w:val="16"/>
          <w:szCs w:val="16"/>
          <w:color w:val="auto"/>
        </w:rPr>
      </w:pPr>
      <w:r>
        <w:rPr>
          <w:rFonts w:ascii="Arial" w:cs="Arial" w:eastAsia="Arial" w:hAnsi="Arial"/>
          <w:sz w:val="16"/>
          <w:szCs w:val="16"/>
          <w:b w:val="1"/>
          <w:bCs w:val="1"/>
          <w:color w:val="auto"/>
        </w:rPr>
        <w:t>Aggregate Number and Percentage of Securities</w:t>
      </w:r>
      <w:r>
        <w:rPr>
          <w:rFonts w:ascii="Arial" w:cs="Arial" w:eastAsia="Arial" w:hAnsi="Arial"/>
          <w:sz w:val="16"/>
          <w:szCs w:val="16"/>
          <w:color w:val="auto"/>
        </w:rPr>
        <w:t>. As of the date that this Schedule 13D is filed, (i) ACOF AIV 1A directly holds 790,194 shares of</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(ii) ACOF AIV 1B directly holds 2,901,771 shares of Common Stock, (iii) ACOF AIV 2 directly holds 2,958,809 shares of Common Stock, (iv) AEOF AIV A-B directly holds 1,894,861 shares of Common Stock, (v) AEOF AIV C directly holds 804,524 shares of Common Stock, (vi) SSF AIV 1A directly holds 645,985 shares of Common Stock, (vii) SSF AIV 1B directly holds 575,926 shares of Common Stock, (viii) SSF AIV 2 directly holds 937,596 shares of Common Stock and (ix) AF Energy Feeder, L.P. directly holds 5,815,182 shares of Common Stock. The Reporting Persons, as a result of the relationships described in Item 2, may be deemed to directly or indirectly beneficially own the shares of Common Stock directly held by the ACOF AIVs, the AEOF AIVs, the SSF AIVs and AF Energy Feeder, L.P. (as applicable). See Items 11 and 13 of the cover pages to, and Item 2 of, this Schedule 13D for the aggregate number of Common Stock and the percentage of Common Stock beneficially owned by each of the Reporting Persons.</w:t>
      </w:r>
    </w:p>
    <w:p>
      <w:pPr>
        <w:spacing w:after="0" w:line="159" w:lineRule="exact"/>
        <w:rPr>
          <w:rFonts w:ascii="Arial" w:cs="Arial" w:eastAsia="Arial" w:hAnsi="Arial"/>
          <w:sz w:val="16"/>
          <w:szCs w:val="16"/>
          <w:color w:val="auto"/>
        </w:rPr>
      </w:pPr>
    </w:p>
    <w:p>
      <w:pPr>
        <w:jc w:val="both"/>
        <w:ind w:firstLine="8"/>
        <w:spacing w:after="0" w:line="266" w:lineRule="auto"/>
        <w:tabs>
          <w:tab w:leader="none" w:pos="268"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Power to Vote and Dispose</w:t>
      </w:r>
      <w:r>
        <w:rPr>
          <w:rFonts w:ascii="Arial" w:cs="Arial" w:eastAsia="Arial" w:hAnsi="Arial"/>
          <w:sz w:val="18"/>
          <w:szCs w:val="18"/>
          <w:color w:val="auto"/>
        </w:rPr>
        <w:t>. See Items 7 through 10 of the cover pages to, and Item 2 of, this Schedule 13D for the aggregate number of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deemed to be beneficially owned by each of the Reporting Persons, as to which there is sole or shared power to vote or to direct the vote, or sole or shared power to dispose or to direct the disposition.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713232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jc w:val="both"/>
        <w:ind w:firstLine="8"/>
        <w:spacing w:after="0" w:line="266" w:lineRule="auto"/>
        <w:tabs>
          <w:tab w:leader="none" w:pos="244"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Transactions within the past 60 days</w:t>
      </w:r>
      <w:r>
        <w:rPr>
          <w:rFonts w:ascii="Arial" w:cs="Arial" w:eastAsia="Arial" w:hAnsi="Arial"/>
          <w:sz w:val="18"/>
          <w:szCs w:val="18"/>
          <w:color w:val="auto"/>
        </w:rPr>
        <w:t>. Except as otherwise described in this Schedule 13D, including in Items 3, 4 and 6 of this Schedule 13D, which</w:t>
      </w:r>
      <w:r>
        <w:rPr>
          <w:rFonts w:ascii="Arial" w:cs="Arial" w:eastAsia="Arial" w:hAnsi="Arial"/>
          <w:sz w:val="18"/>
          <w:szCs w:val="18"/>
          <w:b w:val="1"/>
          <w:bCs w:val="1"/>
          <w:color w:val="auto"/>
        </w:rPr>
        <w:t xml:space="preserve"> </w:t>
      </w:r>
      <w:r>
        <w:rPr>
          <w:rFonts w:ascii="Arial" w:cs="Arial" w:eastAsia="Arial" w:hAnsi="Arial"/>
          <w:sz w:val="18"/>
          <w:szCs w:val="18"/>
          <w:color w:val="auto"/>
        </w:rPr>
        <w:t>disclosure is incorporated in this Item 5(c) by reference, none of the Reporting Persons has effected any transactions related to the Common Stock during the past 60 days.</w:t>
      </w:r>
    </w:p>
    <w:p>
      <w:pPr>
        <w:spacing w:after="0" w:line="175" w:lineRule="exact"/>
        <w:rPr>
          <w:rFonts w:ascii="Arial" w:cs="Arial" w:eastAsia="Arial" w:hAnsi="Arial"/>
          <w:sz w:val="18"/>
          <w:szCs w:val="18"/>
          <w:color w:val="auto"/>
        </w:rPr>
      </w:pPr>
    </w:p>
    <w:p>
      <w:pPr>
        <w:ind w:right="20" w:firstLine="8"/>
        <w:spacing w:after="0" w:line="282" w:lineRule="auto"/>
        <w:tabs>
          <w:tab w:leader="none" w:pos="255"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Certain Rights of Other Persons</w:t>
      </w:r>
      <w:r>
        <w:rPr>
          <w:rFonts w:ascii="Arial" w:cs="Arial" w:eastAsia="Arial" w:hAnsi="Arial"/>
          <w:sz w:val="18"/>
          <w:szCs w:val="18"/>
          <w:color w:val="auto"/>
        </w:rPr>
        <w:t>. No other person has the right to receive or the power to direct the receipt of dividends from, or the proceeds from</w:t>
      </w:r>
      <w:r>
        <w:rPr>
          <w:rFonts w:ascii="Arial" w:cs="Arial" w:eastAsia="Arial" w:hAnsi="Arial"/>
          <w:sz w:val="18"/>
          <w:szCs w:val="18"/>
          <w:b w:val="1"/>
          <w:bCs w:val="1"/>
          <w:color w:val="auto"/>
        </w:rPr>
        <w:t xml:space="preserve"> </w:t>
      </w:r>
      <w:r>
        <w:rPr>
          <w:rFonts w:ascii="Arial" w:cs="Arial" w:eastAsia="Arial" w:hAnsi="Arial"/>
          <w:sz w:val="18"/>
          <w:szCs w:val="18"/>
          <w:color w:val="auto"/>
        </w:rPr>
        <w:t>the sale of, securities covered by this Schedule 13D.</w:t>
      </w:r>
    </w:p>
    <w:p>
      <w:pPr>
        <w:spacing w:after="0" w:line="161" w:lineRule="exact"/>
        <w:rPr>
          <w:rFonts w:ascii="Arial" w:cs="Arial" w:eastAsia="Arial" w:hAnsi="Arial"/>
          <w:sz w:val="18"/>
          <w:szCs w:val="18"/>
          <w:color w:val="auto"/>
        </w:rPr>
      </w:pPr>
    </w:p>
    <w:p>
      <w:pPr>
        <w:ind w:left="260" w:hanging="252"/>
        <w:spacing w:after="0"/>
        <w:tabs>
          <w:tab w:leader="none" w:pos="260"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Date Ceased to be a 5% Owner</w:t>
      </w:r>
      <w:r>
        <w:rPr>
          <w:rFonts w:ascii="Arial" w:cs="Arial" w:eastAsia="Arial" w:hAnsi="Arial"/>
          <w:sz w:val="18"/>
          <w:szCs w:val="18"/>
          <w:color w:val="auto"/>
        </w:rPr>
        <w:t>. 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Item 3 above summarizes certain provisions of the Elk Hills Settlement Agreement and the RSA. The descriptions of the Elk Hills Settlement Agreement and the RSA included in this Schedule 13D do not purport to be complete and are qualified in their entirety by reference to the full text of the Elk Hills Settlement Agreement and the RSA, which are incorporated into this Item 6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Purchase Agreement</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the Effective Date, SSF IV Energy I AIV 1, L.P. (“</w:t>
      </w:r>
      <w:r>
        <w:rPr>
          <w:rFonts w:ascii="Arial" w:cs="Arial" w:eastAsia="Arial" w:hAnsi="Arial"/>
          <w:sz w:val="17"/>
          <w:szCs w:val="17"/>
          <w:u w:val="single" w:color="auto"/>
          <w:color w:val="auto"/>
        </w:rPr>
        <w:t>SSF AIV 1</w:t>
      </w:r>
      <w:r>
        <w:rPr>
          <w:rFonts w:ascii="Arial" w:cs="Arial" w:eastAsia="Arial" w:hAnsi="Arial"/>
          <w:sz w:val="17"/>
          <w:szCs w:val="17"/>
          <w:color w:val="auto"/>
        </w:rPr>
        <w:t>”), SSF AIV 2, EHP Midco Holding Company, LLC (the “</w:t>
      </w:r>
      <w:r>
        <w:rPr>
          <w:rFonts w:ascii="Arial" w:cs="Arial" w:eastAsia="Arial" w:hAnsi="Arial"/>
          <w:sz w:val="17"/>
          <w:szCs w:val="17"/>
          <w:u w:val="single" w:color="auto"/>
          <w:color w:val="auto"/>
        </w:rPr>
        <w:t>Elk Hills Issuer</w:t>
      </w:r>
      <w:r>
        <w:rPr>
          <w:rFonts w:ascii="Arial" w:cs="Arial" w:eastAsia="Arial" w:hAnsi="Arial"/>
          <w:sz w:val="17"/>
          <w:szCs w:val="17"/>
          <w:color w:val="auto"/>
        </w:rPr>
        <w:t>”), Wilmington Trust, National Association as collateral agent, ECR I, L.P. (“</w:t>
      </w:r>
      <w:r>
        <w:rPr>
          <w:rFonts w:ascii="Arial" w:cs="Arial" w:eastAsia="Arial" w:hAnsi="Arial"/>
          <w:sz w:val="17"/>
          <w:szCs w:val="17"/>
          <w:u w:val="single" w:color="auto"/>
          <w:color w:val="auto"/>
        </w:rPr>
        <w:t>ECR I</w:t>
      </w:r>
      <w:r>
        <w:rPr>
          <w:rFonts w:ascii="Arial" w:cs="Arial" w:eastAsia="Arial" w:hAnsi="Arial"/>
          <w:sz w:val="17"/>
          <w:szCs w:val="17"/>
          <w:color w:val="auto"/>
        </w:rPr>
        <w:t>”) and ECR II, LLC (“</w:t>
      </w:r>
      <w:r>
        <w:rPr>
          <w:rFonts w:ascii="Arial" w:cs="Arial" w:eastAsia="Arial" w:hAnsi="Arial"/>
          <w:sz w:val="17"/>
          <w:szCs w:val="17"/>
          <w:u w:val="single" w:color="auto"/>
          <w:color w:val="auto"/>
        </w:rPr>
        <w:t>ECR II</w:t>
      </w:r>
      <w:r>
        <w:rPr>
          <w:rFonts w:ascii="Arial" w:cs="Arial" w:eastAsia="Arial" w:hAnsi="Arial"/>
          <w:sz w:val="17"/>
          <w:szCs w:val="17"/>
          <w:color w:val="auto"/>
        </w:rPr>
        <w:t>”) entered into a Note Purchase Agreement (the “</w:t>
      </w:r>
      <w:r>
        <w:rPr>
          <w:rFonts w:ascii="Arial" w:cs="Arial" w:eastAsia="Arial" w:hAnsi="Arial"/>
          <w:sz w:val="17"/>
          <w:szCs w:val="17"/>
          <w:u w:val="single" w:color="auto"/>
          <w:color w:val="auto"/>
        </w:rPr>
        <w:t>Note</w:t>
      </w:r>
      <w:r>
        <w:rPr>
          <w:rFonts w:ascii="Arial" w:cs="Arial" w:eastAsia="Arial" w:hAnsi="Arial"/>
          <w:sz w:val="17"/>
          <w:szCs w:val="17"/>
          <w:color w:val="auto"/>
        </w:rPr>
        <w:t xml:space="preserve"> </w:t>
      </w:r>
      <w:r>
        <w:rPr>
          <w:rFonts w:ascii="Arial" w:cs="Arial" w:eastAsia="Arial" w:hAnsi="Arial"/>
          <w:sz w:val="17"/>
          <w:szCs w:val="17"/>
          <w:u w:val="single" w:color="auto"/>
          <w:color w:val="auto"/>
        </w:rPr>
        <w:t>Purchase Agreement</w:t>
      </w:r>
      <w:r>
        <w:rPr>
          <w:rFonts w:ascii="Arial" w:cs="Arial" w:eastAsia="Arial" w:hAnsi="Arial"/>
          <w:sz w:val="17"/>
          <w:szCs w:val="17"/>
          <w:color w:val="auto"/>
        </w:rPr>
        <w:t>”), pursuant to which the Elk Hills Issuer issued secured notes with an aggregate principal amount of $300,000,000 (the “</w:t>
      </w:r>
      <w:r>
        <w:rPr>
          <w:rFonts w:ascii="Arial" w:cs="Arial" w:eastAsia="Arial" w:hAnsi="Arial"/>
          <w:sz w:val="17"/>
          <w:szCs w:val="17"/>
          <w:u w:val="single" w:color="auto"/>
          <w:color w:val="auto"/>
        </w:rPr>
        <w:t>Eligible</w:t>
      </w:r>
      <w:r>
        <w:rPr>
          <w:rFonts w:ascii="Arial" w:cs="Arial" w:eastAsia="Arial" w:hAnsi="Arial"/>
          <w:sz w:val="17"/>
          <w:szCs w:val="17"/>
          <w:color w:val="auto"/>
        </w:rPr>
        <w:t xml:space="preserve"> </w:t>
      </w:r>
      <w:r>
        <w:rPr>
          <w:rFonts w:ascii="Arial" w:cs="Arial" w:eastAsia="Arial" w:hAnsi="Arial"/>
          <w:sz w:val="17"/>
          <w:szCs w:val="17"/>
          <w:u w:val="single" w:color="auto"/>
          <w:color w:val="auto"/>
        </w:rPr>
        <w:t>Notes</w:t>
      </w:r>
      <w:r>
        <w:rPr>
          <w:rFonts w:ascii="Arial" w:cs="Arial" w:eastAsia="Arial" w:hAnsi="Arial"/>
          <w:sz w:val="17"/>
          <w:szCs w:val="17"/>
          <w:color w:val="auto"/>
        </w:rPr>
        <w:t xml:space="preserve">”) to certain lenders, including ECR, pursuant to the Confirmation Order. Immediately thereafter, and concurrently with the Share Distributions, ECR distributed the Eligible Notes to ECR I, ECR II, SSF AIV 1 and SSF AIV 2. The Eligible Notes are senior notes due 2027, are secured by a first-priority security interest in all of the assets of Elk Hills Power, any third-party offtake contracts for power generated by Elk Hills Power, all of the equity interests of Elk Hills Power held by the Elk Hills Issuer and all of the equity interests of the Elk Hills Issued held by its direct parent, EHP Topco Holding Company, LLC, a wholly-owned subsidiary of the Issuer, and are guaranteed by Elk Hills Power. Additionally, the Issuer has guaranteed all of the obligations of the Elk Hills Issuer under the Eligible Notes pursuant to the Owner Guaranty, dated as of the Effective Date, by the Issuer and for the benefit of Wilmington Trust, National Association, as collateral agent. The Eligible Notes bear an interest rate of 6.0% per annum through the fourth anniversary of issuance, increasing to 7.0% per annum after the fourth anniversary of issuance and to 8.0% per annum after the fifth anniversary of issuance. The Eligible Notes may be redeemed at any time prior to their maturity date without premium. The foregoing description of the Note Purchase Agreement and the Owner Guarantee does not purport to be complete and is subject to and qualified in its entirety by reference to the full text of the Note Purchase Agreement and Owner Guarantee, copies of which are filed as </w:t>
      </w:r>
      <w:r>
        <w:rPr>
          <w:rFonts w:ascii="Arial" w:cs="Arial" w:eastAsia="Arial" w:hAnsi="Arial"/>
          <w:sz w:val="17"/>
          <w:szCs w:val="17"/>
          <w:u w:val="single" w:color="auto"/>
          <w:color w:val="auto"/>
        </w:rPr>
        <w:t>Exhibit 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Exhibit 4</w:t>
      </w:r>
      <w:r>
        <w:rPr>
          <w:rFonts w:ascii="Arial" w:cs="Arial" w:eastAsia="Arial" w:hAnsi="Arial"/>
          <w:sz w:val="17"/>
          <w:szCs w:val="17"/>
          <w:color w:val="auto"/>
        </w:rPr>
        <w:t>, respectively, to this Schedule 13D, and are incorporated into this Item 6 by reference.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the Effective Date, ECR entered into a Registration Rights Agreement (the “</w:t>
      </w:r>
      <w:r>
        <w:rPr>
          <w:rFonts w:ascii="Arial" w:cs="Arial" w:eastAsia="Arial" w:hAnsi="Arial"/>
          <w:sz w:val="17"/>
          <w:szCs w:val="17"/>
          <w:u w:val="single" w:color="auto"/>
          <w:color w:val="auto"/>
        </w:rPr>
        <w:t>Registration Rights Agreement</w:t>
      </w:r>
      <w:r>
        <w:rPr>
          <w:rFonts w:ascii="Arial" w:cs="Arial" w:eastAsia="Arial" w:hAnsi="Arial"/>
          <w:sz w:val="17"/>
          <w:szCs w:val="17"/>
          <w:color w:val="auto"/>
        </w:rPr>
        <w:t xml:space="preserve">”) with the Issuer and certain other parties who received shares of Common Stock on the Effective Date. The Registration Rights Agreement granted the Backstop Parties (as defined in the Plan) and each holder of at least 1% of the outstanding shares of Common Stock as of the Effective Date (including ECR) registration rights for the shares of Common Stock issued on the Effective Date, including customary shelf, demand and piggyback registration rights. In connection with the distributions of the shares of Common Stock from ECR to the ACOF AIVs, the AEOF AIVs, the SSF AIVs and AF Energy Feeder, L.P. described on the cover pages to this Schedule 13D, ECR assigned its rights under the Registration Rights Agreement with respect to the shares of Common Stock distributed to such Reporting Persons (as applicable). The foregoing description of the Registration Rights Agreement does not purport to be complete, and is subject to and qualified in its entirety by reference to the full text of the Registration Rights Agreement, a copy of which is filed as </w:t>
      </w:r>
      <w:r>
        <w:rPr>
          <w:rFonts w:ascii="Arial" w:cs="Arial" w:eastAsia="Arial" w:hAnsi="Arial"/>
          <w:sz w:val="17"/>
          <w:szCs w:val="17"/>
          <w:u w:val="single" w:color="auto"/>
          <w:color w:val="auto"/>
        </w:rPr>
        <w:t>Exhibit 5</w:t>
      </w:r>
      <w:r>
        <w:rPr>
          <w:rFonts w:ascii="Arial" w:cs="Arial" w:eastAsia="Arial" w:hAnsi="Arial"/>
          <w:sz w:val="17"/>
          <w:szCs w:val="17"/>
          <w:color w:val="auto"/>
        </w:rPr>
        <w:t xml:space="preserve"> to this Schedule 13D and incorporated into this Item 6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398145</wp:posOffset>
            </wp:positionV>
            <wp:extent cx="713232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29" w:lineRule="exact"/>
        <w:rPr>
          <w:sz w:val="20"/>
          <w:szCs w:val="20"/>
          <w:color w:val="auto"/>
        </w:rPr>
      </w:pPr>
    </w:p>
    <w:p>
      <w:pPr>
        <w:jc w:val="both"/>
        <w:ind w:left="1360" w:hanging="1169"/>
        <w:spacing w:after="0" w:line="254" w:lineRule="auto"/>
        <w:tabs>
          <w:tab w:leader="none" w:pos="1340" w:val="left"/>
        </w:tabs>
        <w:rPr>
          <w:sz w:val="20"/>
          <w:szCs w:val="20"/>
          <w:color w:val="auto"/>
        </w:rPr>
      </w:pPr>
      <w:r>
        <w:rPr>
          <w:rFonts w:ascii="Arial" w:cs="Arial" w:eastAsia="Arial" w:hAnsi="Arial"/>
          <w:sz w:val="18"/>
          <w:szCs w:val="18"/>
          <w:color w:val="auto"/>
        </w:rPr>
        <w:t>Exhibit 1</w:t>
      </w:r>
      <w:r>
        <w:rPr>
          <w:sz w:val="20"/>
          <w:szCs w:val="20"/>
          <w:color w:val="auto"/>
        </w:rPr>
        <w:tab/>
      </w:r>
      <w:r>
        <w:rPr>
          <w:rFonts w:ascii="Arial" w:cs="Arial" w:eastAsia="Arial" w:hAnsi="Arial"/>
          <w:sz w:val="18"/>
          <w:szCs w:val="18"/>
          <w:color w:val="auto"/>
        </w:rPr>
        <w:t>Settlement and Assumption Agreement, dated as of July 15, 2020, by and among California Resources Corporation, California Resources Elk Hills, LLC, Elk Hills Power, LLC, ECR Corporate Holdings GP LLC, ECR I, L.P., SSF IV Energy I AIV 1, L.P., SSF IV Energy I AIV 2, L.P., AEOF ECR Holdings, L.P. and ECR Corporate Holdings L.P. (incorporated by reference to Exhibit 10.3 to the Current Report on Form 8-K filed by California Resources Corporation on July 16, 2020).</w:t>
      </w:r>
    </w:p>
    <w:p>
      <w:pPr>
        <w:spacing w:after="0" w:line="2" w:lineRule="exact"/>
        <w:rPr>
          <w:sz w:val="20"/>
          <w:szCs w:val="20"/>
          <w:color w:val="auto"/>
        </w:rPr>
      </w:pPr>
    </w:p>
    <w:p>
      <w:pPr>
        <w:jc w:val="both"/>
        <w:ind w:left="1360" w:right="20" w:hanging="1169"/>
        <w:spacing w:after="0" w:line="250" w:lineRule="auto"/>
        <w:tabs>
          <w:tab w:leader="none" w:pos="1340" w:val="left"/>
        </w:tabs>
        <w:rPr>
          <w:sz w:val="20"/>
          <w:szCs w:val="20"/>
          <w:color w:val="auto"/>
        </w:rPr>
      </w:pPr>
      <w:r>
        <w:rPr>
          <w:rFonts w:ascii="Arial" w:cs="Arial" w:eastAsia="Arial" w:hAnsi="Arial"/>
          <w:sz w:val="18"/>
          <w:szCs w:val="18"/>
          <w:color w:val="auto"/>
        </w:rPr>
        <w:t>Exhibit 2</w:t>
      </w:r>
      <w:r>
        <w:rPr>
          <w:sz w:val="20"/>
          <w:szCs w:val="20"/>
          <w:color w:val="auto"/>
        </w:rPr>
        <w:tab/>
      </w:r>
      <w:r>
        <w:rPr>
          <w:rFonts w:ascii="Arial" w:cs="Arial" w:eastAsia="Arial" w:hAnsi="Arial"/>
          <w:sz w:val="18"/>
          <w:szCs w:val="18"/>
          <w:color w:val="auto"/>
        </w:rPr>
        <w:t>Amended and Restated Restructuring Support Agreement, dated as of July 24, 2020, by and among California Resources Corporation, certain of its subsidiaries and the Consenting Parties (as defined therein) (incorporated by reference to Exhibit 10.3 to the Current Report on Form 8-K filed by California Resources Corporation on July 24, 2020).</w:t>
      </w:r>
    </w:p>
    <w:p>
      <w:pPr>
        <w:spacing w:after="0" w:line="1" w:lineRule="exact"/>
        <w:rPr>
          <w:sz w:val="20"/>
          <w:szCs w:val="20"/>
          <w:color w:val="auto"/>
        </w:rPr>
      </w:pPr>
    </w:p>
    <w:p>
      <w:pPr>
        <w:jc w:val="both"/>
        <w:ind w:left="1360" w:hanging="1169"/>
        <w:spacing w:after="0" w:line="265" w:lineRule="auto"/>
        <w:tabs>
          <w:tab w:leader="none" w:pos="1340" w:val="left"/>
        </w:tabs>
        <w:rPr>
          <w:sz w:val="20"/>
          <w:szCs w:val="20"/>
          <w:color w:val="auto"/>
        </w:rPr>
      </w:pPr>
      <w:r>
        <w:rPr>
          <w:rFonts w:ascii="Arial" w:cs="Arial" w:eastAsia="Arial" w:hAnsi="Arial"/>
          <w:sz w:val="18"/>
          <w:szCs w:val="18"/>
          <w:color w:val="auto"/>
        </w:rPr>
        <w:t>Exhibit 3</w:t>
      </w:r>
      <w:r>
        <w:rPr>
          <w:sz w:val="20"/>
          <w:szCs w:val="20"/>
          <w:color w:val="auto"/>
        </w:rPr>
        <w:tab/>
      </w:r>
      <w:r>
        <w:rPr>
          <w:rFonts w:ascii="Arial" w:cs="Arial" w:eastAsia="Arial" w:hAnsi="Arial"/>
          <w:sz w:val="17"/>
          <w:szCs w:val="17"/>
          <w:color w:val="auto"/>
        </w:rPr>
        <w:t>Note Purchase Agreement, dated as of October 27, 2020, by and among EHP Midco Holding Company, LLC, each of the Purchasers party thereto and Wilmington Trust, National Association, as collateral agent for the Secured Parties (incorporated by reference to Exhibit 10.5 to the Current Report on Form 8-K filed by California Resources Corporation on October 27, 2020).</w:t>
      </w:r>
    </w:p>
    <w:p>
      <w:pPr>
        <w:jc w:val="both"/>
        <w:ind w:left="1360" w:hanging="1169"/>
        <w:spacing w:after="0" w:line="250" w:lineRule="auto"/>
        <w:tabs>
          <w:tab w:leader="none" w:pos="1340" w:val="left"/>
        </w:tabs>
        <w:rPr>
          <w:sz w:val="20"/>
          <w:szCs w:val="20"/>
          <w:color w:val="auto"/>
        </w:rPr>
      </w:pPr>
      <w:r>
        <w:rPr>
          <w:rFonts w:ascii="Arial" w:cs="Arial" w:eastAsia="Arial" w:hAnsi="Arial"/>
          <w:sz w:val="18"/>
          <w:szCs w:val="18"/>
          <w:color w:val="auto"/>
        </w:rPr>
        <w:t>Exhibit 4</w:t>
      </w:r>
      <w:r>
        <w:rPr>
          <w:sz w:val="20"/>
          <w:szCs w:val="20"/>
          <w:color w:val="auto"/>
        </w:rPr>
        <w:tab/>
      </w:r>
      <w:r>
        <w:rPr>
          <w:rFonts w:ascii="Arial" w:cs="Arial" w:eastAsia="Arial" w:hAnsi="Arial"/>
          <w:sz w:val="18"/>
          <w:szCs w:val="18"/>
          <w:color w:val="auto"/>
        </w:rPr>
        <w:t>Owner Guaranty, dated as of October 27, 2020, by California Resources Corporation to and for the benefit of Wilmington Trust, National Association, as Collateral Agent (incorporated by reference to Exhibit 10.6 to the Current Report on Form 8-K filed by California Resources Corporation on October 27, 2020).</w:t>
      </w:r>
    </w:p>
    <w:p>
      <w:pPr>
        <w:spacing w:after="0" w:line="1" w:lineRule="exact"/>
        <w:rPr>
          <w:sz w:val="20"/>
          <w:szCs w:val="20"/>
          <w:color w:val="auto"/>
        </w:rPr>
      </w:pPr>
    </w:p>
    <w:p>
      <w:pPr>
        <w:jc w:val="both"/>
        <w:ind w:left="1360" w:hanging="1169"/>
        <w:spacing w:after="0" w:line="250" w:lineRule="auto"/>
        <w:tabs>
          <w:tab w:leader="none" w:pos="1340" w:val="left"/>
        </w:tabs>
        <w:rPr>
          <w:sz w:val="20"/>
          <w:szCs w:val="20"/>
          <w:color w:val="auto"/>
        </w:rPr>
      </w:pPr>
      <w:r>
        <w:rPr>
          <w:rFonts w:ascii="Arial" w:cs="Arial" w:eastAsia="Arial" w:hAnsi="Arial"/>
          <w:sz w:val="18"/>
          <w:szCs w:val="18"/>
          <w:color w:val="auto"/>
        </w:rPr>
        <w:t>Exhibit 5</w:t>
      </w:r>
      <w:r>
        <w:rPr>
          <w:sz w:val="20"/>
          <w:szCs w:val="20"/>
          <w:color w:val="auto"/>
        </w:rPr>
        <w:tab/>
      </w:r>
      <w:r>
        <w:rPr>
          <w:rFonts w:ascii="Arial" w:cs="Arial" w:eastAsia="Arial" w:hAnsi="Arial"/>
          <w:sz w:val="18"/>
          <w:szCs w:val="18"/>
          <w:color w:val="auto"/>
        </w:rPr>
        <w:t>Form of Registration Rights Agreement, dated as of October 27, 2020, by and among California Resources Corporation and certain holders of Common Stock party to the Registration Rights Agreement (incorporated by reference to Exhibit 10.3 to the Current Report on Form 8-K filed by California Resources Corporation on October 27, 2020).</w:t>
      </w:r>
    </w:p>
    <w:p>
      <w:pPr>
        <w:spacing w:after="0" w:line="1" w:lineRule="exact"/>
        <w:rPr>
          <w:sz w:val="20"/>
          <w:szCs w:val="20"/>
          <w:color w:val="auto"/>
        </w:rPr>
      </w:pPr>
    </w:p>
    <w:p>
      <w:pPr>
        <w:ind w:left="180"/>
        <w:spacing w:after="0"/>
        <w:tabs>
          <w:tab w:leader="none" w:pos="134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6"/>
          <w:szCs w:val="16"/>
          <w:color w:val="auto"/>
        </w:rPr>
        <w:t>Joint Filing Agreement, dated as of November 6, 2020, by and among the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reasonable inquiry and to the best of my knowledge and belief,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2020</w:t>
      </w:r>
    </w:p>
    <w:p>
      <w:pPr>
        <w:spacing w:after="0" w:line="221"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AF V ENERGY IV AIV 1A, L.P.</w:t>
      </w:r>
    </w:p>
    <w:p>
      <w:pPr>
        <w:spacing w:after="0" w:line="229" w:lineRule="exact"/>
        <w:rPr>
          <w:sz w:val="20"/>
          <w:szCs w:val="20"/>
          <w:color w:val="auto"/>
        </w:rPr>
      </w:pPr>
    </w:p>
    <w:p>
      <w:pPr>
        <w:ind w:left="57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ACOF INVESTMENT MANAGEMENT LLC</w:t>
      </w:r>
    </w:p>
    <w:p>
      <w:pPr>
        <w:spacing w:after="0" w:line="23" w:lineRule="exact"/>
        <w:rPr>
          <w:sz w:val="20"/>
          <w:szCs w:val="20"/>
          <w:color w:val="auto"/>
        </w:rPr>
      </w:pPr>
    </w:p>
    <w:p>
      <w:pPr>
        <w:ind w:left="5740"/>
        <w:spacing w:after="0"/>
        <w:tabs>
          <w:tab w:leader="none" w:pos="630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Manager</w:t>
      </w:r>
    </w:p>
    <w:p>
      <w:pPr>
        <w:spacing w:after="0" w:line="211"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14605</wp:posOffset>
            </wp:positionV>
            <wp:extent cx="312864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3" w:lineRule="exact"/>
        <w:rPr>
          <w:sz w:val="20"/>
          <w:szCs w:val="20"/>
          <w:color w:val="auto"/>
        </w:rPr>
      </w:pPr>
    </w:p>
    <w:p>
      <w:pPr>
        <w:ind w:left="6320"/>
        <w:spacing w:after="0"/>
        <w:tabs>
          <w:tab w:leader="none" w:pos="6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6320"/>
        <w:spacing w:after="0"/>
        <w:tabs>
          <w:tab w:leader="none" w:pos="68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AF V ENERGY IV AIV 1B, L.P.</w:t>
      </w:r>
    </w:p>
    <w:p>
      <w:pPr>
        <w:spacing w:after="0" w:line="229" w:lineRule="exact"/>
        <w:rPr>
          <w:sz w:val="20"/>
          <w:szCs w:val="20"/>
          <w:color w:val="auto"/>
        </w:rPr>
      </w:pPr>
    </w:p>
    <w:p>
      <w:pPr>
        <w:ind w:left="57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ACOF INVESTMENT MANAGEMENT LLC</w:t>
      </w:r>
    </w:p>
    <w:p>
      <w:pPr>
        <w:spacing w:after="0" w:line="23" w:lineRule="exact"/>
        <w:rPr>
          <w:sz w:val="20"/>
          <w:szCs w:val="20"/>
          <w:color w:val="auto"/>
        </w:rPr>
      </w:pPr>
    </w:p>
    <w:p>
      <w:pPr>
        <w:ind w:left="5740"/>
        <w:spacing w:after="0"/>
        <w:tabs>
          <w:tab w:leader="none" w:pos="630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Manager</w:t>
      </w:r>
    </w:p>
    <w:p>
      <w:pPr>
        <w:spacing w:after="0" w:line="200" w:lineRule="exact"/>
        <w:rPr>
          <w:sz w:val="20"/>
          <w:szCs w:val="20"/>
          <w:color w:val="auto"/>
        </w:rPr>
      </w:pPr>
    </w:p>
    <w:p>
      <w:pPr>
        <w:spacing w:after="0" w:line="22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14605</wp:posOffset>
            </wp:positionV>
            <wp:extent cx="312864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3" w:lineRule="exact"/>
        <w:rPr>
          <w:sz w:val="20"/>
          <w:szCs w:val="20"/>
          <w:color w:val="auto"/>
        </w:rPr>
      </w:pPr>
    </w:p>
    <w:p>
      <w:pPr>
        <w:ind w:left="6320"/>
        <w:spacing w:after="0"/>
        <w:tabs>
          <w:tab w:leader="none" w:pos="6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6320"/>
        <w:spacing w:after="0"/>
        <w:tabs>
          <w:tab w:leader="none" w:pos="68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AF V ENERGY IV AIV 2, L.P.</w:t>
      </w:r>
    </w:p>
    <w:p>
      <w:pPr>
        <w:spacing w:after="0" w:line="229" w:lineRule="exact"/>
        <w:rPr>
          <w:sz w:val="20"/>
          <w:szCs w:val="20"/>
          <w:color w:val="auto"/>
        </w:rPr>
      </w:pPr>
    </w:p>
    <w:p>
      <w:pPr>
        <w:ind w:left="57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ACOF INVESTMENT MANAGEMENT LLC</w:t>
      </w:r>
    </w:p>
    <w:p>
      <w:pPr>
        <w:spacing w:after="0" w:line="23" w:lineRule="exact"/>
        <w:rPr>
          <w:sz w:val="20"/>
          <w:szCs w:val="20"/>
          <w:color w:val="auto"/>
        </w:rPr>
      </w:pPr>
    </w:p>
    <w:p>
      <w:pPr>
        <w:ind w:left="5740"/>
        <w:spacing w:after="0"/>
        <w:tabs>
          <w:tab w:leader="none" w:pos="630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Manager</w:t>
      </w:r>
    </w:p>
    <w:p>
      <w:pPr>
        <w:spacing w:after="0" w:line="200" w:lineRule="exact"/>
        <w:rPr>
          <w:sz w:val="20"/>
          <w:szCs w:val="20"/>
          <w:color w:val="auto"/>
        </w:rPr>
      </w:pPr>
    </w:p>
    <w:p>
      <w:pPr>
        <w:spacing w:after="0" w:line="22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14605</wp:posOffset>
            </wp:positionV>
            <wp:extent cx="312864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spacing w:after="0" w:line="3" w:lineRule="exact"/>
        <w:rPr>
          <w:sz w:val="20"/>
          <w:szCs w:val="20"/>
          <w:color w:val="auto"/>
        </w:rPr>
      </w:pPr>
    </w:p>
    <w:p>
      <w:pPr>
        <w:ind w:left="6320"/>
        <w:spacing w:after="0"/>
        <w:tabs>
          <w:tab w:leader="none" w:pos="6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6320"/>
        <w:spacing w:after="0"/>
        <w:tabs>
          <w:tab w:leader="none" w:pos="68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AEOF ECR AIV A-B, L.P.</w:t>
      </w:r>
    </w:p>
    <w:p>
      <w:pPr>
        <w:spacing w:after="0" w:line="229" w:lineRule="exact"/>
        <w:rPr>
          <w:sz w:val="20"/>
          <w:szCs w:val="20"/>
          <w:color w:val="auto"/>
        </w:rPr>
      </w:pPr>
    </w:p>
    <w:p>
      <w:pPr>
        <w:ind w:left="57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ACOF INVESTMENT MANAGEMENT LLC</w:t>
      </w:r>
    </w:p>
    <w:p>
      <w:pPr>
        <w:spacing w:after="0" w:line="23" w:lineRule="exact"/>
        <w:rPr>
          <w:sz w:val="20"/>
          <w:szCs w:val="20"/>
          <w:color w:val="auto"/>
        </w:rPr>
      </w:pPr>
    </w:p>
    <w:p>
      <w:pPr>
        <w:ind w:left="5740"/>
        <w:spacing w:after="0"/>
        <w:tabs>
          <w:tab w:leader="none" w:pos="630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Manager</w:t>
      </w:r>
    </w:p>
    <w:p>
      <w:pPr>
        <w:spacing w:after="0" w:line="200" w:lineRule="exact"/>
        <w:rPr>
          <w:sz w:val="20"/>
          <w:szCs w:val="20"/>
          <w:color w:val="auto"/>
        </w:rPr>
      </w:pPr>
    </w:p>
    <w:p>
      <w:pPr>
        <w:spacing w:after="0" w:line="22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14605</wp:posOffset>
            </wp:positionV>
            <wp:extent cx="312864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spacing w:after="0" w:line="3" w:lineRule="exact"/>
        <w:rPr>
          <w:sz w:val="20"/>
          <w:szCs w:val="20"/>
          <w:color w:val="auto"/>
        </w:rPr>
      </w:pPr>
    </w:p>
    <w:p>
      <w:pPr>
        <w:ind w:left="6320"/>
        <w:spacing w:after="0"/>
        <w:tabs>
          <w:tab w:leader="none" w:pos="6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6320"/>
        <w:spacing w:after="0"/>
        <w:tabs>
          <w:tab w:leader="none" w:pos="68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ind w:left="5740"/>
        <w:spacing w:after="0"/>
        <w:rPr>
          <w:sz w:val="20"/>
          <w:szCs w:val="20"/>
          <w:color w:val="auto"/>
        </w:rPr>
      </w:pPr>
      <w:r>
        <w:rPr>
          <w:rFonts w:ascii="Arial" w:cs="Arial" w:eastAsia="Arial" w:hAnsi="Arial"/>
          <w:sz w:val="18"/>
          <w:szCs w:val="18"/>
          <w:b w:val="1"/>
          <w:bCs w:val="1"/>
          <w:color w:val="auto"/>
        </w:rPr>
        <w:t>AEOF ECR AIV C, L.P.</w:t>
      </w:r>
    </w:p>
    <w:p>
      <w:pPr>
        <w:spacing w:after="0" w:line="229" w:lineRule="exact"/>
        <w:rPr>
          <w:sz w:val="20"/>
          <w:szCs w:val="20"/>
          <w:color w:val="auto"/>
        </w:rPr>
      </w:pPr>
    </w:p>
    <w:p>
      <w:pPr>
        <w:ind w:left="57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ACOF INVESTMENT MANAGEMENT LLC</w:t>
      </w:r>
    </w:p>
    <w:p>
      <w:pPr>
        <w:spacing w:after="0" w:line="23" w:lineRule="exact"/>
        <w:rPr>
          <w:sz w:val="20"/>
          <w:szCs w:val="20"/>
          <w:color w:val="auto"/>
        </w:rPr>
      </w:pPr>
    </w:p>
    <w:p>
      <w:pPr>
        <w:ind w:left="5740"/>
        <w:spacing w:after="0"/>
        <w:tabs>
          <w:tab w:leader="none" w:pos="630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Manager</w:t>
      </w:r>
    </w:p>
    <w:p>
      <w:pPr>
        <w:spacing w:after="0" w:line="200" w:lineRule="exact"/>
        <w:rPr>
          <w:sz w:val="20"/>
          <w:szCs w:val="20"/>
          <w:color w:val="auto"/>
        </w:rPr>
      </w:pPr>
    </w:p>
    <w:p>
      <w:pPr>
        <w:spacing w:after="0" w:line="22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14605</wp:posOffset>
            </wp:positionV>
            <wp:extent cx="312864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3" w:lineRule="exact"/>
        <w:rPr>
          <w:sz w:val="20"/>
          <w:szCs w:val="20"/>
          <w:color w:val="auto"/>
        </w:rPr>
      </w:pPr>
    </w:p>
    <w:p>
      <w:pPr>
        <w:ind w:left="6320"/>
        <w:spacing w:after="0"/>
        <w:tabs>
          <w:tab w:leader="none" w:pos="6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6320"/>
        <w:spacing w:after="0"/>
        <w:tabs>
          <w:tab w:leader="none" w:pos="68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AF ENERGY FEEDER, L.P.</w:t>
      </w:r>
    </w:p>
    <w:p>
      <w:pPr>
        <w:spacing w:after="0" w:line="229" w:lineRule="exact"/>
        <w:rPr>
          <w:sz w:val="20"/>
          <w:szCs w:val="20"/>
          <w:color w:val="auto"/>
        </w:rPr>
      </w:pPr>
    </w:p>
    <w:p>
      <w:pPr>
        <w:ind w:left="57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ACOF INVESTMENT MANAGEMENT LLC</w:t>
      </w:r>
    </w:p>
    <w:p>
      <w:pPr>
        <w:spacing w:after="0" w:line="23" w:lineRule="exact"/>
        <w:rPr>
          <w:sz w:val="20"/>
          <w:szCs w:val="20"/>
          <w:color w:val="auto"/>
        </w:rPr>
      </w:pPr>
    </w:p>
    <w:p>
      <w:pPr>
        <w:ind w:left="5740"/>
        <w:spacing w:after="0"/>
        <w:tabs>
          <w:tab w:leader="none" w:pos="630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Manager</w:t>
      </w:r>
    </w:p>
    <w:p>
      <w:pPr>
        <w:spacing w:after="0" w:line="200" w:lineRule="exact"/>
        <w:rPr>
          <w:sz w:val="20"/>
          <w:szCs w:val="20"/>
          <w:color w:val="auto"/>
        </w:rPr>
      </w:pPr>
    </w:p>
    <w:p>
      <w:pPr>
        <w:spacing w:after="0" w:line="22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14605</wp:posOffset>
            </wp:positionV>
            <wp:extent cx="312864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3" w:lineRule="exact"/>
        <w:rPr>
          <w:sz w:val="20"/>
          <w:szCs w:val="20"/>
          <w:color w:val="auto"/>
        </w:rPr>
      </w:pPr>
    </w:p>
    <w:p>
      <w:pPr>
        <w:ind w:left="6320"/>
        <w:spacing w:after="0"/>
        <w:tabs>
          <w:tab w:leader="none" w:pos="6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6320"/>
        <w:spacing w:after="0"/>
        <w:tabs>
          <w:tab w:leader="none" w:pos="68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ACOF INVESTMENT MANAGEMENT LLC</w:t>
      </w:r>
    </w:p>
    <w:p>
      <w:pPr>
        <w:spacing w:after="0" w:line="200" w:lineRule="exact"/>
        <w:rPr>
          <w:sz w:val="20"/>
          <w:szCs w:val="20"/>
          <w:color w:val="auto"/>
        </w:rPr>
      </w:pPr>
    </w:p>
    <w:p>
      <w:pPr>
        <w:spacing w:after="0" w:line="245"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14605</wp:posOffset>
            </wp:positionV>
            <wp:extent cx="312864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3" w:lineRule="exact"/>
        <w:rPr>
          <w:sz w:val="20"/>
          <w:szCs w:val="20"/>
          <w:color w:val="auto"/>
        </w:rPr>
      </w:pPr>
    </w:p>
    <w:p>
      <w:pPr>
        <w:ind w:left="6320"/>
        <w:spacing w:after="0"/>
        <w:tabs>
          <w:tab w:leader="none" w:pos="6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6320"/>
        <w:spacing w:after="0"/>
        <w:tabs>
          <w:tab w:leader="none" w:pos="68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SSF IV ENERGY I AIV 1A, L.P.</w:t>
      </w:r>
    </w:p>
    <w:p>
      <w:pPr>
        <w:spacing w:after="0" w:line="229" w:lineRule="exact"/>
        <w:rPr>
          <w:sz w:val="20"/>
          <w:szCs w:val="20"/>
          <w:color w:val="auto"/>
        </w:rPr>
      </w:pPr>
    </w:p>
    <w:p>
      <w:pPr>
        <w:ind w:left="57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ASSF OPERATING MANAGER IV, L.P.</w:t>
      </w:r>
    </w:p>
    <w:p>
      <w:pPr>
        <w:spacing w:after="0" w:line="23" w:lineRule="exact"/>
        <w:rPr>
          <w:sz w:val="20"/>
          <w:szCs w:val="20"/>
          <w:color w:val="auto"/>
        </w:rPr>
      </w:pPr>
    </w:p>
    <w:p>
      <w:pPr>
        <w:ind w:left="5740"/>
        <w:spacing w:after="0"/>
        <w:tabs>
          <w:tab w:leader="none" w:pos="630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Manager</w:t>
      </w:r>
    </w:p>
    <w:p>
      <w:pPr>
        <w:spacing w:after="0" w:line="200" w:lineRule="exact"/>
        <w:rPr>
          <w:sz w:val="20"/>
          <w:szCs w:val="20"/>
          <w:color w:val="auto"/>
        </w:rPr>
      </w:pPr>
    </w:p>
    <w:p>
      <w:pPr>
        <w:spacing w:after="0" w:line="22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14605</wp:posOffset>
            </wp:positionV>
            <wp:extent cx="312864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3" w:lineRule="exact"/>
        <w:rPr>
          <w:sz w:val="20"/>
          <w:szCs w:val="20"/>
          <w:color w:val="auto"/>
        </w:rPr>
      </w:pPr>
    </w:p>
    <w:p>
      <w:pPr>
        <w:ind w:left="6320"/>
        <w:spacing w:after="0"/>
        <w:tabs>
          <w:tab w:leader="none" w:pos="6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6320"/>
        <w:spacing w:after="0"/>
        <w:tabs>
          <w:tab w:leader="none" w:pos="68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SSF IV ENERGY I AIV 1B, L.P.</w:t>
      </w:r>
    </w:p>
    <w:p>
      <w:pPr>
        <w:spacing w:after="0" w:line="229" w:lineRule="exact"/>
        <w:rPr>
          <w:sz w:val="20"/>
          <w:szCs w:val="20"/>
          <w:color w:val="auto"/>
        </w:rPr>
      </w:pPr>
    </w:p>
    <w:p>
      <w:pPr>
        <w:ind w:left="57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ASSF OPERATING MANAGER IV, L.P.</w:t>
      </w:r>
    </w:p>
    <w:p>
      <w:pPr>
        <w:spacing w:after="0" w:line="23" w:lineRule="exact"/>
        <w:rPr>
          <w:sz w:val="20"/>
          <w:szCs w:val="20"/>
          <w:color w:val="auto"/>
        </w:rPr>
      </w:pPr>
    </w:p>
    <w:p>
      <w:pPr>
        <w:ind w:left="5740"/>
        <w:spacing w:after="0"/>
        <w:tabs>
          <w:tab w:leader="none" w:pos="630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Manager</w:t>
      </w:r>
    </w:p>
    <w:p>
      <w:pPr>
        <w:spacing w:after="0" w:line="200" w:lineRule="exact"/>
        <w:rPr>
          <w:sz w:val="20"/>
          <w:szCs w:val="20"/>
          <w:color w:val="auto"/>
        </w:rPr>
      </w:pPr>
    </w:p>
    <w:p>
      <w:pPr>
        <w:spacing w:after="0" w:line="22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14605</wp:posOffset>
            </wp:positionV>
            <wp:extent cx="312864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3" w:lineRule="exact"/>
        <w:rPr>
          <w:sz w:val="20"/>
          <w:szCs w:val="20"/>
          <w:color w:val="auto"/>
        </w:rPr>
      </w:pPr>
    </w:p>
    <w:p>
      <w:pPr>
        <w:ind w:left="6320"/>
        <w:spacing w:after="0"/>
        <w:tabs>
          <w:tab w:leader="none" w:pos="6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6320"/>
        <w:spacing w:after="0"/>
        <w:tabs>
          <w:tab w:leader="none" w:pos="68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SSF IV ENERGY I AIV 2,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ind w:left="5740"/>
              <w:spacing w:after="0"/>
              <w:rPr>
                <w:sz w:val="20"/>
                <w:szCs w:val="20"/>
                <w:color w:val="auto"/>
              </w:rPr>
            </w:pPr>
            <w:r>
              <w:rPr>
                <w:rFonts w:ascii="Arial" w:cs="Arial" w:eastAsia="Arial" w:hAnsi="Arial"/>
                <w:sz w:val="18"/>
                <w:szCs w:val="18"/>
                <w:color w:val="auto"/>
              </w:rPr>
              <w:t>By:</w:t>
            </w:r>
          </w:p>
        </w:tc>
        <w:tc>
          <w:tcPr>
            <w:tcW w:w="4920" w:type="dxa"/>
            <w:vAlign w:val="bottom"/>
            <w:gridSpan w:val="2"/>
          </w:tcPr>
          <w:p>
            <w:pPr>
              <w:spacing w:after="0"/>
              <w:rPr>
                <w:sz w:val="20"/>
                <w:szCs w:val="20"/>
                <w:color w:val="auto"/>
              </w:rPr>
            </w:pPr>
            <w:r>
              <w:rPr>
                <w:rFonts w:ascii="Arial" w:cs="Arial" w:eastAsia="Arial" w:hAnsi="Arial"/>
                <w:sz w:val="18"/>
                <w:szCs w:val="18"/>
                <w:color w:val="auto"/>
              </w:rPr>
              <w:t>ASSF OPERATING MANAGER IV, L.P.</w:t>
            </w:r>
          </w:p>
        </w:tc>
      </w:tr>
      <w:tr>
        <w:trPr>
          <w:trHeight w:val="230"/>
        </w:trPr>
        <w:tc>
          <w:tcPr>
            <w:tcW w:w="6320" w:type="dxa"/>
            <w:vAlign w:val="bottom"/>
          </w:tcPr>
          <w:p>
            <w:pPr>
              <w:ind w:left="5740"/>
              <w:spacing w:after="0"/>
              <w:rPr>
                <w:sz w:val="20"/>
                <w:szCs w:val="20"/>
                <w:color w:val="auto"/>
              </w:rPr>
            </w:pPr>
            <w:r>
              <w:rPr>
                <w:rFonts w:ascii="Arial" w:cs="Arial" w:eastAsia="Arial" w:hAnsi="Arial"/>
                <w:sz w:val="18"/>
                <w:szCs w:val="18"/>
                <w:color w:val="auto"/>
              </w:rPr>
              <w:t>Its:</w:t>
            </w:r>
          </w:p>
        </w:tc>
        <w:tc>
          <w:tcPr>
            <w:tcW w:w="4920" w:type="dxa"/>
            <w:vAlign w:val="bottom"/>
            <w:gridSpan w:val="2"/>
          </w:tcPr>
          <w:p>
            <w:pPr>
              <w:spacing w:after="0"/>
              <w:rPr>
                <w:sz w:val="20"/>
                <w:szCs w:val="20"/>
                <w:color w:val="auto"/>
              </w:rPr>
            </w:pPr>
            <w:r>
              <w:rPr>
                <w:rFonts w:ascii="Arial" w:cs="Arial" w:eastAsia="Arial" w:hAnsi="Arial"/>
                <w:sz w:val="18"/>
                <w:szCs w:val="18"/>
                <w:color w:val="auto"/>
              </w:rPr>
              <w:t>Manager</w:t>
            </w:r>
          </w:p>
        </w:tc>
      </w:tr>
      <w:tr>
        <w:trPr>
          <w:trHeight w:val="648"/>
        </w:trPr>
        <w:tc>
          <w:tcPr>
            <w:tcW w:w="6320" w:type="dxa"/>
            <w:vAlign w:val="bottom"/>
          </w:tcPr>
          <w:p>
            <w:pPr>
              <w:spacing w:after="0"/>
              <w:rPr>
                <w:sz w:val="24"/>
                <w:szCs w:val="24"/>
                <w:color w:val="auto"/>
              </w:rPr>
            </w:pPr>
          </w:p>
        </w:tc>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Naseem Sagati Aghili</w:t>
            </w:r>
          </w:p>
        </w:tc>
      </w:tr>
      <w:tr>
        <w:trPr>
          <w:trHeight w:val="195"/>
        </w:trPr>
        <w:tc>
          <w:tcPr>
            <w:tcW w:w="6320" w:type="dxa"/>
            <w:vAlign w:val="bottom"/>
          </w:tcPr>
          <w:p>
            <w:pPr>
              <w:spacing w:after="0"/>
              <w:rPr>
                <w:sz w:val="16"/>
                <w:szCs w:val="16"/>
                <w:color w:val="auto"/>
              </w:rPr>
            </w:pPr>
          </w:p>
        </w:tc>
        <w:tc>
          <w:tcPr>
            <w:tcW w:w="400" w:type="dxa"/>
            <w:vAlign w:val="bottom"/>
          </w:tcPr>
          <w:p>
            <w:pPr>
              <w:spacing w:after="0" w:line="195" w:lineRule="exact"/>
              <w:rPr>
                <w:sz w:val="20"/>
                <w:szCs w:val="20"/>
                <w:color w:val="auto"/>
              </w:rPr>
            </w:pPr>
            <w:r>
              <w:rPr>
                <w:rFonts w:ascii="Arial" w:cs="Arial" w:eastAsia="Arial" w:hAnsi="Arial"/>
                <w:sz w:val="18"/>
                <w:szCs w:val="18"/>
                <w:color w:val="auto"/>
              </w:rPr>
              <w:t>By:</w:t>
            </w:r>
          </w:p>
        </w:tc>
        <w:tc>
          <w:tcPr>
            <w:tcW w:w="4520" w:type="dxa"/>
            <w:vAlign w:val="bottom"/>
          </w:tcPr>
          <w:p>
            <w:pPr>
              <w:ind w:left="140"/>
              <w:spacing w:after="0" w:line="195" w:lineRule="exact"/>
              <w:rPr>
                <w:sz w:val="20"/>
                <w:szCs w:val="20"/>
                <w:color w:val="auto"/>
              </w:rPr>
            </w:pPr>
            <w:r>
              <w:rPr>
                <w:rFonts w:ascii="Arial" w:cs="Arial" w:eastAsia="Arial" w:hAnsi="Arial"/>
                <w:sz w:val="18"/>
                <w:szCs w:val="18"/>
                <w:color w:val="auto"/>
              </w:rPr>
              <w:t>Naseem Sagati Aghili</w:t>
            </w:r>
          </w:p>
        </w:tc>
      </w:tr>
      <w:tr>
        <w:trPr>
          <w:trHeight w:val="230"/>
        </w:trPr>
        <w:tc>
          <w:tcPr>
            <w:tcW w:w="6320" w:type="dxa"/>
            <w:vAlign w:val="bottom"/>
          </w:tcPr>
          <w:p>
            <w:pPr>
              <w:spacing w:after="0"/>
              <w:rPr>
                <w:sz w:val="20"/>
                <w:szCs w:val="20"/>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Its:</w:t>
            </w:r>
          </w:p>
        </w:tc>
        <w:tc>
          <w:tcPr>
            <w:tcW w:w="4520" w:type="dxa"/>
            <w:vAlign w:val="bottom"/>
          </w:tcPr>
          <w:p>
            <w:pPr>
              <w:ind w:left="140"/>
              <w:spacing w:after="0"/>
              <w:rPr>
                <w:sz w:val="20"/>
                <w:szCs w:val="20"/>
                <w:color w:val="auto"/>
              </w:rPr>
            </w:pPr>
            <w:r>
              <w:rPr>
                <w:rFonts w:ascii="Arial" w:cs="Arial" w:eastAsia="Arial" w:hAnsi="Arial"/>
                <w:sz w:val="18"/>
                <w:szCs w:val="18"/>
                <w:color w:val="auto"/>
              </w:rPr>
              <w:t>Authorized Signatory</w:t>
            </w:r>
          </w:p>
        </w:tc>
      </w:tr>
      <w:tr>
        <w:trPr>
          <w:trHeight w:val="675"/>
        </w:trPr>
        <w:tc>
          <w:tcPr>
            <w:tcW w:w="63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27" w:name="page28"/>
    <w:bookmarkEnd w:id="27"/>
    <w:p>
      <w:pPr>
        <w:ind w:left="4620"/>
        <w:spacing w:after="0"/>
        <w:rPr>
          <w:sz w:val="20"/>
          <w:szCs w:val="20"/>
          <w:color w:val="auto"/>
        </w:rPr>
      </w:pPr>
      <w:r>
        <w:rPr>
          <w:rFonts w:ascii="Arial" w:cs="Arial" w:eastAsia="Arial" w:hAnsi="Arial"/>
          <w:sz w:val="18"/>
          <w:szCs w:val="18"/>
          <w:b w:val="1"/>
          <w:bCs w:val="1"/>
          <w:color w:val="auto"/>
        </w:rPr>
        <w:t>ASSF OPERATING MANAGER IV, L.P.</w:t>
      </w:r>
    </w:p>
    <w:p>
      <w:pPr>
        <w:spacing w:after="0" w:line="200" w:lineRule="exact"/>
        <w:rPr>
          <w:sz w:val="20"/>
          <w:szCs w:val="20"/>
          <w:color w:val="auto"/>
        </w:rPr>
      </w:pPr>
    </w:p>
    <w:p>
      <w:pPr>
        <w:spacing w:after="0" w:line="24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14605</wp:posOffset>
            </wp:positionV>
            <wp:extent cx="312864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3" w:lineRule="exact"/>
        <w:rPr>
          <w:sz w:val="20"/>
          <w:szCs w:val="20"/>
          <w:color w:val="auto"/>
        </w:rPr>
      </w:pPr>
    </w:p>
    <w:p>
      <w:pPr>
        <w:ind w:left="5200"/>
        <w:spacing w:after="0"/>
        <w:tabs>
          <w:tab w:leader="none" w:pos="5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5200"/>
        <w:spacing w:after="0"/>
        <w:tabs>
          <w:tab w:leader="none" w:pos="57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ARES MANAGEMENT LLC</w:t>
      </w:r>
    </w:p>
    <w:p>
      <w:pPr>
        <w:spacing w:after="0" w:line="200" w:lineRule="exact"/>
        <w:rPr>
          <w:sz w:val="20"/>
          <w:szCs w:val="20"/>
          <w:color w:val="auto"/>
        </w:rPr>
      </w:pPr>
    </w:p>
    <w:p>
      <w:pPr>
        <w:spacing w:after="0" w:line="24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14605</wp:posOffset>
            </wp:positionV>
            <wp:extent cx="312864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3" w:lineRule="exact"/>
        <w:rPr>
          <w:sz w:val="20"/>
          <w:szCs w:val="20"/>
          <w:color w:val="auto"/>
        </w:rPr>
      </w:pPr>
    </w:p>
    <w:p>
      <w:pPr>
        <w:ind w:left="5200"/>
        <w:spacing w:after="0"/>
        <w:tabs>
          <w:tab w:leader="none" w:pos="5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5200"/>
        <w:spacing w:after="0"/>
        <w:tabs>
          <w:tab w:leader="none" w:pos="57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ARES MANAGEMENT HOLDINGS L.P.</w:t>
      </w:r>
    </w:p>
    <w:p>
      <w:pPr>
        <w:spacing w:after="0" w:line="229" w:lineRule="exact"/>
        <w:rPr>
          <w:sz w:val="20"/>
          <w:szCs w:val="20"/>
          <w:color w:val="auto"/>
        </w:rPr>
      </w:pPr>
    </w:p>
    <w:p>
      <w:pPr>
        <w:ind w:left="4620"/>
        <w:spacing w:after="0"/>
        <w:tabs>
          <w:tab w:leader="none" w:pos="5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ARES HOLDCO LLC</w:t>
      </w:r>
    </w:p>
    <w:p>
      <w:pPr>
        <w:spacing w:after="0" w:line="23" w:lineRule="exact"/>
        <w:rPr>
          <w:sz w:val="20"/>
          <w:szCs w:val="20"/>
          <w:color w:val="auto"/>
        </w:rPr>
      </w:pPr>
    </w:p>
    <w:p>
      <w:pPr>
        <w:ind w:left="4620"/>
        <w:spacing w:after="0"/>
        <w:tabs>
          <w:tab w:leader="none" w:pos="51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General Partner</w:t>
      </w:r>
    </w:p>
    <w:p>
      <w:pPr>
        <w:spacing w:after="0" w:line="200" w:lineRule="exact"/>
        <w:rPr>
          <w:sz w:val="20"/>
          <w:szCs w:val="20"/>
          <w:color w:val="auto"/>
        </w:rPr>
      </w:pPr>
    </w:p>
    <w:p>
      <w:pPr>
        <w:spacing w:after="0" w:line="22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14605</wp:posOffset>
            </wp:positionV>
            <wp:extent cx="312864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3" w:lineRule="exact"/>
        <w:rPr>
          <w:sz w:val="20"/>
          <w:szCs w:val="20"/>
          <w:color w:val="auto"/>
        </w:rPr>
      </w:pPr>
    </w:p>
    <w:p>
      <w:pPr>
        <w:ind w:left="5200"/>
        <w:spacing w:after="0"/>
        <w:tabs>
          <w:tab w:leader="none" w:pos="5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5200"/>
        <w:spacing w:after="0"/>
        <w:tabs>
          <w:tab w:leader="none" w:pos="57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ARES HOLDCO LLC</w:t>
      </w:r>
    </w:p>
    <w:p>
      <w:pPr>
        <w:spacing w:after="0" w:line="200" w:lineRule="exact"/>
        <w:rPr>
          <w:sz w:val="20"/>
          <w:szCs w:val="20"/>
          <w:color w:val="auto"/>
        </w:rPr>
      </w:pPr>
    </w:p>
    <w:p>
      <w:pPr>
        <w:spacing w:after="0" w:line="24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14605</wp:posOffset>
            </wp:positionV>
            <wp:extent cx="312864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3" w:lineRule="exact"/>
        <w:rPr>
          <w:sz w:val="20"/>
          <w:szCs w:val="20"/>
          <w:color w:val="auto"/>
        </w:rPr>
      </w:pPr>
    </w:p>
    <w:p>
      <w:pPr>
        <w:ind w:left="5200"/>
        <w:spacing w:after="0"/>
        <w:tabs>
          <w:tab w:leader="none" w:pos="5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5200"/>
        <w:spacing w:after="0"/>
        <w:tabs>
          <w:tab w:leader="none" w:pos="57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ARES HOLDINGS INC.</w:t>
      </w:r>
    </w:p>
    <w:p>
      <w:pPr>
        <w:spacing w:after="0" w:line="200" w:lineRule="exact"/>
        <w:rPr>
          <w:sz w:val="20"/>
          <w:szCs w:val="20"/>
          <w:color w:val="auto"/>
        </w:rPr>
      </w:pPr>
    </w:p>
    <w:p>
      <w:pPr>
        <w:spacing w:after="0" w:line="24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14605</wp:posOffset>
            </wp:positionV>
            <wp:extent cx="312864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3" w:lineRule="exact"/>
        <w:rPr>
          <w:sz w:val="20"/>
          <w:szCs w:val="20"/>
          <w:color w:val="auto"/>
        </w:rPr>
      </w:pPr>
    </w:p>
    <w:p>
      <w:pPr>
        <w:ind w:left="5200"/>
        <w:spacing w:after="0"/>
        <w:tabs>
          <w:tab w:leader="none" w:pos="5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5200"/>
        <w:spacing w:after="0"/>
        <w:tabs>
          <w:tab w:leader="none" w:pos="57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ARES MANAGEMENT CORPORATION</w:t>
      </w:r>
    </w:p>
    <w:p>
      <w:pPr>
        <w:spacing w:after="0" w:line="200" w:lineRule="exact"/>
        <w:rPr>
          <w:sz w:val="20"/>
          <w:szCs w:val="20"/>
          <w:color w:val="auto"/>
        </w:rPr>
      </w:pPr>
    </w:p>
    <w:p>
      <w:pPr>
        <w:spacing w:after="0" w:line="24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14605</wp:posOffset>
            </wp:positionV>
            <wp:extent cx="312864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3" w:lineRule="exact"/>
        <w:rPr>
          <w:sz w:val="20"/>
          <w:szCs w:val="20"/>
          <w:color w:val="auto"/>
        </w:rPr>
      </w:pPr>
    </w:p>
    <w:p>
      <w:pPr>
        <w:ind w:left="5200"/>
        <w:spacing w:after="0"/>
        <w:tabs>
          <w:tab w:leader="none" w:pos="5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5200"/>
        <w:spacing w:after="0"/>
        <w:tabs>
          <w:tab w:leader="none" w:pos="57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ARES MANAGEMENT GP LLC</w:t>
      </w:r>
    </w:p>
    <w:p>
      <w:pPr>
        <w:spacing w:after="0" w:line="200" w:lineRule="exact"/>
        <w:rPr>
          <w:sz w:val="20"/>
          <w:szCs w:val="20"/>
          <w:color w:val="auto"/>
        </w:rPr>
      </w:pPr>
    </w:p>
    <w:p>
      <w:pPr>
        <w:spacing w:after="0" w:line="24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14605</wp:posOffset>
            </wp:positionV>
            <wp:extent cx="312864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3" w:lineRule="exact"/>
        <w:rPr>
          <w:sz w:val="20"/>
          <w:szCs w:val="20"/>
          <w:color w:val="auto"/>
        </w:rPr>
      </w:pPr>
    </w:p>
    <w:p>
      <w:pPr>
        <w:ind w:left="5200"/>
        <w:spacing w:after="0"/>
        <w:tabs>
          <w:tab w:leader="none" w:pos="5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5200"/>
        <w:spacing w:after="0"/>
        <w:tabs>
          <w:tab w:leader="none" w:pos="57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ARES VOTING LLC</w:t>
      </w:r>
    </w:p>
    <w:p>
      <w:pPr>
        <w:spacing w:after="0" w:line="229" w:lineRule="exact"/>
        <w:rPr>
          <w:sz w:val="20"/>
          <w:szCs w:val="20"/>
          <w:color w:val="auto"/>
        </w:rPr>
      </w:pPr>
    </w:p>
    <w:p>
      <w:pPr>
        <w:ind w:left="4620"/>
        <w:spacing w:after="0"/>
        <w:tabs>
          <w:tab w:leader="none" w:pos="518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ARES PARTNERS HOLDCO LLC</w:t>
      </w:r>
    </w:p>
    <w:p>
      <w:pPr>
        <w:spacing w:after="0" w:line="35" w:lineRule="exact"/>
        <w:rPr>
          <w:sz w:val="20"/>
          <w:szCs w:val="20"/>
          <w:color w:val="auto"/>
        </w:rPr>
      </w:pPr>
    </w:p>
    <w:p>
      <w:pPr>
        <w:ind w:left="4620"/>
        <w:spacing w:after="0"/>
        <w:tabs>
          <w:tab w:leader="none" w:pos="51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Sole Member</w:t>
      </w:r>
    </w:p>
    <w:p>
      <w:pPr>
        <w:spacing w:after="0" w:line="200" w:lineRule="exact"/>
        <w:rPr>
          <w:sz w:val="20"/>
          <w:szCs w:val="20"/>
          <w:color w:val="auto"/>
        </w:rPr>
      </w:pPr>
    </w:p>
    <w:p>
      <w:pPr>
        <w:spacing w:after="0" w:line="22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 Naseem Sagati Aghili</w:t>
      </w:r>
    </w:p>
    <w:p>
      <w:pPr>
        <w:spacing w:after="0" w:line="23" w:lineRule="exact"/>
        <w:rPr>
          <w:sz w:val="20"/>
          <w:szCs w:val="20"/>
          <w:color w:val="auto"/>
        </w:rPr>
      </w:pPr>
    </w:p>
    <w:p>
      <w:pPr>
        <w:ind w:left="5200"/>
        <w:spacing w:after="0"/>
        <w:tabs>
          <w:tab w:leader="none" w:pos="5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-130810</wp:posOffset>
            </wp:positionV>
            <wp:extent cx="312864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3" w:lineRule="exact"/>
        <w:rPr>
          <w:sz w:val="20"/>
          <w:szCs w:val="20"/>
          <w:color w:val="auto"/>
        </w:rPr>
      </w:pPr>
    </w:p>
    <w:p>
      <w:pPr>
        <w:ind w:left="5200"/>
        <w:spacing w:after="0"/>
        <w:tabs>
          <w:tab w:leader="none" w:pos="57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28" w:name="page29"/>
    <w:bookmarkEnd w:id="28"/>
    <w:p>
      <w:pPr>
        <w:ind w:left="4620"/>
        <w:spacing w:after="0"/>
        <w:rPr>
          <w:sz w:val="20"/>
          <w:szCs w:val="20"/>
          <w:color w:val="auto"/>
        </w:rPr>
      </w:pPr>
      <w:r>
        <w:rPr>
          <w:rFonts w:ascii="Arial" w:cs="Arial" w:eastAsia="Arial" w:hAnsi="Arial"/>
          <w:sz w:val="17"/>
          <w:szCs w:val="17"/>
          <w:b w:val="1"/>
          <w:bCs w:val="1"/>
          <w:color w:val="auto"/>
        </w:rPr>
        <w:t>ARES PARTNERS HOLDCO LLC</w:t>
      </w:r>
    </w:p>
    <w:p>
      <w:pPr>
        <w:spacing w:after="0" w:line="200" w:lineRule="exact"/>
        <w:rPr>
          <w:sz w:val="20"/>
          <w:szCs w:val="20"/>
          <w:color w:val="auto"/>
        </w:rPr>
      </w:pPr>
    </w:p>
    <w:p>
      <w:pPr>
        <w:spacing w:after="0" w:line="25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14605</wp:posOffset>
            </wp:positionV>
            <wp:extent cx="312864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3" w:lineRule="exact"/>
        <w:rPr>
          <w:sz w:val="20"/>
          <w:szCs w:val="20"/>
          <w:color w:val="auto"/>
        </w:rPr>
      </w:pPr>
    </w:p>
    <w:p>
      <w:pPr>
        <w:ind w:left="5200"/>
        <w:spacing w:after="0"/>
        <w:tabs>
          <w:tab w:leader="none" w:pos="57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Naseem Sagati Aghili</w:t>
      </w:r>
    </w:p>
    <w:p>
      <w:pPr>
        <w:spacing w:after="0" w:line="46" w:lineRule="exact"/>
        <w:rPr>
          <w:sz w:val="20"/>
          <w:szCs w:val="20"/>
          <w:color w:val="auto"/>
        </w:rPr>
      </w:pPr>
    </w:p>
    <w:p>
      <w:pPr>
        <w:ind w:left="5200"/>
        <w:spacing w:after="0"/>
        <w:tabs>
          <w:tab w:leader="none" w:pos="5720" w:val="left"/>
        </w:tabs>
        <w:rPr>
          <w:sz w:val="20"/>
          <w:szCs w:val="20"/>
          <w:color w:val="auto"/>
        </w:rPr>
      </w:pPr>
      <w:r>
        <w:rPr>
          <w:rFonts w:ascii="Arial" w:cs="Arial" w:eastAsia="Arial" w:hAnsi="Arial"/>
          <w:sz w:val="17"/>
          <w:szCs w:val="17"/>
          <w:color w:val="auto"/>
        </w:rPr>
        <w:t>Its:</w:t>
      </w:r>
      <w:r>
        <w:rPr>
          <w:sz w:val="20"/>
          <w:szCs w:val="20"/>
          <w:color w:val="auto"/>
        </w:rPr>
        <w:tab/>
      </w:r>
      <w:r>
        <w:rPr>
          <w:rFonts w:ascii="Arial" w:cs="Arial" w:eastAsia="Arial" w:hAnsi="Arial"/>
          <w:sz w:val="17"/>
          <w:szCs w:val="17"/>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424815</wp:posOffset>
            </wp:positionV>
            <wp:extent cx="713232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10120" w:type="dxa"/>
            <w:vAlign w:val="bottom"/>
          </w:tcPr>
          <w:p>
            <w:pPr>
              <w:ind w:left="3800"/>
              <w:spacing w:after="0"/>
              <w:rPr>
                <w:sz w:val="20"/>
                <w:szCs w:val="20"/>
                <w:color w:val="auto"/>
              </w:rPr>
            </w:pPr>
            <w:r>
              <w:rPr>
                <w:rFonts w:ascii="Arial" w:cs="Arial" w:eastAsia="Arial" w:hAnsi="Arial"/>
                <w:sz w:val="18"/>
                <w:szCs w:val="18"/>
                <w:b w:val="1"/>
                <w:bCs w:val="1"/>
                <w:color w:val="auto"/>
              </w:rPr>
              <w:t>EXHIBIT INDEX</w:t>
            </w:r>
          </w:p>
        </w:tc>
      </w:tr>
      <w:tr>
        <w:trPr>
          <w:trHeight w:val="418"/>
        </w:trPr>
        <w:tc>
          <w:tcPr>
            <w:tcW w:w="1120" w:type="dxa"/>
            <w:vAlign w:val="bottom"/>
          </w:tcPr>
          <w:p>
            <w:pPr>
              <w:spacing w:after="0"/>
              <w:rPr>
                <w:sz w:val="20"/>
                <w:szCs w:val="20"/>
                <w:color w:val="auto"/>
              </w:rPr>
            </w:pPr>
            <w:r>
              <w:rPr>
                <w:rFonts w:ascii="Arial" w:cs="Arial" w:eastAsia="Arial" w:hAnsi="Arial"/>
                <w:sz w:val="18"/>
                <w:szCs w:val="18"/>
                <w:color w:val="auto"/>
              </w:rPr>
              <w:t>Exhibit 1</w:t>
            </w:r>
          </w:p>
        </w:tc>
        <w:tc>
          <w:tcPr>
            <w:tcW w:w="10120" w:type="dxa"/>
            <w:vAlign w:val="bottom"/>
          </w:tcPr>
          <w:p>
            <w:pPr>
              <w:ind w:left="240"/>
              <w:spacing w:after="0"/>
              <w:rPr>
                <w:sz w:val="20"/>
                <w:szCs w:val="20"/>
                <w:color w:val="auto"/>
              </w:rPr>
            </w:pPr>
            <w:r>
              <w:rPr>
                <w:rFonts w:ascii="Arial" w:cs="Arial" w:eastAsia="Arial" w:hAnsi="Arial"/>
                <w:sz w:val="18"/>
                <w:szCs w:val="18"/>
                <w:color w:val="auto"/>
                <w:w w:val="98"/>
              </w:rPr>
              <w:t>Settlement and Assumption Agreement, dated as of July 15, 2020, by and among California Resources Corporation, California</w:t>
            </w:r>
          </w:p>
        </w:tc>
      </w:tr>
      <w:tr>
        <w:trPr>
          <w:trHeight w:val="216"/>
        </w:trPr>
        <w:tc>
          <w:tcPr>
            <w:tcW w:w="1120" w:type="dxa"/>
            <w:vAlign w:val="bottom"/>
          </w:tcPr>
          <w:p>
            <w:pPr>
              <w:spacing w:after="0"/>
              <w:rPr>
                <w:sz w:val="18"/>
                <w:szCs w:val="18"/>
                <w:color w:val="auto"/>
              </w:rPr>
            </w:pPr>
          </w:p>
        </w:tc>
        <w:tc>
          <w:tcPr>
            <w:tcW w:w="10120" w:type="dxa"/>
            <w:vAlign w:val="bottom"/>
          </w:tcPr>
          <w:p>
            <w:pPr>
              <w:ind w:left="240"/>
              <w:spacing w:after="0"/>
              <w:rPr>
                <w:sz w:val="20"/>
                <w:szCs w:val="20"/>
                <w:color w:val="auto"/>
              </w:rPr>
            </w:pPr>
            <w:r>
              <w:rPr>
                <w:rFonts w:ascii="Arial" w:cs="Arial" w:eastAsia="Arial" w:hAnsi="Arial"/>
                <w:sz w:val="18"/>
                <w:szCs w:val="18"/>
                <w:color w:val="auto"/>
                <w:w w:val="94"/>
              </w:rPr>
              <w:t>Resources Elk Hills, LLC, Elk Hills Power, LLC, ECR Corporate Holdings GP LLC, ECR I, L.P., SSF IV Energy I AIV 1, L.P., SSF IV</w:t>
            </w:r>
          </w:p>
        </w:tc>
      </w:tr>
      <w:tr>
        <w:trPr>
          <w:trHeight w:val="216"/>
        </w:trPr>
        <w:tc>
          <w:tcPr>
            <w:tcW w:w="1120" w:type="dxa"/>
            <w:vAlign w:val="bottom"/>
          </w:tcPr>
          <w:p>
            <w:pPr>
              <w:spacing w:after="0"/>
              <w:rPr>
                <w:sz w:val="18"/>
                <w:szCs w:val="18"/>
                <w:color w:val="auto"/>
              </w:rPr>
            </w:pPr>
          </w:p>
        </w:tc>
        <w:tc>
          <w:tcPr>
            <w:tcW w:w="10120" w:type="dxa"/>
            <w:vAlign w:val="bottom"/>
          </w:tcPr>
          <w:p>
            <w:pPr>
              <w:ind w:left="240"/>
              <w:spacing w:after="0"/>
              <w:rPr>
                <w:sz w:val="20"/>
                <w:szCs w:val="20"/>
                <w:color w:val="auto"/>
              </w:rPr>
            </w:pPr>
            <w:r>
              <w:rPr>
                <w:rFonts w:ascii="Arial" w:cs="Arial" w:eastAsia="Arial" w:hAnsi="Arial"/>
                <w:sz w:val="18"/>
                <w:szCs w:val="18"/>
                <w:color w:val="auto"/>
                <w:w w:val="95"/>
              </w:rPr>
              <w:t>Energy I AIV 2, L.P., AEOF ECR Holdings, L.P. and ECR Corporate Holdings L.P. (incorporated by reference to Exhibit 10.3 to the</w:t>
            </w:r>
          </w:p>
        </w:tc>
      </w:tr>
      <w:tr>
        <w:trPr>
          <w:trHeight w:val="216"/>
        </w:trPr>
        <w:tc>
          <w:tcPr>
            <w:tcW w:w="1120" w:type="dxa"/>
            <w:vAlign w:val="bottom"/>
          </w:tcPr>
          <w:p>
            <w:pPr>
              <w:spacing w:after="0"/>
              <w:rPr>
                <w:sz w:val="18"/>
                <w:szCs w:val="18"/>
                <w:color w:val="auto"/>
              </w:rPr>
            </w:pPr>
          </w:p>
        </w:tc>
        <w:tc>
          <w:tcPr>
            <w:tcW w:w="10120" w:type="dxa"/>
            <w:vAlign w:val="bottom"/>
          </w:tcPr>
          <w:p>
            <w:pPr>
              <w:ind w:left="240"/>
              <w:spacing w:after="0"/>
              <w:rPr>
                <w:sz w:val="20"/>
                <w:szCs w:val="20"/>
                <w:color w:val="auto"/>
              </w:rPr>
            </w:pPr>
            <w:r>
              <w:rPr>
                <w:rFonts w:ascii="Arial" w:cs="Arial" w:eastAsia="Arial" w:hAnsi="Arial"/>
                <w:sz w:val="18"/>
                <w:szCs w:val="18"/>
                <w:color w:val="auto"/>
              </w:rPr>
              <w:t>Current Report on Form 8-K filed by California Resources Corporation on July 16, 2020).</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Exhibit 2</w:t>
            </w:r>
          </w:p>
        </w:tc>
        <w:tc>
          <w:tcPr>
            <w:tcW w:w="10120" w:type="dxa"/>
            <w:vAlign w:val="bottom"/>
          </w:tcPr>
          <w:p>
            <w:pPr>
              <w:ind w:left="240"/>
              <w:spacing w:after="0"/>
              <w:rPr>
                <w:sz w:val="20"/>
                <w:szCs w:val="20"/>
                <w:color w:val="auto"/>
              </w:rPr>
            </w:pPr>
            <w:r>
              <w:rPr>
                <w:rFonts w:ascii="Arial" w:cs="Arial" w:eastAsia="Arial" w:hAnsi="Arial"/>
                <w:sz w:val="18"/>
                <w:szCs w:val="18"/>
                <w:color w:val="auto"/>
                <w:w w:val="91"/>
              </w:rPr>
              <w:t>Amended and Restated Restructuring Support Agreement, dated as of July 24, 2020, by and among California Resources Corporation,</w:t>
            </w:r>
          </w:p>
        </w:tc>
      </w:tr>
      <w:tr>
        <w:trPr>
          <w:trHeight w:val="216"/>
        </w:trPr>
        <w:tc>
          <w:tcPr>
            <w:tcW w:w="1120" w:type="dxa"/>
            <w:vAlign w:val="bottom"/>
          </w:tcPr>
          <w:p>
            <w:pPr>
              <w:spacing w:after="0"/>
              <w:rPr>
                <w:sz w:val="18"/>
                <w:szCs w:val="18"/>
                <w:color w:val="auto"/>
              </w:rPr>
            </w:pPr>
          </w:p>
        </w:tc>
        <w:tc>
          <w:tcPr>
            <w:tcW w:w="10120" w:type="dxa"/>
            <w:vAlign w:val="bottom"/>
          </w:tcPr>
          <w:p>
            <w:pPr>
              <w:ind w:left="240"/>
              <w:spacing w:after="0"/>
              <w:rPr>
                <w:sz w:val="20"/>
                <w:szCs w:val="20"/>
                <w:color w:val="auto"/>
              </w:rPr>
            </w:pPr>
            <w:r>
              <w:rPr>
                <w:rFonts w:ascii="Arial" w:cs="Arial" w:eastAsia="Arial" w:hAnsi="Arial"/>
                <w:sz w:val="18"/>
                <w:szCs w:val="18"/>
                <w:color w:val="auto"/>
                <w:w w:val="90"/>
              </w:rPr>
              <w:t>certain of its subsidiaries and the Consenting Parties (as defined therein) (incorporated by reference to Exhibit 10.3 to the Current Report</w:t>
            </w:r>
          </w:p>
        </w:tc>
      </w:tr>
      <w:tr>
        <w:trPr>
          <w:trHeight w:val="216"/>
        </w:trPr>
        <w:tc>
          <w:tcPr>
            <w:tcW w:w="1120" w:type="dxa"/>
            <w:vAlign w:val="bottom"/>
          </w:tcPr>
          <w:p>
            <w:pPr>
              <w:spacing w:after="0"/>
              <w:rPr>
                <w:sz w:val="18"/>
                <w:szCs w:val="18"/>
                <w:color w:val="auto"/>
              </w:rPr>
            </w:pPr>
          </w:p>
        </w:tc>
        <w:tc>
          <w:tcPr>
            <w:tcW w:w="10120" w:type="dxa"/>
            <w:vAlign w:val="bottom"/>
          </w:tcPr>
          <w:p>
            <w:pPr>
              <w:ind w:left="240"/>
              <w:spacing w:after="0"/>
              <w:rPr>
                <w:sz w:val="20"/>
                <w:szCs w:val="20"/>
                <w:color w:val="auto"/>
              </w:rPr>
            </w:pPr>
            <w:r>
              <w:rPr>
                <w:rFonts w:ascii="Arial" w:cs="Arial" w:eastAsia="Arial" w:hAnsi="Arial"/>
                <w:sz w:val="18"/>
                <w:szCs w:val="18"/>
                <w:color w:val="auto"/>
              </w:rPr>
              <w:t>on Form 8-K filed by California Resources Corporation on July 24, 2020).</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Exhibit 3</w:t>
            </w:r>
          </w:p>
        </w:tc>
        <w:tc>
          <w:tcPr>
            <w:tcW w:w="10120" w:type="dxa"/>
            <w:vAlign w:val="bottom"/>
          </w:tcPr>
          <w:p>
            <w:pPr>
              <w:ind w:left="240"/>
              <w:spacing w:after="0"/>
              <w:rPr>
                <w:sz w:val="20"/>
                <w:szCs w:val="20"/>
                <w:color w:val="auto"/>
              </w:rPr>
            </w:pPr>
            <w:r>
              <w:rPr>
                <w:rFonts w:ascii="Arial" w:cs="Arial" w:eastAsia="Arial" w:hAnsi="Arial"/>
                <w:sz w:val="18"/>
                <w:szCs w:val="18"/>
                <w:color w:val="auto"/>
                <w:w w:val="92"/>
              </w:rPr>
              <w:t>Note Purchase Agreement, dated as of October 27, 2020, by and among EHP Midco Holding Company, LLC, each of the Purchasers</w:t>
            </w:r>
          </w:p>
        </w:tc>
      </w:tr>
      <w:tr>
        <w:trPr>
          <w:trHeight w:val="216"/>
        </w:trPr>
        <w:tc>
          <w:tcPr>
            <w:tcW w:w="1120" w:type="dxa"/>
            <w:vAlign w:val="bottom"/>
          </w:tcPr>
          <w:p>
            <w:pPr>
              <w:spacing w:after="0"/>
              <w:rPr>
                <w:sz w:val="18"/>
                <w:szCs w:val="18"/>
                <w:color w:val="auto"/>
              </w:rPr>
            </w:pPr>
          </w:p>
        </w:tc>
        <w:tc>
          <w:tcPr>
            <w:tcW w:w="10120" w:type="dxa"/>
            <w:vAlign w:val="bottom"/>
          </w:tcPr>
          <w:p>
            <w:pPr>
              <w:ind w:left="240"/>
              <w:spacing w:after="0"/>
              <w:rPr>
                <w:sz w:val="20"/>
                <w:szCs w:val="20"/>
                <w:color w:val="auto"/>
              </w:rPr>
            </w:pPr>
            <w:r>
              <w:rPr>
                <w:rFonts w:ascii="Arial" w:cs="Arial" w:eastAsia="Arial" w:hAnsi="Arial"/>
                <w:sz w:val="18"/>
                <w:szCs w:val="18"/>
                <w:color w:val="auto"/>
                <w:w w:val="95"/>
              </w:rPr>
              <w:t>party thereto and Wilmington Trust, National Association, as collateral agent for the Secured Parties (incorporated by reference to</w:t>
            </w:r>
          </w:p>
        </w:tc>
      </w:tr>
      <w:tr>
        <w:trPr>
          <w:trHeight w:val="216"/>
        </w:trPr>
        <w:tc>
          <w:tcPr>
            <w:tcW w:w="1120" w:type="dxa"/>
            <w:vAlign w:val="bottom"/>
          </w:tcPr>
          <w:p>
            <w:pPr>
              <w:spacing w:after="0"/>
              <w:rPr>
                <w:sz w:val="18"/>
                <w:szCs w:val="18"/>
                <w:color w:val="auto"/>
              </w:rPr>
            </w:pPr>
          </w:p>
        </w:tc>
        <w:tc>
          <w:tcPr>
            <w:tcW w:w="10120" w:type="dxa"/>
            <w:vAlign w:val="bottom"/>
          </w:tcPr>
          <w:p>
            <w:pPr>
              <w:ind w:left="240"/>
              <w:spacing w:after="0"/>
              <w:rPr>
                <w:sz w:val="20"/>
                <w:szCs w:val="20"/>
                <w:color w:val="auto"/>
              </w:rPr>
            </w:pPr>
            <w:r>
              <w:rPr>
                <w:rFonts w:ascii="Arial" w:cs="Arial" w:eastAsia="Arial" w:hAnsi="Arial"/>
                <w:sz w:val="18"/>
                <w:szCs w:val="18"/>
                <w:color w:val="auto"/>
              </w:rPr>
              <w:t>Exhibit 10.5 to the Current Report on Form 8-K filed by California Resources Corporation on October 27, 2020).</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Exhibit 4</w:t>
            </w:r>
          </w:p>
        </w:tc>
        <w:tc>
          <w:tcPr>
            <w:tcW w:w="10120" w:type="dxa"/>
            <w:vAlign w:val="bottom"/>
          </w:tcPr>
          <w:p>
            <w:pPr>
              <w:ind w:left="240"/>
              <w:spacing w:after="0"/>
              <w:rPr>
                <w:sz w:val="20"/>
                <w:szCs w:val="20"/>
                <w:color w:val="auto"/>
              </w:rPr>
            </w:pPr>
            <w:r>
              <w:rPr>
                <w:rFonts w:ascii="Arial" w:cs="Arial" w:eastAsia="Arial" w:hAnsi="Arial"/>
                <w:sz w:val="18"/>
                <w:szCs w:val="18"/>
                <w:color w:val="auto"/>
                <w:w w:val="97"/>
              </w:rPr>
              <w:t>Owner Guaranty, dated as of October 27, 2020, by California Resources Corporation to and for the benefit of Wilmington Trust,</w:t>
            </w:r>
          </w:p>
        </w:tc>
      </w:tr>
      <w:tr>
        <w:trPr>
          <w:trHeight w:val="216"/>
        </w:trPr>
        <w:tc>
          <w:tcPr>
            <w:tcW w:w="1120" w:type="dxa"/>
            <w:vAlign w:val="bottom"/>
          </w:tcPr>
          <w:p>
            <w:pPr>
              <w:spacing w:after="0"/>
              <w:rPr>
                <w:sz w:val="18"/>
                <w:szCs w:val="18"/>
                <w:color w:val="auto"/>
              </w:rPr>
            </w:pPr>
          </w:p>
        </w:tc>
        <w:tc>
          <w:tcPr>
            <w:tcW w:w="10120" w:type="dxa"/>
            <w:vAlign w:val="bottom"/>
          </w:tcPr>
          <w:p>
            <w:pPr>
              <w:ind w:left="240"/>
              <w:spacing w:after="0"/>
              <w:rPr>
                <w:sz w:val="20"/>
                <w:szCs w:val="20"/>
                <w:color w:val="auto"/>
              </w:rPr>
            </w:pPr>
            <w:r>
              <w:rPr>
                <w:rFonts w:ascii="Arial" w:cs="Arial" w:eastAsia="Arial" w:hAnsi="Arial"/>
                <w:sz w:val="18"/>
                <w:szCs w:val="18"/>
                <w:color w:val="auto"/>
                <w:w w:val="98"/>
              </w:rPr>
              <w:t>National Association, as Collateral Agent (incorporated by reference to Exhibit 10.6 to the Current Report on Form 8-K filed by</w:t>
            </w:r>
          </w:p>
        </w:tc>
      </w:tr>
      <w:tr>
        <w:trPr>
          <w:trHeight w:val="216"/>
        </w:trPr>
        <w:tc>
          <w:tcPr>
            <w:tcW w:w="1120" w:type="dxa"/>
            <w:vAlign w:val="bottom"/>
          </w:tcPr>
          <w:p>
            <w:pPr>
              <w:spacing w:after="0"/>
              <w:rPr>
                <w:sz w:val="18"/>
                <w:szCs w:val="18"/>
                <w:color w:val="auto"/>
              </w:rPr>
            </w:pPr>
          </w:p>
        </w:tc>
        <w:tc>
          <w:tcPr>
            <w:tcW w:w="10120" w:type="dxa"/>
            <w:vAlign w:val="bottom"/>
          </w:tcPr>
          <w:p>
            <w:pPr>
              <w:ind w:left="240"/>
              <w:spacing w:after="0"/>
              <w:rPr>
                <w:sz w:val="20"/>
                <w:szCs w:val="20"/>
                <w:color w:val="auto"/>
              </w:rPr>
            </w:pPr>
            <w:r>
              <w:rPr>
                <w:rFonts w:ascii="Arial" w:cs="Arial" w:eastAsia="Arial" w:hAnsi="Arial"/>
                <w:sz w:val="18"/>
                <w:szCs w:val="18"/>
                <w:color w:val="auto"/>
              </w:rPr>
              <w:t>California Resources Corporation on October 27, 2020).</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Exhibit 5</w:t>
            </w:r>
          </w:p>
        </w:tc>
        <w:tc>
          <w:tcPr>
            <w:tcW w:w="10120" w:type="dxa"/>
            <w:vAlign w:val="bottom"/>
          </w:tcPr>
          <w:p>
            <w:pPr>
              <w:ind w:left="240"/>
              <w:spacing w:after="0"/>
              <w:rPr>
                <w:sz w:val="20"/>
                <w:szCs w:val="20"/>
                <w:color w:val="auto"/>
              </w:rPr>
            </w:pPr>
            <w:r>
              <w:rPr>
                <w:rFonts w:ascii="Arial" w:cs="Arial" w:eastAsia="Arial" w:hAnsi="Arial"/>
                <w:sz w:val="18"/>
                <w:szCs w:val="18"/>
                <w:color w:val="auto"/>
                <w:w w:val="94"/>
              </w:rPr>
              <w:t>Form of Registration Rights Agreement, dated as of October 27, 2020, by and among California Resources Corporation and certain</w:t>
            </w:r>
          </w:p>
        </w:tc>
      </w:tr>
      <w:tr>
        <w:trPr>
          <w:trHeight w:val="216"/>
        </w:trPr>
        <w:tc>
          <w:tcPr>
            <w:tcW w:w="1120" w:type="dxa"/>
            <w:vAlign w:val="bottom"/>
          </w:tcPr>
          <w:p>
            <w:pPr>
              <w:spacing w:after="0"/>
              <w:rPr>
                <w:sz w:val="18"/>
                <w:szCs w:val="18"/>
                <w:color w:val="auto"/>
              </w:rPr>
            </w:pPr>
          </w:p>
        </w:tc>
        <w:tc>
          <w:tcPr>
            <w:tcW w:w="10120" w:type="dxa"/>
            <w:vAlign w:val="bottom"/>
          </w:tcPr>
          <w:p>
            <w:pPr>
              <w:ind w:left="240"/>
              <w:spacing w:after="0"/>
              <w:rPr>
                <w:sz w:val="20"/>
                <w:szCs w:val="20"/>
                <w:color w:val="auto"/>
              </w:rPr>
            </w:pPr>
            <w:r>
              <w:rPr>
                <w:rFonts w:ascii="Arial" w:cs="Arial" w:eastAsia="Arial" w:hAnsi="Arial"/>
                <w:sz w:val="18"/>
                <w:szCs w:val="18"/>
                <w:color w:val="auto"/>
                <w:w w:val="92"/>
              </w:rPr>
              <w:t>holders of Common Stock party to the Registration Rights Agreement (incorporated by reference to Exhibit 10.3 to the Current Report</w:t>
            </w:r>
          </w:p>
        </w:tc>
      </w:tr>
      <w:tr>
        <w:trPr>
          <w:trHeight w:val="216"/>
        </w:trPr>
        <w:tc>
          <w:tcPr>
            <w:tcW w:w="1120" w:type="dxa"/>
            <w:vAlign w:val="bottom"/>
          </w:tcPr>
          <w:p>
            <w:pPr>
              <w:spacing w:after="0"/>
              <w:rPr>
                <w:sz w:val="18"/>
                <w:szCs w:val="18"/>
                <w:color w:val="auto"/>
              </w:rPr>
            </w:pPr>
          </w:p>
        </w:tc>
        <w:tc>
          <w:tcPr>
            <w:tcW w:w="10120" w:type="dxa"/>
            <w:vAlign w:val="bottom"/>
          </w:tcPr>
          <w:p>
            <w:pPr>
              <w:ind w:left="240"/>
              <w:spacing w:after="0"/>
              <w:rPr>
                <w:sz w:val="20"/>
                <w:szCs w:val="20"/>
                <w:color w:val="auto"/>
              </w:rPr>
            </w:pPr>
            <w:r>
              <w:rPr>
                <w:rFonts w:ascii="Arial" w:cs="Arial" w:eastAsia="Arial" w:hAnsi="Arial"/>
                <w:sz w:val="18"/>
                <w:szCs w:val="18"/>
                <w:color w:val="auto"/>
              </w:rPr>
              <w:t>on Form 8-K filed by California Resources Corporation on October 27, 2020).</w:t>
            </w: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Exhibit 99.1</w:t>
            </w:r>
          </w:p>
        </w:tc>
        <w:tc>
          <w:tcPr>
            <w:tcW w:w="10120" w:type="dxa"/>
            <w:vAlign w:val="bottom"/>
          </w:tcPr>
          <w:p>
            <w:pPr>
              <w:ind w:left="240"/>
              <w:spacing w:after="0"/>
              <w:rPr>
                <w:sz w:val="20"/>
                <w:szCs w:val="20"/>
                <w:color w:val="auto"/>
              </w:rPr>
            </w:pPr>
            <w:r>
              <w:rPr>
                <w:rFonts w:ascii="Arial" w:cs="Arial" w:eastAsia="Arial" w:hAnsi="Arial"/>
                <w:sz w:val="18"/>
                <w:szCs w:val="18"/>
                <w:color w:val="auto"/>
              </w:rPr>
              <w:t>Joint Filing Agreement, dated as of November 6, 2020, by and among the Reporting Persons.</w:t>
            </w:r>
          </w:p>
        </w:tc>
      </w:tr>
      <w:tr>
        <w:trPr>
          <w:trHeight w:val="648"/>
        </w:trPr>
        <w:tc>
          <w:tcPr>
            <w:tcW w:w="1120" w:type="dxa"/>
            <w:vAlign w:val="bottom"/>
            <w:tcBorders>
              <w:bottom w:val="single" w:sz="8" w:color="auto"/>
            </w:tcBorders>
          </w:tcPr>
          <w:p>
            <w:pPr>
              <w:spacing w:after="0"/>
              <w:rPr>
                <w:sz w:val="24"/>
                <w:szCs w:val="24"/>
                <w:color w:val="auto"/>
              </w:rPr>
            </w:pPr>
          </w:p>
        </w:tc>
        <w:tc>
          <w:tcPr>
            <w:tcW w:w="10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accordance with Rule 13d-1(k)(1) promulgated under the Securities Exchange Act of 1934, as amended, the undersigned hereby agree to the joint filing with each of the Reporting Persons (as such term is defined in the Schedule 13D referred to below) on behalf of each of them of a statement on Schedule 13D (including amendments thereto) with respect to the common stock, par value $0.01 per share, of California Resources Corporation, a Delaware corporation, and that this agreement may be included as an exhibit to such joint filing.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WITNESS WHEREOF, the undersigned hereby execute this agreement as of November 6, 2020.</w:t>
      </w:r>
    </w:p>
    <w:p>
      <w:pPr>
        <w:spacing w:after="0" w:line="221"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AF V ENERGY IV AIV 1A, L.P.</w:t>
      </w:r>
    </w:p>
    <w:p>
      <w:pPr>
        <w:spacing w:after="0" w:line="229" w:lineRule="exact"/>
        <w:rPr>
          <w:sz w:val="20"/>
          <w:szCs w:val="20"/>
          <w:color w:val="auto"/>
        </w:rPr>
      </w:pPr>
    </w:p>
    <w:p>
      <w:pPr>
        <w:ind w:left="57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ACOF INVESTMENT MANAGEMENT LLC</w:t>
      </w:r>
    </w:p>
    <w:p>
      <w:pPr>
        <w:spacing w:after="0" w:line="23" w:lineRule="exact"/>
        <w:rPr>
          <w:sz w:val="20"/>
          <w:szCs w:val="20"/>
          <w:color w:val="auto"/>
        </w:rPr>
      </w:pPr>
    </w:p>
    <w:p>
      <w:pPr>
        <w:ind w:left="5740"/>
        <w:spacing w:after="0"/>
        <w:tabs>
          <w:tab w:leader="none" w:pos="630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Manager</w:t>
      </w:r>
    </w:p>
    <w:p>
      <w:pPr>
        <w:spacing w:after="0" w:line="200" w:lineRule="exact"/>
        <w:rPr>
          <w:sz w:val="20"/>
          <w:szCs w:val="20"/>
          <w:color w:val="auto"/>
        </w:rPr>
      </w:pPr>
    </w:p>
    <w:p>
      <w:pPr>
        <w:spacing w:after="0" w:line="22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14605</wp:posOffset>
            </wp:positionV>
            <wp:extent cx="312864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3" w:lineRule="exact"/>
        <w:rPr>
          <w:sz w:val="20"/>
          <w:szCs w:val="20"/>
          <w:color w:val="auto"/>
        </w:rPr>
      </w:pPr>
    </w:p>
    <w:p>
      <w:pPr>
        <w:ind w:left="6320"/>
        <w:spacing w:after="0"/>
        <w:tabs>
          <w:tab w:leader="none" w:pos="6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6320"/>
        <w:spacing w:after="0"/>
        <w:tabs>
          <w:tab w:leader="none" w:pos="68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AF V ENERGY IV AIV 1B, L.P.</w:t>
      </w:r>
    </w:p>
    <w:p>
      <w:pPr>
        <w:spacing w:after="0" w:line="229" w:lineRule="exact"/>
        <w:rPr>
          <w:sz w:val="20"/>
          <w:szCs w:val="20"/>
          <w:color w:val="auto"/>
        </w:rPr>
      </w:pPr>
    </w:p>
    <w:p>
      <w:pPr>
        <w:ind w:left="57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ACOF INVESTMENT MANAGEMENT LLC</w:t>
      </w:r>
    </w:p>
    <w:p>
      <w:pPr>
        <w:spacing w:after="0" w:line="23" w:lineRule="exact"/>
        <w:rPr>
          <w:sz w:val="20"/>
          <w:szCs w:val="20"/>
          <w:color w:val="auto"/>
        </w:rPr>
      </w:pPr>
    </w:p>
    <w:p>
      <w:pPr>
        <w:ind w:left="5740"/>
        <w:spacing w:after="0"/>
        <w:tabs>
          <w:tab w:leader="none" w:pos="630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Manager</w:t>
      </w:r>
    </w:p>
    <w:p>
      <w:pPr>
        <w:spacing w:after="0" w:line="200" w:lineRule="exact"/>
        <w:rPr>
          <w:sz w:val="20"/>
          <w:szCs w:val="20"/>
          <w:color w:val="auto"/>
        </w:rPr>
      </w:pPr>
    </w:p>
    <w:p>
      <w:pPr>
        <w:spacing w:after="0" w:line="22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14605</wp:posOffset>
            </wp:positionV>
            <wp:extent cx="312864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3" w:lineRule="exact"/>
        <w:rPr>
          <w:sz w:val="20"/>
          <w:szCs w:val="20"/>
          <w:color w:val="auto"/>
        </w:rPr>
      </w:pPr>
    </w:p>
    <w:p>
      <w:pPr>
        <w:ind w:left="6320"/>
        <w:spacing w:after="0"/>
        <w:tabs>
          <w:tab w:leader="none" w:pos="6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6320"/>
        <w:spacing w:after="0"/>
        <w:tabs>
          <w:tab w:leader="none" w:pos="68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AF V ENERGY IV AIV 2, L.P.</w:t>
      </w:r>
    </w:p>
    <w:p>
      <w:pPr>
        <w:spacing w:after="0" w:line="229" w:lineRule="exact"/>
        <w:rPr>
          <w:sz w:val="20"/>
          <w:szCs w:val="20"/>
          <w:color w:val="auto"/>
        </w:rPr>
      </w:pPr>
    </w:p>
    <w:p>
      <w:pPr>
        <w:ind w:left="57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ACOF INVESTMENT MANAGEMENT LLC</w:t>
      </w:r>
    </w:p>
    <w:p>
      <w:pPr>
        <w:spacing w:after="0" w:line="23" w:lineRule="exact"/>
        <w:rPr>
          <w:sz w:val="20"/>
          <w:szCs w:val="20"/>
          <w:color w:val="auto"/>
        </w:rPr>
      </w:pPr>
    </w:p>
    <w:p>
      <w:pPr>
        <w:ind w:left="5740"/>
        <w:spacing w:after="0"/>
        <w:tabs>
          <w:tab w:leader="none" w:pos="630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Manager</w:t>
      </w:r>
    </w:p>
    <w:p>
      <w:pPr>
        <w:spacing w:after="0" w:line="200" w:lineRule="exact"/>
        <w:rPr>
          <w:sz w:val="20"/>
          <w:szCs w:val="20"/>
          <w:color w:val="auto"/>
        </w:rPr>
      </w:pPr>
    </w:p>
    <w:p>
      <w:pPr>
        <w:spacing w:after="0" w:line="22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14605</wp:posOffset>
            </wp:positionV>
            <wp:extent cx="312864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3" w:lineRule="exact"/>
        <w:rPr>
          <w:sz w:val="20"/>
          <w:szCs w:val="20"/>
          <w:color w:val="auto"/>
        </w:rPr>
      </w:pPr>
    </w:p>
    <w:p>
      <w:pPr>
        <w:ind w:left="6320"/>
        <w:spacing w:after="0"/>
        <w:tabs>
          <w:tab w:leader="none" w:pos="6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6320"/>
        <w:spacing w:after="0"/>
        <w:tabs>
          <w:tab w:leader="none" w:pos="68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AEOF ECR AIV A-B, L.P.</w:t>
      </w:r>
    </w:p>
    <w:p>
      <w:pPr>
        <w:spacing w:after="0" w:line="229" w:lineRule="exact"/>
        <w:rPr>
          <w:sz w:val="20"/>
          <w:szCs w:val="20"/>
          <w:color w:val="auto"/>
        </w:rPr>
      </w:pPr>
    </w:p>
    <w:p>
      <w:pPr>
        <w:ind w:left="57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ACOF INVESTMENT MANAGEMENT LLC</w:t>
      </w:r>
    </w:p>
    <w:p>
      <w:pPr>
        <w:spacing w:after="0" w:line="23" w:lineRule="exact"/>
        <w:rPr>
          <w:sz w:val="20"/>
          <w:szCs w:val="20"/>
          <w:color w:val="auto"/>
        </w:rPr>
      </w:pPr>
    </w:p>
    <w:p>
      <w:pPr>
        <w:ind w:left="5740"/>
        <w:spacing w:after="0"/>
        <w:tabs>
          <w:tab w:leader="none" w:pos="630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Manager</w:t>
      </w:r>
    </w:p>
    <w:p>
      <w:pPr>
        <w:spacing w:after="0" w:line="200" w:lineRule="exact"/>
        <w:rPr>
          <w:sz w:val="20"/>
          <w:szCs w:val="20"/>
          <w:color w:val="auto"/>
        </w:rPr>
      </w:pPr>
    </w:p>
    <w:p>
      <w:pPr>
        <w:spacing w:after="0" w:line="22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14605</wp:posOffset>
            </wp:positionV>
            <wp:extent cx="312864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3" w:lineRule="exact"/>
        <w:rPr>
          <w:sz w:val="20"/>
          <w:szCs w:val="20"/>
          <w:color w:val="auto"/>
        </w:rPr>
      </w:pPr>
    </w:p>
    <w:p>
      <w:pPr>
        <w:ind w:left="6320"/>
        <w:spacing w:after="0"/>
        <w:tabs>
          <w:tab w:leader="none" w:pos="6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6320"/>
        <w:spacing w:after="0"/>
        <w:tabs>
          <w:tab w:leader="none" w:pos="68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1" w:name="page32"/>
    <w:bookmarkEnd w:id="31"/>
    <w:p>
      <w:pPr>
        <w:ind w:left="5740"/>
        <w:spacing w:after="0"/>
        <w:rPr>
          <w:sz w:val="20"/>
          <w:szCs w:val="20"/>
          <w:color w:val="auto"/>
        </w:rPr>
      </w:pPr>
      <w:r>
        <w:rPr>
          <w:rFonts w:ascii="Arial" w:cs="Arial" w:eastAsia="Arial" w:hAnsi="Arial"/>
          <w:sz w:val="18"/>
          <w:szCs w:val="18"/>
          <w:b w:val="1"/>
          <w:bCs w:val="1"/>
          <w:color w:val="auto"/>
        </w:rPr>
        <w:t>AEOF ECR AIV C, L.P.</w:t>
      </w:r>
    </w:p>
    <w:p>
      <w:pPr>
        <w:spacing w:after="0" w:line="229" w:lineRule="exact"/>
        <w:rPr>
          <w:sz w:val="20"/>
          <w:szCs w:val="20"/>
          <w:color w:val="auto"/>
        </w:rPr>
      </w:pPr>
    </w:p>
    <w:p>
      <w:pPr>
        <w:ind w:left="57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ACOF INVESTMENT MANAGEMENT LLC</w:t>
      </w:r>
    </w:p>
    <w:p>
      <w:pPr>
        <w:spacing w:after="0" w:line="23" w:lineRule="exact"/>
        <w:rPr>
          <w:sz w:val="20"/>
          <w:szCs w:val="20"/>
          <w:color w:val="auto"/>
        </w:rPr>
      </w:pPr>
    </w:p>
    <w:p>
      <w:pPr>
        <w:ind w:left="5740"/>
        <w:spacing w:after="0"/>
        <w:tabs>
          <w:tab w:leader="none" w:pos="630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Manager</w:t>
      </w:r>
    </w:p>
    <w:p>
      <w:pPr>
        <w:spacing w:after="0" w:line="200" w:lineRule="exact"/>
        <w:rPr>
          <w:sz w:val="20"/>
          <w:szCs w:val="20"/>
          <w:color w:val="auto"/>
        </w:rPr>
      </w:pPr>
    </w:p>
    <w:p>
      <w:pPr>
        <w:spacing w:after="0" w:line="22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14605</wp:posOffset>
            </wp:positionV>
            <wp:extent cx="312864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3" w:lineRule="exact"/>
        <w:rPr>
          <w:sz w:val="20"/>
          <w:szCs w:val="20"/>
          <w:color w:val="auto"/>
        </w:rPr>
      </w:pPr>
    </w:p>
    <w:p>
      <w:pPr>
        <w:ind w:left="6320"/>
        <w:spacing w:after="0"/>
        <w:tabs>
          <w:tab w:leader="none" w:pos="6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6320"/>
        <w:spacing w:after="0"/>
        <w:tabs>
          <w:tab w:leader="none" w:pos="68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AF ENERGY FEEDER, L.P.</w:t>
      </w:r>
    </w:p>
    <w:p>
      <w:pPr>
        <w:spacing w:after="0" w:line="229" w:lineRule="exact"/>
        <w:rPr>
          <w:sz w:val="20"/>
          <w:szCs w:val="20"/>
          <w:color w:val="auto"/>
        </w:rPr>
      </w:pPr>
    </w:p>
    <w:p>
      <w:pPr>
        <w:ind w:left="57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ACOF INVESTMENT MANAGEMENT LLC</w:t>
      </w:r>
    </w:p>
    <w:p>
      <w:pPr>
        <w:spacing w:after="0" w:line="23" w:lineRule="exact"/>
        <w:rPr>
          <w:sz w:val="20"/>
          <w:szCs w:val="20"/>
          <w:color w:val="auto"/>
        </w:rPr>
      </w:pPr>
    </w:p>
    <w:p>
      <w:pPr>
        <w:ind w:left="5740"/>
        <w:spacing w:after="0"/>
        <w:tabs>
          <w:tab w:leader="none" w:pos="630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Manager</w:t>
      </w:r>
    </w:p>
    <w:p>
      <w:pPr>
        <w:spacing w:after="0" w:line="200" w:lineRule="exact"/>
        <w:rPr>
          <w:sz w:val="20"/>
          <w:szCs w:val="20"/>
          <w:color w:val="auto"/>
        </w:rPr>
      </w:pPr>
    </w:p>
    <w:p>
      <w:pPr>
        <w:spacing w:after="0" w:line="22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14605</wp:posOffset>
            </wp:positionV>
            <wp:extent cx="312864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3" w:lineRule="exact"/>
        <w:rPr>
          <w:sz w:val="20"/>
          <w:szCs w:val="20"/>
          <w:color w:val="auto"/>
        </w:rPr>
      </w:pPr>
    </w:p>
    <w:p>
      <w:pPr>
        <w:ind w:left="6320"/>
        <w:spacing w:after="0"/>
        <w:tabs>
          <w:tab w:leader="none" w:pos="6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6320"/>
        <w:spacing w:after="0"/>
        <w:tabs>
          <w:tab w:leader="none" w:pos="68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ACOF INVESTMENT MANAGEMENT LLC</w:t>
      </w:r>
    </w:p>
    <w:p>
      <w:pPr>
        <w:spacing w:after="0" w:line="200" w:lineRule="exact"/>
        <w:rPr>
          <w:sz w:val="20"/>
          <w:szCs w:val="20"/>
          <w:color w:val="auto"/>
        </w:rPr>
      </w:pPr>
    </w:p>
    <w:p>
      <w:pPr>
        <w:spacing w:after="0" w:line="245"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14605</wp:posOffset>
            </wp:positionV>
            <wp:extent cx="312864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3" w:lineRule="exact"/>
        <w:rPr>
          <w:sz w:val="20"/>
          <w:szCs w:val="20"/>
          <w:color w:val="auto"/>
        </w:rPr>
      </w:pPr>
    </w:p>
    <w:p>
      <w:pPr>
        <w:ind w:left="6320"/>
        <w:spacing w:after="0"/>
        <w:tabs>
          <w:tab w:leader="none" w:pos="6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6320"/>
        <w:spacing w:after="0"/>
        <w:tabs>
          <w:tab w:leader="none" w:pos="68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SSF IV ENERGY I AIV 1A, L.P.</w:t>
      </w:r>
    </w:p>
    <w:p>
      <w:pPr>
        <w:spacing w:after="0" w:line="229" w:lineRule="exact"/>
        <w:rPr>
          <w:sz w:val="20"/>
          <w:szCs w:val="20"/>
          <w:color w:val="auto"/>
        </w:rPr>
      </w:pPr>
    </w:p>
    <w:p>
      <w:pPr>
        <w:ind w:left="57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ASSF OPERATING MANAGER IV, L.P.</w:t>
      </w:r>
    </w:p>
    <w:p>
      <w:pPr>
        <w:spacing w:after="0" w:line="23" w:lineRule="exact"/>
        <w:rPr>
          <w:sz w:val="20"/>
          <w:szCs w:val="20"/>
          <w:color w:val="auto"/>
        </w:rPr>
      </w:pPr>
    </w:p>
    <w:p>
      <w:pPr>
        <w:ind w:left="5740"/>
        <w:spacing w:after="0"/>
        <w:tabs>
          <w:tab w:leader="none" w:pos="630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Manager</w:t>
      </w:r>
    </w:p>
    <w:p>
      <w:pPr>
        <w:spacing w:after="0" w:line="200" w:lineRule="exact"/>
        <w:rPr>
          <w:sz w:val="20"/>
          <w:szCs w:val="20"/>
          <w:color w:val="auto"/>
        </w:rPr>
      </w:pPr>
    </w:p>
    <w:p>
      <w:pPr>
        <w:spacing w:after="0" w:line="22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14605</wp:posOffset>
            </wp:positionV>
            <wp:extent cx="312864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spacing w:after="0" w:line="3" w:lineRule="exact"/>
        <w:rPr>
          <w:sz w:val="20"/>
          <w:szCs w:val="20"/>
          <w:color w:val="auto"/>
        </w:rPr>
      </w:pPr>
    </w:p>
    <w:p>
      <w:pPr>
        <w:ind w:left="6320"/>
        <w:spacing w:after="0"/>
        <w:tabs>
          <w:tab w:leader="none" w:pos="6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6320"/>
        <w:spacing w:after="0"/>
        <w:tabs>
          <w:tab w:leader="none" w:pos="68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SSF IV ENERGY I AIV 1B, L.P.</w:t>
      </w:r>
    </w:p>
    <w:p>
      <w:pPr>
        <w:spacing w:after="0" w:line="229" w:lineRule="exact"/>
        <w:rPr>
          <w:sz w:val="20"/>
          <w:szCs w:val="20"/>
          <w:color w:val="auto"/>
        </w:rPr>
      </w:pPr>
    </w:p>
    <w:p>
      <w:pPr>
        <w:ind w:left="57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ASSF OPERATING MANAGER IV, L.P.</w:t>
      </w:r>
    </w:p>
    <w:p>
      <w:pPr>
        <w:spacing w:after="0" w:line="23" w:lineRule="exact"/>
        <w:rPr>
          <w:sz w:val="20"/>
          <w:szCs w:val="20"/>
          <w:color w:val="auto"/>
        </w:rPr>
      </w:pPr>
    </w:p>
    <w:p>
      <w:pPr>
        <w:ind w:left="5740"/>
        <w:spacing w:after="0"/>
        <w:tabs>
          <w:tab w:leader="none" w:pos="630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Manager</w:t>
      </w:r>
    </w:p>
    <w:p>
      <w:pPr>
        <w:spacing w:after="0" w:line="200" w:lineRule="exact"/>
        <w:rPr>
          <w:sz w:val="20"/>
          <w:szCs w:val="20"/>
          <w:color w:val="auto"/>
        </w:rPr>
      </w:pPr>
    </w:p>
    <w:p>
      <w:pPr>
        <w:spacing w:after="0" w:line="22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14605</wp:posOffset>
            </wp:positionV>
            <wp:extent cx="312864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spacing w:after="0" w:line="3" w:lineRule="exact"/>
        <w:rPr>
          <w:sz w:val="20"/>
          <w:szCs w:val="20"/>
          <w:color w:val="auto"/>
        </w:rPr>
      </w:pPr>
    </w:p>
    <w:p>
      <w:pPr>
        <w:ind w:left="6320"/>
        <w:spacing w:after="0"/>
        <w:tabs>
          <w:tab w:leader="none" w:pos="6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6320"/>
        <w:spacing w:after="0"/>
        <w:tabs>
          <w:tab w:leader="none" w:pos="68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SSF IV ENERGY I AIV 2,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ind w:left="5740"/>
              <w:spacing w:after="0"/>
              <w:rPr>
                <w:sz w:val="20"/>
                <w:szCs w:val="20"/>
                <w:color w:val="auto"/>
              </w:rPr>
            </w:pPr>
            <w:r>
              <w:rPr>
                <w:rFonts w:ascii="Arial" w:cs="Arial" w:eastAsia="Arial" w:hAnsi="Arial"/>
                <w:sz w:val="18"/>
                <w:szCs w:val="18"/>
                <w:color w:val="auto"/>
              </w:rPr>
              <w:t>By:</w:t>
            </w:r>
          </w:p>
        </w:tc>
        <w:tc>
          <w:tcPr>
            <w:tcW w:w="4920" w:type="dxa"/>
            <w:vAlign w:val="bottom"/>
            <w:gridSpan w:val="2"/>
          </w:tcPr>
          <w:p>
            <w:pPr>
              <w:spacing w:after="0"/>
              <w:rPr>
                <w:sz w:val="20"/>
                <w:szCs w:val="20"/>
                <w:color w:val="auto"/>
              </w:rPr>
            </w:pPr>
            <w:r>
              <w:rPr>
                <w:rFonts w:ascii="Arial" w:cs="Arial" w:eastAsia="Arial" w:hAnsi="Arial"/>
                <w:sz w:val="18"/>
                <w:szCs w:val="18"/>
                <w:color w:val="auto"/>
              </w:rPr>
              <w:t>ASSF OPERATING MANAGER IV, L.P.</w:t>
            </w:r>
          </w:p>
        </w:tc>
      </w:tr>
      <w:tr>
        <w:trPr>
          <w:trHeight w:val="230"/>
        </w:trPr>
        <w:tc>
          <w:tcPr>
            <w:tcW w:w="6320" w:type="dxa"/>
            <w:vAlign w:val="bottom"/>
          </w:tcPr>
          <w:p>
            <w:pPr>
              <w:ind w:left="5740"/>
              <w:spacing w:after="0"/>
              <w:rPr>
                <w:sz w:val="20"/>
                <w:szCs w:val="20"/>
                <w:color w:val="auto"/>
              </w:rPr>
            </w:pPr>
            <w:r>
              <w:rPr>
                <w:rFonts w:ascii="Arial" w:cs="Arial" w:eastAsia="Arial" w:hAnsi="Arial"/>
                <w:sz w:val="18"/>
                <w:szCs w:val="18"/>
                <w:color w:val="auto"/>
              </w:rPr>
              <w:t>Its:</w:t>
            </w:r>
          </w:p>
        </w:tc>
        <w:tc>
          <w:tcPr>
            <w:tcW w:w="4920" w:type="dxa"/>
            <w:vAlign w:val="bottom"/>
            <w:gridSpan w:val="2"/>
          </w:tcPr>
          <w:p>
            <w:pPr>
              <w:spacing w:after="0"/>
              <w:rPr>
                <w:sz w:val="20"/>
                <w:szCs w:val="20"/>
                <w:color w:val="auto"/>
              </w:rPr>
            </w:pPr>
            <w:r>
              <w:rPr>
                <w:rFonts w:ascii="Arial" w:cs="Arial" w:eastAsia="Arial" w:hAnsi="Arial"/>
                <w:sz w:val="18"/>
                <w:szCs w:val="18"/>
                <w:color w:val="auto"/>
              </w:rPr>
              <w:t>Manager</w:t>
            </w:r>
          </w:p>
        </w:tc>
      </w:tr>
      <w:tr>
        <w:trPr>
          <w:trHeight w:val="648"/>
        </w:trPr>
        <w:tc>
          <w:tcPr>
            <w:tcW w:w="6320" w:type="dxa"/>
            <w:vAlign w:val="bottom"/>
          </w:tcPr>
          <w:p>
            <w:pPr>
              <w:spacing w:after="0"/>
              <w:rPr>
                <w:sz w:val="24"/>
                <w:szCs w:val="24"/>
                <w:color w:val="auto"/>
              </w:rPr>
            </w:pPr>
          </w:p>
        </w:tc>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Naseem Sagati Aghili</w:t>
            </w:r>
          </w:p>
        </w:tc>
      </w:tr>
      <w:tr>
        <w:trPr>
          <w:trHeight w:val="195"/>
        </w:trPr>
        <w:tc>
          <w:tcPr>
            <w:tcW w:w="6320" w:type="dxa"/>
            <w:vAlign w:val="bottom"/>
          </w:tcPr>
          <w:p>
            <w:pPr>
              <w:spacing w:after="0"/>
              <w:rPr>
                <w:sz w:val="16"/>
                <w:szCs w:val="16"/>
                <w:color w:val="auto"/>
              </w:rPr>
            </w:pPr>
          </w:p>
        </w:tc>
        <w:tc>
          <w:tcPr>
            <w:tcW w:w="400" w:type="dxa"/>
            <w:vAlign w:val="bottom"/>
          </w:tcPr>
          <w:p>
            <w:pPr>
              <w:spacing w:after="0" w:line="195" w:lineRule="exact"/>
              <w:rPr>
                <w:sz w:val="20"/>
                <w:szCs w:val="20"/>
                <w:color w:val="auto"/>
              </w:rPr>
            </w:pPr>
            <w:r>
              <w:rPr>
                <w:rFonts w:ascii="Arial" w:cs="Arial" w:eastAsia="Arial" w:hAnsi="Arial"/>
                <w:sz w:val="18"/>
                <w:szCs w:val="18"/>
                <w:color w:val="auto"/>
              </w:rPr>
              <w:t>By:</w:t>
            </w:r>
          </w:p>
        </w:tc>
        <w:tc>
          <w:tcPr>
            <w:tcW w:w="4520" w:type="dxa"/>
            <w:vAlign w:val="bottom"/>
          </w:tcPr>
          <w:p>
            <w:pPr>
              <w:ind w:left="140"/>
              <w:spacing w:after="0" w:line="195" w:lineRule="exact"/>
              <w:rPr>
                <w:sz w:val="20"/>
                <w:szCs w:val="20"/>
                <w:color w:val="auto"/>
              </w:rPr>
            </w:pPr>
            <w:r>
              <w:rPr>
                <w:rFonts w:ascii="Arial" w:cs="Arial" w:eastAsia="Arial" w:hAnsi="Arial"/>
                <w:sz w:val="18"/>
                <w:szCs w:val="18"/>
                <w:color w:val="auto"/>
              </w:rPr>
              <w:t>Naseem Sagati Aghili</w:t>
            </w:r>
          </w:p>
        </w:tc>
      </w:tr>
      <w:tr>
        <w:trPr>
          <w:trHeight w:val="230"/>
        </w:trPr>
        <w:tc>
          <w:tcPr>
            <w:tcW w:w="6320" w:type="dxa"/>
            <w:vAlign w:val="bottom"/>
          </w:tcPr>
          <w:p>
            <w:pPr>
              <w:spacing w:after="0"/>
              <w:rPr>
                <w:sz w:val="20"/>
                <w:szCs w:val="20"/>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Its:</w:t>
            </w:r>
          </w:p>
        </w:tc>
        <w:tc>
          <w:tcPr>
            <w:tcW w:w="4520" w:type="dxa"/>
            <w:vAlign w:val="bottom"/>
          </w:tcPr>
          <w:p>
            <w:pPr>
              <w:ind w:left="140"/>
              <w:spacing w:after="0"/>
              <w:rPr>
                <w:sz w:val="20"/>
                <w:szCs w:val="20"/>
                <w:color w:val="auto"/>
              </w:rPr>
            </w:pPr>
            <w:r>
              <w:rPr>
                <w:rFonts w:ascii="Arial" w:cs="Arial" w:eastAsia="Arial" w:hAnsi="Arial"/>
                <w:sz w:val="18"/>
                <w:szCs w:val="18"/>
                <w:color w:val="auto"/>
              </w:rPr>
              <w:t>Authorized Signatory</w:t>
            </w:r>
          </w:p>
        </w:tc>
      </w:tr>
      <w:tr>
        <w:trPr>
          <w:trHeight w:val="675"/>
        </w:trPr>
        <w:tc>
          <w:tcPr>
            <w:tcW w:w="63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32" w:name="page33"/>
    <w:bookmarkEnd w:id="32"/>
    <w:p>
      <w:pPr>
        <w:ind w:left="4620"/>
        <w:spacing w:after="0"/>
        <w:rPr>
          <w:sz w:val="20"/>
          <w:szCs w:val="20"/>
          <w:color w:val="auto"/>
        </w:rPr>
      </w:pPr>
      <w:r>
        <w:rPr>
          <w:rFonts w:ascii="Arial" w:cs="Arial" w:eastAsia="Arial" w:hAnsi="Arial"/>
          <w:sz w:val="18"/>
          <w:szCs w:val="18"/>
          <w:b w:val="1"/>
          <w:bCs w:val="1"/>
          <w:color w:val="auto"/>
        </w:rPr>
        <w:t>ASSF OPERATING MANAGER IV, L.P.</w:t>
      </w:r>
    </w:p>
    <w:p>
      <w:pPr>
        <w:spacing w:after="0" w:line="200" w:lineRule="exact"/>
        <w:rPr>
          <w:sz w:val="20"/>
          <w:szCs w:val="20"/>
          <w:color w:val="auto"/>
        </w:rPr>
      </w:pPr>
    </w:p>
    <w:p>
      <w:pPr>
        <w:spacing w:after="0" w:line="24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14605</wp:posOffset>
            </wp:positionV>
            <wp:extent cx="312864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3" w:lineRule="exact"/>
        <w:rPr>
          <w:sz w:val="20"/>
          <w:szCs w:val="20"/>
          <w:color w:val="auto"/>
        </w:rPr>
      </w:pPr>
    </w:p>
    <w:p>
      <w:pPr>
        <w:ind w:left="5200"/>
        <w:spacing w:after="0"/>
        <w:tabs>
          <w:tab w:leader="none" w:pos="5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5200"/>
        <w:spacing w:after="0"/>
        <w:tabs>
          <w:tab w:leader="none" w:pos="57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ARES MANAGEMENT LLC</w:t>
      </w:r>
    </w:p>
    <w:p>
      <w:pPr>
        <w:spacing w:after="0" w:line="200" w:lineRule="exact"/>
        <w:rPr>
          <w:sz w:val="20"/>
          <w:szCs w:val="20"/>
          <w:color w:val="auto"/>
        </w:rPr>
      </w:pPr>
    </w:p>
    <w:p>
      <w:pPr>
        <w:spacing w:after="0" w:line="24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14605</wp:posOffset>
            </wp:positionV>
            <wp:extent cx="312864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3" w:lineRule="exact"/>
        <w:rPr>
          <w:sz w:val="20"/>
          <w:szCs w:val="20"/>
          <w:color w:val="auto"/>
        </w:rPr>
      </w:pPr>
    </w:p>
    <w:p>
      <w:pPr>
        <w:ind w:left="5200"/>
        <w:spacing w:after="0"/>
        <w:tabs>
          <w:tab w:leader="none" w:pos="5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5200"/>
        <w:spacing w:after="0"/>
        <w:tabs>
          <w:tab w:leader="none" w:pos="57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ARES MANAGEMENT HOLDINGS L.P.</w:t>
      </w:r>
    </w:p>
    <w:p>
      <w:pPr>
        <w:spacing w:after="0" w:line="229" w:lineRule="exact"/>
        <w:rPr>
          <w:sz w:val="20"/>
          <w:szCs w:val="20"/>
          <w:color w:val="auto"/>
        </w:rPr>
      </w:pPr>
    </w:p>
    <w:p>
      <w:pPr>
        <w:ind w:left="4620"/>
        <w:spacing w:after="0"/>
        <w:tabs>
          <w:tab w:leader="none" w:pos="5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ARES HOLDCO LLC</w:t>
      </w:r>
    </w:p>
    <w:p>
      <w:pPr>
        <w:spacing w:after="0" w:line="23" w:lineRule="exact"/>
        <w:rPr>
          <w:sz w:val="20"/>
          <w:szCs w:val="20"/>
          <w:color w:val="auto"/>
        </w:rPr>
      </w:pPr>
    </w:p>
    <w:p>
      <w:pPr>
        <w:ind w:left="4620"/>
        <w:spacing w:after="0"/>
        <w:tabs>
          <w:tab w:leader="none" w:pos="51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General Partner</w:t>
      </w:r>
    </w:p>
    <w:p>
      <w:pPr>
        <w:spacing w:after="0" w:line="200" w:lineRule="exact"/>
        <w:rPr>
          <w:sz w:val="20"/>
          <w:szCs w:val="20"/>
          <w:color w:val="auto"/>
        </w:rPr>
      </w:pPr>
    </w:p>
    <w:p>
      <w:pPr>
        <w:spacing w:after="0" w:line="22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14605</wp:posOffset>
            </wp:positionV>
            <wp:extent cx="312864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3" w:lineRule="exact"/>
        <w:rPr>
          <w:sz w:val="20"/>
          <w:szCs w:val="20"/>
          <w:color w:val="auto"/>
        </w:rPr>
      </w:pPr>
    </w:p>
    <w:p>
      <w:pPr>
        <w:ind w:left="5200"/>
        <w:spacing w:after="0"/>
        <w:tabs>
          <w:tab w:leader="none" w:pos="5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5200"/>
        <w:spacing w:after="0"/>
        <w:tabs>
          <w:tab w:leader="none" w:pos="57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ARES HOLDCO LLC</w:t>
      </w:r>
    </w:p>
    <w:p>
      <w:pPr>
        <w:spacing w:after="0" w:line="200" w:lineRule="exact"/>
        <w:rPr>
          <w:sz w:val="20"/>
          <w:szCs w:val="20"/>
          <w:color w:val="auto"/>
        </w:rPr>
      </w:pPr>
    </w:p>
    <w:p>
      <w:pPr>
        <w:spacing w:after="0" w:line="24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14605</wp:posOffset>
            </wp:positionV>
            <wp:extent cx="312864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spacing w:after="0" w:line="3" w:lineRule="exact"/>
        <w:rPr>
          <w:sz w:val="20"/>
          <w:szCs w:val="20"/>
          <w:color w:val="auto"/>
        </w:rPr>
      </w:pPr>
    </w:p>
    <w:p>
      <w:pPr>
        <w:ind w:left="5200"/>
        <w:spacing w:after="0"/>
        <w:tabs>
          <w:tab w:leader="none" w:pos="5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5200"/>
        <w:spacing w:after="0"/>
        <w:tabs>
          <w:tab w:leader="none" w:pos="57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ARES HOLDINGS INC.</w:t>
      </w:r>
    </w:p>
    <w:p>
      <w:pPr>
        <w:spacing w:after="0" w:line="200" w:lineRule="exact"/>
        <w:rPr>
          <w:sz w:val="20"/>
          <w:szCs w:val="20"/>
          <w:color w:val="auto"/>
        </w:rPr>
      </w:pPr>
    </w:p>
    <w:p>
      <w:pPr>
        <w:spacing w:after="0" w:line="24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14605</wp:posOffset>
            </wp:positionV>
            <wp:extent cx="312864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spacing w:after="0" w:line="3" w:lineRule="exact"/>
        <w:rPr>
          <w:sz w:val="20"/>
          <w:szCs w:val="20"/>
          <w:color w:val="auto"/>
        </w:rPr>
      </w:pPr>
    </w:p>
    <w:p>
      <w:pPr>
        <w:ind w:left="5200"/>
        <w:spacing w:after="0"/>
        <w:tabs>
          <w:tab w:leader="none" w:pos="5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5200"/>
        <w:spacing w:after="0"/>
        <w:tabs>
          <w:tab w:leader="none" w:pos="57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ARES MANAGEMENT CORPORATION</w:t>
      </w:r>
    </w:p>
    <w:p>
      <w:pPr>
        <w:spacing w:after="0" w:line="200" w:lineRule="exact"/>
        <w:rPr>
          <w:sz w:val="20"/>
          <w:szCs w:val="20"/>
          <w:color w:val="auto"/>
        </w:rPr>
      </w:pPr>
    </w:p>
    <w:p>
      <w:pPr>
        <w:spacing w:after="0" w:line="24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14605</wp:posOffset>
            </wp:positionV>
            <wp:extent cx="312864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spacing w:after="0" w:line="3" w:lineRule="exact"/>
        <w:rPr>
          <w:sz w:val="20"/>
          <w:szCs w:val="20"/>
          <w:color w:val="auto"/>
        </w:rPr>
      </w:pPr>
    </w:p>
    <w:p>
      <w:pPr>
        <w:ind w:left="5200"/>
        <w:spacing w:after="0"/>
        <w:tabs>
          <w:tab w:leader="none" w:pos="5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5200"/>
        <w:spacing w:after="0"/>
        <w:tabs>
          <w:tab w:leader="none" w:pos="57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ARES MANAGEMENT GP LLC</w:t>
      </w:r>
    </w:p>
    <w:p>
      <w:pPr>
        <w:spacing w:after="0" w:line="200" w:lineRule="exact"/>
        <w:rPr>
          <w:sz w:val="20"/>
          <w:szCs w:val="20"/>
          <w:color w:val="auto"/>
        </w:rPr>
      </w:pPr>
    </w:p>
    <w:p>
      <w:pPr>
        <w:spacing w:after="0" w:line="24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14605</wp:posOffset>
            </wp:positionV>
            <wp:extent cx="312864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3" w:lineRule="exact"/>
        <w:rPr>
          <w:sz w:val="20"/>
          <w:szCs w:val="20"/>
          <w:color w:val="auto"/>
        </w:rPr>
      </w:pPr>
    </w:p>
    <w:p>
      <w:pPr>
        <w:ind w:left="5200"/>
        <w:spacing w:after="0"/>
        <w:tabs>
          <w:tab w:leader="none" w:pos="5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5200"/>
        <w:spacing w:after="0"/>
        <w:tabs>
          <w:tab w:leader="none" w:pos="57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ARES VOTING LLC</w:t>
      </w:r>
    </w:p>
    <w:p>
      <w:pPr>
        <w:spacing w:after="0" w:line="229" w:lineRule="exact"/>
        <w:rPr>
          <w:sz w:val="20"/>
          <w:szCs w:val="20"/>
          <w:color w:val="auto"/>
        </w:rPr>
      </w:pPr>
    </w:p>
    <w:p>
      <w:pPr>
        <w:ind w:left="4620"/>
        <w:spacing w:after="0"/>
        <w:tabs>
          <w:tab w:leader="none" w:pos="518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ARES PARTNERS HOLDCO LLC</w:t>
      </w:r>
    </w:p>
    <w:p>
      <w:pPr>
        <w:spacing w:after="0" w:line="35" w:lineRule="exact"/>
        <w:rPr>
          <w:sz w:val="20"/>
          <w:szCs w:val="20"/>
          <w:color w:val="auto"/>
        </w:rPr>
      </w:pPr>
    </w:p>
    <w:p>
      <w:pPr>
        <w:ind w:left="4620"/>
        <w:spacing w:after="0"/>
        <w:tabs>
          <w:tab w:leader="none" w:pos="51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Sole Member</w:t>
      </w:r>
    </w:p>
    <w:p>
      <w:pPr>
        <w:spacing w:after="0" w:line="200" w:lineRule="exact"/>
        <w:rPr>
          <w:sz w:val="20"/>
          <w:szCs w:val="20"/>
          <w:color w:val="auto"/>
        </w:rPr>
      </w:pPr>
    </w:p>
    <w:p>
      <w:pPr>
        <w:spacing w:after="0" w:line="22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14605</wp:posOffset>
            </wp:positionV>
            <wp:extent cx="312864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spacing w:after="0" w:line="3" w:lineRule="exact"/>
        <w:rPr>
          <w:sz w:val="20"/>
          <w:szCs w:val="20"/>
          <w:color w:val="auto"/>
        </w:rPr>
      </w:pPr>
    </w:p>
    <w:p>
      <w:pPr>
        <w:ind w:left="5200"/>
        <w:spacing w:after="0"/>
        <w:tabs>
          <w:tab w:leader="none" w:pos="5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5200"/>
        <w:spacing w:after="0"/>
        <w:tabs>
          <w:tab w:leader="none" w:pos="57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33" w:name="page34"/>
    <w:bookmarkEnd w:id="33"/>
    <w:p>
      <w:pPr>
        <w:ind w:left="4620"/>
        <w:spacing w:after="0"/>
        <w:rPr>
          <w:sz w:val="20"/>
          <w:szCs w:val="20"/>
          <w:color w:val="auto"/>
        </w:rPr>
      </w:pPr>
      <w:r>
        <w:rPr>
          <w:rFonts w:ascii="Arial" w:cs="Arial" w:eastAsia="Arial" w:hAnsi="Arial"/>
          <w:sz w:val="17"/>
          <w:szCs w:val="17"/>
          <w:b w:val="1"/>
          <w:bCs w:val="1"/>
          <w:color w:val="auto"/>
        </w:rPr>
        <w:t>ARES PARTNERS HOLDCO LLC</w:t>
      </w:r>
    </w:p>
    <w:p>
      <w:pPr>
        <w:spacing w:after="0" w:line="200" w:lineRule="exact"/>
        <w:rPr>
          <w:sz w:val="20"/>
          <w:szCs w:val="20"/>
          <w:color w:val="auto"/>
        </w:rPr>
      </w:pPr>
    </w:p>
    <w:p>
      <w:pPr>
        <w:spacing w:after="0" w:line="25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14605</wp:posOffset>
            </wp:positionV>
            <wp:extent cx="312864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3" w:lineRule="exact"/>
        <w:rPr>
          <w:sz w:val="20"/>
          <w:szCs w:val="20"/>
          <w:color w:val="auto"/>
        </w:rPr>
      </w:pPr>
    </w:p>
    <w:p>
      <w:pPr>
        <w:ind w:left="5200"/>
        <w:spacing w:after="0"/>
        <w:tabs>
          <w:tab w:leader="none" w:pos="57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Naseem Sagati Aghili</w:t>
      </w:r>
    </w:p>
    <w:p>
      <w:pPr>
        <w:spacing w:after="0" w:line="46" w:lineRule="exact"/>
        <w:rPr>
          <w:sz w:val="20"/>
          <w:szCs w:val="20"/>
          <w:color w:val="auto"/>
        </w:rPr>
      </w:pPr>
    </w:p>
    <w:p>
      <w:pPr>
        <w:ind w:left="5200"/>
        <w:spacing w:after="0"/>
        <w:tabs>
          <w:tab w:leader="none" w:pos="5720" w:val="left"/>
        </w:tabs>
        <w:rPr>
          <w:sz w:val="20"/>
          <w:szCs w:val="20"/>
          <w:color w:val="auto"/>
        </w:rPr>
      </w:pPr>
      <w:r>
        <w:rPr>
          <w:rFonts w:ascii="Arial" w:cs="Arial" w:eastAsia="Arial" w:hAnsi="Arial"/>
          <w:sz w:val="17"/>
          <w:szCs w:val="17"/>
          <w:color w:val="auto"/>
        </w:rPr>
        <w:t>Its:</w:t>
      </w:r>
      <w:r>
        <w:rPr>
          <w:sz w:val="20"/>
          <w:szCs w:val="20"/>
          <w:color w:val="auto"/>
        </w:rPr>
        <w:tab/>
      </w:r>
      <w:r>
        <w:rPr>
          <w:rFonts w:ascii="Arial" w:cs="Arial" w:eastAsia="Arial" w:hAnsi="Arial"/>
          <w:sz w:val="17"/>
          <w:szCs w:val="17"/>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424815</wp:posOffset>
            </wp:positionV>
            <wp:extent cx="713232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34" w:name="page35"/>
    <w:bookmarkEnd w:id="34"/>
    <w:tbl>
      <w:tblPr>
        <w:tblLayout w:type="fixed"/>
        <w:tblInd w:w="10" w:type="dxa"/>
        <w:tblCellMar>
          <w:top w:w="0" w:type="dxa"/>
          <w:left w:w="0" w:type="dxa"/>
          <w:bottom w:w="0" w:type="dxa"/>
          <w:right w:w="0" w:type="dxa"/>
        </w:tblCellMar>
      </w:tblPr>
      <w:tr>
        <w:trPr>
          <w:trHeight w:val="234"/>
        </w:trPr>
        <w:tc>
          <w:tcPr>
            <w:tcW w:w="2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580" w:type="dxa"/>
            <w:vAlign w:val="bottom"/>
            <w:gridSpan w:val="4"/>
          </w:tcPr>
          <w:p>
            <w:pPr>
              <w:jc w:val="center"/>
              <w:ind w:right="3660"/>
              <w:spacing w:after="0"/>
              <w:rPr>
                <w:sz w:val="20"/>
                <w:szCs w:val="20"/>
                <w:color w:val="auto"/>
              </w:rPr>
            </w:pPr>
            <w:r>
              <w:rPr>
                <w:rFonts w:ascii="Arial" w:cs="Arial" w:eastAsia="Arial" w:hAnsi="Arial"/>
                <w:sz w:val="18"/>
                <w:szCs w:val="18"/>
                <w:b w:val="1"/>
                <w:bCs w:val="1"/>
                <w:color w:val="auto"/>
                <w:w w:val="99"/>
              </w:rPr>
              <w:t>SCHEDULE A</w:t>
            </w:r>
          </w:p>
        </w:tc>
      </w:tr>
      <w:tr>
        <w:trPr>
          <w:trHeight w:val="432"/>
        </w:trPr>
        <w:tc>
          <w:tcPr>
            <w:tcW w:w="2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580" w:type="dxa"/>
            <w:vAlign w:val="bottom"/>
            <w:gridSpan w:val="4"/>
          </w:tcPr>
          <w:p>
            <w:pPr>
              <w:jc w:val="center"/>
              <w:ind w:right="3640"/>
              <w:spacing w:after="0"/>
              <w:rPr>
                <w:sz w:val="20"/>
                <w:szCs w:val="20"/>
                <w:color w:val="auto"/>
              </w:rPr>
            </w:pPr>
            <w:r>
              <w:rPr>
                <w:rFonts w:ascii="Arial" w:cs="Arial" w:eastAsia="Arial" w:hAnsi="Arial"/>
                <w:sz w:val="18"/>
                <w:szCs w:val="18"/>
                <w:b w:val="1"/>
                <w:bCs w:val="1"/>
                <w:color w:val="auto"/>
                <w:w w:val="99"/>
              </w:rPr>
              <w:t>BOARD OF MANAGERS OF</w:t>
            </w:r>
          </w:p>
        </w:tc>
      </w:tr>
      <w:tr>
        <w:trPr>
          <w:trHeight w:val="432"/>
        </w:trPr>
        <w:tc>
          <w:tcPr>
            <w:tcW w:w="2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580" w:type="dxa"/>
            <w:vAlign w:val="bottom"/>
            <w:gridSpan w:val="4"/>
          </w:tcPr>
          <w:p>
            <w:pPr>
              <w:jc w:val="center"/>
              <w:ind w:right="3640"/>
              <w:spacing w:after="0"/>
              <w:rPr>
                <w:sz w:val="20"/>
                <w:szCs w:val="20"/>
                <w:color w:val="auto"/>
              </w:rPr>
            </w:pPr>
            <w:r>
              <w:rPr>
                <w:rFonts w:ascii="Arial" w:cs="Arial" w:eastAsia="Arial" w:hAnsi="Arial"/>
                <w:sz w:val="18"/>
                <w:szCs w:val="18"/>
                <w:b w:val="1"/>
                <w:bCs w:val="1"/>
                <w:color w:val="auto"/>
                <w:w w:val="98"/>
              </w:rPr>
              <w:t>ARES PARTNERS HOLDCO LLC</w:t>
            </w:r>
          </w:p>
        </w:tc>
      </w:tr>
      <w:tr>
        <w:trPr>
          <w:trHeight w:val="216"/>
        </w:trPr>
        <w:tc>
          <w:tcPr>
            <w:tcW w:w="26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169"/>
        </w:trPr>
        <w:tc>
          <w:tcPr>
            <w:tcW w:w="3660" w:type="dxa"/>
            <w:vAlign w:val="bottom"/>
            <w:tcBorders>
              <w:left w:val="single" w:sz="8" w:color="auto"/>
            </w:tcBorders>
            <w:gridSpan w:val="3"/>
          </w:tcPr>
          <w:p>
            <w:pPr>
              <w:ind w:left="2600"/>
              <w:spacing w:after="0" w:line="169" w:lineRule="exact"/>
              <w:rPr>
                <w:sz w:val="20"/>
                <w:szCs w:val="20"/>
                <w:color w:val="auto"/>
              </w:rPr>
            </w:pPr>
            <w:r>
              <w:rPr>
                <w:rFonts w:ascii="Arial" w:cs="Arial" w:eastAsia="Arial" w:hAnsi="Arial"/>
                <w:sz w:val="18"/>
                <w:szCs w:val="18"/>
                <w:b w:val="1"/>
                <w:bCs w:val="1"/>
                <w:color w:val="auto"/>
              </w:rPr>
              <w:t>Name</w:t>
            </w:r>
          </w:p>
        </w:tc>
        <w:tc>
          <w:tcPr>
            <w:tcW w:w="1980" w:type="dxa"/>
            <w:vAlign w:val="bottom"/>
            <w:tcBorders>
              <w:right w:val="single" w:sz="8" w:color="auto"/>
            </w:tcBorders>
          </w:tcPr>
          <w:p>
            <w:pPr>
              <w:spacing w:after="0"/>
              <w:rPr>
                <w:sz w:val="14"/>
                <w:szCs w:val="14"/>
                <w:color w:val="auto"/>
              </w:rPr>
            </w:pPr>
          </w:p>
        </w:tc>
        <w:tc>
          <w:tcPr>
            <w:tcW w:w="980" w:type="dxa"/>
            <w:vAlign w:val="bottom"/>
          </w:tcPr>
          <w:p>
            <w:pPr>
              <w:spacing w:after="0"/>
              <w:rPr>
                <w:sz w:val="14"/>
                <w:szCs w:val="14"/>
                <w:color w:val="auto"/>
              </w:rPr>
            </w:pPr>
          </w:p>
        </w:tc>
        <w:tc>
          <w:tcPr>
            <w:tcW w:w="4620" w:type="dxa"/>
            <w:vAlign w:val="bottom"/>
            <w:tcBorders>
              <w:right w:val="single" w:sz="8" w:color="auto"/>
            </w:tcBorders>
            <w:gridSpan w:val="2"/>
          </w:tcPr>
          <w:p>
            <w:pPr>
              <w:spacing w:after="0" w:line="169" w:lineRule="exact"/>
              <w:rPr>
                <w:sz w:val="20"/>
                <w:szCs w:val="20"/>
                <w:color w:val="auto"/>
              </w:rPr>
            </w:pPr>
            <w:r>
              <w:rPr>
                <w:rFonts w:ascii="Arial" w:cs="Arial" w:eastAsia="Arial" w:hAnsi="Arial"/>
                <w:sz w:val="18"/>
                <w:szCs w:val="18"/>
                <w:b w:val="1"/>
                <w:bCs w:val="1"/>
                <w:color w:val="auto"/>
              </w:rPr>
              <w:t>Present Principal Occupation and Employment</w:t>
            </w:r>
          </w:p>
        </w:tc>
      </w:tr>
      <w:tr>
        <w:trPr>
          <w:trHeight w:val="236"/>
        </w:trPr>
        <w:tc>
          <w:tcPr>
            <w:tcW w:w="2600" w:type="dxa"/>
            <w:vAlign w:val="bottom"/>
            <w:tcBorders>
              <w:left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620" w:type="dxa"/>
            <w:vAlign w:val="bottom"/>
            <w:tcBorders>
              <w:top w:val="single" w:sz="8" w:color="auto"/>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r>
      <w:tr>
        <w:trPr>
          <w:trHeight w:val="224"/>
        </w:trPr>
        <w:tc>
          <w:tcPr>
            <w:tcW w:w="3660" w:type="dxa"/>
            <w:vAlign w:val="bottom"/>
            <w:tcBorders>
              <w:left w:val="single" w:sz="8" w:color="auto"/>
            </w:tcBorders>
            <w:gridSpan w:val="3"/>
          </w:tcPr>
          <w:p>
            <w:pPr>
              <w:ind w:left="120"/>
              <w:spacing w:after="0"/>
              <w:rPr>
                <w:sz w:val="20"/>
                <w:szCs w:val="20"/>
                <w:color w:val="auto"/>
              </w:rPr>
            </w:pPr>
            <w:r>
              <w:rPr>
                <w:rFonts w:ascii="Arial" w:cs="Arial" w:eastAsia="Arial" w:hAnsi="Arial"/>
                <w:sz w:val="18"/>
                <w:szCs w:val="18"/>
                <w:color w:val="auto"/>
              </w:rPr>
              <w:t>Michael J Arougheti</w:t>
            </w:r>
          </w:p>
        </w:tc>
        <w:tc>
          <w:tcPr>
            <w:tcW w:w="1980" w:type="dxa"/>
            <w:vAlign w:val="bottom"/>
            <w:tcBorders>
              <w:right w:val="single" w:sz="8" w:color="auto"/>
            </w:tcBorders>
          </w:tcPr>
          <w:p>
            <w:pPr>
              <w:spacing w:after="0"/>
              <w:rPr>
                <w:sz w:val="19"/>
                <w:szCs w:val="19"/>
                <w:color w:val="auto"/>
              </w:rPr>
            </w:pPr>
          </w:p>
        </w:tc>
        <w:tc>
          <w:tcPr>
            <w:tcW w:w="560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4"/>
              </w:rPr>
              <w:t>Co-Founder, Chief Executive Officer and President of Ares Management</w:t>
            </w:r>
          </w:p>
        </w:tc>
      </w:tr>
      <w:tr>
        <w:trPr>
          <w:trHeight w:val="202"/>
        </w:trPr>
        <w:tc>
          <w:tcPr>
            <w:tcW w:w="2600" w:type="dxa"/>
            <w:vAlign w:val="bottom"/>
            <w:tcBorders>
              <w:left w:val="single" w:sz="8" w:color="auto"/>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98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3620" w:type="dxa"/>
            <w:vAlign w:val="bottom"/>
            <w:tcBorders>
              <w:bottom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17"/>
                <w:szCs w:val="17"/>
                <w:color w:val="auto"/>
              </w:rPr>
            </w:pPr>
          </w:p>
        </w:tc>
      </w:tr>
      <w:tr>
        <w:trPr>
          <w:trHeight w:val="224"/>
        </w:trPr>
        <w:tc>
          <w:tcPr>
            <w:tcW w:w="3660" w:type="dxa"/>
            <w:vAlign w:val="bottom"/>
            <w:tcBorders>
              <w:left w:val="single" w:sz="8" w:color="auto"/>
            </w:tcBorders>
            <w:gridSpan w:val="3"/>
          </w:tcPr>
          <w:p>
            <w:pPr>
              <w:ind w:left="120"/>
              <w:spacing w:after="0"/>
              <w:rPr>
                <w:sz w:val="20"/>
                <w:szCs w:val="20"/>
                <w:color w:val="auto"/>
              </w:rPr>
            </w:pPr>
            <w:r>
              <w:rPr>
                <w:rFonts w:ascii="Arial" w:cs="Arial" w:eastAsia="Arial" w:hAnsi="Arial"/>
                <w:sz w:val="18"/>
                <w:szCs w:val="18"/>
                <w:color w:val="auto"/>
              </w:rPr>
              <w:t>Ryan Berry</w:t>
            </w:r>
          </w:p>
        </w:tc>
        <w:tc>
          <w:tcPr>
            <w:tcW w:w="1980" w:type="dxa"/>
            <w:vAlign w:val="bottom"/>
            <w:tcBorders>
              <w:right w:val="single" w:sz="8" w:color="auto"/>
            </w:tcBorders>
          </w:tcPr>
          <w:p>
            <w:pPr>
              <w:spacing w:after="0"/>
              <w:rPr>
                <w:sz w:val="19"/>
                <w:szCs w:val="19"/>
                <w:color w:val="auto"/>
              </w:rPr>
            </w:pPr>
          </w:p>
        </w:tc>
        <w:tc>
          <w:tcPr>
            <w:tcW w:w="560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Chief Marketing and Strategy Officer of Ares Management</w:t>
            </w:r>
          </w:p>
        </w:tc>
      </w:tr>
      <w:tr>
        <w:trPr>
          <w:trHeight w:val="202"/>
        </w:trPr>
        <w:tc>
          <w:tcPr>
            <w:tcW w:w="2600" w:type="dxa"/>
            <w:vAlign w:val="bottom"/>
            <w:tcBorders>
              <w:left w:val="single" w:sz="8" w:color="auto"/>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98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3620" w:type="dxa"/>
            <w:vAlign w:val="bottom"/>
            <w:tcBorders>
              <w:bottom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17"/>
                <w:szCs w:val="17"/>
                <w:color w:val="auto"/>
              </w:rPr>
            </w:pPr>
          </w:p>
        </w:tc>
      </w:tr>
      <w:tr>
        <w:trPr>
          <w:trHeight w:val="224"/>
        </w:trPr>
        <w:tc>
          <w:tcPr>
            <w:tcW w:w="3660" w:type="dxa"/>
            <w:vAlign w:val="bottom"/>
            <w:tcBorders>
              <w:left w:val="single" w:sz="8" w:color="auto"/>
            </w:tcBorders>
            <w:gridSpan w:val="3"/>
          </w:tcPr>
          <w:p>
            <w:pPr>
              <w:ind w:left="120"/>
              <w:spacing w:after="0"/>
              <w:rPr>
                <w:sz w:val="20"/>
                <w:szCs w:val="20"/>
                <w:color w:val="auto"/>
              </w:rPr>
            </w:pPr>
            <w:r>
              <w:rPr>
                <w:rFonts w:ascii="Arial" w:cs="Arial" w:eastAsia="Arial" w:hAnsi="Arial"/>
                <w:sz w:val="18"/>
                <w:szCs w:val="18"/>
                <w:color w:val="auto"/>
              </w:rPr>
              <w:t>R. Kipp deVeer</w:t>
            </w:r>
          </w:p>
        </w:tc>
        <w:tc>
          <w:tcPr>
            <w:tcW w:w="1980" w:type="dxa"/>
            <w:vAlign w:val="bottom"/>
            <w:tcBorders>
              <w:right w:val="single" w:sz="8" w:color="auto"/>
            </w:tcBorders>
          </w:tcPr>
          <w:p>
            <w:pPr>
              <w:spacing w:after="0"/>
              <w:rPr>
                <w:sz w:val="19"/>
                <w:szCs w:val="19"/>
                <w:color w:val="auto"/>
              </w:rPr>
            </w:pPr>
          </w:p>
        </w:tc>
        <w:tc>
          <w:tcPr>
            <w:tcW w:w="560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Head of Credit Group of Ares Management</w:t>
            </w:r>
          </w:p>
        </w:tc>
      </w:tr>
      <w:tr>
        <w:trPr>
          <w:trHeight w:val="202"/>
        </w:trPr>
        <w:tc>
          <w:tcPr>
            <w:tcW w:w="2600" w:type="dxa"/>
            <w:vAlign w:val="bottom"/>
            <w:tcBorders>
              <w:left w:val="single" w:sz="8" w:color="auto"/>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98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3620" w:type="dxa"/>
            <w:vAlign w:val="bottom"/>
            <w:tcBorders>
              <w:bottom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17"/>
                <w:szCs w:val="17"/>
                <w:color w:val="auto"/>
              </w:rPr>
            </w:pPr>
          </w:p>
        </w:tc>
      </w:tr>
      <w:tr>
        <w:trPr>
          <w:trHeight w:val="195"/>
        </w:trPr>
        <w:tc>
          <w:tcPr>
            <w:tcW w:w="3660" w:type="dxa"/>
            <w:vAlign w:val="bottom"/>
            <w:tcBorders>
              <w:left w:val="single" w:sz="8" w:color="auto"/>
            </w:tcBorders>
            <w:gridSpan w:val="3"/>
          </w:tcPr>
          <w:p>
            <w:pPr>
              <w:ind w:left="120"/>
              <w:spacing w:after="0" w:line="195" w:lineRule="exact"/>
              <w:rPr>
                <w:sz w:val="20"/>
                <w:szCs w:val="20"/>
                <w:color w:val="auto"/>
              </w:rPr>
            </w:pPr>
            <w:r>
              <w:rPr>
                <w:rFonts w:ascii="Arial" w:cs="Arial" w:eastAsia="Arial" w:hAnsi="Arial"/>
                <w:sz w:val="18"/>
                <w:szCs w:val="18"/>
                <w:color w:val="auto"/>
              </w:rPr>
              <w:t>David B. Kaplan</w:t>
            </w:r>
          </w:p>
        </w:tc>
        <w:tc>
          <w:tcPr>
            <w:tcW w:w="198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gridSpan w:val="3"/>
          </w:tcPr>
          <w:p>
            <w:pPr>
              <w:ind w:left="100"/>
              <w:spacing w:after="0" w:line="195" w:lineRule="exact"/>
              <w:rPr>
                <w:sz w:val="20"/>
                <w:szCs w:val="20"/>
                <w:color w:val="auto"/>
              </w:rPr>
            </w:pPr>
            <w:r>
              <w:rPr>
                <w:rFonts w:ascii="Arial" w:cs="Arial" w:eastAsia="Arial" w:hAnsi="Arial"/>
                <w:sz w:val="18"/>
                <w:szCs w:val="18"/>
                <w:color w:val="auto"/>
              </w:rPr>
              <w:t>Co-Founder,  Co-Chairman  of  the  Private  Equity  Group  of  Ares</w:t>
            </w:r>
          </w:p>
        </w:tc>
      </w:tr>
      <w:tr>
        <w:trPr>
          <w:trHeight w:val="230"/>
        </w:trPr>
        <w:tc>
          <w:tcPr>
            <w:tcW w:w="260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980" w:type="dxa"/>
            <w:vAlign w:val="bottom"/>
            <w:tcBorders>
              <w:right w:val="single" w:sz="8" w:color="auto"/>
            </w:tcBorders>
          </w:tcPr>
          <w:p>
            <w:pPr>
              <w:spacing w:after="0"/>
              <w:rPr>
                <w:sz w:val="20"/>
                <w:szCs w:val="20"/>
                <w:color w:val="auto"/>
              </w:rPr>
            </w:pPr>
          </w:p>
        </w:tc>
        <w:tc>
          <w:tcPr>
            <w:tcW w:w="560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Management</w:t>
            </w:r>
          </w:p>
        </w:tc>
      </w:tr>
      <w:tr>
        <w:trPr>
          <w:trHeight w:val="216"/>
        </w:trPr>
        <w:tc>
          <w:tcPr>
            <w:tcW w:w="2600" w:type="dxa"/>
            <w:vAlign w:val="bottom"/>
            <w:tcBorders>
              <w:left w:val="single" w:sz="8" w:color="auto"/>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r>
      <w:tr>
        <w:trPr>
          <w:trHeight w:val="224"/>
        </w:trPr>
        <w:tc>
          <w:tcPr>
            <w:tcW w:w="3660" w:type="dxa"/>
            <w:vAlign w:val="bottom"/>
            <w:tcBorders>
              <w:left w:val="single" w:sz="8" w:color="auto"/>
            </w:tcBorders>
            <w:gridSpan w:val="3"/>
          </w:tcPr>
          <w:p>
            <w:pPr>
              <w:ind w:left="120"/>
              <w:spacing w:after="0"/>
              <w:rPr>
                <w:sz w:val="20"/>
                <w:szCs w:val="20"/>
                <w:color w:val="auto"/>
              </w:rPr>
            </w:pPr>
            <w:r>
              <w:rPr>
                <w:rFonts w:ascii="Arial" w:cs="Arial" w:eastAsia="Arial" w:hAnsi="Arial"/>
                <w:sz w:val="18"/>
                <w:szCs w:val="18"/>
                <w:color w:val="auto"/>
              </w:rPr>
              <w:t>Michael R. McFerran</w:t>
            </w:r>
          </w:p>
        </w:tc>
        <w:tc>
          <w:tcPr>
            <w:tcW w:w="1980" w:type="dxa"/>
            <w:vAlign w:val="bottom"/>
            <w:tcBorders>
              <w:right w:val="single" w:sz="8" w:color="auto"/>
            </w:tcBorders>
          </w:tcPr>
          <w:p>
            <w:pPr>
              <w:spacing w:after="0"/>
              <w:rPr>
                <w:sz w:val="19"/>
                <w:szCs w:val="19"/>
                <w:color w:val="auto"/>
              </w:rPr>
            </w:pPr>
          </w:p>
        </w:tc>
        <w:tc>
          <w:tcPr>
            <w:tcW w:w="560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5"/>
              </w:rPr>
              <w:t>Chief Operating Officer and Chief Financial Officer of Ares Management</w:t>
            </w:r>
          </w:p>
        </w:tc>
      </w:tr>
      <w:tr>
        <w:trPr>
          <w:trHeight w:val="202"/>
        </w:trPr>
        <w:tc>
          <w:tcPr>
            <w:tcW w:w="2600" w:type="dxa"/>
            <w:vAlign w:val="bottom"/>
            <w:tcBorders>
              <w:left w:val="single" w:sz="8" w:color="auto"/>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98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3620" w:type="dxa"/>
            <w:vAlign w:val="bottom"/>
            <w:tcBorders>
              <w:bottom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17"/>
                <w:szCs w:val="17"/>
                <w:color w:val="auto"/>
              </w:rPr>
            </w:pPr>
          </w:p>
        </w:tc>
      </w:tr>
      <w:tr>
        <w:trPr>
          <w:trHeight w:val="224"/>
        </w:trPr>
        <w:tc>
          <w:tcPr>
            <w:tcW w:w="3660" w:type="dxa"/>
            <w:vAlign w:val="bottom"/>
            <w:tcBorders>
              <w:left w:val="single" w:sz="8" w:color="auto"/>
            </w:tcBorders>
            <w:gridSpan w:val="3"/>
          </w:tcPr>
          <w:p>
            <w:pPr>
              <w:ind w:left="120"/>
              <w:spacing w:after="0"/>
              <w:rPr>
                <w:sz w:val="20"/>
                <w:szCs w:val="20"/>
                <w:color w:val="auto"/>
              </w:rPr>
            </w:pPr>
            <w:r>
              <w:rPr>
                <w:rFonts w:ascii="Arial" w:cs="Arial" w:eastAsia="Arial" w:hAnsi="Arial"/>
                <w:sz w:val="18"/>
                <w:szCs w:val="18"/>
                <w:color w:val="auto"/>
              </w:rPr>
              <w:t>Antony P. Ressler</w:t>
            </w:r>
          </w:p>
        </w:tc>
        <w:tc>
          <w:tcPr>
            <w:tcW w:w="1980" w:type="dxa"/>
            <w:vAlign w:val="bottom"/>
            <w:tcBorders>
              <w:right w:val="single" w:sz="8" w:color="auto"/>
            </w:tcBorders>
          </w:tcPr>
          <w:p>
            <w:pPr>
              <w:spacing w:after="0"/>
              <w:rPr>
                <w:sz w:val="19"/>
                <w:szCs w:val="19"/>
                <w:color w:val="auto"/>
              </w:rPr>
            </w:pPr>
          </w:p>
        </w:tc>
        <w:tc>
          <w:tcPr>
            <w:tcW w:w="560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Co-Founder, Executive Chairman of Ares Management</w:t>
            </w:r>
          </w:p>
        </w:tc>
      </w:tr>
      <w:tr>
        <w:trPr>
          <w:trHeight w:val="202"/>
        </w:trPr>
        <w:tc>
          <w:tcPr>
            <w:tcW w:w="2600" w:type="dxa"/>
            <w:vAlign w:val="bottom"/>
            <w:tcBorders>
              <w:left w:val="single" w:sz="8" w:color="auto"/>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98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3620" w:type="dxa"/>
            <w:vAlign w:val="bottom"/>
            <w:tcBorders>
              <w:bottom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17"/>
                <w:szCs w:val="17"/>
                <w:color w:val="auto"/>
              </w:rPr>
            </w:pPr>
          </w:p>
        </w:tc>
      </w:tr>
      <w:tr>
        <w:trPr>
          <w:trHeight w:val="195"/>
        </w:trPr>
        <w:tc>
          <w:tcPr>
            <w:tcW w:w="3660" w:type="dxa"/>
            <w:vAlign w:val="bottom"/>
            <w:tcBorders>
              <w:left w:val="single" w:sz="8" w:color="auto"/>
            </w:tcBorders>
            <w:gridSpan w:val="3"/>
          </w:tcPr>
          <w:p>
            <w:pPr>
              <w:ind w:left="120"/>
              <w:spacing w:after="0" w:line="195" w:lineRule="exact"/>
              <w:rPr>
                <w:sz w:val="20"/>
                <w:szCs w:val="20"/>
                <w:color w:val="auto"/>
              </w:rPr>
            </w:pPr>
            <w:r>
              <w:rPr>
                <w:rFonts w:ascii="Arial" w:cs="Arial" w:eastAsia="Arial" w:hAnsi="Arial"/>
                <w:sz w:val="18"/>
                <w:szCs w:val="18"/>
                <w:color w:val="auto"/>
              </w:rPr>
              <w:t>Bennett Rosenthal</w:t>
            </w:r>
          </w:p>
        </w:tc>
        <w:tc>
          <w:tcPr>
            <w:tcW w:w="198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gridSpan w:val="3"/>
          </w:tcPr>
          <w:p>
            <w:pPr>
              <w:ind w:left="100"/>
              <w:spacing w:after="0" w:line="195" w:lineRule="exact"/>
              <w:rPr>
                <w:sz w:val="20"/>
                <w:szCs w:val="20"/>
                <w:color w:val="auto"/>
              </w:rPr>
            </w:pPr>
            <w:r>
              <w:rPr>
                <w:rFonts w:ascii="Arial" w:cs="Arial" w:eastAsia="Arial" w:hAnsi="Arial"/>
                <w:sz w:val="18"/>
                <w:szCs w:val="18"/>
                <w:color w:val="auto"/>
              </w:rPr>
              <w:t>Co-Founder,  Co-Chairman  of  the  Private  Equity  Group  of  Ares</w:t>
            </w:r>
          </w:p>
        </w:tc>
      </w:tr>
      <w:tr>
        <w:trPr>
          <w:trHeight w:val="230"/>
        </w:trPr>
        <w:tc>
          <w:tcPr>
            <w:tcW w:w="260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980" w:type="dxa"/>
            <w:vAlign w:val="bottom"/>
            <w:tcBorders>
              <w:right w:val="single" w:sz="8" w:color="auto"/>
            </w:tcBorders>
          </w:tcPr>
          <w:p>
            <w:pPr>
              <w:spacing w:after="0"/>
              <w:rPr>
                <w:sz w:val="20"/>
                <w:szCs w:val="20"/>
                <w:color w:val="auto"/>
              </w:rPr>
            </w:pPr>
          </w:p>
        </w:tc>
        <w:tc>
          <w:tcPr>
            <w:tcW w:w="560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Management</w:t>
            </w:r>
          </w:p>
        </w:tc>
      </w:tr>
      <w:tr>
        <w:trPr>
          <w:trHeight w:val="216"/>
        </w:trPr>
        <w:tc>
          <w:tcPr>
            <w:tcW w:w="2600" w:type="dxa"/>
            <w:vAlign w:val="bottom"/>
            <w:tcBorders>
              <w:left w:val="single" w:sz="8" w:color="auto"/>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address for all of the persons listed above is c/o Ares Management LLC, 2000 Avenue of the Stars, 12th Floor, Los Angeles, California 90067.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433705</wp:posOffset>
            </wp:positionV>
            <wp:extent cx="713232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DIRECTORS AND EXECUTIVE OFFICERS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ARES MANAGEMENT CORPORATION</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700" w:type="dxa"/>
            <w:vAlign w:val="bottom"/>
            <w:tcBorders>
              <w:top w:val="single" w:sz="8" w:color="auto"/>
              <w:left w:val="single" w:sz="8" w:color="auto"/>
            </w:tcBorders>
          </w:tcPr>
          <w:p>
            <w:pPr>
              <w:spacing w:after="0"/>
              <w:rPr>
                <w:sz w:val="16"/>
                <w:szCs w:val="16"/>
                <w:color w:val="auto"/>
              </w:rPr>
            </w:pPr>
          </w:p>
        </w:tc>
        <w:tc>
          <w:tcPr>
            <w:tcW w:w="2140" w:type="dxa"/>
            <w:vAlign w:val="bottom"/>
            <w:tcBorders>
              <w:top w:val="single" w:sz="8" w:color="auto"/>
              <w:right w:val="single" w:sz="8" w:color="auto"/>
            </w:tcBorders>
            <w:gridSpan w:val="2"/>
          </w:tcPr>
          <w:p>
            <w:pPr>
              <w:spacing w:after="0" w:line="189" w:lineRule="exact"/>
              <w:rPr>
                <w:sz w:val="20"/>
                <w:szCs w:val="20"/>
                <w:color w:val="auto"/>
              </w:rPr>
            </w:pPr>
            <w:r>
              <w:rPr>
                <w:rFonts w:ascii="Arial" w:cs="Arial" w:eastAsia="Arial" w:hAnsi="Arial"/>
                <w:sz w:val="18"/>
                <w:szCs w:val="18"/>
                <w:b w:val="1"/>
                <w:bCs w:val="1"/>
                <w:color w:val="auto"/>
              </w:rPr>
              <w:t>Name</w:t>
            </w:r>
          </w:p>
        </w:tc>
        <w:tc>
          <w:tcPr>
            <w:tcW w:w="3700" w:type="dxa"/>
            <w:vAlign w:val="bottom"/>
            <w:tcBorders>
              <w:top w:val="single" w:sz="8" w:color="auto"/>
              <w:right w:val="single" w:sz="8" w:color="auto"/>
            </w:tcBorders>
            <w:gridSpan w:val="3"/>
          </w:tcPr>
          <w:p>
            <w:pPr>
              <w:ind w:left="820"/>
              <w:spacing w:after="0" w:line="189" w:lineRule="exact"/>
              <w:rPr>
                <w:sz w:val="20"/>
                <w:szCs w:val="20"/>
                <w:color w:val="auto"/>
              </w:rPr>
            </w:pPr>
            <w:r>
              <w:rPr>
                <w:rFonts w:ascii="Arial" w:cs="Arial" w:eastAsia="Arial" w:hAnsi="Arial"/>
                <w:sz w:val="18"/>
                <w:szCs w:val="18"/>
                <w:b w:val="1"/>
                <w:bCs w:val="1"/>
                <w:color w:val="auto"/>
              </w:rPr>
              <w:t>Director/Executive Officer</w:t>
            </w:r>
          </w:p>
        </w:tc>
        <w:tc>
          <w:tcPr>
            <w:tcW w:w="540" w:type="dxa"/>
            <w:vAlign w:val="bottom"/>
            <w:tcBorders>
              <w:top w:val="single" w:sz="8" w:color="auto"/>
            </w:tcBorders>
          </w:tcPr>
          <w:p>
            <w:pPr>
              <w:spacing w:after="0"/>
              <w:rPr>
                <w:sz w:val="16"/>
                <w:szCs w:val="16"/>
                <w:color w:val="auto"/>
              </w:rPr>
            </w:pPr>
          </w:p>
        </w:tc>
        <w:tc>
          <w:tcPr>
            <w:tcW w:w="3160" w:type="dxa"/>
            <w:vAlign w:val="bottom"/>
            <w:tcBorders>
              <w:top w:val="single" w:sz="8" w:color="auto"/>
              <w:right w:val="single" w:sz="8" w:color="auto"/>
            </w:tcBorders>
            <w:gridSpan w:val="4"/>
          </w:tcPr>
          <w:p>
            <w:pPr>
              <w:jc w:val="center"/>
              <w:ind w:right="560"/>
              <w:spacing w:after="0" w:line="189" w:lineRule="exact"/>
              <w:rPr>
                <w:sz w:val="20"/>
                <w:szCs w:val="20"/>
                <w:color w:val="auto"/>
              </w:rPr>
            </w:pPr>
            <w:r>
              <w:rPr>
                <w:rFonts w:ascii="Arial" w:cs="Arial" w:eastAsia="Arial" w:hAnsi="Arial"/>
                <w:sz w:val="18"/>
                <w:szCs w:val="18"/>
                <w:b w:val="1"/>
                <w:bCs w:val="1"/>
                <w:color w:val="auto"/>
                <w:w w:val="90"/>
              </w:rPr>
              <w:t>Present Principal Occupation and</w:t>
            </w:r>
          </w:p>
        </w:tc>
      </w:tr>
      <w:tr>
        <w:trPr>
          <w:trHeight w:val="196"/>
        </w:trPr>
        <w:tc>
          <w:tcPr>
            <w:tcW w:w="1700" w:type="dxa"/>
            <w:vAlign w:val="bottom"/>
            <w:tcBorders>
              <w:left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820" w:type="dxa"/>
            <w:vAlign w:val="bottom"/>
          </w:tcPr>
          <w:p>
            <w:pPr>
              <w:spacing w:after="0"/>
              <w:rPr>
                <w:sz w:val="17"/>
                <w:szCs w:val="17"/>
                <w:color w:val="auto"/>
              </w:rPr>
            </w:pPr>
          </w:p>
        </w:tc>
        <w:tc>
          <w:tcPr>
            <w:tcW w:w="2040" w:type="dxa"/>
            <w:vAlign w:val="bottom"/>
            <w:tcBorders>
              <w:top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2600" w:type="dxa"/>
            <w:vAlign w:val="bottom"/>
            <w:tcBorders>
              <w:top w:val="single" w:sz="8" w:color="auto"/>
            </w:tcBorders>
            <w:gridSpan w:val="3"/>
          </w:tcPr>
          <w:p>
            <w:pPr>
              <w:jc w:val="center"/>
              <w:spacing w:after="0" w:line="196" w:lineRule="exact"/>
              <w:rPr>
                <w:sz w:val="20"/>
                <w:szCs w:val="20"/>
                <w:color w:val="auto"/>
              </w:rPr>
            </w:pPr>
            <w:r>
              <w:rPr>
                <w:rFonts w:ascii="Arial" w:cs="Arial" w:eastAsia="Arial" w:hAnsi="Arial"/>
                <w:sz w:val="18"/>
                <w:szCs w:val="18"/>
                <w:b w:val="1"/>
                <w:bCs w:val="1"/>
                <w:color w:val="auto"/>
                <w:w w:val="92"/>
              </w:rPr>
              <w:t>Employment</w:t>
            </w:r>
          </w:p>
        </w:tc>
        <w:tc>
          <w:tcPr>
            <w:tcW w:w="560" w:type="dxa"/>
            <w:vAlign w:val="bottom"/>
            <w:tcBorders>
              <w:right w:val="single" w:sz="8" w:color="auto"/>
            </w:tcBorders>
          </w:tcPr>
          <w:p>
            <w:pPr>
              <w:spacing w:after="0"/>
              <w:rPr>
                <w:sz w:val="17"/>
                <w:szCs w:val="17"/>
                <w:color w:val="auto"/>
              </w:rPr>
            </w:pPr>
          </w:p>
        </w:tc>
      </w:tr>
      <w:tr>
        <w:trPr>
          <w:trHeight w:val="237"/>
        </w:trPr>
        <w:tc>
          <w:tcPr>
            <w:tcW w:w="1700" w:type="dxa"/>
            <w:vAlign w:val="bottom"/>
            <w:tcBorders>
              <w:left w:val="single" w:sz="8" w:color="auto"/>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r>
      <w:tr>
        <w:trPr>
          <w:trHeight w:val="195"/>
        </w:trPr>
        <w:tc>
          <w:tcPr>
            <w:tcW w:w="3840" w:type="dxa"/>
            <w:vAlign w:val="bottom"/>
            <w:tcBorders>
              <w:left w:val="single" w:sz="8" w:color="auto"/>
              <w:right w:val="single" w:sz="8" w:color="auto"/>
            </w:tcBorders>
            <w:gridSpan w:val="3"/>
          </w:tcPr>
          <w:p>
            <w:pPr>
              <w:ind w:left="120"/>
              <w:spacing w:after="0" w:line="195" w:lineRule="exact"/>
              <w:rPr>
                <w:sz w:val="20"/>
                <w:szCs w:val="20"/>
                <w:color w:val="auto"/>
              </w:rPr>
            </w:pPr>
            <w:r>
              <w:rPr>
                <w:rFonts w:ascii="Arial" w:cs="Arial" w:eastAsia="Arial" w:hAnsi="Arial"/>
                <w:sz w:val="18"/>
                <w:szCs w:val="18"/>
                <w:color w:val="auto"/>
              </w:rPr>
              <w:t>Michael J Arougheti</w:t>
            </w:r>
          </w:p>
        </w:tc>
        <w:tc>
          <w:tcPr>
            <w:tcW w:w="3700" w:type="dxa"/>
            <w:vAlign w:val="bottom"/>
            <w:tcBorders>
              <w:right w:val="single" w:sz="8" w:color="auto"/>
            </w:tcBorders>
            <w:gridSpan w:val="3"/>
          </w:tcPr>
          <w:p>
            <w:pPr>
              <w:ind w:left="100"/>
              <w:spacing w:after="0" w:line="195" w:lineRule="exact"/>
              <w:rPr>
                <w:sz w:val="20"/>
                <w:szCs w:val="20"/>
                <w:color w:val="auto"/>
              </w:rPr>
            </w:pPr>
            <w:r>
              <w:rPr>
                <w:rFonts w:ascii="Arial" w:cs="Arial" w:eastAsia="Arial" w:hAnsi="Arial"/>
                <w:sz w:val="18"/>
                <w:szCs w:val="18"/>
                <w:color w:val="auto"/>
              </w:rPr>
              <w:t>Director and Executive Officer</w:t>
            </w:r>
          </w:p>
        </w:tc>
        <w:tc>
          <w:tcPr>
            <w:tcW w:w="3700" w:type="dxa"/>
            <w:vAlign w:val="bottom"/>
            <w:tcBorders>
              <w:right w:val="single" w:sz="8" w:color="auto"/>
            </w:tcBorders>
            <w:gridSpan w:val="5"/>
          </w:tcPr>
          <w:p>
            <w:pPr>
              <w:ind w:left="100"/>
              <w:spacing w:after="0" w:line="195" w:lineRule="exact"/>
              <w:rPr>
                <w:sz w:val="20"/>
                <w:szCs w:val="20"/>
                <w:color w:val="auto"/>
              </w:rPr>
            </w:pPr>
            <w:r>
              <w:rPr>
                <w:rFonts w:ascii="Arial" w:cs="Arial" w:eastAsia="Arial" w:hAnsi="Arial"/>
                <w:sz w:val="18"/>
                <w:szCs w:val="18"/>
                <w:color w:val="auto"/>
              </w:rPr>
              <w:t>Co-Founder,  Chief  Executive  Officer  and</w:t>
            </w:r>
          </w:p>
        </w:tc>
      </w:tr>
      <w:tr>
        <w:trPr>
          <w:trHeight w:val="230"/>
        </w:trPr>
        <w:tc>
          <w:tcPr>
            <w:tcW w:w="170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President of Ares Management</w:t>
            </w:r>
          </w:p>
        </w:tc>
      </w:tr>
      <w:tr>
        <w:trPr>
          <w:trHeight w:val="216"/>
        </w:trPr>
        <w:tc>
          <w:tcPr>
            <w:tcW w:w="1700" w:type="dxa"/>
            <w:vAlign w:val="bottom"/>
            <w:tcBorders>
              <w:left w:val="single" w:sz="8" w:color="auto"/>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r>
      <w:tr>
        <w:trPr>
          <w:trHeight w:val="195"/>
        </w:trPr>
        <w:tc>
          <w:tcPr>
            <w:tcW w:w="3840" w:type="dxa"/>
            <w:vAlign w:val="bottom"/>
            <w:tcBorders>
              <w:left w:val="single" w:sz="8" w:color="auto"/>
              <w:right w:val="single" w:sz="8" w:color="auto"/>
            </w:tcBorders>
            <w:gridSpan w:val="3"/>
          </w:tcPr>
          <w:p>
            <w:pPr>
              <w:ind w:left="120"/>
              <w:spacing w:after="0" w:line="195" w:lineRule="exact"/>
              <w:rPr>
                <w:sz w:val="20"/>
                <w:szCs w:val="20"/>
                <w:color w:val="auto"/>
              </w:rPr>
            </w:pPr>
            <w:r>
              <w:rPr>
                <w:rFonts w:ascii="Arial" w:cs="Arial" w:eastAsia="Arial" w:hAnsi="Arial"/>
                <w:sz w:val="18"/>
                <w:szCs w:val="18"/>
                <w:color w:val="auto"/>
              </w:rPr>
              <w:t>David B. Kaplan</w:t>
            </w:r>
          </w:p>
        </w:tc>
        <w:tc>
          <w:tcPr>
            <w:tcW w:w="3700" w:type="dxa"/>
            <w:vAlign w:val="bottom"/>
            <w:tcBorders>
              <w:right w:val="single" w:sz="8" w:color="auto"/>
            </w:tcBorders>
            <w:gridSpan w:val="3"/>
          </w:tcPr>
          <w:p>
            <w:pPr>
              <w:ind w:left="100"/>
              <w:spacing w:after="0" w:line="195" w:lineRule="exact"/>
              <w:rPr>
                <w:sz w:val="20"/>
                <w:szCs w:val="20"/>
                <w:color w:val="auto"/>
              </w:rPr>
            </w:pPr>
            <w:r>
              <w:rPr>
                <w:rFonts w:ascii="Arial" w:cs="Arial" w:eastAsia="Arial" w:hAnsi="Arial"/>
                <w:sz w:val="18"/>
                <w:szCs w:val="18"/>
                <w:color w:val="auto"/>
              </w:rPr>
              <w:t>Director and Executive Officer</w:t>
            </w:r>
          </w:p>
        </w:tc>
        <w:tc>
          <w:tcPr>
            <w:tcW w:w="3700" w:type="dxa"/>
            <w:vAlign w:val="bottom"/>
            <w:tcBorders>
              <w:right w:val="single" w:sz="8" w:color="auto"/>
            </w:tcBorders>
            <w:gridSpan w:val="5"/>
          </w:tcPr>
          <w:p>
            <w:pPr>
              <w:ind w:left="100"/>
              <w:spacing w:after="0" w:line="195" w:lineRule="exact"/>
              <w:rPr>
                <w:sz w:val="20"/>
                <w:szCs w:val="20"/>
                <w:color w:val="auto"/>
              </w:rPr>
            </w:pPr>
            <w:r>
              <w:rPr>
                <w:rFonts w:ascii="Arial" w:cs="Arial" w:eastAsia="Arial" w:hAnsi="Arial"/>
                <w:sz w:val="18"/>
                <w:szCs w:val="18"/>
                <w:color w:val="auto"/>
                <w:w w:val="93"/>
              </w:rPr>
              <w:t>Co-Founder, Co-Chairman of the Private Equity</w:t>
            </w:r>
          </w:p>
        </w:tc>
      </w:tr>
      <w:tr>
        <w:trPr>
          <w:trHeight w:val="230"/>
        </w:trPr>
        <w:tc>
          <w:tcPr>
            <w:tcW w:w="170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Group of Ares Management</w:t>
            </w:r>
          </w:p>
        </w:tc>
      </w:tr>
      <w:tr>
        <w:trPr>
          <w:trHeight w:val="216"/>
        </w:trPr>
        <w:tc>
          <w:tcPr>
            <w:tcW w:w="1700" w:type="dxa"/>
            <w:vAlign w:val="bottom"/>
            <w:tcBorders>
              <w:left w:val="single" w:sz="8" w:color="auto"/>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r>
      <w:tr>
        <w:trPr>
          <w:trHeight w:val="195"/>
        </w:trPr>
        <w:tc>
          <w:tcPr>
            <w:tcW w:w="3840" w:type="dxa"/>
            <w:vAlign w:val="bottom"/>
            <w:tcBorders>
              <w:left w:val="single" w:sz="8" w:color="auto"/>
              <w:right w:val="single" w:sz="8" w:color="auto"/>
            </w:tcBorders>
            <w:gridSpan w:val="3"/>
          </w:tcPr>
          <w:p>
            <w:pPr>
              <w:ind w:left="120"/>
              <w:spacing w:after="0" w:line="195" w:lineRule="exact"/>
              <w:rPr>
                <w:sz w:val="20"/>
                <w:szCs w:val="20"/>
                <w:color w:val="auto"/>
              </w:rPr>
            </w:pPr>
            <w:r>
              <w:rPr>
                <w:rFonts w:ascii="Arial" w:cs="Arial" w:eastAsia="Arial" w:hAnsi="Arial"/>
                <w:sz w:val="18"/>
                <w:szCs w:val="18"/>
                <w:color w:val="auto"/>
              </w:rPr>
              <w:t>Antony P. Ressler</w:t>
            </w:r>
          </w:p>
        </w:tc>
        <w:tc>
          <w:tcPr>
            <w:tcW w:w="3700" w:type="dxa"/>
            <w:vAlign w:val="bottom"/>
            <w:tcBorders>
              <w:right w:val="single" w:sz="8" w:color="auto"/>
            </w:tcBorders>
            <w:gridSpan w:val="3"/>
          </w:tcPr>
          <w:p>
            <w:pPr>
              <w:ind w:left="100"/>
              <w:spacing w:after="0" w:line="195" w:lineRule="exact"/>
              <w:rPr>
                <w:sz w:val="20"/>
                <w:szCs w:val="20"/>
                <w:color w:val="auto"/>
              </w:rPr>
            </w:pPr>
            <w:r>
              <w:rPr>
                <w:rFonts w:ascii="Arial" w:cs="Arial" w:eastAsia="Arial" w:hAnsi="Arial"/>
                <w:sz w:val="18"/>
                <w:szCs w:val="18"/>
                <w:color w:val="auto"/>
              </w:rPr>
              <w:t>Director and Executive Officer</w:t>
            </w:r>
          </w:p>
        </w:tc>
        <w:tc>
          <w:tcPr>
            <w:tcW w:w="3700" w:type="dxa"/>
            <w:vAlign w:val="bottom"/>
            <w:tcBorders>
              <w:right w:val="single" w:sz="8" w:color="auto"/>
            </w:tcBorders>
            <w:gridSpan w:val="5"/>
          </w:tcPr>
          <w:p>
            <w:pPr>
              <w:ind w:left="100"/>
              <w:spacing w:after="0" w:line="195" w:lineRule="exact"/>
              <w:rPr>
                <w:sz w:val="20"/>
                <w:szCs w:val="20"/>
                <w:color w:val="auto"/>
              </w:rPr>
            </w:pPr>
            <w:r>
              <w:rPr>
                <w:rFonts w:ascii="Arial" w:cs="Arial" w:eastAsia="Arial" w:hAnsi="Arial"/>
                <w:sz w:val="18"/>
                <w:szCs w:val="18"/>
                <w:color w:val="auto"/>
              </w:rPr>
              <w:t>Co-Founder,  Executive  Chairman  of  Ares</w:t>
            </w:r>
          </w:p>
        </w:tc>
      </w:tr>
      <w:tr>
        <w:trPr>
          <w:trHeight w:val="230"/>
        </w:trPr>
        <w:tc>
          <w:tcPr>
            <w:tcW w:w="170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Management</w:t>
            </w:r>
          </w:p>
        </w:tc>
      </w:tr>
      <w:tr>
        <w:trPr>
          <w:trHeight w:val="216"/>
        </w:trPr>
        <w:tc>
          <w:tcPr>
            <w:tcW w:w="1700" w:type="dxa"/>
            <w:vAlign w:val="bottom"/>
            <w:tcBorders>
              <w:left w:val="single" w:sz="8" w:color="auto"/>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r>
      <w:tr>
        <w:trPr>
          <w:trHeight w:val="195"/>
        </w:trPr>
        <w:tc>
          <w:tcPr>
            <w:tcW w:w="3840" w:type="dxa"/>
            <w:vAlign w:val="bottom"/>
            <w:tcBorders>
              <w:left w:val="single" w:sz="8" w:color="auto"/>
              <w:right w:val="single" w:sz="8" w:color="auto"/>
            </w:tcBorders>
            <w:gridSpan w:val="3"/>
          </w:tcPr>
          <w:p>
            <w:pPr>
              <w:ind w:left="120"/>
              <w:spacing w:after="0" w:line="195" w:lineRule="exact"/>
              <w:rPr>
                <w:sz w:val="20"/>
                <w:szCs w:val="20"/>
                <w:color w:val="auto"/>
              </w:rPr>
            </w:pPr>
            <w:r>
              <w:rPr>
                <w:rFonts w:ascii="Arial" w:cs="Arial" w:eastAsia="Arial" w:hAnsi="Arial"/>
                <w:sz w:val="18"/>
                <w:szCs w:val="18"/>
                <w:color w:val="auto"/>
              </w:rPr>
              <w:t>Bennett Rosenthal</w:t>
            </w:r>
          </w:p>
        </w:tc>
        <w:tc>
          <w:tcPr>
            <w:tcW w:w="3700" w:type="dxa"/>
            <w:vAlign w:val="bottom"/>
            <w:tcBorders>
              <w:right w:val="single" w:sz="8" w:color="auto"/>
            </w:tcBorders>
            <w:gridSpan w:val="3"/>
          </w:tcPr>
          <w:p>
            <w:pPr>
              <w:ind w:left="100"/>
              <w:spacing w:after="0" w:line="195" w:lineRule="exact"/>
              <w:rPr>
                <w:sz w:val="20"/>
                <w:szCs w:val="20"/>
                <w:color w:val="auto"/>
              </w:rPr>
            </w:pPr>
            <w:r>
              <w:rPr>
                <w:rFonts w:ascii="Arial" w:cs="Arial" w:eastAsia="Arial" w:hAnsi="Arial"/>
                <w:sz w:val="18"/>
                <w:szCs w:val="18"/>
                <w:color w:val="auto"/>
              </w:rPr>
              <w:t>Director and Executive Officer</w:t>
            </w:r>
          </w:p>
        </w:tc>
        <w:tc>
          <w:tcPr>
            <w:tcW w:w="3700" w:type="dxa"/>
            <w:vAlign w:val="bottom"/>
            <w:tcBorders>
              <w:right w:val="single" w:sz="8" w:color="auto"/>
            </w:tcBorders>
            <w:gridSpan w:val="5"/>
          </w:tcPr>
          <w:p>
            <w:pPr>
              <w:ind w:left="100"/>
              <w:spacing w:after="0" w:line="195" w:lineRule="exact"/>
              <w:rPr>
                <w:sz w:val="20"/>
                <w:szCs w:val="20"/>
                <w:color w:val="auto"/>
              </w:rPr>
            </w:pPr>
            <w:r>
              <w:rPr>
                <w:rFonts w:ascii="Arial" w:cs="Arial" w:eastAsia="Arial" w:hAnsi="Arial"/>
                <w:sz w:val="18"/>
                <w:szCs w:val="18"/>
                <w:color w:val="auto"/>
                <w:w w:val="93"/>
              </w:rPr>
              <w:t>Co-Founder, Co-Chairman of the Private Equity</w:t>
            </w:r>
          </w:p>
        </w:tc>
      </w:tr>
      <w:tr>
        <w:trPr>
          <w:trHeight w:val="230"/>
        </w:trPr>
        <w:tc>
          <w:tcPr>
            <w:tcW w:w="170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Group of Ares Management</w:t>
            </w:r>
          </w:p>
        </w:tc>
      </w:tr>
      <w:tr>
        <w:trPr>
          <w:trHeight w:val="216"/>
        </w:trPr>
        <w:tc>
          <w:tcPr>
            <w:tcW w:w="1700" w:type="dxa"/>
            <w:vAlign w:val="bottom"/>
            <w:tcBorders>
              <w:left w:val="single" w:sz="8" w:color="auto"/>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r>
      <w:tr>
        <w:trPr>
          <w:trHeight w:val="224"/>
        </w:trPr>
        <w:tc>
          <w:tcPr>
            <w:tcW w:w="384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R. Kipp deVeer</w:t>
            </w:r>
          </w:p>
        </w:tc>
        <w:tc>
          <w:tcPr>
            <w:tcW w:w="370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Director and Executive Officer</w:t>
            </w:r>
          </w:p>
        </w:tc>
        <w:tc>
          <w:tcPr>
            <w:tcW w:w="370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Head of Credit Group of Ares Management</w:t>
            </w:r>
          </w:p>
        </w:tc>
      </w:tr>
      <w:tr>
        <w:trPr>
          <w:trHeight w:val="202"/>
        </w:trPr>
        <w:tc>
          <w:tcPr>
            <w:tcW w:w="1700" w:type="dxa"/>
            <w:vAlign w:val="bottom"/>
            <w:tcBorders>
              <w:left w:val="single" w:sz="8" w:color="auto"/>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560" w:type="dxa"/>
            <w:vAlign w:val="bottom"/>
            <w:tcBorders>
              <w:bottom w:val="single" w:sz="8" w:color="auto"/>
              <w:right w:val="single" w:sz="8" w:color="auto"/>
            </w:tcBorders>
          </w:tcPr>
          <w:p>
            <w:pPr>
              <w:spacing w:after="0"/>
              <w:rPr>
                <w:sz w:val="17"/>
                <w:szCs w:val="17"/>
                <w:color w:val="auto"/>
              </w:rPr>
            </w:pPr>
          </w:p>
        </w:tc>
      </w:tr>
      <w:tr>
        <w:trPr>
          <w:trHeight w:val="195"/>
        </w:trPr>
        <w:tc>
          <w:tcPr>
            <w:tcW w:w="3840" w:type="dxa"/>
            <w:vAlign w:val="bottom"/>
            <w:tcBorders>
              <w:left w:val="single" w:sz="8" w:color="auto"/>
              <w:right w:val="single" w:sz="8" w:color="auto"/>
            </w:tcBorders>
            <w:gridSpan w:val="3"/>
          </w:tcPr>
          <w:p>
            <w:pPr>
              <w:ind w:left="120"/>
              <w:spacing w:after="0" w:line="195" w:lineRule="exact"/>
              <w:rPr>
                <w:sz w:val="20"/>
                <w:szCs w:val="20"/>
                <w:color w:val="auto"/>
              </w:rPr>
            </w:pPr>
            <w:r>
              <w:rPr>
                <w:rFonts w:ascii="Arial" w:cs="Arial" w:eastAsia="Arial" w:hAnsi="Arial"/>
                <w:sz w:val="18"/>
                <w:szCs w:val="18"/>
                <w:color w:val="auto"/>
              </w:rPr>
              <w:t>Paul G. Joubert</w:t>
            </w:r>
          </w:p>
        </w:tc>
        <w:tc>
          <w:tcPr>
            <w:tcW w:w="3700" w:type="dxa"/>
            <w:vAlign w:val="bottom"/>
            <w:tcBorders>
              <w:right w:val="single" w:sz="8" w:color="auto"/>
            </w:tcBorders>
            <w:gridSpan w:val="3"/>
          </w:tcPr>
          <w:p>
            <w:pPr>
              <w:ind w:left="100"/>
              <w:spacing w:after="0" w:line="195" w:lineRule="exact"/>
              <w:rPr>
                <w:sz w:val="20"/>
                <w:szCs w:val="20"/>
                <w:color w:val="auto"/>
              </w:rPr>
            </w:pPr>
            <w:r>
              <w:rPr>
                <w:rFonts w:ascii="Arial" w:cs="Arial" w:eastAsia="Arial" w:hAnsi="Arial"/>
                <w:sz w:val="18"/>
                <w:szCs w:val="18"/>
                <w:color w:val="auto"/>
              </w:rPr>
              <w:t>Director</w:t>
            </w:r>
          </w:p>
        </w:tc>
        <w:tc>
          <w:tcPr>
            <w:tcW w:w="3700" w:type="dxa"/>
            <w:vAlign w:val="bottom"/>
            <w:tcBorders>
              <w:right w:val="single" w:sz="8" w:color="auto"/>
            </w:tcBorders>
            <w:gridSpan w:val="5"/>
          </w:tcPr>
          <w:p>
            <w:pPr>
              <w:ind w:left="100"/>
              <w:spacing w:after="0" w:line="195" w:lineRule="exact"/>
              <w:rPr>
                <w:sz w:val="20"/>
                <w:szCs w:val="20"/>
                <w:color w:val="auto"/>
              </w:rPr>
            </w:pPr>
            <w:r>
              <w:rPr>
                <w:rFonts w:ascii="Arial" w:cs="Arial" w:eastAsia="Arial" w:hAnsi="Arial"/>
                <w:sz w:val="18"/>
                <w:szCs w:val="18"/>
                <w:color w:val="auto"/>
              </w:rPr>
              <w:t>Founding  Partner  of  EdgeAdvisors  and  a</w:t>
            </w:r>
          </w:p>
        </w:tc>
      </w:tr>
      <w:tr>
        <w:trPr>
          <w:trHeight w:val="230"/>
        </w:trPr>
        <w:tc>
          <w:tcPr>
            <w:tcW w:w="170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w w:val="96"/>
              </w:rPr>
              <w:t>Venture Partner in Converge Venture Partners</w:t>
            </w:r>
          </w:p>
        </w:tc>
      </w:tr>
      <w:tr>
        <w:trPr>
          <w:trHeight w:val="216"/>
        </w:trPr>
        <w:tc>
          <w:tcPr>
            <w:tcW w:w="1700" w:type="dxa"/>
            <w:vAlign w:val="bottom"/>
            <w:tcBorders>
              <w:left w:val="single" w:sz="8" w:color="auto"/>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r>
      <w:tr>
        <w:trPr>
          <w:trHeight w:val="224"/>
        </w:trPr>
        <w:tc>
          <w:tcPr>
            <w:tcW w:w="384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Michael Lynton</w:t>
            </w:r>
          </w:p>
        </w:tc>
        <w:tc>
          <w:tcPr>
            <w:tcW w:w="370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Director</w:t>
            </w:r>
          </w:p>
        </w:tc>
        <w:tc>
          <w:tcPr>
            <w:tcW w:w="370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Chairman of the Board of Snap Inc.</w:t>
            </w:r>
          </w:p>
        </w:tc>
      </w:tr>
      <w:tr>
        <w:trPr>
          <w:trHeight w:val="202"/>
        </w:trPr>
        <w:tc>
          <w:tcPr>
            <w:tcW w:w="1700" w:type="dxa"/>
            <w:vAlign w:val="bottom"/>
            <w:tcBorders>
              <w:left w:val="single" w:sz="8" w:color="auto"/>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560" w:type="dxa"/>
            <w:vAlign w:val="bottom"/>
            <w:tcBorders>
              <w:bottom w:val="single" w:sz="8" w:color="auto"/>
              <w:right w:val="single" w:sz="8" w:color="auto"/>
            </w:tcBorders>
          </w:tcPr>
          <w:p>
            <w:pPr>
              <w:spacing w:after="0"/>
              <w:rPr>
                <w:sz w:val="17"/>
                <w:szCs w:val="17"/>
                <w:color w:val="auto"/>
              </w:rPr>
            </w:pPr>
          </w:p>
        </w:tc>
      </w:tr>
      <w:tr>
        <w:trPr>
          <w:trHeight w:val="224"/>
        </w:trPr>
        <w:tc>
          <w:tcPr>
            <w:tcW w:w="384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Dr. Judy Olian</w:t>
            </w:r>
          </w:p>
        </w:tc>
        <w:tc>
          <w:tcPr>
            <w:tcW w:w="370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Director</w:t>
            </w:r>
          </w:p>
        </w:tc>
        <w:tc>
          <w:tcPr>
            <w:tcW w:w="370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President of Quinnipiac University</w:t>
            </w:r>
          </w:p>
        </w:tc>
      </w:tr>
      <w:tr>
        <w:trPr>
          <w:trHeight w:val="202"/>
        </w:trPr>
        <w:tc>
          <w:tcPr>
            <w:tcW w:w="1700" w:type="dxa"/>
            <w:vAlign w:val="bottom"/>
            <w:tcBorders>
              <w:left w:val="single" w:sz="8" w:color="auto"/>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560" w:type="dxa"/>
            <w:vAlign w:val="bottom"/>
            <w:tcBorders>
              <w:bottom w:val="single" w:sz="8" w:color="auto"/>
              <w:right w:val="single" w:sz="8" w:color="auto"/>
            </w:tcBorders>
          </w:tcPr>
          <w:p>
            <w:pPr>
              <w:spacing w:after="0"/>
              <w:rPr>
                <w:sz w:val="17"/>
                <w:szCs w:val="17"/>
                <w:color w:val="auto"/>
              </w:rPr>
            </w:pPr>
          </w:p>
        </w:tc>
      </w:tr>
      <w:tr>
        <w:trPr>
          <w:trHeight w:val="195"/>
        </w:trPr>
        <w:tc>
          <w:tcPr>
            <w:tcW w:w="3840" w:type="dxa"/>
            <w:vAlign w:val="bottom"/>
            <w:tcBorders>
              <w:left w:val="single" w:sz="8" w:color="auto"/>
              <w:right w:val="single" w:sz="8" w:color="auto"/>
            </w:tcBorders>
            <w:gridSpan w:val="3"/>
          </w:tcPr>
          <w:p>
            <w:pPr>
              <w:ind w:left="120"/>
              <w:spacing w:after="0" w:line="195" w:lineRule="exact"/>
              <w:rPr>
                <w:sz w:val="20"/>
                <w:szCs w:val="20"/>
                <w:color w:val="auto"/>
              </w:rPr>
            </w:pPr>
            <w:r>
              <w:rPr>
                <w:rFonts w:ascii="Arial" w:cs="Arial" w:eastAsia="Arial" w:hAnsi="Arial"/>
                <w:sz w:val="18"/>
                <w:szCs w:val="18"/>
                <w:color w:val="auto"/>
              </w:rPr>
              <w:t>Antoinette C. Bush</w:t>
            </w:r>
          </w:p>
        </w:tc>
        <w:tc>
          <w:tcPr>
            <w:tcW w:w="3700" w:type="dxa"/>
            <w:vAlign w:val="bottom"/>
            <w:tcBorders>
              <w:right w:val="single" w:sz="8" w:color="auto"/>
            </w:tcBorders>
            <w:gridSpan w:val="3"/>
          </w:tcPr>
          <w:p>
            <w:pPr>
              <w:ind w:left="100"/>
              <w:spacing w:after="0" w:line="195" w:lineRule="exact"/>
              <w:rPr>
                <w:sz w:val="20"/>
                <w:szCs w:val="20"/>
                <w:color w:val="auto"/>
              </w:rPr>
            </w:pPr>
            <w:r>
              <w:rPr>
                <w:rFonts w:ascii="Arial" w:cs="Arial" w:eastAsia="Arial" w:hAnsi="Arial"/>
                <w:sz w:val="18"/>
                <w:szCs w:val="18"/>
                <w:color w:val="auto"/>
              </w:rPr>
              <w:t>Director</w:t>
            </w:r>
          </w:p>
        </w:tc>
        <w:tc>
          <w:tcPr>
            <w:tcW w:w="3700" w:type="dxa"/>
            <w:vAlign w:val="bottom"/>
            <w:tcBorders>
              <w:right w:val="single" w:sz="8" w:color="auto"/>
            </w:tcBorders>
            <w:gridSpan w:val="5"/>
          </w:tcPr>
          <w:p>
            <w:pPr>
              <w:ind w:left="100"/>
              <w:spacing w:after="0" w:line="195" w:lineRule="exact"/>
              <w:rPr>
                <w:sz w:val="20"/>
                <w:szCs w:val="20"/>
                <w:color w:val="auto"/>
              </w:rPr>
            </w:pPr>
            <w:r>
              <w:rPr>
                <w:rFonts w:ascii="Arial" w:cs="Arial" w:eastAsia="Arial" w:hAnsi="Arial"/>
                <w:sz w:val="18"/>
                <w:szCs w:val="18"/>
                <w:color w:val="auto"/>
                <w:w w:val="99"/>
              </w:rPr>
              <w:t>Executive Vice President and Global Head of</w:t>
            </w:r>
          </w:p>
        </w:tc>
      </w:tr>
      <w:tr>
        <w:trPr>
          <w:trHeight w:val="230"/>
        </w:trPr>
        <w:tc>
          <w:tcPr>
            <w:tcW w:w="170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Government Affairs for News Corp</w:t>
            </w:r>
          </w:p>
        </w:tc>
      </w:tr>
      <w:tr>
        <w:trPr>
          <w:trHeight w:val="216"/>
        </w:trPr>
        <w:tc>
          <w:tcPr>
            <w:tcW w:w="1700" w:type="dxa"/>
            <w:vAlign w:val="bottom"/>
            <w:tcBorders>
              <w:left w:val="single" w:sz="8" w:color="auto"/>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r>
      <w:tr>
        <w:trPr>
          <w:trHeight w:val="195"/>
        </w:trPr>
        <w:tc>
          <w:tcPr>
            <w:tcW w:w="3840" w:type="dxa"/>
            <w:vAlign w:val="bottom"/>
            <w:tcBorders>
              <w:left w:val="single" w:sz="8" w:color="auto"/>
              <w:right w:val="single" w:sz="8" w:color="auto"/>
            </w:tcBorders>
            <w:gridSpan w:val="3"/>
          </w:tcPr>
          <w:p>
            <w:pPr>
              <w:ind w:left="120"/>
              <w:spacing w:after="0" w:line="195" w:lineRule="exact"/>
              <w:rPr>
                <w:sz w:val="20"/>
                <w:szCs w:val="20"/>
                <w:color w:val="auto"/>
              </w:rPr>
            </w:pPr>
            <w:r>
              <w:rPr>
                <w:rFonts w:ascii="Arial" w:cs="Arial" w:eastAsia="Arial" w:hAnsi="Arial"/>
                <w:sz w:val="18"/>
                <w:szCs w:val="18"/>
                <w:color w:val="auto"/>
              </w:rPr>
              <w:t>Ryan Berry</w:t>
            </w:r>
          </w:p>
        </w:tc>
        <w:tc>
          <w:tcPr>
            <w:tcW w:w="3700" w:type="dxa"/>
            <w:vAlign w:val="bottom"/>
            <w:tcBorders>
              <w:right w:val="single" w:sz="8" w:color="auto"/>
            </w:tcBorders>
            <w:gridSpan w:val="3"/>
          </w:tcPr>
          <w:p>
            <w:pPr>
              <w:ind w:left="100"/>
              <w:spacing w:after="0" w:line="195" w:lineRule="exact"/>
              <w:rPr>
                <w:sz w:val="20"/>
                <w:szCs w:val="20"/>
                <w:color w:val="auto"/>
              </w:rPr>
            </w:pPr>
            <w:r>
              <w:rPr>
                <w:rFonts w:ascii="Arial" w:cs="Arial" w:eastAsia="Arial" w:hAnsi="Arial"/>
                <w:sz w:val="18"/>
                <w:szCs w:val="18"/>
                <w:color w:val="auto"/>
              </w:rPr>
              <w:t>Executive Officer</w:t>
            </w:r>
          </w:p>
        </w:tc>
        <w:tc>
          <w:tcPr>
            <w:tcW w:w="3700" w:type="dxa"/>
            <w:vAlign w:val="bottom"/>
            <w:tcBorders>
              <w:right w:val="single" w:sz="8" w:color="auto"/>
            </w:tcBorders>
            <w:gridSpan w:val="5"/>
          </w:tcPr>
          <w:p>
            <w:pPr>
              <w:ind w:left="100"/>
              <w:spacing w:after="0" w:line="195" w:lineRule="exact"/>
              <w:rPr>
                <w:sz w:val="20"/>
                <w:szCs w:val="20"/>
                <w:color w:val="auto"/>
              </w:rPr>
            </w:pPr>
            <w:r>
              <w:rPr>
                <w:rFonts w:ascii="Arial" w:cs="Arial" w:eastAsia="Arial" w:hAnsi="Arial"/>
                <w:sz w:val="18"/>
                <w:szCs w:val="18"/>
                <w:color w:val="auto"/>
              </w:rPr>
              <w:t>Chief Marketing and Strategy Officer of Ares</w:t>
            </w:r>
          </w:p>
        </w:tc>
      </w:tr>
      <w:tr>
        <w:trPr>
          <w:trHeight w:val="230"/>
        </w:trPr>
        <w:tc>
          <w:tcPr>
            <w:tcW w:w="170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Management</w:t>
            </w:r>
          </w:p>
        </w:tc>
      </w:tr>
      <w:tr>
        <w:trPr>
          <w:trHeight w:val="216"/>
        </w:trPr>
        <w:tc>
          <w:tcPr>
            <w:tcW w:w="1700" w:type="dxa"/>
            <w:vAlign w:val="bottom"/>
            <w:tcBorders>
              <w:left w:val="single" w:sz="8" w:color="auto"/>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r>
      <w:tr>
        <w:trPr>
          <w:trHeight w:val="195"/>
        </w:trPr>
        <w:tc>
          <w:tcPr>
            <w:tcW w:w="3840" w:type="dxa"/>
            <w:vAlign w:val="bottom"/>
            <w:tcBorders>
              <w:left w:val="single" w:sz="8" w:color="auto"/>
              <w:right w:val="single" w:sz="8" w:color="auto"/>
            </w:tcBorders>
            <w:gridSpan w:val="3"/>
          </w:tcPr>
          <w:p>
            <w:pPr>
              <w:ind w:left="120"/>
              <w:spacing w:after="0" w:line="195" w:lineRule="exact"/>
              <w:rPr>
                <w:sz w:val="20"/>
                <w:szCs w:val="20"/>
                <w:color w:val="auto"/>
              </w:rPr>
            </w:pPr>
            <w:r>
              <w:rPr>
                <w:rFonts w:ascii="Arial" w:cs="Arial" w:eastAsia="Arial" w:hAnsi="Arial"/>
                <w:sz w:val="18"/>
                <w:szCs w:val="18"/>
                <w:color w:val="auto"/>
              </w:rPr>
              <w:t>Michael R. McFerran</w:t>
            </w:r>
          </w:p>
        </w:tc>
        <w:tc>
          <w:tcPr>
            <w:tcW w:w="3700" w:type="dxa"/>
            <w:vAlign w:val="bottom"/>
            <w:tcBorders>
              <w:right w:val="single" w:sz="8" w:color="auto"/>
            </w:tcBorders>
            <w:gridSpan w:val="3"/>
          </w:tcPr>
          <w:p>
            <w:pPr>
              <w:ind w:left="100"/>
              <w:spacing w:after="0" w:line="195" w:lineRule="exact"/>
              <w:rPr>
                <w:sz w:val="20"/>
                <w:szCs w:val="20"/>
                <w:color w:val="auto"/>
              </w:rPr>
            </w:pPr>
            <w:r>
              <w:rPr>
                <w:rFonts w:ascii="Arial" w:cs="Arial" w:eastAsia="Arial" w:hAnsi="Arial"/>
                <w:sz w:val="18"/>
                <w:szCs w:val="18"/>
                <w:color w:val="auto"/>
              </w:rPr>
              <w:t>Executive Officer</w:t>
            </w:r>
          </w:p>
        </w:tc>
        <w:tc>
          <w:tcPr>
            <w:tcW w:w="3700" w:type="dxa"/>
            <w:vAlign w:val="bottom"/>
            <w:tcBorders>
              <w:right w:val="single" w:sz="8" w:color="auto"/>
            </w:tcBorders>
            <w:gridSpan w:val="5"/>
          </w:tcPr>
          <w:p>
            <w:pPr>
              <w:ind w:left="100"/>
              <w:spacing w:after="0" w:line="195" w:lineRule="exact"/>
              <w:rPr>
                <w:sz w:val="20"/>
                <w:szCs w:val="20"/>
                <w:color w:val="auto"/>
              </w:rPr>
            </w:pPr>
            <w:r>
              <w:rPr>
                <w:rFonts w:ascii="Arial" w:cs="Arial" w:eastAsia="Arial" w:hAnsi="Arial"/>
                <w:sz w:val="18"/>
                <w:szCs w:val="18"/>
                <w:color w:val="auto"/>
              </w:rPr>
              <w:t>Chief Operating Officer and Chief Financial</w:t>
            </w:r>
          </w:p>
        </w:tc>
      </w:tr>
      <w:tr>
        <w:trPr>
          <w:trHeight w:val="230"/>
        </w:trPr>
        <w:tc>
          <w:tcPr>
            <w:tcW w:w="170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Officer of Ares Management</w:t>
            </w:r>
          </w:p>
        </w:tc>
      </w:tr>
      <w:tr>
        <w:trPr>
          <w:trHeight w:val="216"/>
        </w:trPr>
        <w:tc>
          <w:tcPr>
            <w:tcW w:w="1700" w:type="dxa"/>
            <w:vAlign w:val="bottom"/>
            <w:tcBorders>
              <w:left w:val="single" w:sz="8" w:color="auto"/>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r>
      <w:tr>
        <w:trPr>
          <w:trHeight w:val="195"/>
        </w:trPr>
        <w:tc>
          <w:tcPr>
            <w:tcW w:w="3840" w:type="dxa"/>
            <w:vAlign w:val="bottom"/>
            <w:tcBorders>
              <w:left w:val="single" w:sz="8" w:color="auto"/>
              <w:right w:val="single" w:sz="8" w:color="auto"/>
            </w:tcBorders>
            <w:gridSpan w:val="3"/>
          </w:tcPr>
          <w:p>
            <w:pPr>
              <w:ind w:left="120"/>
              <w:spacing w:after="0" w:line="195" w:lineRule="exact"/>
              <w:rPr>
                <w:sz w:val="20"/>
                <w:szCs w:val="20"/>
                <w:color w:val="auto"/>
              </w:rPr>
            </w:pPr>
            <w:r>
              <w:rPr>
                <w:rFonts w:ascii="Arial" w:cs="Arial" w:eastAsia="Arial" w:hAnsi="Arial"/>
                <w:sz w:val="18"/>
                <w:szCs w:val="18"/>
                <w:color w:val="auto"/>
              </w:rPr>
              <w:t>Naseem Sagati Aghili</w:t>
            </w:r>
          </w:p>
        </w:tc>
        <w:tc>
          <w:tcPr>
            <w:tcW w:w="3700" w:type="dxa"/>
            <w:vAlign w:val="bottom"/>
            <w:tcBorders>
              <w:right w:val="single" w:sz="8" w:color="auto"/>
            </w:tcBorders>
            <w:gridSpan w:val="3"/>
          </w:tcPr>
          <w:p>
            <w:pPr>
              <w:ind w:left="100"/>
              <w:spacing w:after="0" w:line="195" w:lineRule="exact"/>
              <w:rPr>
                <w:sz w:val="20"/>
                <w:szCs w:val="20"/>
                <w:color w:val="auto"/>
              </w:rPr>
            </w:pPr>
            <w:r>
              <w:rPr>
                <w:rFonts w:ascii="Arial" w:cs="Arial" w:eastAsia="Arial" w:hAnsi="Arial"/>
                <w:sz w:val="18"/>
                <w:szCs w:val="18"/>
                <w:color w:val="auto"/>
              </w:rPr>
              <w:t>Executive Officer</w:t>
            </w:r>
          </w:p>
        </w:tc>
        <w:tc>
          <w:tcPr>
            <w:tcW w:w="3700" w:type="dxa"/>
            <w:vAlign w:val="bottom"/>
            <w:tcBorders>
              <w:right w:val="single" w:sz="8" w:color="auto"/>
            </w:tcBorders>
            <w:gridSpan w:val="5"/>
          </w:tcPr>
          <w:p>
            <w:pPr>
              <w:ind w:left="100"/>
              <w:spacing w:after="0" w:line="195" w:lineRule="exact"/>
              <w:rPr>
                <w:sz w:val="20"/>
                <w:szCs w:val="20"/>
                <w:color w:val="auto"/>
              </w:rPr>
            </w:pPr>
            <w:r>
              <w:rPr>
                <w:rFonts w:ascii="Arial" w:cs="Arial" w:eastAsia="Arial" w:hAnsi="Arial"/>
                <w:sz w:val="18"/>
                <w:szCs w:val="18"/>
                <w:color w:val="auto"/>
              </w:rPr>
              <w:t>General  Counsel  and  Secretary  of  Ares</w:t>
            </w:r>
          </w:p>
        </w:tc>
      </w:tr>
      <w:tr>
        <w:trPr>
          <w:trHeight w:val="230"/>
        </w:trPr>
        <w:tc>
          <w:tcPr>
            <w:tcW w:w="170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Management</w:t>
            </w:r>
          </w:p>
        </w:tc>
      </w:tr>
      <w:tr>
        <w:trPr>
          <w:trHeight w:val="216"/>
        </w:trPr>
        <w:tc>
          <w:tcPr>
            <w:tcW w:w="1700" w:type="dxa"/>
            <w:vAlign w:val="bottom"/>
            <w:tcBorders>
              <w:left w:val="single" w:sz="8" w:color="auto"/>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address for all of the persons listed above is c/o Ares Management LLC, 2000 Avenue of the Stars, 12th Floor, Los Angeles, California 90067.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433705</wp:posOffset>
            </wp:positionV>
            <wp:extent cx="713232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1."/>
      <w:numFmt w:val="decimal"/>
      <w:start w:val="1"/>
    </w:lvl>
    <w:lvl w:ilvl="1">
      <w:lvlJc w:val="left"/>
      <w:lvlText w:val="(%2)"/>
      <w:numFmt w:val="lowerLetter"/>
      <w:start w:val="1"/>
    </w:lvl>
  </w:abstractNum>
  <w:abstractNum w:abstractNumId="2">
    <w:nsid w:val="5C482A97"/>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3">
    <w:nsid w:val="2463B9EA"/>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4">
    <w:nsid w:val="5E884ADC"/>
    <w:multiLevelType w:val="hybridMultilevel"/>
    <w:lvl w:ilvl="0">
      <w:lvlJc w:val="left"/>
      <w:lvlText w:val="**"/>
      <w:numFmt w:val="bullet"/>
      <w:start w:val="1"/>
    </w:lvl>
    <w:lvl w:ilvl="1">
      <w:lvlJc w:val="left"/>
      <w:lvlText w:val="%2"/>
      <w:numFmt w:val="decimal"/>
      <w:start w:val="1"/>
    </w:lvl>
    <w:lvl w:ilvl="2">
      <w:lvlJc w:val="left"/>
      <w:lvlText w:val="%3"/>
      <w:numFmt w:val="decimal"/>
      <w:start w:val="1"/>
    </w:lvl>
  </w:abstractNum>
  <w:abstractNum w:abstractNumId="5">
    <w:nsid w:val="51EAD36B"/>
    <w:multiLevelType w:val="hybridMultilevel"/>
    <w:lvl w:ilvl="0">
      <w:lvlJc w:val="left"/>
      <w:lvlText w:val="%1."/>
      <w:numFmt w:val="decimal"/>
      <w:start w:val="1"/>
    </w:lvl>
    <w:lvl w:ilvl="1">
      <w:lvlJc w:val="left"/>
      <w:lvlText w:val="(%2)"/>
      <w:numFmt w:val="lowerLetter"/>
      <w:start w:val="1"/>
    </w:lvl>
  </w:abstractNum>
  <w:abstractNum w:abstractNumId="6">
    <w:nsid w:val="2D517796"/>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7">
    <w:nsid w:val="580BD78F"/>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8">
    <w:nsid w:val="153EA438"/>
    <w:multiLevelType w:val="hybridMultilevel"/>
    <w:lvl w:ilvl="0">
      <w:lvlJc w:val="left"/>
      <w:lvlText w:val="**"/>
      <w:numFmt w:val="bullet"/>
      <w:start w:val="1"/>
    </w:lvl>
    <w:lvl w:ilvl="1">
      <w:lvlJc w:val="left"/>
      <w:lvlText w:val="%2"/>
      <w:numFmt w:val="decimal"/>
      <w:start w:val="1"/>
    </w:lvl>
    <w:lvl w:ilvl="2">
      <w:lvlJc w:val="left"/>
      <w:lvlText w:val="%3"/>
      <w:numFmt w:val="decimal"/>
      <w:start w:val="1"/>
    </w:lvl>
  </w:abstractNum>
  <w:abstractNum w:abstractNumId="9">
    <w:nsid w:val="3855585C"/>
    <w:multiLevelType w:val="hybridMultilevel"/>
    <w:lvl w:ilvl="0">
      <w:lvlJc w:val="left"/>
      <w:lvlText w:val="%1."/>
      <w:numFmt w:val="decimal"/>
      <w:start w:val="1"/>
    </w:lvl>
    <w:lvl w:ilvl="1">
      <w:lvlJc w:val="left"/>
      <w:lvlText w:val="(%2)"/>
      <w:numFmt w:val="lowerLetter"/>
      <w:start w:val="1"/>
    </w:lvl>
  </w:abstractNum>
  <w:abstractNum w:abstractNumId="10">
    <w:nsid w:val="70A64E2A"/>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11">
    <w:nsid w:val="6A2342EC"/>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12">
    <w:nsid w:val="2A487CB0"/>
    <w:multiLevelType w:val="hybridMultilevel"/>
    <w:lvl w:ilvl="0">
      <w:lvlJc w:val="left"/>
      <w:lvlText w:val="**"/>
      <w:numFmt w:val="bullet"/>
      <w:start w:val="1"/>
    </w:lvl>
    <w:lvl w:ilvl="1">
      <w:lvlJc w:val="left"/>
      <w:lvlText w:val="%2"/>
      <w:numFmt w:val="decimal"/>
      <w:start w:val="1"/>
    </w:lvl>
    <w:lvl w:ilvl="2">
      <w:lvlJc w:val="left"/>
      <w:lvlText w:val="%3"/>
      <w:numFmt w:val="decimal"/>
      <w:start w:val="1"/>
    </w:lvl>
  </w:abstractNum>
  <w:abstractNum w:abstractNumId="13">
    <w:nsid w:val="1D4ED43B"/>
    <w:multiLevelType w:val="hybridMultilevel"/>
    <w:lvl w:ilvl="0">
      <w:lvlJc w:val="left"/>
      <w:lvlText w:val="%1."/>
      <w:numFmt w:val="decimal"/>
      <w:start w:val="1"/>
    </w:lvl>
    <w:lvl w:ilvl="1">
      <w:lvlJc w:val="left"/>
      <w:lvlText w:val="(%2)"/>
      <w:numFmt w:val="lowerLetter"/>
      <w:start w:val="1"/>
    </w:lvl>
  </w:abstractNum>
  <w:abstractNum w:abstractNumId="14">
    <w:nsid w:val="725A06FB"/>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15">
    <w:nsid w:val="2CD89A32"/>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16">
    <w:nsid w:val="57E4CCAF"/>
    <w:multiLevelType w:val="hybridMultilevel"/>
    <w:lvl w:ilvl="0">
      <w:lvlJc w:val="left"/>
      <w:lvlText w:val="**"/>
      <w:numFmt w:val="bullet"/>
      <w:start w:val="1"/>
    </w:lvl>
    <w:lvl w:ilvl="1">
      <w:lvlJc w:val="left"/>
      <w:lvlText w:val="%2"/>
      <w:numFmt w:val="decimal"/>
      <w:start w:val="1"/>
    </w:lvl>
    <w:lvl w:ilvl="2">
      <w:lvlJc w:val="left"/>
      <w:lvlText w:val="%3"/>
      <w:numFmt w:val="decimal"/>
      <w:start w:val="1"/>
    </w:lvl>
  </w:abstractNum>
  <w:abstractNum w:abstractNumId="17">
    <w:nsid w:val="7A6D8D3C"/>
    <w:multiLevelType w:val="hybridMultilevel"/>
    <w:lvl w:ilvl="0">
      <w:lvlJc w:val="left"/>
      <w:lvlText w:val="%1."/>
      <w:numFmt w:val="decimal"/>
      <w:start w:val="1"/>
    </w:lvl>
    <w:lvl w:ilvl="1">
      <w:lvlJc w:val="left"/>
      <w:lvlText w:val="(%2)"/>
      <w:numFmt w:val="lowerLetter"/>
      <w:start w:val="1"/>
    </w:lvl>
  </w:abstractNum>
  <w:abstractNum w:abstractNumId="18">
    <w:nsid w:val="4B588F54"/>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19">
    <w:nsid w:val="542289EC"/>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20">
    <w:nsid w:val="6DE91B18"/>
    <w:multiLevelType w:val="hybridMultilevel"/>
    <w:lvl w:ilvl="0">
      <w:lvlJc w:val="left"/>
      <w:lvlText w:val="**"/>
      <w:numFmt w:val="bullet"/>
      <w:start w:val="1"/>
    </w:lvl>
    <w:lvl w:ilvl="1">
      <w:lvlJc w:val="left"/>
      <w:lvlText w:val="%2"/>
      <w:numFmt w:val="decimal"/>
      <w:start w:val="1"/>
    </w:lvl>
    <w:lvl w:ilvl="2">
      <w:lvlJc w:val="left"/>
      <w:lvlText w:val="%3"/>
      <w:numFmt w:val="decimal"/>
      <w:start w:val="1"/>
    </w:lvl>
  </w:abstractNum>
  <w:abstractNum w:abstractNumId="21">
    <w:nsid w:val="38437FDB"/>
    <w:multiLevelType w:val="hybridMultilevel"/>
    <w:lvl w:ilvl="0">
      <w:lvlJc w:val="left"/>
      <w:lvlText w:val="%1."/>
      <w:numFmt w:val="decimal"/>
      <w:start w:val="1"/>
    </w:lvl>
    <w:lvl w:ilvl="1">
      <w:lvlJc w:val="left"/>
      <w:lvlText w:val="(%2)"/>
      <w:numFmt w:val="lowerLetter"/>
      <w:start w:val="1"/>
    </w:lvl>
  </w:abstractNum>
  <w:abstractNum w:abstractNumId="22">
    <w:nsid w:val="7644A45C"/>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23">
    <w:nsid w:val="32FFF902"/>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24">
    <w:nsid w:val="684A481A"/>
    <w:multiLevelType w:val="hybridMultilevel"/>
    <w:lvl w:ilvl="0">
      <w:lvlJc w:val="left"/>
      <w:lvlText w:val="**"/>
      <w:numFmt w:val="bullet"/>
      <w:start w:val="1"/>
    </w:lvl>
    <w:lvl w:ilvl="1">
      <w:lvlJc w:val="left"/>
      <w:lvlText w:val="%2"/>
      <w:numFmt w:val="decimal"/>
      <w:start w:val="1"/>
    </w:lvl>
    <w:lvl w:ilvl="2">
      <w:lvlJc w:val="left"/>
      <w:lvlText w:val="%3"/>
      <w:numFmt w:val="decimal"/>
      <w:start w:val="1"/>
    </w:lvl>
  </w:abstractNum>
  <w:abstractNum w:abstractNumId="25">
    <w:nsid w:val="579478FE"/>
    <w:multiLevelType w:val="hybridMultilevel"/>
    <w:lvl w:ilvl="0">
      <w:lvlJc w:val="left"/>
      <w:lvlText w:val="%1."/>
      <w:numFmt w:val="decimal"/>
      <w:start w:val="1"/>
    </w:lvl>
    <w:lvl w:ilvl="1">
      <w:lvlJc w:val="left"/>
      <w:lvlText w:val="(%2)"/>
      <w:numFmt w:val="lowerLetter"/>
      <w:start w:val="1"/>
    </w:lvl>
  </w:abstractNum>
  <w:abstractNum w:abstractNumId="26">
    <w:nsid w:val="749ABB43"/>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27">
    <w:nsid w:val="3DC240FB"/>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28">
    <w:nsid w:val="1BA026FA"/>
    <w:multiLevelType w:val="hybridMultilevel"/>
    <w:lvl w:ilvl="0">
      <w:lvlJc w:val="left"/>
      <w:lvlText w:val="%1."/>
      <w:numFmt w:val="decimal"/>
      <w:start w:val="1"/>
    </w:lvl>
    <w:lvl w:ilvl="1">
      <w:lvlJc w:val="left"/>
      <w:lvlText w:val="(%2)"/>
      <w:numFmt w:val="lowerLetter"/>
      <w:start w:val="1"/>
    </w:lvl>
  </w:abstractNum>
  <w:abstractNum w:abstractNumId="29">
    <w:nsid w:val="79A1DEAA"/>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30">
    <w:nsid w:val="75C6C33A"/>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31">
    <w:nsid w:val="12E685FB"/>
    <w:multiLevelType w:val="hybridMultilevel"/>
    <w:lvl w:ilvl="0">
      <w:lvlJc w:val="left"/>
      <w:lvlText w:val="**"/>
      <w:numFmt w:val="bullet"/>
      <w:start w:val="1"/>
    </w:lvl>
    <w:lvl w:ilvl="1">
      <w:lvlJc w:val="left"/>
      <w:lvlText w:val="%2"/>
      <w:numFmt w:val="decimal"/>
      <w:start w:val="1"/>
    </w:lvl>
    <w:lvl w:ilvl="2">
      <w:lvlJc w:val="left"/>
      <w:lvlText w:val="%3"/>
      <w:numFmt w:val="decimal"/>
      <w:start w:val="1"/>
    </w:lvl>
  </w:abstractNum>
  <w:abstractNum w:abstractNumId="32">
    <w:nsid w:val="70C6A529"/>
    <w:multiLevelType w:val="hybridMultilevel"/>
    <w:lvl w:ilvl="0">
      <w:lvlJc w:val="left"/>
      <w:lvlText w:val="%1."/>
      <w:numFmt w:val="decimal"/>
      <w:start w:val="1"/>
    </w:lvl>
    <w:lvl w:ilvl="1">
      <w:lvlJc w:val="left"/>
      <w:lvlText w:val="(%2)"/>
      <w:numFmt w:val="lowerLetter"/>
      <w:start w:val="1"/>
    </w:lvl>
  </w:abstractNum>
  <w:abstractNum w:abstractNumId="33">
    <w:nsid w:val="520EEDD1"/>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34">
    <w:nsid w:val="374A3FE6"/>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35">
    <w:nsid w:val="4F4EF005"/>
    <w:multiLevelType w:val="hybridMultilevel"/>
    <w:lvl w:ilvl="0">
      <w:lvlJc w:val="left"/>
      <w:lvlText w:val="**"/>
      <w:numFmt w:val="bullet"/>
      <w:start w:val="1"/>
    </w:lvl>
    <w:lvl w:ilvl="1">
      <w:lvlJc w:val="left"/>
      <w:lvlText w:val="%2"/>
      <w:numFmt w:val="decimal"/>
      <w:start w:val="1"/>
    </w:lvl>
    <w:lvl w:ilvl="2">
      <w:lvlJc w:val="left"/>
      <w:lvlText w:val="%3"/>
      <w:numFmt w:val="decimal"/>
      <w:start w:val="1"/>
    </w:lvl>
  </w:abstractNum>
  <w:abstractNum w:abstractNumId="36">
    <w:nsid w:val="23F9C13C"/>
    <w:multiLevelType w:val="hybridMultilevel"/>
    <w:lvl w:ilvl="0">
      <w:lvlJc w:val="left"/>
      <w:lvlText w:val="%1."/>
      <w:numFmt w:val="decimal"/>
      <w:start w:val="1"/>
    </w:lvl>
    <w:lvl w:ilvl="1">
      <w:lvlJc w:val="left"/>
      <w:lvlText w:val="(%2)"/>
      <w:numFmt w:val="lowerLetter"/>
      <w:start w:val="1"/>
    </w:lvl>
  </w:abstractNum>
  <w:abstractNum w:abstractNumId="37">
    <w:nsid w:val="649BB77C"/>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38">
    <w:nsid w:val="275AC794"/>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39">
    <w:nsid w:val="39386575"/>
    <w:multiLevelType w:val="hybridMultilevel"/>
    <w:lvl w:ilvl="0">
      <w:lvlJc w:val="left"/>
      <w:lvlText w:val="**"/>
      <w:numFmt w:val="bullet"/>
      <w:start w:val="1"/>
    </w:lvl>
    <w:lvl w:ilvl="1">
      <w:lvlJc w:val="left"/>
      <w:lvlText w:val="%2"/>
      <w:numFmt w:val="decimal"/>
      <w:start w:val="1"/>
    </w:lvl>
    <w:lvl w:ilvl="2">
      <w:lvlJc w:val="left"/>
      <w:lvlText w:val="%3"/>
      <w:numFmt w:val="decimal"/>
      <w:start w:val="1"/>
    </w:lvl>
  </w:abstractNum>
  <w:abstractNum w:abstractNumId="40">
    <w:nsid w:val="1CF10FD8"/>
    <w:multiLevelType w:val="hybridMultilevel"/>
    <w:lvl w:ilvl="0">
      <w:lvlJc w:val="left"/>
      <w:lvlText w:val="%1."/>
      <w:numFmt w:val="decimal"/>
      <w:start w:val="1"/>
    </w:lvl>
    <w:lvl w:ilvl="1">
      <w:lvlJc w:val="left"/>
      <w:lvlText w:val="(%2)"/>
      <w:numFmt w:val="lowerLetter"/>
      <w:start w:val="1"/>
    </w:lvl>
  </w:abstractNum>
  <w:abstractNum w:abstractNumId="41">
    <w:nsid w:val="180115BE"/>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42">
    <w:nsid w:val="235BA861"/>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43">
    <w:nsid w:val="47398C89"/>
    <w:multiLevelType w:val="hybridMultilevel"/>
    <w:lvl w:ilvl="0">
      <w:lvlJc w:val="left"/>
      <w:lvlText w:val="%1."/>
      <w:numFmt w:val="decimal"/>
      <w:start w:val="1"/>
    </w:lvl>
    <w:lvl w:ilvl="1">
      <w:lvlJc w:val="left"/>
      <w:lvlText w:val="(%2)"/>
      <w:numFmt w:val="lowerLetter"/>
      <w:start w:val="1"/>
    </w:lvl>
  </w:abstractNum>
  <w:abstractNum w:abstractNumId="44">
    <w:nsid w:val="354FE9F9"/>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45">
    <w:nsid w:val="15B5AF5C"/>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46">
    <w:nsid w:val="741226BB"/>
    <w:multiLevelType w:val="hybridMultilevel"/>
    <w:lvl w:ilvl="0">
      <w:lvlJc w:val="left"/>
      <w:lvlText w:val="%1."/>
      <w:numFmt w:val="decimal"/>
      <w:start w:val="1"/>
    </w:lvl>
    <w:lvl w:ilvl="1">
      <w:lvlJc w:val="left"/>
      <w:lvlText w:val="(%2)"/>
      <w:numFmt w:val="lowerLetter"/>
      <w:start w:val="1"/>
    </w:lvl>
  </w:abstractNum>
  <w:abstractNum w:abstractNumId="47">
    <w:nsid w:val="D34B6A8"/>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48">
    <w:nsid w:val="10233C99"/>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49">
    <w:nsid w:val="3F6AB60F"/>
    <w:multiLevelType w:val="hybridMultilevel"/>
    <w:lvl w:ilvl="0">
      <w:lvlJc w:val="left"/>
      <w:lvlText w:val="%1."/>
      <w:numFmt w:val="decimal"/>
      <w:start w:val="1"/>
    </w:lvl>
    <w:lvl w:ilvl="1">
      <w:lvlJc w:val="left"/>
      <w:lvlText w:val="(%2)"/>
      <w:numFmt w:val="lowerLetter"/>
      <w:start w:val="1"/>
    </w:lvl>
  </w:abstractNum>
  <w:abstractNum w:abstractNumId="50">
    <w:nsid w:val="61574095"/>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51">
    <w:nsid w:val="7E0C57B1"/>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52">
    <w:nsid w:val="77AE35EB"/>
    <w:multiLevelType w:val="hybridMultilevel"/>
    <w:lvl w:ilvl="0">
      <w:lvlJc w:val="left"/>
      <w:lvlText w:val="%1."/>
      <w:numFmt w:val="decimal"/>
      <w:start w:val="1"/>
    </w:lvl>
    <w:lvl w:ilvl="1">
      <w:lvlJc w:val="left"/>
      <w:lvlText w:val="(%2)"/>
      <w:numFmt w:val="lowerLetter"/>
      <w:start w:val="1"/>
    </w:lvl>
  </w:abstractNum>
  <w:abstractNum w:abstractNumId="53">
    <w:nsid w:val="579BE4F1"/>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54">
    <w:nsid w:val="310C50B3"/>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55">
    <w:nsid w:val="5FF87E05"/>
    <w:multiLevelType w:val="hybridMultilevel"/>
    <w:lvl w:ilvl="0">
      <w:lvlJc w:val="left"/>
      <w:lvlText w:val="%1."/>
      <w:numFmt w:val="decimal"/>
      <w:start w:val="1"/>
    </w:lvl>
    <w:lvl w:ilvl="1">
      <w:lvlJc w:val="left"/>
      <w:lvlText w:val="(%2)"/>
      <w:numFmt w:val="lowerLetter"/>
      <w:start w:val="1"/>
    </w:lvl>
  </w:abstractNum>
  <w:abstractNum w:abstractNumId="56">
    <w:nsid w:val="2F305DEF"/>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57">
    <w:nsid w:val="25A70BF7"/>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58">
    <w:nsid w:val="1DBABF00"/>
    <w:multiLevelType w:val="hybridMultilevel"/>
    <w:lvl w:ilvl="0">
      <w:lvlJc w:val="left"/>
      <w:lvlText w:val="%1."/>
      <w:numFmt w:val="decimal"/>
      <w:start w:val="1"/>
    </w:lvl>
    <w:lvl w:ilvl="1">
      <w:lvlJc w:val="left"/>
      <w:lvlText w:val="(%2)"/>
      <w:numFmt w:val="lowerLetter"/>
      <w:start w:val="1"/>
    </w:lvl>
  </w:abstractNum>
  <w:abstractNum w:abstractNumId="59">
    <w:nsid w:val="4AD084E9"/>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60">
    <w:nsid w:val="1F48EAA1"/>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61">
    <w:nsid w:val="1381823A"/>
    <w:multiLevelType w:val="hybridMultilevel"/>
    <w:lvl w:ilvl="0">
      <w:lvlJc w:val="left"/>
      <w:lvlText w:val="%1."/>
      <w:numFmt w:val="decimal"/>
      <w:start w:val="1"/>
    </w:lvl>
    <w:lvl w:ilvl="1">
      <w:lvlJc w:val="left"/>
      <w:lvlText w:val="(%2)"/>
      <w:numFmt w:val="lowerLetter"/>
      <w:start w:val="1"/>
    </w:lvl>
  </w:abstractNum>
  <w:abstractNum w:abstractNumId="62">
    <w:nsid w:val="5DB70AE5"/>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63">
    <w:nsid w:val="100F8FCA"/>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64">
    <w:nsid w:val="6590700B"/>
    <w:multiLevelType w:val="hybridMultilevel"/>
    <w:lvl w:ilvl="0">
      <w:lvlJc w:val="left"/>
      <w:lvlText w:val="%1."/>
      <w:numFmt w:val="decimal"/>
      <w:start w:val="1"/>
    </w:lvl>
    <w:lvl w:ilvl="1">
      <w:lvlJc w:val="left"/>
      <w:lvlText w:val="(%2)"/>
      <w:numFmt w:val="lowerLetter"/>
      <w:start w:val="1"/>
    </w:lvl>
  </w:abstractNum>
  <w:abstractNum w:abstractNumId="65">
    <w:nsid w:val="15014ACB"/>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66">
    <w:nsid w:val="5F5E7FD0"/>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67">
    <w:nsid w:val="98A3148"/>
    <w:multiLevelType w:val="hybridMultilevel"/>
    <w:lvl w:ilvl="0">
      <w:lvlJc w:val="left"/>
      <w:lvlText w:val="(%1)"/>
      <w:numFmt w:val="lowerLetter"/>
      <w:start w:val="1"/>
    </w:lvl>
  </w:abstractNum>
  <w:abstractNum w:abstractNumId="68">
    <w:nsid w:val="799D0247"/>
    <w:multiLevelType w:val="hybridMultilevel"/>
    <w:lvl w:ilvl="0">
      <w:lvlJc w:val="left"/>
      <w:lvlText w:val="(%1)"/>
      <w:numFmt w:val="lowerLetter"/>
      <w:start w:val="61"/>
    </w:lvl>
  </w:abstractNum>
  <w:abstractNum w:abstractNumId="69">
    <w:nsid w:val="6B94764"/>
    <w:multiLevelType w:val="hybridMultilevel"/>
    <w:lvl w:ilvl="0">
      <w:lvlJc w:val="left"/>
      <w:lvlText w:val="(%1)"/>
      <w:numFmt w:val="lowerLetter"/>
      <w:start w:val="2"/>
    </w:lvl>
  </w:abstractNum>
  <w:abstractNum w:abstractNumId="70">
    <w:nsid w:val="42C296BD"/>
    <w:multiLevelType w:val="hybridMultilevel"/>
    <w:lvl w:ilvl="0">
      <w:lvlJc w:val="left"/>
      <w:lvlText w:val="(%1)"/>
      <w:numFmt w:val="lowerLetter"/>
      <w:start w:val="4"/>
    </w:lvl>
  </w:abstractNum>
  <w:abstractNum w:abstractNumId="71">
    <w:nsid w:val="168E121F"/>
    <w:multiLevelType w:val="hybridMultilevel"/>
    <w:lvl w:ilvl="0">
      <w:lvlJc w:val="left"/>
      <w:lvlText w:val="(%1)"/>
      <w:numFmt w:val="lowerLetter"/>
      <w:start w:val="1"/>
    </w:lvl>
  </w:abstractNum>
  <w:abstractNum w:abstractNumId="72">
    <w:nsid w:val="1EBA5D23"/>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2020-11-06T16:02:17Z</dcterms:created>
  <dcterms:modified xsi:type="dcterms:W3CDTF">2020-11-06T16:02:17Z</dcterms:modified>
</cp:coreProperties>
</file>