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62983396.xml.htm"/>
      <w:bookmarkStart w:id="1" w:name="kswkform4_176298339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Leon Francisco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WORLD TRADE CENTER, SUITE 1500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90831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California Resources Corp</w:t>
              </w:r>
            </w:hyperlink>
            <w:r>
              <w:rPr/>
              <w:t xml:space="preserve"> [ </w:t>
            </w:r>
            <w:r>
              <w:rPr>
                <w:rFonts w:ascii="Times;serif" w:hAnsi="Times;serif"/>
                <w:color w:val="0000FF"/>
                <w:sz w:val="24"/>
                <w:shd w:fill="FFFFFF" w:val="clear"/>
              </w:rPr>
              <w:t>CRC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11/12/2025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11/12/2025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5,425</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47.708</w:t>
            </w:r>
            <w:r>
              <w:rPr>
                <w:rFonts w:ascii="Times;serif" w:hAnsi="Times;serif"/>
                <w:color w:val="008000"/>
                <w:position w:val="7"/>
                <w:sz w:val="16"/>
                <w:sz w:val="20"/>
                <w:shd w:fill="FFFFFF" w:val="clear"/>
              </w:rPr>
              <w:t>(1)</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304,834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$47.64 to $47.72, inclusive. The reporting person undertakes to provide CRC, any security holder of CRC or the staff of the Securities and Exchange Commission, upon request, with full information regarding the number of shares purchased at each separate price within the range set forth.</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Ulrik Damborg, Attorney-in-Fact for Francisco Leon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2190" TargetMode="External"/><Relationship Id="rId5" Type="http://schemas.openxmlformats.org/officeDocument/2006/relationships/hyperlink" Target="http://www.sec.gov/cgi-bin/browse-edgar?action=getcompany&amp;CIK=00016092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634</Words>
  <Characters>3445</Characters>
  <CharactersWithSpaces>4018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