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Veltmann Alejandra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12/17/2021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4"/>
          </w:tcPr>
          <w:p>
            <w:pPr>
              <w:spacing w:after="0"/>
              <w:rPr>
                <w:sz w:val="12"/>
                <w:szCs w:val="12"/>
                <w:color w:val="auto"/>
              </w:rPr>
            </w:pPr>
          </w:p>
        </w:tc>
        <w:tc>
          <w:tcPr>
            <w:tcW w:w="192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7"/>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1,912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1,912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on May 12, 2022 and, subject to certain exceptions, will be settled in shares of Common Stock on the date that is six months and one day following the Reporting Person's separation from service.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Alejandra</w:t>
      </w:r>
      <w:r>
        <w:rPr>
          <w:sz w:val="20"/>
          <w:szCs w:val="20"/>
          <w:color w:val="auto"/>
        </w:rPr>
        <w:tab/>
      </w: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Veltmann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463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2021-12-17T16:51:07Z</dcterms:created>
  <dcterms:modified xsi:type="dcterms:W3CDTF">2021-12-17T16:51:07Z</dcterms:modified>
</cp:coreProperties>
</file>