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0002028031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California Resources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001-36478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World Trade Center, Suite 1500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Long Beach</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90831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888-848-4754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IKAV Energy Inc.</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 Markets</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388 GREENWICH</w:t>
            </w:r>
          </w:p>
        </w:tc>
        <w:tc>
          <w:tcPr>
            <w:tcW w:w="12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w w:val="96"/>
              </w:rPr>
              <w:t>115906</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5548420.00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STREET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10013</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83679985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08/12/2025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8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6"/>
        </w:trPr>
        <w:tc>
          <w:tcPr>
            <w:tcW w:w="408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4"/>
        </w:trPr>
        <w:tc>
          <w:tcPr>
            <w:tcW w:w="4080" w:type="dxa"/>
            <w:vAlign w:val="bottom"/>
          </w:tcPr>
          <w:p>
            <w:pPr>
              <w:ind w:left="2520"/>
              <w:spacing w:after="0" w:line="244" w:lineRule="exact"/>
              <w:rPr>
                <w:sz w:val="20"/>
                <w:szCs w:val="20"/>
                <w:color w:val="auto"/>
              </w:rPr>
            </w:pPr>
            <w:r>
              <w:rPr>
                <w:rFonts w:ascii="Times New Roman" w:cs="Times New Roman" w:eastAsia="Times New Roman" w:hAnsi="Times New Roman"/>
                <w:sz w:val="22"/>
                <w:szCs w:val="22"/>
                <w:color w:val="auto"/>
              </w:rPr>
              <w:t>Merger with and</w:t>
            </w:r>
          </w:p>
        </w:tc>
        <w:tc>
          <w:tcPr>
            <w:tcW w:w="14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Pr>
          <w:p>
            <w:pPr>
              <w:ind w:left="20"/>
              <w:spacing w:after="0" w:line="244" w:lineRule="exact"/>
              <w:rPr>
                <w:sz w:val="20"/>
                <w:szCs w:val="20"/>
                <w:color w:val="auto"/>
              </w:rPr>
            </w:pPr>
            <w:r>
              <w:rPr>
                <w:rFonts w:ascii="Times New Roman" w:cs="Times New Roman" w:eastAsia="Times New Roman" w:hAnsi="Times New Roman"/>
                <w:sz w:val="22"/>
                <w:szCs w:val="22"/>
                <w:color w:val="auto"/>
              </w:rPr>
              <w:t>Merger</w:t>
            </w:r>
          </w:p>
        </w:tc>
      </w:tr>
      <w:tr>
        <w:trPr>
          <w:trHeight w:val="571"/>
        </w:trPr>
        <w:tc>
          <w:tcPr>
            <w:tcW w:w="408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Common Stock 07/01/2024 </w:t>
            </w:r>
            <w:r>
              <w:rPr>
                <w:rFonts w:ascii="Times New Roman" w:cs="Times New Roman" w:eastAsia="Times New Roman" w:hAnsi="Times New Roman"/>
                <w:sz w:val="43"/>
                <w:szCs w:val="43"/>
                <w:color w:val="auto"/>
                <w:vertAlign w:val="subscript"/>
              </w:rPr>
              <w:t>into Issuer</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115906</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07/01/2024</w:t>
            </w: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Consideration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6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08/12/2025</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Bobby Saadati, Chief Executive Officer &amp; /s/ Megan Ebadat, Chief Financial Officer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2025-08-12T18:06:37Z</dcterms:created>
  <dcterms:modified xsi:type="dcterms:W3CDTF">2025-08-12T18:06:37Z</dcterms:modified>
</cp:coreProperties>
</file>