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30"/>
        </w:rPr>
      </w:pPr>
      <w:r>
        <w:rPr>
          <w:rFonts w:ascii="Arial;sans-serif" w:hAnsi="Arial;sans-serif"/>
          <w:b w:val="false"/>
          <w:color w:val="000000"/>
          <w:sz w:val="30"/>
        </w:rPr>
        <w:t>UNITED STATES</w:t>
      </w:r>
    </w:p>
    <w:p>
      <w:pPr>
        <w:pStyle w:val="TextBody"/>
        <w:bidi w:val="0"/>
        <w:spacing w:lineRule="auto" w:line="288" w:before="0" w:after="0"/>
        <w:jc w:val="center"/>
        <w:rPr>
          <w:rFonts w:ascii="Arial;sans-serif" w:hAnsi="Arial;sans-serif"/>
          <w:b w:val="false"/>
          <w:color w:val="000000"/>
          <w:sz w:val="30"/>
        </w:rPr>
      </w:pPr>
      <w:r>
        <w:rPr>
          <w:rFonts w:ascii="Arial;sans-serif" w:hAnsi="Arial;sans-serif"/>
          <w:b w:val="false"/>
          <w:color w:val="000000"/>
          <w:sz w:val="30"/>
        </w:rPr>
        <w:t>SECURITIES AND EXCHANGE COMMISSION</w:t>
      </w:r>
    </w:p>
    <w:p>
      <w:pPr>
        <w:pStyle w:val="TextBody"/>
        <w:bidi w:val="0"/>
        <w:spacing w:lineRule="auto" w:line="288" w:before="0" w:after="0"/>
        <w:jc w:val="center"/>
        <w:rPr>
          <w:rFonts w:ascii="Arial;sans-serif" w:hAnsi="Arial;sans-serif"/>
          <w:b w:val="false"/>
          <w:color w:val="000000"/>
          <w:sz w:val="26"/>
        </w:rPr>
      </w:pPr>
      <w:r>
        <w:rPr>
          <w:rFonts w:ascii="Arial;sans-serif" w:hAnsi="Arial;sans-serif"/>
          <w:b w:val="false"/>
          <w:color w:val="000000"/>
          <w:sz w:val="26"/>
        </w:rPr>
        <w:t>Washington, D.C. 20549</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 xml:space="preserve">FORM 10-Q </w:t>
      </w:r>
    </w:p>
    <w:p>
      <w:pPr>
        <w:pStyle w:val="TextBody"/>
        <w:bidi w:val="0"/>
        <w:spacing w:lineRule="auto" w:line="288" w:before="0" w:after="0"/>
        <w:jc w:val="center"/>
        <w:rPr/>
      </w:pPr>
      <w:r>
        <w:rPr>
          <w:color w:val="000000"/>
        </w:rPr>
        <w:t xml:space="preserve">☑ </w:t>
      </w:r>
      <w:r>
        <w:rPr>
          <w:rFonts w:ascii="Arial;sans-serif" w:hAnsi="Arial;sans-serif"/>
          <w:b/>
          <w:color w:val="000000"/>
          <w:sz w:val="26"/>
        </w:rPr>
        <w:t>QUARTERLY REPORT PURSUANT TO SECTION 13 OR 15(d)</w:t>
      </w:r>
    </w:p>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 xml:space="preserve">For the quarterly period ended June 30, 2024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OR</w:t>
      </w:r>
    </w:p>
    <w:p>
      <w:pPr>
        <w:pStyle w:val="TextBody"/>
        <w:bidi w:val="0"/>
        <w:spacing w:lineRule="auto" w:line="288" w:before="0" w:after="0"/>
        <w:jc w:val="center"/>
        <w:rPr/>
      </w:pPr>
      <w:r>
        <w:rPr>
          <w:color w:val="000000"/>
        </w:rPr>
        <w:t xml:space="preserve">☐ </w:t>
      </w:r>
      <w:r>
        <w:rPr>
          <w:rFonts w:ascii="Arial;sans-serif" w:hAnsi="Arial;sans-serif"/>
          <w:b/>
          <w:color w:val="000000"/>
          <w:sz w:val="26"/>
        </w:rPr>
        <w:t>TRANSITION REPORT PURSUANT TO SECTION 13 OR 15(d)</w:t>
      </w:r>
    </w:p>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 the transition period from ___________ to ___________</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Commission file number 001-36478 </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California Resources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5127" w:type="dxa"/>
        <w:jc w:val="center"/>
        <w:tblInd w:w="0" w:type="dxa"/>
        <w:tblLayout w:type="fixed"/>
        <w:tblCellMar>
          <w:top w:w="28" w:type="dxa"/>
          <w:left w:w="28" w:type="dxa"/>
          <w:bottom w:w="28" w:type="dxa"/>
          <w:right w:w="28" w:type="dxa"/>
        </w:tblCellMar>
      </w:tblPr>
      <w:tblGrid>
        <w:gridCol w:w="1070"/>
        <w:gridCol w:w="939"/>
        <w:gridCol w:w="946"/>
        <w:gridCol w:w="109"/>
        <w:gridCol w:w="109"/>
        <w:gridCol w:w="109"/>
        <w:gridCol w:w="539"/>
        <w:gridCol w:w="539"/>
        <w:gridCol w:w="767"/>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46-5670947</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 xml:space="preserve">(I.R.S. Employer </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1 World Trade Center, Suite 1500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Long Beach, California 90831 </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(888) 848-4754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Securities registered pursuant to Section 12(b) of the Exchange Act:</w:t>
      </w:r>
    </w:p>
    <w:tbl>
      <w:tblPr>
        <w:tblW w:w="8098" w:type="dxa"/>
        <w:jc w:val="center"/>
        <w:tblInd w:w="0" w:type="dxa"/>
        <w:tblLayout w:type="fixed"/>
        <w:tblCellMar>
          <w:top w:w="28" w:type="dxa"/>
          <w:left w:w="28" w:type="dxa"/>
          <w:bottom w:w="28" w:type="dxa"/>
          <w:right w:w="28" w:type="dxa"/>
        </w:tblCellMar>
      </w:tblPr>
      <w:tblGrid>
        <w:gridCol w:w="672"/>
        <w:gridCol w:w="592"/>
        <w:gridCol w:w="595"/>
        <w:gridCol w:w="609"/>
        <w:gridCol w:w="609"/>
        <w:gridCol w:w="611"/>
        <w:gridCol w:w="1291"/>
        <w:gridCol w:w="1291"/>
        <w:gridCol w:w="1828"/>
      </w:tblGrid>
      <w:tr>
        <w:trPr/>
        <w:tc>
          <w:tcPr>
            <w:tcW w:w="67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Title of Each Class</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Trading Symbol(s)</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Name of Each Exchange on Which Registered</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Common Stock</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CRC</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New York Stock Exchange</w:t>
            </w:r>
          </w:p>
        </w:tc>
      </w:tr>
    </w:tbl>
    <w:p>
      <w:pPr>
        <w:pStyle w:val="TextBody"/>
        <w:bidi w:val="0"/>
        <w:spacing w:before="0" w:after="0"/>
        <w:jc w:val="center"/>
        <w:rPr/>
      </w:pPr>
      <w:r>
        <w:rPr/>
      </w:r>
    </w:p>
    <w:p>
      <w:pPr>
        <w:pStyle w:val="TextBody"/>
        <w:bidi w:val="0"/>
        <w:spacing w:lineRule="auto" w:line="288" w:before="0" w:after="120"/>
        <w:jc w:val="both"/>
        <w:rPr/>
      </w:pPr>
      <w:r>
        <w:rPr>
          <w:rFonts w:ascii="Arial;sans-serif" w:hAnsi="Arial;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Arial;sans-serif" w:hAnsi="Arial;sans-serif"/>
          <w:b w:val="false"/>
          <w:color w:val="000000"/>
          <w:sz w:val="19"/>
        </w:rPr>
        <w:t>Yes   </w:t>
      </w:r>
      <w:r>
        <w:rPr>
          <w:color w:val="000000"/>
        </w:rPr>
        <w:t xml:space="preserve">☐ </w:t>
      </w:r>
      <w:r>
        <w:rPr>
          <w:rFonts w:ascii="Arial;sans-serif" w:hAnsi="Arial;sans-serif"/>
          <w:b w:val="false"/>
          <w:color w:val="000000"/>
          <w:sz w:val="19"/>
        </w:rPr>
        <w:t>No</w:t>
      </w:r>
    </w:p>
    <w:p>
      <w:pPr>
        <w:pStyle w:val="TextBody"/>
        <w:bidi w:val="0"/>
        <w:spacing w:lineRule="auto" w:line="288" w:before="0" w:after="120"/>
        <w:jc w:val="both"/>
        <w:rPr/>
      </w:pPr>
      <w:r>
        <w:rPr>
          <w:rFonts w:ascii="Arial;sans-serif" w:hAnsi="Arial;sans-serif"/>
          <w:b w:val="false"/>
          <w:color w:val="000000"/>
          <w:sz w:val="19"/>
        </w:rPr>
        <w:t xml:space="preserve">Indicate by check mark whether the registrant has submitted electronically every Interactive Data File required to be submitted pursuant to Rule 405 of Regulation S-T </w:t>
      </w:r>
      <w:r>
        <w:rPr>
          <w:rFonts w:ascii="Arial;sans-serif" w:hAnsi="Arial;sans-serif"/>
          <w:b w:val="false"/>
          <w:color w:val="000000"/>
          <w:sz w:val="20"/>
        </w:rPr>
        <w:t xml:space="preserve">(§232.405 of this chapter) </w:t>
      </w:r>
      <w:r>
        <w:rPr>
          <w:rFonts w:ascii="Arial;sans-serif" w:hAnsi="Arial;sans-serif"/>
          <w:b w:val="false"/>
          <w:color w:val="000000"/>
          <w:sz w:val="19"/>
        </w:rPr>
        <w:t>during the preceding 12 months (or for such shorter period that the registrant was required to submit such files).    </w:t>
      </w:r>
      <w:r>
        <w:rPr>
          <w:color w:val="000000"/>
        </w:rPr>
        <w:t xml:space="preserve">☑ </w:t>
      </w:r>
      <w:r>
        <w:rPr>
          <w:rFonts w:ascii="Arial;sans-serif" w:hAnsi="Arial;sans-serif"/>
          <w:b w:val="false"/>
          <w:color w:val="000000"/>
          <w:sz w:val="19"/>
        </w:rPr>
        <w:t>Yes   </w:t>
      </w:r>
      <w:r>
        <w:rPr>
          <w:color w:val="000000"/>
        </w:rPr>
        <w:t xml:space="preserve">☐ </w:t>
      </w:r>
      <w:r>
        <w:rPr>
          <w:rFonts w:ascii="Arial;sans-serif" w:hAnsi="Arial;sans-serif"/>
          <w:b w:val="false"/>
          <w:color w:val="000000"/>
          <w:sz w:val="19"/>
        </w:rPr>
        <w:t>No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045" w:type="dxa"/>
        <w:jc w:val="center"/>
        <w:tblInd w:w="0" w:type="dxa"/>
        <w:tblLayout w:type="fixed"/>
        <w:tblCellMar>
          <w:top w:w="28" w:type="dxa"/>
          <w:left w:w="28" w:type="dxa"/>
          <w:bottom w:w="28" w:type="dxa"/>
          <w:right w:w="28" w:type="dxa"/>
        </w:tblCellMar>
      </w:tblPr>
      <w:tblGrid>
        <w:gridCol w:w="924"/>
        <w:gridCol w:w="812"/>
        <w:gridCol w:w="814"/>
        <w:gridCol w:w="109"/>
        <w:gridCol w:w="109"/>
        <w:gridCol w:w="109"/>
        <w:gridCol w:w="829"/>
        <w:gridCol w:w="829"/>
        <w:gridCol w:w="832"/>
        <w:gridCol w:w="109"/>
        <w:gridCol w:w="109"/>
        <w:gridCol w:w="109"/>
        <w:gridCol w:w="659"/>
        <w:gridCol w:w="659"/>
        <w:gridCol w:w="661"/>
        <w:gridCol w:w="109"/>
        <w:gridCol w:w="109"/>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jc w:val="left"/>
        <w:rPr/>
      </w:pPr>
      <w:r>
        <w:rPr>
          <w:rFonts w:ascii="Arial;sans-serif" w:hAnsi="Arial;sans-serif"/>
          <w:b w:val="false"/>
          <w:color w:val="000000"/>
          <w:sz w:val="19"/>
        </w:rPr>
        <w:t xml:space="preserve">Indicate by check mark whether the registrant is a shell company (as defined in Rule 12b-2 of the Exchange Act).     </w:t>
      </w:r>
      <w:r>
        <w:rPr>
          <w:color w:val="000000"/>
        </w:rPr>
        <w:t xml:space="preserve">☐ </w:t>
      </w:r>
      <w:r>
        <w:rPr>
          <w:rFonts w:ascii="Arial;sans-serif" w:hAnsi="Arial;sans-serif"/>
          <w:b w:val="false"/>
          <w:color w:val="000000"/>
          <w:sz w:val="19"/>
        </w:rPr>
        <w:t xml:space="preserve">Yes    </w:t>
      </w:r>
      <w:r>
        <w:rPr>
          <w:color w:val="000000"/>
        </w:rPr>
        <w:t xml:space="preserve">☑ </w:t>
      </w:r>
      <w:r>
        <w:rPr>
          <w:rFonts w:ascii="Arial;sans-serif" w:hAnsi="Arial;sans-serif"/>
          <w:b w:val="false"/>
          <w:color w:val="000000"/>
          <w:sz w:val="19"/>
        </w:rPr>
        <w:t>No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both"/>
        <w:rPr/>
      </w:pPr>
      <w:r>
        <w:rPr>
          <w:rFonts w:ascii="Arial;sans-serif" w:hAnsi="Arial;sans-serif"/>
          <w:b w:val="false"/>
          <w:color w:val="000000"/>
          <w:sz w:val="19"/>
        </w:rPr>
        <w:t>Indicate by check mark whether the registrant has filed all documents and reports required to be filed by Section 12, 13 or 15(d) of the Securities Exchange Act of 1934 subsequent to the distribution of securities under a plan confirmed by a court.    </w:t>
      </w:r>
      <w:r>
        <w:rPr>
          <w:color w:val="000000"/>
        </w:rPr>
        <w:t xml:space="preserve">☑ </w:t>
      </w:r>
      <w:r>
        <w:rPr>
          <w:rFonts w:ascii="Arial;sans-serif" w:hAnsi="Arial;sans-serif"/>
          <w:b w:val="false"/>
          <w:color w:val="000000"/>
          <w:sz w:val="19"/>
        </w:rPr>
        <w:t>Yes   </w:t>
      </w:r>
      <w:r>
        <w:rPr>
          <w:color w:val="000000"/>
        </w:rPr>
        <w:t xml:space="preserve">☐ </w:t>
      </w:r>
      <w:r>
        <w:rPr>
          <w:rFonts w:ascii="Arial;sans-serif" w:hAnsi="Arial;sans-serif"/>
          <w:b w:val="false"/>
          <w:color w:val="000000"/>
          <w:sz w:val="19"/>
        </w:rPr>
        <w:t>No   </w:t>
      </w:r>
    </w:p>
    <w:p>
      <w:pPr>
        <w:pStyle w:val="TextBody"/>
        <w:bidi w:val="0"/>
        <w:spacing w:before="60" w:after="283"/>
        <w:jc w:val="both"/>
        <w:rPr/>
      </w:pPr>
      <w:r>
        <w:rPr/>
      </w:r>
    </w:p>
    <w:p>
      <w:pPr>
        <w:pStyle w:val="TextBody"/>
        <w:bidi w:val="0"/>
        <w:spacing w:lineRule="auto" w:line="288" w:before="60" w:after="283"/>
        <w:jc w:val="left"/>
        <w:rPr>
          <w:rFonts w:ascii="Arial;sans-serif" w:hAnsi="Arial;sans-serif"/>
          <w:b w:val="false"/>
          <w:color w:val="000000"/>
          <w:sz w:val="19"/>
        </w:rPr>
      </w:pPr>
      <w:r>
        <w:rPr>
          <w:rFonts w:ascii="Arial;sans-serif" w:hAnsi="Arial;sans-serif"/>
          <w:b w:val="false"/>
          <w:color w:val="000000"/>
          <w:sz w:val="19"/>
        </w:rPr>
        <w:t xml:space="preserve">Indicate the number of shares outstanding for each of the issuer's classes of common stock, as of the latest practicable date. </w:t>
      </w:r>
    </w:p>
    <w:p>
      <w:pPr>
        <w:pStyle w:val="TextBody"/>
        <w:bidi w:val="0"/>
        <w:spacing w:lineRule="auto" w:line="288" w:before="60" w:after="283"/>
        <w:jc w:val="left"/>
        <w:rPr>
          <w:rFonts w:ascii="Arial;sans-serif" w:hAnsi="Arial;sans-serif"/>
          <w:b w:val="false"/>
          <w:color w:val="000000"/>
          <w:sz w:val="19"/>
        </w:rPr>
      </w:pPr>
      <w:r>
        <w:rPr>
          <w:rFonts w:ascii="Arial;sans-serif" w:hAnsi="Arial;sans-serif"/>
          <w:b w:val="false"/>
          <w:color w:val="000000"/>
          <w:sz w:val="19"/>
        </w:rPr>
        <w:t>The number of shares of common stock outstanding as of June 30, 2024 was 67,876,933.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California Resources Corporation and Subsidiaries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9042" w:type="dxa"/>
        <w:jc w:val="center"/>
        <w:tblInd w:w="0" w:type="dxa"/>
        <w:tblLayout w:type="fixed"/>
        <w:tblCellMar>
          <w:top w:w="28" w:type="dxa"/>
          <w:left w:w="28" w:type="dxa"/>
          <w:bottom w:w="28" w:type="dxa"/>
          <w:right w:w="28" w:type="dxa"/>
        </w:tblCellMar>
      </w:tblPr>
      <w:tblGrid>
        <w:gridCol w:w="298"/>
        <w:gridCol w:w="263"/>
        <w:gridCol w:w="264"/>
        <w:gridCol w:w="2613"/>
        <w:gridCol w:w="2613"/>
        <w:gridCol w:w="2619"/>
        <w:gridCol w:w="109"/>
        <w:gridCol w:w="109"/>
        <w:gridCol w:w="154"/>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7"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Page</w:t>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w:t>
            </w:r>
          </w:p>
        </w:tc>
        <w:tc>
          <w:tcPr>
            <w:tcW w:w="7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1 </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Financial Statements (unaudited)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4030c82bad140e7a5af23e5cc8e2c13_16">
              <w:r>
                <w:rPr>
                  <w:rStyle w:val="InternetLink"/>
                  <w:rFonts w:ascii="Arial;sans-serif" w:hAnsi="Arial;sans-serif"/>
                  <w:b/>
                  <w:strike w:val="false"/>
                  <w:dstrike w:val="false"/>
                  <w:color w:val="000000"/>
                  <w:sz w:val="20"/>
                  <w:u w:val="none"/>
                  <w:effect w:val="none"/>
                </w:rPr>
                <w:t>4</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Condensed Consolidated Balance Sheets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4030c82bad140e7a5af23e5cc8e2c13_19">
              <w:r>
                <w:rPr>
                  <w:rStyle w:val="InternetLink"/>
                  <w:rFonts w:ascii="Arial;sans-serif" w:hAnsi="Arial;sans-serif"/>
                  <w:b/>
                  <w:strike w:val="false"/>
                  <w:dstrike w:val="false"/>
                  <w:color w:val="000000"/>
                  <w:sz w:val="20"/>
                  <w:u w:val="none"/>
                  <w:effect w:val="none"/>
                </w:rPr>
                <w:t>4</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Operations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4030c82bad140e7a5af23e5cc8e2c13_22">
              <w:r>
                <w:rPr>
                  <w:rStyle w:val="InternetLink"/>
                  <w:rFonts w:ascii="Arial;sans-serif" w:hAnsi="Arial;sans-serif"/>
                  <w:b/>
                  <w:strike w:val="false"/>
                  <w:dstrike w:val="false"/>
                  <w:color w:val="000000"/>
                  <w:sz w:val="20"/>
                  <w:u w:val="none"/>
                  <w:effect w:val="none"/>
                </w:rPr>
                <w:t>5</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Comprehensive Income (Loss)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4030c82bad140e7a5af23e5cc8e2c13_25">
              <w:r>
                <w:rPr>
                  <w:rStyle w:val="InternetLink"/>
                  <w:rFonts w:ascii="Arial;sans-serif" w:hAnsi="Arial;sans-serif"/>
                  <w:b/>
                  <w:strike w:val="false"/>
                  <w:dstrike w:val="false"/>
                  <w:color w:val="000000"/>
                  <w:sz w:val="20"/>
                  <w:u w:val="none"/>
                  <w:effect w:val="none"/>
                </w:rPr>
                <w:t>6</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Stockholders' Equity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4030c82bad140e7a5af23e5cc8e2c13_28">
              <w:r>
                <w:rPr>
                  <w:rStyle w:val="InternetLink"/>
                  <w:rFonts w:ascii="Arial;sans-serif" w:hAnsi="Arial;sans-serif"/>
                  <w:b/>
                  <w:strike w:val="false"/>
                  <w:dstrike w:val="false"/>
                  <w:color w:val="000000"/>
                  <w:sz w:val="20"/>
                  <w:u w:val="none"/>
                  <w:effect w:val="none"/>
                </w:rPr>
                <w:t>7</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Cash Flows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4030c82bad140e7a5af23e5cc8e2c13_34">
              <w:r>
                <w:rPr>
                  <w:rStyle w:val="InternetLink"/>
                  <w:rFonts w:ascii="Arial;sans-serif" w:hAnsi="Arial;sans-serif"/>
                  <w:b/>
                  <w:strike w:val="false"/>
                  <w:dstrike w:val="false"/>
                  <w:color w:val="000000"/>
                  <w:sz w:val="20"/>
                  <w:u w:val="none"/>
                  <w:effect w:val="none"/>
                </w:rPr>
                <w:t>9</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to the Condensed Consolidated Financial Statements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4030c82bad140e7a5af23e5cc8e2c13_37">
              <w:r>
                <w:rPr>
                  <w:rStyle w:val="InternetLink"/>
                  <w:rFonts w:ascii="Arial;sans-serif" w:hAnsi="Arial;sans-serif"/>
                  <w:b/>
                  <w:strike w:val="false"/>
                  <w:dstrike w:val="false"/>
                  <w:color w:val="000000"/>
                  <w:sz w:val="20"/>
                  <w:u w:val="none"/>
                  <w:effect w:val="none"/>
                </w:rPr>
                <w:t>10</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Management’s Discussion and Analysis of Financial Condition and Results of Operations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4030c82bad140e7a5af23e5cc8e2c13_88">
              <w:r>
                <w:rPr>
                  <w:rStyle w:val="InternetLink"/>
                  <w:rFonts w:ascii="Arial;sans-serif" w:hAnsi="Arial;sans-serif"/>
                  <w:b/>
                  <w:strike w:val="false"/>
                  <w:dstrike w:val="false"/>
                  <w:color w:val="000000"/>
                  <w:sz w:val="20"/>
                  <w:u w:val="none"/>
                  <w:effect w:val="none"/>
                </w:rPr>
                <w:t>27</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General</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4030c82bad140e7a5af23e5cc8e2c13_91">
              <w:r>
                <w:rPr>
                  <w:rStyle w:val="InternetLink"/>
                  <w:rFonts w:ascii="Arial;sans-serif" w:hAnsi="Arial;sans-serif"/>
                  <w:b/>
                  <w:strike w:val="false"/>
                  <w:dstrike w:val="false"/>
                  <w:color w:val="000000"/>
                  <w:sz w:val="20"/>
                  <w:u w:val="none"/>
                  <w:effect w:val="none"/>
                </w:rPr>
                <w:t>27</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Aera Merger</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4030c82bad140e7a5af23e5cc8e2c13_94">
              <w:r>
                <w:rPr>
                  <w:rStyle w:val="InternetLink"/>
                  <w:rFonts w:ascii="Arial;sans-serif" w:hAnsi="Arial;sans-serif"/>
                  <w:b/>
                  <w:strike w:val="false"/>
                  <w:dstrike w:val="false"/>
                  <w:color w:val="000000"/>
                  <w:sz w:val="20"/>
                  <w:u w:val="none"/>
                  <w:effect w:val="none"/>
                </w:rPr>
                <w:t>27</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Recent Debt Transactions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4030c82bad140e7a5af23e5cc8e2c13_1078">
              <w:r>
                <w:rPr>
                  <w:rStyle w:val="InternetLink"/>
                  <w:rFonts w:ascii="Arial;sans-serif" w:hAnsi="Arial;sans-serif"/>
                  <w:b/>
                  <w:strike w:val="false"/>
                  <w:dstrike w:val="false"/>
                  <w:color w:val="000000"/>
                  <w:sz w:val="20"/>
                  <w:u w:val="none"/>
                  <w:effect w:val="none"/>
                </w:rPr>
                <w:t>27</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Business Environment and Industry Outlook</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4030c82bad140e7a5af23e5cc8e2c13_97">
              <w:r>
                <w:rPr>
                  <w:rStyle w:val="InternetLink"/>
                  <w:rFonts w:ascii="Arial;sans-serif" w:hAnsi="Arial;sans-serif"/>
                  <w:b/>
                  <w:strike w:val="false"/>
                  <w:dstrike w:val="false"/>
                  <w:color w:val="000000"/>
                  <w:sz w:val="20"/>
                  <w:u w:val="none"/>
                  <w:effect w:val="none"/>
                </w:rPr>
                <w:t>27</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Regulatory Updates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4030c82bad140e7a5af23e5cc8e2c13_100">
              <w:r>
                <w:rPr>
                  <w:rStyle w:val="InternetLink"/>
                  <w:rFonts w:ascii="Arial;sans-serif" w:hAnsi="Arial;sans-serif"/>
                  <w:b/>
                  <w:strike w:val="false"/>
                  <w:dstrike w:val="false"/>
                  <w:color w:val="000000"/>
                  <w:sz w:val="20"/>
                  <w:u w:val="none"/>
                  <w:effect w:val="none"/>
                </w:rPr>
                <w:t>28</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Results of Oil and Gas Operations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4030c82bad140e7a5af23e5cc8e2c13_106">
              <w:r>
                <w:rPr>
                  <w:rStyle w:val="InternetLink"/>
                  <w:rFonts w:ascii="Arial;sans-serif" w:hAnsi="Arial;sans-serif"/>
                  <w:b/>
                  <w:strike w:val="false"/>
                  <w:dstrike w:val="false"/>
                  <w:color w:val="000000"/>
                  <w:sz w:val="20"/>
                  <w:u w:val="none"/>
                  <w:effect w:val="none"/>
                </w:rPr>
                <w:t>30</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Statements of Operations Analysis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4030c82bad140e7a5af23e5cc8e2c13_118">
              <w:r>
                <w:rPr>
                  <w:rStyle w:val="InternetLink"/>
                  <w:rFonts w:ascii="Arial;sans-serif" w:hAnsi="Arial;sans-serif"/>
                  <w:b/>
                  <w:strike w:val="false"/>
                  <w:dstrike w:val="false"/>
                  <w:color w:val="000000"/>
                  <w:sz w:val="20"/>
                  <w:u w:val="none"/>
                  <w:effect w:val="none"/>
                </w:rPr>
                <w:t>34</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Liquidity and Capital Resources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4030c82bad140e7a5af23e5cc8e2c13_124">
              <w:r>
                <w:rPr>
                  <w:rStyle w:val="InternetLink"/>
                  <w:rFonts w:ascii="Arial;sans-serif" w:hAnsi="Arial;sans-serif"/>
                  <w:b/>
                  <w:strike w:val="false"/>
                  <w:dstrike w:val="false"/>
                  <w:color w:val="000000"/>
                  <w:sz w:val="20"/>
                  <w:u w:val="none"/>
                  <w:effect w:val="none"/>
                </w:rPr>
                <w:t>41</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Divestitures, Acquisitions and Assets Held for Sale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4030c82bad140e7a5af23e5cc8e2c13_127">
              <w:r>
                <w:rPr>
                  <w:rStyle w:val="InternetLink"/>
                  <w:rFonts w:ascii="Arial;sans-serif" w:hAnsi="Arial;sans-serif"/>
                  <w:b/>
                  <w:strike w:val="false"/>
                  <w:dstrike w:val="false"/>
                  <w:color w:val="000000"/>
                  <w:sz w:val="20"/>
                  <w:u w:val="none"/>
                  <w:effect w:val="none"/>
                </w:rPr>
                <w:t>45</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Lawsuits, Claims, Commitments and Contingencies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4030c82bad140e7a5af23e5cc8e2c13_130">
              <w:r>
                <w:rPr>
                  <w:rStyle w:val="InternetLink"/>
                  <w:rFonts w:ascii="Arial;sans-serif" w:hAnsi="Arial;sans-serif"/>
                  <w:b/>
                  <w:strike w:val="false"/>
                  <w:dstrike w:val="false"/>
                  <w:color w:val="000000"/>
                  <w:sz w:val="20"/>
                  <w:u w:val="none"/>
                  <w:effect w:val="none"/>
                </w:rPr>
                <w:t>45</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Critical Accounting Estimates and Significant Accounting and Disclosure Changes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4030c82bad140e7a5af23e5cc8e2c13_133">
              <w:r>
                <w:rPr>
                  <w:rStyle w:val="InternetLink"/>
                  <w:rFonts w:ascii="Arial;sans-serif" w:hAnsi="Arial;sans-serif"/>
                  <w:b/>
                  <w:strike w:val="false"/>
                  <w:dstrike w:val="false"/>
                  <w:color w:val="000000"/>
                  <w:sz w:val="20"/>
                  <w:u w:val="none"/>
                  <w:effect w:val="none"/>
                </w:rPr>
                <w:t>45</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Forward-Looking Statements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4030c82bad140e7a5af23e5cc8e2c13_136">
              <w:r>
                <w:rPr>
                  <w:rStyle w:val="InternetLink"/>
                  <w:rFonts w:ascii="Arial;sans-serif" w:hAnsi="Arial;sans-serif"/>
                  <w:b/>
                  <w:strike w:val="false"/>
                  <w:dstrike w:val="false"/>
                  <w:color w:val="000000"/>
                  <w:sz w:val="20"/>
                  <w:u w:val="none"/>
                  <w:effect w:val="none"/>
                </w:rPr>
                <w:t>46</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3</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Quantitative and Qualitative Disclosures About Market Risk</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4030c82bad140e7a5af23e5cc8e2c13_139">
              <w:r>
                <w:rPr>
                  <w:rStyle w:val="InternetLink"/>
                  <w:rFonts w:ascii="Arial;sans-serif" w:hAnsi="Arial;sans-serif"/>
                  <w:b/>
                  <w:strike w:val="false"/>
                  <w:dstrike w:val="false"/>
                  <w:color w:val="000000"/>
                  <w:sz w:val="20"/>
                  <w:u w:val="none"/>
                  <w:effect w:val="none"/>
                </w:rPr>
                <w:t>48</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4</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Controls and Procedures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4030c82bad140e7a5af23e5cc8e2c13_142">
              <w:r>
                <w:rPr>
                  <w:rStyle w:val="InternetLink"/>
                  <w:rFonts w:ascii="Arial;sans-serif" w:hAnsi="Arial;sans-serif"/>
                  <w:b/>
                  <w:strike w:val="false"/>
                  <w:dstrike w:val="false"/>
                  <w:color w:val="000000"/>
                  <w:sz w:val="20"/>
                  <w:u w:val="none"/>
                  <w:effect w:val="none"/>
                </w:rPr>
                <w:t>48</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w:t>
            </w:r>
          </w:p>
        </w:tc>
        <w:tc>
          <w:tcPr>
            <w:tcW w:w="7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1 </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Legal Proceedings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4030c82bad140e7a5af23e5cc8e2c13_148">
              <w:r>
                <w:rPr>
                  <w:rStyle w:val="InternetLink"/>
                  <w:rFonts w:ascii="Arial;sans-serif" w:hAnsi="Arial;sans-serif"/>
                  <w:b/>
                  <w:strike w:val="false"/>
                  <w:dstrike w:val="false"/>
                  <w:color w:val="000000"/>
                  <w:sz w:val="20"/>
                  <w:u w:val="none"/>
                  <w:effect w:val="none"/>
                </w:rPr>
                <w:t>49</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1A</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Risk Factors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4030c82bad140e7a5af23e5cc8e2c13_151">
              <w:r>
                <w:rPr>
                  <w:rStyle w:val="InternetLink"/>
                  <w:rFonts w:ascii="Arial;sans-serif" w:hAnsi="Arial;sans-serif"/>
                  <w:b/>
                  <w:strike w:val="false"/>
                  <w:dstrike w:val="false"/>
                  <w:color w:val="000000"/>
                  <w:sz w:val="20"/>
                  <w:u w:val="none"/>
                  <w:effect w:val="none"/>
                </w:rPr>
                <w:t>49</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Unregistered Sales of Equity Securities and Use of Proceeds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4030c82bad140e7a5af23e5cc8e2c13_154">
              <w:r>
                <w:rPr>
                  <w:rStyle w:val="InternetLink"/>
                  <w:rFonts w:ascii="Arial;sans-serif" w:hAnsi="Arial;sans-serif"/>
                  <w:b/>
                  <w:strike w:val="false"/>
                  <w:dstrike w:val="false"/>
                  <w:color w:val="000000"/>
                  <w:sz w:val="20"/>
                  <w:u w:val="none"/>
                  <w:effect w:val="none"/>
                </w:rPr>
                <w:t>49</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5</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Disclosures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4030c82bad140e7a5af23e5cc8e2c13_157">
              <w:r>
                <w:rPr>
                  <w:rStyle w:val="InternetLink"/>
                  <w:rFonts w:ascii="Arial;sans-serif" w:hAnsi="Arial;sans-serif"/>
                  <w:b/>
                  <w:strike w:val="false"/>
                  <w:dstrike w:val="false"/>
                  <w:color w:val="000000"/>
                  <w:sz w:val="20"/>
                  <w:u w:val="none"/>
                  <w:effect w:val="none"/>
                </w:rPr>
                <w:t>50</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6</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Exhibits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4030c82bad140e7a5af23e5cc8e2c13_160">
              <w:r>
                <w:rPr>
                  <w:rStyle w:val="InternetLink"/>
                  <w:rFonts w:ascii="Arial;sans-serif" w:hAnsi="Arial;sans-serif"/>
                  <w:b/>
                  <w:strike w:val="false"/>
                  <w:dstrike w:val="false"/>
                  <w:color w:val="000000"/>
                  <w:sz w:val="20"/>
                  <w:u w:val="none"/>
                  <w:effect w:val="none"/>
                </w:rPr>
                <w:t>51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GLOSSARY AND SELECTED ABBREVIATIONS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are abbreviations and definitions of certain terms used within this Form 10-Q:</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ABR</w:t>
      </w:r>
      <w:r>
        <w:rPr>
          <w:color w:val="000000"/>
        </w:rPr>
        <w:t xml:space="preserve"> </w:t>
      </w:r>
      <w:r>
        <w:rPr>
          <w:rFonts w:ascii="Arial;sans-serif" w:hAnsi="Arial;sans-serif"/>
          <w:b w:val="false"/>
          <w:color w:val="000000"/>
          <w:sz w:val="20"/>
        </w:rPr>
        <w:t>- Alternate base rate.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Aera</w:t>
      </w:r>
      <w:r>
        <w:rPr>
          <w:color w:val="000000"/>
        </w:rPr>
        <w:t xml:space="preserve"> </w:t>
      </w:r>
      <w:r>
        <w:rPr>
          <w:rFonts w:ascii="Arial;sans-serif" w:hAnsi="Arial;sans-serif"/>
          <w:b w:val="false"/>
          <w:color w:val="000000"/>
          <w:sz w:val="20"/>
        </w:rPr>
        <w:t>- Aera Energy, LLC.</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Aera Merger</w:t>
      </w:r>
      <w:r>
        <w:rPr>
          <w:color w:val="000000"/>
        </w:rPr>
        <w:t xml:space="preserve"> </w:t>
      </w:r>
      <w:r>
        <w:rPr>
          <w:rFonts w:ascii="Arial;sans-serif" w:hAnsi="Arial;sans-serif"/>
          <w:b w:val="false"/>
          <w:color w:val="000000"/>
          <w:sz w:val="20"/>
        </w:rPr>
        <w:t>- The transactions contemplated by the Merger Agreement.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ASC</w:t>
      </w:r>
      <w:r>
        <w:rPr>
          <w:color w:val="000000"/>
        </w:rPr>
        <w:t xml:space="preserve"> </w:t>
      </w:r>
      <w:r>
        <w:rPr>
          <w:rFonts w:ascii="Arial;sans-serif" w:hAnsi="Arial;sans-serif"/>
          <w:b w:val="false"/>
          <w:color w:val="000000"/>
          <w:sz w:val="20"/>
        </w:rPr>
        <w:t>- Accounting Standards Codification.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ARO</w:t>
      </w:r>
      <w:r>
        <w:rPr>
          <w:color w:val="000000"/>
        </w:rPr>
        <w:t xml:space="preserve"> </w:t>
      </w:r>
      <w:r>
        <w:rPr>
          <w:rFonts w:ascii="Arial;sans-serif" w:hAnsi="Arial;sans-serif"/>
          <w:b w:val="false"/>
          <w:color w:val="000000"/>
          <w:sz w:val="20"/>
        </w:rPr>
        <w:t xml:space="preserve">- Asset retirement obligation.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Bbl</w:t>
      </w:r>
      <w:r>
        <w:rPr>
          <w:color w:val="000000"/>
        </w:rPr>
        <w:t xml:space="preserve"> </w:t>
      </w:r>
      <w:r>
        <w:rPr>
          <w:rFonts w:ascii="Arial;sans-serif" w:hAnsi="Arial;sans-serif"/>
          <w:b w:val="false"/>
          <w:color w:val="000000"/>
          <w:sz w:val="20"/>
        </w:rPr>
        <w:t>- Barrel.</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Bbl/d</w:t>
      </w:r>
      <w:r>
        <w:rPr>
          <w:color w:val="000000"/>
        </w:rPr>
        <w:t xml:space="preserve"> </w:t>
      </w:r>
      <w:r>
        <w:rPr>
          <w:rFonts w:ascii="Arial;sans-serif" w:hAnsi="Arial;sans-serif"/>
          <w:b w:val="false"/>
          <w:color w:val="000000"/>
          <w:sz w:val="20"/>
        </w:rPr>
        <w:t>- Barrels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Bcf</w:t>
      </w:r>
      <w:r>
        <w:rPr>
          <w:color w:val="000000"/>
        </w:rPr>
        <w:t xml:space="preserve"> </w:t>
      </w:r>
      <w:r>
        <w:rPr>
          <w:rFonts w:ascii="Arial;sans-serif" w:hAnsi="Arial;sans-serif"/>
          <w:b w:val="false"/>
          <w:color w:val="000000"/>
          <w:sz w:val="20"/>
        </w:rPr>
        <w:t>- Billion cubic feet.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Bcfe</w:t>
      </w:r>
      <w:r>
        <w:rPr>
          <w:color w:val="000000"/>
        </w:rPr>
        <w:t xml:space="preserve"> </w:t>
      </w:r>
      <w:r>
        <w:rPr>
          <w:rFonts w:ascii="Arial;sans-serif" w:hAnsi="Arial;sans-serif"/>
          <w:b w:val="false"/>
          <w:color w:val="000000"/>
          <w:sz w:val="20"/>
        </w:rPr>
        <w:t>- Billion cubic feet of natural gas equivalent using the ratio of one barrel of oil, condensate, or NGLs converted to six thousand cubic feet of natural gas.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Boe</w:t>
      </w:r>
      <w:r>
        <w:rPr>
          <w:color w:val="000000"/>
        </w:rPr>
        <w:t xml:space="preserve"> </w:t>
      </w:r>
      <w:r>
        <w:rPr>
          <w:rFonts w:ascii="Arial;sans-serif" w:hAnsi="Arial;sans-serif"/>
          <w:b w:val="false"/>
          <w:color w:val="000000"/>
          <w:sz w:val="20"/>
        </w:rPr>
        <w:t xml:space="preserve">- We convert natural gas volumes to crude oil equivalents using a ratio of six thousand cubic feet (Mcf) to one barrel of crude oil equivalent based on energy content. This is a widely used conversion method in the oil and natural gas industry.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Boe/d</w:t>
      </w:r>
      <w:r>
        <w:rPr>
          <w:color w:val="000000"/>
        </w:rPr>
        <w:t xml:space="preserve"> </w:t>
      </w:r>
      <w:r>
        <w:rPr>
          <w:rFonts w:ascii="Arial;sans-serif" w:hAnsi="Arial;sans-serif"/>
          <w:b w:val="false"/>
          <w:color w:val="000000"/>
          <w:sz w:val="20"/>
        </w:rPr>
        <w:t>- Barrel of oil equivalent per day.</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i/>
          <w:color w:val="000000"/>
          <w:sz w:val="20"/>
        </w:rPr>
        <w:t>Brookfield</w:t>
      </w:r>
      <w:r>
        <w:rPr>
          <w:color w:val="000000"/>
        </w:rPr>
        <w:t xml:space="preserve"> </w:t>
      </w:r>
      <w:r>
        <w:rPr>
          <w:rFonts w:ascii="Arial;sans-serif" w:hAnsi="Arial;sans-serif"/>
          <w:b w:val="false"/>
          <w:color w:val="000000"/>
          <w:sz w:val="20"/>
        </w:rPr>
        <w:t xml:space="preserve">- </w:t>
      </w:r>
      <w:r>
        <w:rPr>
          <w:rFonts w:ascii="Arial;sans-serif" w:hAnsi="Arial;sans-serif"/>
          <w:b w:val="false"/>
          <w:color w:val="000000"/>
          <w:sz w:val="20"/>
          <w:shd w:fill="FFFFFF" w:val="clear"/>
        </w:rPr>
        <w:t>BGTF Sierra Aggregator LLC.</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Btu</w:t>
      </w:r>
      <w:r>
        <w:rPr>
          <w:color w:val="000000"/>
        </w:rPr>
        <w:t xml:space="preserve"> </w:t>
      </w:r>
      <w:r>
        <w:rPr>
          <w:rFonts w:ascii="Arial;sans-serif" w:hAnsi="Arial;sans-serif"/>
          <w:b w:val="false"/>
          <w:color w:val="000000"/>
          <w:sz w:val="20"/>
        </w:rPr>
        <w:t>- British thermal unit.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CalGEM</w:t>
      </w:r>
      <w:r>
        <w:rPr>
          <w:color w:val="000000"/>
        </w:rPr>
        <w:t xml:space="preserve"> </w:t>
      </w:r>
      <w:r>
        <w:rPr>
          <w:rFonts w:ascii="Arial;sans-serif" w:hAnsi="Arial;sans-serif"/>
          <w:b w:val="false"/>
          <w:color w:val="000000"/>
          <w:sz w:val="20"/>
        </w:rPr>
        <w:t>- California Geologic Energy Management Division.</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i/>
          <w:color w:val="000000"/>
          <w:sz w:val="20"/>
        </w:rPr>
        <w:t>Carbon TerraVault JV</w:t>
      </w:r>
      <w:r>
        <w:rPr>
          <w:color w:val="000000"/>
        </w:rPr>
        <w:t xml:space="preserve"> </w:t>
      </w:r>
      <w:r>
        <w:rPr>
          <w:rFonts w:ascii="Arial;sans-serif" w:hAnsi="Arial;sans-serif"/>
          <w:b w:val="false"/>
          <w:color w:val="000000"/>
          <w:sz w:val="20"/>
        </w:rPr>
        <w:t>- A</w:t>
      </w:r>
      <w:r>
        <w:rPr>
          <w:color w:val="000000"/>
          <w:shd w:fill="FFFFFF" w:val="clear"/>
        </w:rPr>
        <w:t xml:space="preserve"> </w:t>
      </w:r>
      <w:r>
        <w:rPr>
          <w:rFonts w:ascii="Arial;sans-serif" w:hAnsi="Arial;sans-serif"/>
          <w:b w:val="false"/>
          <w:color w:val="000000"/>
          <w:sz w:val="20"/>
          <w:shd w:fill="FFFFFF" w:val="clear"/>
        </w:rPr>
        <w:t xml:space="preserve">joint venture between our wholly-owned subsidiary Carbon TerraVault I, LLC with Brookfield for the further development of a carbon management business in California.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CCS</w:t>
      </w:r>
      <w:r>
        <w:rPr>
          <w:color w:val="000000"/>
        </w:rPr>
        <w:t xml:space="preserve"> </w:t>
      </w:r>
      <w:r>
        <w:rPr>
          <w:rFonts w:ascii="Arial;sans-serif" w:hAnsi="Arial;sans-serif"/>
          <w:b w:val="false"/>
          <w:color w:val="000000"/>
          <w:sz w:val="20"/>
        </w:rPr>
        <w:t>- Carbon capture and storage.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CDMA</w:t>
      </w:r>
      <w:r>
        <w:rPr>
          <w:color w:val="000000"/>
        </w:rPr>
        <w:t xml:space="preserve"> </w:t>
      </w:r>
      <w:r>
        <w:rPr>
          <w:rFonts w:ascii="Arial;sans-serif" w:hAnsi="Arial;sans-serif"/>
          <w:b w:val="false"/>
          <w:color w:val="000000"/>
          <w:sz w:val="20"/>
        </w:rPr>
        <w:t>- Carbon Dioxide Management Agreement.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CEQA</w:t>
      </w:r>
      <w:r>
        <w:rPr>
          <w:color w:val="000000"/>
        </w:rPr>
        <w:t xml:space="preserve"> </w:t>
      </w:r>
      <w:r>
        <w:rPr>
          <w:rFonts w:ascii="Arial;sans-serif" w:hAnsi="Arial;sans-serif"/>
          <w:b w:val="false"/>
          <w:color w:val="000000"/>
          <w:sz w:val="20"/>
        </w:rPr>
        <w:t>- California Environmental Quality Act.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CO</w:t>
      </w:r>
      <w:r>
        <w:rPr>
          <w:rFonts w:ascii="Arial;sans-serif" w:hAnsi="Arial;sans-serif"/>
          <w:b/>
          <w:i/>
          <w:color w:val="000000"/>
          <w:sz w:val="13"/>
        </w:rPr>
        <w:t>2</w:t>
      </w:r>
      <w:r>
        <w:rPr>
          <w:color w:val="000000"/>
        </w:rPr>
        <w:t xml:space="preserve"> </w:t>
      </w:r>
      <w:r>
        <w:rPr>
          <w:rFonts w:ascii="Arial;sans-serif" w:hAnsi="Arial;sans-serif"/>
          <w:b w:val="false"/>
          <w:color w:val="000000"/>
          <w:sz w:val="20"/>
        </w:rPr>
        <w:t>- Carbon dioxide.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DAC</w:t>
      </w:r>
      <w:r>
        <w:rPr>
          <w:color w:val="000000"/>
        </w:rPr>
        <w:t xml:space="preserve"> </w:t>
      </w:r>
      <w:r>
        <w:rPr>
          <w:rFonts w:ascii="Arial;sans-serif" w:hAnsi="Arial;sans-serif"/>
          <w:b w:val="false"/>
          <w:color w:val="000000"/>
          <w:sz w:val="20"/>
        </w:rPr>
        <w:t>- Direct air capture.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DD&amp;A</w:t>
      </w:r>
      <w:r>
        <w:rPr>
          <w:color w:val="000000"/>
        </w:rPr>
        <w:t xml:space="preserve"> </w:t>
      </w:r>
      <w:r>
        <w:rPr>
          <w:rFonts w:ascii="Arial;sans-serif" w:hAnsi="Arial;sans-serif"/>
          <w:b w:val="false"/>
          <w:color w:val="000000"/>
          <w:sz w:val="20"/>
        </w:rPr>
        <w:t>- Depletion, depreciation, and amortization.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EOR</w:t>
      </w:r>
      <w:r>
        <w:rPr>
          <w:color w:val="000000"/>
        </w:rPr>
        <w:t xml:space="preserve"> </w:t>
      </w:r>
      <w:r>
        <w:rPr>
          <w:rFonts w:ascii="Arial;sans-serif" w:hAnsi="Arial;sans-serif"/>
          <w:b w:val="false"/>
          <w:color w:val="000000"/>
          <w:sz w:val="20"/>
        </w:rPr>
        <w:t>- Enhanced oil recovery.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EPA</w:t>
      </w:r>
      <w:r>
        <w:rPr>
          <w:color w:val="000000"/>
        </w:rPr>
        <w:t xml:space="preserve"> </w:t>
      </w:r>
      <w:r>
        <w:rPr>
          <w:rFonts w:ascii="Arial;sans-serif" w:hAnsi="Arial;sans-serif"/>
          <w:b w:val="false"/>
          <w:color w:val="000000"/>
          <w:sz w:val="20"/>
        </w:rPr>
        <w:t xml:space="preserve">- United States Environmental Protection Agency.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ESG</w:t>
      </w:r>
      <w:r>
        <w:rPr>
          <w:color w:val="000000"/>
        </w:rPr>
        <w:t xml:space="preserve"> </w:t>
      </w:r>
      <w:r>
        <w:rPr>
          <w:rFonts w:ascii="Arial;sans-serif" w:hAnsi="Arial;sans-serif"/>
          <w:b w:val="false"/>
          <w:color w:val="000000"/>
          <w:sz w:val="20"/>
        </w:rPr>
        <w:t xml:space="preserve">- Environmental, social and governance.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E&amp;P</w:t>
      </w:r>
      <w:r>
        <w:rPr>
          <w:color w:val="000000"/>
        </w:rPr>
        <w:t xml:space="preserve"> </w:t>
      </w:r>
      <w:r>
        <w:rPr>
          <w:rFonts w:ascii="Arial;sans-serif" w:hAnsi="Arial;sans-serif"/>
          <w:b w:val="false"/>
          <w:color w:val="000000"/>
          <w:sz w:val="20"/>
        </w:rPr>
        <w:t>- Exploration and production.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GAAP</w:t>
      </w:r>
      <w:r>
        <w:rPr>
          <w:color w:val="000000"/>
        </w:rPr>
        <w:t xml:space="preserve"> </w:t>
      </w:r>
      <w:r>
        <w:rPr>
          <w:rFonts w:ascii="Arial;sans-serif" w:hAnsi="Arial;sans-serif"/>
          <w:b w:val="false"/>
          <w:color w:val="000000"/>
          <w:sz w:val="20"/>
        </w:rPr>
        <w:t>- United States Generally Accepted Accounting Principles.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G&amp;A</w:t>
      </w:r>
      <w:r>
        <w:rPr>
          <w:color w:val="000000"/>
        </w:rPr>
        <w:t xml:space="preserve"> </w:t>
      </w:r>
      <w:r>
        <w:rPr>
          <w:rFonts w:ascii="Arial;sans-serif" w:hAnsi="Arial;sans-serif"/>
          <w:b w:val="false"/>
          <w:color w:val="000000"/>
          <w:sz w:val="20"/>
        </w:rPr>
        <w:t>- General and administrative expenses.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GHG</w:t>
      </w:r>
      <w:r>
        <w:rPr>
          <w:color w:val="000000"/>
        </w:rPr>
        <w:t xml:space="preserve"> </w:t>
      </w:r>
      <w:r>
        <w:rPr>
          <w:rFonts w:ascii="Arial;sans-serif" w:hAnsi="Arial;sans-serif"/>
          <w:b w:val="false"/>
          <w:color w:val="000000"/>
          <w:sz w:val="20"/>
        </w:rPr>
        <w:t>- Greenhouse gases.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JV</w:t>
      </w:r>
      <w:r>
        <w:rPr>
          <w:color w:val="000000"/>
        </w:rPr>
        <w:t xml:space="preserve"> </w:t>
      </w:r>
      <w:r>
        <w:rPr>
          <w:rFonts w:ascii="Arial;sans-serif" w:hAnsi="Arial;sans-serif"/>
          <w:b w:val="false"/>
          <w:color w:val="000000"/>
          <w:sz w:val="20"/>
        </w:rPr>
        <w:t>- Joint venture.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LCFS</w:t>
      </w:r>
      <w:r>
        <w:rPr>
          <w:color w:val="000000"/>
        </w:rPr>
        <w:t xml:space="preserve"> </w:t>
      </w:r>
      <w:r>
        <w:rPr>
          <w:rFonts w:ascii="Arial;sans-serif" w:hAnsi="Arial;sans-serif"/>
          <w:b w:val="false"/>
          <w:color w:val="000000"/>
          <w:sz w:val="20"/>
        </w:rPr>
        <w:t xml:space="preserve">- Low Carbon Fuel Standard.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MBbl</w:t>
      </w:r>
      <w:r>
        <w:rPr>
          <w:color w:val="000000"/>
        </w:rPr>
        <w:t xml:space="preserve"> </w:t>
      </w:r>
      <w:r>
        <w:rPr>
          <w:rFonts w:ascii="Arial;sans-serif" w:hAnsi="Arial;sans-serif"/>
          <w:b w:val="false"/>
          <w:color w:val="000000"/>
          <w:sz w:val="20"/>
        </w:rPr>
        <w:t>- One thousand barrels of crude oil, condensate or NGLs.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MBbl/d</w:t>
      </w:r>
      <w:r>
        <w:rPr>
          <w:color w:val="000000"/>
        </w:rPr>
        <w:t xml:space="preserve"> </w:t>
      </w:r>
      <w:r>
        <w:rPr>
          <w:rFonts w:ascii="Arial;sans-serif" w:hAnsi="Arial;sans-serif"/>
          <w:b w:val="false"/>
          <w:color w:val="000000"/>
          <w:sz w:val="20"/>
        </w:rPr>
        <w:t>- One thousand barrels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MBoe/d</w:t>
      </w:r>
      <w:r>
        <w:rPr>
          <w:color w:val="000000"/>
        </w:rPr>
        <w:t xml:space="preserve"> </w:t>
      </w:r>
      <w:r>
        <w:rPr>
          <w:rFonts w:ascii="Arial;sans-serif" w:hAnsi="Arial;sans-serif"/>
          <w:b w:val="false"/>
          <w:color w:val="000000"/>
          <w:sz w:val="20"/>
        </w:rPr>
        <w:t>- One thousand barrels of oil equivalent per day.</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MBw/d</w:t>
      </w:r>
      <w:r>
        <w:rPr>
          <w:color w:val="000000"/>
        </w:rPr>
        <w:t xml:space="preserve"> </w:t>
      </w:r>
      <w:r>
        <w:rPr>
          <w:rFonts w:ascii="Arial;sans-serif" w:hAnsi="Arial;sans-serif"/>
          <w:b w:val="false"/>
          <w:color w:val="000000"/>
          <w:sz w:val="20"/>
        </w:rPr>
        <w:t>- One thousand barrels of water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Mcf</w:t>
      </w:r>
      <w:r>
        <w:rPr>
          <w:color w:val="000000"/>
        </w:rPr>
        <w:t xml:space="preserve"> </w:t>
      </w:r>
      <w:r>
        <w:rPr>
          <w:rFonts w:ascii="Arial;sans-serif" w:hAnsi="Arial;sans-serif"/>
          <w:b w:val="false"/>
          <w:color w:val="000000"/>
          <w:sz w:val="20"/>
        </w:rPr>
        <w:t>- One thousand cubic feet of natural gas equivalent, with liquids converted to an equivalent volume of natural gas using the ratio of one barrel of oil to six thousand cubic feet of natural gas.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Merger Agreement</w:t>
      </w:r>
      <w:r>
        <w:rPr>
          <w:color w:val="000000"/>
        </w:rPr>
        <w:t xml:space="preserve"> </w:t>
      </w:r>
      <w:r>
        <w:rPr>
          <w:rFonts w:ascii="Arial;sans-serif" w:hAnsi="Arial;sans-serif"/>
          <w:b w:val="false"/>
          <w:color w:val="000000"/>
          <w:sz w:val="20"/>
        </w:rPr>
        <w:t>- Definitive agreement and plan of merger related to the transactions to obtain all of the ownership interests in Aera.</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MHp</w:t>
      </w:r>
      <w:r>
        <w:rPr>
          <w:color w:val="000000"/>
        </w:rPr>
        <w:t xml:space="preserve"> </w:t>
      </w:r>
      <w:r>
        <w:rPr>
          <w:rFonts w:ascii="Arial;sans-serif" w:hAnsi="Arial;sans-serif"/>
          <w:b w:val="false"/>
          <w:color w:val="000000"/>
          <w:sz w:val="20"/>
        </w:rPr>
        <w:t>- One thousand horsepower.</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MMBbl</w:t>
      </w:r>
      <w:r>
        <w:rPr>
          <w:color w:val="000000"/>
        </w:rPr>
        <w:t xml:space="preserve"> </w:t>
      </w:r>
      <w:r>
        <w:rPr>
          <w:rFonts w:ascii="Arial;sans-serif" w:hAnsi="Arial;sans-serif"/>
          <w:b w:val="false"/>
          <w:color w:val="000000"/>
          <w:sz w:val="20"/>
        </w:rPr>
        <w:t>- One million barrels of crude oil, condensate or NGLs.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MMBoe</w:t>
      </w:r>
      <w:r>
        <w:rPr>
          <w:color w:val="000000"/>
        </w:rPr>
        <w:t xml:space="preserve"> </w:t>
      </w:r>
      <w:r>
        <w:rPr>
          <w:rFonts w:ascii="Arial;sans-serif" w:hAnsi="Arial;sans-serif"/>
          <w:b w:val="false"/>
          <w:color w:val="000000"/>
          <w:sz w:val="20"/>
        </w:rPr>
        <w:t>- One million barrels of oil equivalent.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MMBtu</w:t>
      </w:r>
      <w:r>
        <w:rPr>
          <w:color w:val="000000"/>
        </w:rPr>
        <w:t xml:space="preserve"> </w:t>
      </w:r>
      <w:r>
        <w:rPr>
          <w:rFonts w:ascii="Arial;sans-serif" w:hAnsi="Arial;sans-serif"/>
          <w:b w:val="false"/>
          <w:color w:val="000000"/>
          <w:sz w:val="20"/>
        </w:rPr>
        <w:t>- One million British thermal units.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MMcf/d</w:t>
      </w:r>
      <w:r>
        <w:rPr>
          <w:color w:val="000000"/>
        </w:rPr>
        <w:t xml:space="preserve"> </w:t>
      </w:r>
      <w:r>
        <w:rPr>
          <w:rFonts w:ascii="Arial;sans-serif" w:hAnsi="Arial;sans-serif"/>
          <w:b w:val="false"/>
          <w:color w:val="000000"/>
          <w:sz w:val="20"/>
        </w:rPr>
        <w:t>- One million cubic feet of natural gas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MMT</w:t>
      </w:r>
      <w:r>
        <w:rPr>
          <w:color w:val="000000"/>
        </w:rPr>
        <w:t xml:space="preserve"> </w:t>
      </w:r>
      <w:r>
        <w:rPr>
          <w:rFonts w:ascii="Arial;sans-serif" w:hAnsi="Arial;sans-serif"/>
          <w:b w:val="false"/>
          <w:color w:val="000000"/>
          <w:sz w:val="20"/>
        </w:rPr>
        <w:t>- Million metric tons.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MMTPA</w:t>
      </w:r>
      <w:r>
        <w:rPr>
          <w:color w:val="000000"/>
        </w:rPr>
        <w:t xml:space="preserve"> </w:t>
      </w:r>
      <w:r>
        <w:rPr>
          <w:rFonts w:ascii="Arial;sans-serif" w:hAnsi="Arial;sans-serif"/>
          <w:b w:val="false"/>
          <w:color w:val="000000"/>
          <w:sz w:val="20"/>
        </w:rPr>
        <w:t xml:space="preserve">- Million metric tons per annum.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MW</w:t>
      </w:r>
      <w:r>
        <w:rPr>
          <w:color w:val="000000"/>
        </w:rPr>
        <w:t xml:space="preserve"> </w:t>
      </w:r>
      <w:r>
        <w:rPr>
          <w:rFonts w:ascii="Arial;sans-serif" w:hAnsi="Arial;sans-serif"/>
          <w:b w:val="false"/>
          <w:color w:val="000000"/>
          <w:sz w:val="20"/>
        </w:rPr>
        <w:t>- Megawatts of power.</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NGLs</w:t>
      </w:r>
      <w:r>
        <w:rPr>
          <w:color w:val="000000"/>
        </w:rPr>
        <w:t xml:space="preserve"> </w:t>
      </w:r>
      <w:r>
        <w:rPr>
          <w:rFonts w:ascii="Arial;sans-serif" w:hAnsi="Arial;sans-serif"/>
          <w:b w:val="false"/>
          <w:color w:val="000000"/>
          <w:sz w:val="20"/>
        </w:rPr>
        <w:t>- Natural gas liquids. Hydrocarbons found in natural gas that may be extracted as purity products such as ethane, propane, isobutane and normal butane, and natural gasoline.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NYMEX</w:t>
      </w:r>
      <w:r>
        <w:rPr>
          <w:color w:val="000000"/>
        </w:rPr>
        <w:t xml:space="preserve"> </w:t>
      </w:r>
      <w:r>
        <w:rPr>
          <w:rFonts w:ascii="Arial;sans-serif" w:hAnsi="Arial;sans-serif"/>
          <w:b w:val="false"/>
          <w:color w:val="000000"/>
          <w:sz w:val="20"/>
        </w:rPr>
        <w:t>- The New York Mercantile Exchange.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OCTG</w:t>
      </w:r>
      <w:r>
        <w:rPr>
          <w:color w:val="000000"/>
        </w:rPr>
        <w:t xml:space="preserve"> </w:t>
      </w:r>
      <w:r>
        <w:rPr>
          <w:rFonts w:ascii="Arial;sans-serif" w:hAnsi="Arial;sans-serif"/>
          <w:b w:val="false"/>
          <w:color w:val="000000"/>
          <w:sz w:val="20"/>
        </w:rPr>
        <w:t>- Oil country tubular goods.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Oil spill prevention rate</w:t>
      </w:r>
      <w:r>
        <w:rPr>
          <w:color w:val="000000"/>
        </w:rPr>
        <w:t xml:space="preserve"> </w:t>
      </w:r>
      <w:r>
        <w:rPr>
          <w:rFonts w:ascii="Arial;sans-serif" w:hAnsi="Arial;sans-serif"/>
          <w:b w:val="false"/>
          <w:color w:val="000000"/>
          <w:sz w:val="20"/>
        </w:rPr>
        <w:t xml:space="preserve">- Calculated as total Boe less net barrels lost divided by total Boe.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OPEC</w:t>
      </w:r>
      <w:r>
        <w:rPr>
          <w:color w:val="000000"/>
        </w:rPr>
        <w:t xml:space="preserve"> </w:t>
      </w:r>
      <w:r>
        <w:rPr>
          <w:rFonts w:ascii="Arial;sans-serif" w:hAnsi="Arial;sans-serif"/>
          <w:b w:val="false"/>
          <w:color w:val="000000"/>
          <w:sz w:val="20"/>
        </w:rPr>
        <w:t>- Organization of the Petroleum Exporting Countries.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 xml:space="preserve">OPEC+ </w:t>
      </w:r>
      <w:r>
        <w:rPr>
          <w:rFonts w:ascii="Arial;sans-serif" w:hAnsi="Arial;sans-serif"/>
          <w:b w:val="false"/>
          <w:color w:val="000000"/>
          <w:sz w:val="20"/>
        </w:rPr>
        <w:t>- OPEC together with Russia and certain other producing countries.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PHMSA</w:t>
      </w:r>
      <w:r>
        <w:rPr>
          <w:color w:val="000000"/>
        </w:rPr>
        <w:t xml:space="preserve"> </w:t>
      </w:r>
      <w:r>
        <w:rPr>
          <w:rFonts w:ascii="Arial;sans-serif" w:hAnsi="Arial;sans-serif"/>
          <w:b w:val="false"/>
          <w:color w:val="000000"/>
          <w:sz w:val="20"/>
        </w:rPr>
        <w:t>- Pipeline and Hazardous Materials Safety Administration.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Proved developed reserves</w:t>
      </w:r>
      <w:r>
        <w:rPr>
          <w:color w:val="000000"/>
        </w:rPr>
        <w:t xml:space="preserve"> </w:t>
      </w:r>
      <w:r>
        <w:rPr>
          <w:rFonts w:ascii="Arial;sans-serif" w:hAnsi="Arial;sans-serif"/>
          <w:b w:val="false"/>
          <w:color w:val="000000"/>
          <w:sz w:val="20"/>
        </w:rPr>
        <w:t>- Reserves that can be expected to be recovered through existing wells with existing equipment and operating methods.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Proved reserves</w:t>
      </w:r>
      <w:r>
        <w:rPr>
          <w:color w:val="000000"/>
        </w:rPr>
        <w:t xml:space="preserve"> </w:t>
      </w:r>
      <w:r>
        <w:rPr>
          <w:rFonts w:ascii="Arial;sans-serif" w:hAnsi="Arial;sans-serif"/>
          <w:b w:val="false"/>
          <w:color w:val="000000"/>
          <w:sz w:val="20"/>
        </w:rPr>
        <w:t>- The estimated quantities of natural gas, NGLs, and oil that geological and engineering data demonstrate with reasonable certainty to be commercially recoverable in future years from known reservoirs under existing economic conditions, operating methods and government regulations.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Proved undeveloped reserves</w:t>
      </w:r>
      <w:r>
        <w:rPr>
          <w:color w:val="000000"/>
        </w:rPr>
        <w:t xml:space="preserve"> </w:t>
      </w:r>
      <w:r>
        <w:rPr>
          <w:rFonts w:ascii="Arial;sans-serif" w:hAnsi="Arial;sans-serif"/>
          <w:b w:val="false"/>
          <w:color w:val="000000"/>
          <w:sz w:val="20"/>
        </w:rPr>
        <w:t>- Proved reserves that are expected to be recovered from new wells on undrilled acreage that are reasonably certain of production when drilled or from existing wells where a relatively major expenditure is required for recompletion.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PSCs</w:t>
      </w:r>
      <w:r>
        <w:rPr>
          <w:color w:val="000000"/>
        </w:rPr>
        <w:t xml:space="preserve"> </w:t>
      </w:r>
      <w:r>
        <w:rPr>
          <w:rFonts w:ascii="Arial;sans-serif" w:hAnsi="Arial;sans-serif"/>
          <w:b w:val="false"/>
          <w:color w:val="000000"/>
          <w:sz w:val="20"/>
        </w:rPr>
        <w:t>- Contractual arrangements similar to production-sharing contracts.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PV-10</w:t>
      </w:r>
      <w:r>
        <w:rPr>
          <w:color w:val="000000"/>
        </w:rPr>
        <w:t xml:space="preserve"> </w:t>
      </w:r>
      <w:r>
        <w:rPr>
          <w:rFonts w:ascii="Arial;sans-serif" w:hAnsi="Arial;sans-serif"/>
          <w:b w:val="false"/>
          <w:color w:val="000000"/>
          <w:sz w:val="20"/>
        </w:rPr>
        <w:t xml:space="preserve">- Non-GAAP financial measure and represents the year-end present value of estimated future cash flows from proved oil and natural gas reserves, less future development and operating costs, discounted at 10% per annum and using SEC Prices. PV-10 facilitates the comparisons to other companies as it is not dependent on the tax-paying status of the entity.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Scope 1 emissions</w:t>
      </w:r>
      <w:r>
        <w:rPr>
          <w:color w:val="000000"/>
        </w:rPr>
        <w:t xml:space="preserve"> </w:t>
      </w:r>
      <w:r>
        <w:rPr>
          <w:rFonts w:ascii="Arial;sans-serif" w:hAnsi="Arial;sans-serif"/>
          <w:b w:val="false"/>
          <w:color w:val="000000"/>
          <w:sz w:val="20"/>
        </w:rPr>
        <w:t>- Our direct emissions.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Scope 2 emissions</w:t>
      </w:r>
      <w:r>
        <w:rPr>
          <w:color w:val="000000"/>
        </w:rPr>
        <w:t xml:space="preserve"> </w:t>
      </w:r>
      <w:r>
        <w:rPr>
          <w:rFonts w:ascii="Arial;sans-serif" w:hAnsi="Arial;sans-serif"/>
          <w:b w:val="false"/>
          <w:color w:val="000000"/>
          <w:sz w:val="20"/>
        </w:rPr>
        <w:t>- Indirect emissions from energy that we use (</w:t>
      </w:r>
      <w:r>
        <w:rPr>
          <w:rFonts w:ascii="Arial;sans-serif" w:hAnsi="Arial;sans-serif"/>
          <w:b w:val="false"/>
          <w:i/>
          <w:color w:val="000000"/>
          <w:sz w:val="20"/>
        </w:rPr>
        <w:t>e.g.</w:t>
      </w:r>
      <w:r>
        <w:rPr>
          <w:rFonts w:ascii="Arial;sans-serif" w:hAnsi="Arial;sans-serif"/>
          <w:b w:val="false"/>
          <w:color w:val="000000"/>
          <w:sz w:val="20"/>
        </w:rPr>
        <w:t xml:space="preserve">, electricity, heat, steam, cooling) that is produced by others.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Scope 3 emissions</w:t>
      </w:r>
      <w:r>
        <w:rPr>
          <w:color w:val="000000"/>
        </w:rPr>
        <w:t xml:space="preserve"> </w:t>
      </w:r>
      <w:r>
        <w:rPr>
          <w:rFonts w:ascii="Arial;sans-serif" w:hAnsi="Arial;sans-serif"/>
          <w:b w:val="false"/>
          <w:color w:val="000000"/>
          <w:sz w:val="20"/>
        </w:rPr>
        <w:t>- Indirect emissions from upstream and downstream processing and use of our products.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SDWA</w:t>
      </w:r>
      <w:r>
        <w:rPr>
          <w:color w:val="000000"/>
        </w:rPr>
        <w:t xml:space="preserve"> </w:t>
      </w:r>
      <w:r>
        <w:rPr>
          <w:rFonts w:ascii="Arial;sans-serif" w:hAnsi="Arial;sans-serif"/>
          <w:b w:val="false"/>
          <w:color w:val="000000"/>
          <w:sz w:val="20"/>
        </w:rPr>
        <w:t>- Safe Drinking Water Act.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SEC</w:t>
      </w:r>
      <w:r>
        <w:rPr>
          <w:color w:val="000000"/>
        </w:rPr>
        <w:t xml:space="preserve"> </w:t>
      </w:r>
      <w:r>
        <w:rPr>
          <w:rFonts w:ascii="Arial;sans-serif" w:hAnsi="Arial;sans-serif"/>
          <w:b w:val="false"/>
          <w:color w:val="000000"/>
          <w:sz w:val="20"/>
        </w:rPr>
        <w:t xml:space="preserve">- United States Securities and Exchange Commission.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SEC Prices</w:t>
      </w:r>
      <w:r>
        <w:rPr>
          <w:color w:val="000000"/>
        </w:rPr>
        <w:t xml:space="preserve"> </w:t>
      </w:r>
      <w:r>
        <w:rPr>
          <w:rFonts w:ascii="Arial;sans-serif" w:hAnsi="Arial;sans-serif"/>
          <w:b w:val="false"/>
          <w:color w:val="000000"/>
          <w:sz w:val="20"/>
        </w:rPr>
        <w:t xml:space="preserve">- The unweighted arithmetic average of the first day-of-the-month price for each month within the year used to determine estimated volumes and cash flows for our proved reserves.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SOFR</w:t>
      </w:r>
      <w:r>
        <w:rPr>
          <w:color w:val="000000"/>
        </w:rPr>
        <w:t xml:space="preserve"> </w:t>
      </w:r>
      <w:r>
        <w:rPr>
          <w:rFonts w:ascii="Arial;sans-serif" w:hAnsi="Arial;sans-serif"/>
          <w:b w:val="false"/>
          <w:color w:val="000000"/>
          <w:sz w:val="20"/>
        </w:rPr>
        <w:t xml:space="preserve">- Secured overnight financing rate as administered by the Federal Reserve Bank of New York.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Standardized measure</w:t>
      </w:r>
      <w:r>
        <w:rPr>
          <w:color w:val="000000"/>
        </w:rPr>
        <w:t xml:space="preserve"> </w:t>
      </w:r>
      <w:r>
        <w:rPr>
          <w:rFonts w:ascii="Arial;sans-serif" w:hAnsi="Arial;sans-serif"/>
          <w:b w:val="false"/>
          <w:color w:val="000000"/>
          <w:sz w:val="20"/>
        </w:rPr>
        <w:t>- The year-end present value of after-tax estimated future cash flows from proved oil and natural gas reserves, less future development and operating costs, discounted at 10% per annum and using SEC Prices. Standardized measure is prescribed by the SEC as an industry standard asset value measure to compare reserves with consistent pricing, costs and discount assumptions.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TRIR</w:t>
      </w:r>
      <w:r>
        <w:rPr>
          <w:color w:val="000000"/>
        </w:rPr>
        <w:t xml:space="preserve"> </w:t>
      </w:r>
      <w:r>
        <w:rPr>
          <w:rFonts w:ascii="Arial;sans-serif" w:hAnsi="Arial;sans-serif"/>
          <w:b w:val="false"/>
          <w:color w:val="000000"/>
          <w:sz w:val="20"/>
        </w:rPr>
        <w:t xml:space="preserve">- Total Recordable Incident Rate calculated as recordable incidents per 200,000 hours for all workers (employees and contractors).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Working interest</w:t>
      </w:r>
      <w:r>
        <w:rPr>
          <w:color w:val="000000"/>
        </w:rPr>
        <w:t xml:space="preserve"> </w:t>
      </w:r>
      <w:r>
        <w:rPr>
          <w:rFonts w:ascii="Arial;sans-serif" w:hAnsi="Arial;sans-serif"/>
          <w:b w:val="false"/>
          <w:color w:val="000000"/>
          <w:sz w:val="20"/>
        </w:rPr>
        <w:t xml:space="preserve">- The right granted to a lessee of a property to explore for and to produce and own oil, natural gas or other minerals in-place. A working interest owner bears the cost of development and operations of the property.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WTI</w:t>
      </w:r>
      <w:r>
        <w:rPr>
          <w:color w:val="000000"/>
        </w:rPr>
        <w:t xml:space="preserve"> </w:t>
      </w:r>
      <w:r>
        <w:rPr>
          <w:rFonts w:ascii="Arial;sans-serif" w:hAnsi="Arial;sans-serif"/>
          <w:b w:val="false"/>
          <w:color w:val="000000"/>
          <w:sz w:val="20"/>
        </w:rPr>
        <w:t>- West Texas Intermediate.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FINANCIAL INFORMATION</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1Financial Statements (unaudited)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Balance Sheets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of June 30, 2024 and December 31, 2023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 except share data)</w:t>
      </w:r>
    </w:p>
    <w:p>
      <w:pPr>
        <w:pStyle w:val="TextBody"/>
        <w:bidi w:val="0"/>
        <w:spacing w:before="0" w:after="0"/>
        <w:jc w:val="center"/>
        <w:rPr/>
      </w:pPr>
      <w:r>
        <w:rPr/>
      </w:r>
    </w:p>
    <w:tbl>
      <w:tblPr>
        <w:tblW w:w="7487" w:type="dxa"/>
        <w:jc w:val="center"/>
        <w:tblInd w:w="0" w:type="dxa"/>
        <w:tblLayout w:type="fixed"/>
        <w:tblCellMar>
          <w:top w:w="28" w:type="dxa"/>
          <w:left w:w="28" w:type="dxa"/>
          <w:bottom w:w="28" w:type="dxa"/>
          <w:right w:w="28" w:type="dxa"/>
        </w:tblCellMar>
      </w:tblPr>
      <w:tblGrid>
        <w:gridCol w:w="1734"/>
        <w:gridCol w:w="1521"/>
        <w:gridCol w:w="1530"/>
        <w:gridCol w:w="211"/>
        <w:gridCol w:w="646"/>
        <w:gridCol w:w="109"/>
        <w:gridCol w:w="109"/>
        <w:gridCol w:w="109"/>
        <w:gridCol w:w="109"/>
        <w:gridCol w:w="293"/>
        <w:gridCol w:w="900"/>
        <w:gridCol w:w="216"/>
      </w:tblGrid>
      <w:tr>
        <w:trPr/>
        <w:tc>
          <w:tcPr>
            <w:tcW w:w="173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receivables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held for sale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 from affiliate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450"/>
              <w:jc w:val="left"/>
              <w:rPr>
                <w:rFonts w:ascii="Arial;sans-serif" w:hAnsi="Arial;sans-serif"/>
                <w:b/>
                <w:color w:val="000000"/>
                <w:sz w:val="20"/>
              </w:rPr>
            </w:pPr>
            <w:r>
              <w:rPr>
                <w:rFonts w:ascii="Arial;sans-serif" w:hAnsi="Arial;sans-serif"/>
                <w:b/>
                <w:color w:val="000000"/>
                <w:sz w:val="20"/>
              </w:rPr>
              <w:t>PROPERTY, PLANT AND EQUIPMENT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Accumulated depreciation, depletion and amortization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plant and equipment, net</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2,770 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INVESTMENT IN UNCONSOLIDATED SUBSIDIARY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DEFERRED INCOME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NONCURRENT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3,998 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068"/>
        <w:gridCol w:w="2408"/>
        <w:gridCol w:w="2424"/>
        <w:gridCol w:w="211"/>
        <w:gridCol w:w="646"/>
        <w:gridCol w:w="109"/>
        <w:gridCol w:w="109"/>
        <w:gridCol w:w="109"/>
        <w:gridCol w:w="109"/>
        <w:gridCol w:w="211"/>
        <w:gridCol w:w="646"/>
        <w:gridCol w:w="155"/>
      </w:tblGrid>
      <w:tr>
        <w:trPr/>
        <w:tc>
          <w:tcPr>
            <w:tcW w:w="3068"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 associated with assets held for sale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LIABILITIES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Preferred stock (20,000,000 shares authorized at $0.01 par value) no shares outstanding at June 30, 2024 and December 31, 2023</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Common stock (200,000,000 shares authorized at $0.01 par value) (84,510,451 and 83,557,800 shares issued; 67,876,933 and 68,693,885 shares outstanding at June 30, 2024 and December 31, 2023)</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(16,633,518 shares held at cost at June 30, 2024 and 14,863,915 shares held at cost at December 31, 2023)</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2050"/>
                <wp:effectExtent l="0" t="0" r="0" b="0"/>
                <wp:wrapNone/>
                <wp:docPr id="6" name="Frame6"/>
                <a:graphic xmlns:a="http://schemas.openxmlformats.org/drawingml/2006/main">
                  <a:graphicData uri="http://schemas.microsoft.com/office/word/2010/wordprocessingShape">
                    <wps:wsp>
                      <wps:cNvSpPr txBox="1"/>
                      <wps:spPr>
                        <a:xfrm>
                          <a:off x="0" y="0"/>
                          <a:ext cx="6480175" cy="116205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Operations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three and six months ended June 30, 2024 and 2023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(dollars in millions, except share and per share data; shares in millions)</w:t>
      </w:r>
    </w:p>
    <w:tbl>
      <w:tblPr>
        <w:tblW w:w="8969" w:type="dxa"/>
        <w:jc w:val="center"/>
        <w:tblInd w:w="0" w:type="dxa"/>
        <w:tblLayout w:type="fixed"/>
        <w:tblCellMar>
          <w:top w:w="28" w:type="dxa"/>
          <w:left w:w="28" w:type="dxa"/>
          <w:bottom w:w="28" w:type="dxa"/>
          <w:right w:w="28" w:type="dxa"/>
        </w:tblCellMar>
      </w:tblPr>
      <w:tblGrid>
        <w:gridCol w:w="1609"/>
        <w:gridCol w:w="1411"/>
        <w:gridCol w:w="1419"/>
        <w:gridCol w:w="211"/>
        <w:gridCol w:w="511"/>
        <w:gridCol w:w="109"/>
        <w:gridCol w:w="109"/>
        <w:gridCol w:w="109"/>
        <w:gridCol w:w="109"/>
        <w:gridCol w:w="211"/>
        <w:gridCol w:w="511"/>
        <w:gridCol w:w="109"/>
        <w:gridCol w:w="109"/>
        <w:gridCol w:w="109"/>
        <w:gridCol w:w="109"/>
        <w:gridCol w:w="211"/>
        <w:gridCol w:w="586"/>
        <w:gridCol w:w="109"/>
        <w:gridCol w:w="109"/>
        <w:gridCol w:w="109"/>
        <w:gridCol w:w="109"/>
        <w:gridCol w:w="211"/>
        <w:gridCol w:w="616"/>
        <w:gridCol w:w="154"/>
      </w:tblGrid>
      <w:tr>
        <w:trPr/>
        <w:tc>
          <w:tcPr>
            <w:tcW w:w="16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Oil, natural gas and NGL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gain (loss) from commodity derivatives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Revenue from marketing of purchased commodities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Electricity sales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Interest and other revenue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revenues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EXPENSES</w:t>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costs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depletion and amortization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impairment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other than on income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Exploration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Costs related to marketing of purchased commodities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Electricity generation expenses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Transportation costs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Accretion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Carbon management business expenses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expenses,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Gain on asset divestitures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OPERATING INCOME</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NON-OPERATING (EXPENSES) INCOME</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debt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investment in unconsolidated subsidiary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non-operating (loss) income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INCOME (LOSS) BEFORE INCOME TAXES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tax (provision) benefit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Net income (loss) per share</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Basic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Weighted-average common shares outstanding</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40740"/>
                <wp:effectExtent l="0" t="0" r="0" b="0"/>
                <wp:wrapNone/>
                <wp:docPr id="7" name="Frame7"/>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Income (Loss)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three and six months ended June 30, 2024 and 2023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260"/>
        <w:gridCol w:w="1974"/>
        <w:gridCol w:w="1908"/>
        <w:gridCol w:w="250"/>
        <w:gridCol w:w="322"/>
        <w:gridCol w:w="128"/>
        <w:gridCol w:w="128"/>
        <w:gridCol w:w="128"/>
        <w:gridCol w:w="128"/>
        <w:gridCol w:w="250"/>
        <w:gridCol w:w="446"/>
        <w:gridCol w:w="128"/>
        <w:gridCol w:w="109"/>
        <w:gridCol w:w="109"/>
        <w:gridCol w:w="109"/>
        <w:gridCol w:w="212"/>
        <w:gridCol w:w="317"/>
        <w:gridCol w:w="109"/>
        <w:gridCol w:w="109"/>
        <w:gridCol w:w="109"/>
        <w:gridCol w:w="109"/>
        <w:gridCol w:w="212"/>
        <w:gridCol w:w="484"/>
        <w:gridCol w:w="167"/>
      </w:tblGrid>
      <w:tr>
        <w:trPr/>
        <w:tc>
          <w:tcPr>
            <w:tcW w:w="2260"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61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61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income (loss)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Other comprehensive income (loss): </w:t>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Amortization of prior service cost credit included in net periodic benefit cost, net of tax</w:t>
            </w:r>
            <w:r>
              <w:rPr>
                <w:rFonts w:ascii="Arial;sans-serif" w:hAnsi="Arial;sans-serif"/>
                <w:b w:val="false"/>
                <w:color w:val="000000"/>
                <w:sz w:val="13"/>
              </w:rPr>
              <w:t>(a)</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Comprehensive income (loss)</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(a) Tax effects of the amortization of the prior service cost credit was insignificant for the three and six months ended June 30,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40740"/>
                <wp:effectExtent l="0" t="0" r="0" b="0"/>
                <wp:wrapNone/>
                <wp:docPr id="8" name="Frame8"/>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Stockholders' Equity </w:t>
      </w:r>
    </w:p>
    <w:p>
      <w:pPr>
        <w:pStyle w:val="TextBody"/>
        <w:bidi w:val="0"/>
        <w:spacing w:lineRule="auto" w:line="288" w:before="0" w:after="0"/>
        <w:jc w:val="center"/>
        <w:rPr/>
      </w:pPr>
      <w:r>
        <w:rPr>
          <w:rFonts w:ascii="Arial;sans-serif" w:hAnsi="Arial;sans-serif"/>
          <w:b/>
          <w:color w:val="000000"/>
          <w:sz w:val="20"/>
        </w:rPr>
        <w:t>For the three and six</w:t>
      </w:r>
      <w:r>
        <w:rPr>
          <w:color w:val="000000"/>
        </w:rPr>
        <w:t xml:space="preserve"> </w:t>
      </w:r>
      <w:r>
        <w:rPr>
          <w:rFonts w:ascii="Arial;sans-serif" w:hAnsi="Arial;sans-serif"/>
          <w:b/>
          <w:color w:val="000000"/>
          <w:sz w:val="20"/>
        </w:rPr>
        <w:t>months ended June 30, 2024 and 2023</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09"/>
        <w:gridCol w:w="407"/>
        <w:gridCol w:w="410"/>
        <w:gridCol w:w="352"/>
        <w:gridCol w:w="434"/>
        <w:gridCol w:w="197"/>
        <w:gridCol w:w="109"/>
        <w:gridCol w:w="109"/>
        <w:gridCol w:w="109"/>
        <w:gridCol w:w="230"/>
        <w:gridCol w:w="580"/>
        <w:gridCol w:w="128"/>
        <w:gridCol w:w="109"/>
        <w:gridCol w:w="109"/>
        <w:gridCol w:w="109"/>
        <w:gridCol w:w="289"/>
        <w:gridCol w:w="825"/>
        <w:gridCol w:w="163"/>
        <w:gridCol w:w="109"/>
        <w:gridCol w:w="109"/>
        <w:gridCol w:w="109"/>
        <w:gridCol w:w="242"/>
        <w:gridCol w:w="686"/>
        <w:gridCol w:w="134"/>
        <w:gridCol w:w="109"/>
        <w:gridCol w:w="109"/>
        <w:gridCol w:w="109"/>
        <w:gridCol w:w="442"/>
        <w:gridCol w:w="748"/>
        <w:gridCol w:w="246"/>
        <w:gridCol w:w="109"/>
        <w:gridCol w:w="109"/>
        <w:gridCol w:w="109"/>
        <w:gridCol w:w="109"/>
        <w:gridCol w:w="109"/>
        <w:gridCol w:w="109"/>
        <w:gridCol w:w="109"/>
        <w:gridCol w:w="196"/>
        <w:gridCol w:w="556"/>
        <w:gridCol w:w="160"/>
      </w:tblGrid>
      <w:tr>
        <w:trPr/>
        <w:tc>
          <w:tcPr>
            <w:tcW w:w="7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0"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2024</w:t>
            </w:r>
          </w:p>
        </w:tc>
        <w:tc>
          <w:tcPr>
            <w:tcW w:w="1239" w:type="dxa"/>
            <w:gridSpan w:val="6"/>
            <w:tcBorders/>
          </w:tcPr>
          <w:p>
            <w:pPr>
              <w:pStyle w:val="TableContents"/>
              <w:bidi w:val="0"/>
              <w:spacing w:before="0" w:after="283"/>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Equity</w:t>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March 31, 2024</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 ($0.31 per share)</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cancelled for taxes</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June 30, 2024</w:t>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1,302 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1,374 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2,052 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24"/>
        <w:gridCol w:w="417"/>
        <w:gridCol w:w="420"/>
        <w:gridCol w:w="350"/>
        <w:gridCol w:w="431"/>
        <w:gridCol w:w="196"/>
        <w:gridCol w:w="109"/>
        <w:gridCol w:w="109"/>
        <w:gridCol w:w="109"/>
        <w:gridCol w:w="229"/>
        <w:gridCol w:w="576"/>
        <w:gridCol w:w="127"/>
        <w:gridCol w:w="109"/>
        <w:gridCol w:w="109"/>
        <w:gridCol w:w="109"/>
        <w:gridCol w:w="286"/>
        <w:gridCol w:w="816"/>
        <w:gridCol w:w="161"/>
        <w:gridCol w:w="109"/>
        <w:gridCol w:w="109"/>
        <w:gridCol w:w="109"/>
        <w:gridCol w:w="240"/>
        <w:gridCol w:w="681"/>
        <w:gridCol w:w="133"/>
        <w:gridCol w:w="109"/>
        <w:gridCol w:w="109"/>
        <w:gridCol w:w="109"/>
        <w:gridCol w:w="441"/>
        <w:gridCol w:w="746"/>
        <w:gridCol w:w="246"/>
        <w:gridCol w:w="109"/>
        <w:gridCol w:w="109"/>
        <w:gridCol w:w="109"/>
        <w:gridCol w:w="109"/>
        <w:gridCol w:w="109"/>
        <w:gridCol w:w="109"/>
        <w:gridCol w:w="109"/>
        <w:gridCol w:w="196"/>
        <w:gridCol w:w="556"/>
        <w:gridCol w:w="162"/>
      </w:tblGrid>
      <w:tr>
        <w:trPr/>
        <w:tc>
          <w:tcPr>
            <w:tcW w:w="72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5"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2023</w:t>
            </w:r>
          </w:p>
        </w:tc>
        <w:tc>
          <w:tcPr>
            <w:tcW w:w="1459" w:type="dxa"/>
            <w:gridSpan w:val="8"/>
            <w:tcBorders/>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w:t>
              <w:br/>
              <w:t>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Equity</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March 31, 2023</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 ($0.2825 per share)</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cancelled for taxes</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June 30, 2023</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1,295 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2,110 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40740"/>
                <wp:effectExtent l="0" t="0" r="0" b="0"/>
                <wp:wrapNone/>
                <wp:docPr id="9" name="Frame9"/>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20"/>
        <w:gridCol w:w="414"/>
        <w:gridCol w:w="417"/>
        <w:gridCol w:w="341"/>
        <w:gridCol w:w="420"/>
        <w:gridCol w:w="191"/>
        <w:gridCol w:w="109"/>
        <w:gridCol w:w="109"/>
        <w:gridCol w:w="109"/>
        <w:gridCol w:w="222"/>
        <w:gridCol w:w="560"/>
        <w:gridCol w:w="123"/>
        <w:gridCol w:w="109"/>
        <w:gridCol w:w="109"/>
        <w:gridCol w:w="109"/>
        <w:gridCol w:w="272"/>
        <w:gridCol w:w="776"/>
        <w:gridCol w:w="153"/>
        <w:gridCol w:w="109"/>
        <w:gridCol w:w="109"/>
        <w:gridCol w:w="109"/>
        <w:gridCol w:w="231"/>
        <w:gridCol w:w="658"/>
        <w:gridCol w:w="128"/>
        <w:gridCol w:w="109"/>
        <w:gridCol w:w="109"/>
        <w:gridCol w:w="109"/>
        <w:gridCol w:w="459"/>
        <w:gridCol w:w="777"/>
        <w:gridCol w:w="256"/>
        <w:gridCol w:w="109"/>
        <w:gridCol w:w="109"/>
        <w:gridCol w:w="109"/>
        <w:gridCol w:w="109"/>
        <w:gridCol w:w="109"/>
        <w:gridCol w:w="109"/>
        <w:gridCol w:w="109"/>
        <w:gridCol w:w="196"/>
        <w:gridCol w:w="556"/>
        <w:gridCol w:w="164"/>
      </w:tblGrid>
      <w:tr>
        <w:trPr/>
        <w:tc>
          <w:tcPr>
            <w:tcW w:w="82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3"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2024</w:t>
            </w:r>
          </w:p>
        </w:tc>
        <w:tc>
          <w:tcPr>
            <w:tcW w:w="1461" w:type="dxa"/>
            <w:gridSpan w:val="8"/>
            <w:tcBorders/>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Equity</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December 31, 2023</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 ($0.31 per share)</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cancelled for taxes</w:t>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comprehensive income, net of tax</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June 30, 2024</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1,302 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1,374 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18"/>
        <w:gridCol w:w="406"/>
        <w:gridCol w:w="409"/>
        <w:gridCol w:w="347"/>
        <w:gridCol w:w="427"/>
        <w:gridCol w:w="194"/>
        <w:gridCol w:w="109"/>
        <w:gridCol w:w="109"/>
        <w:gridCol w:w="109"/>
        <w:gridCol w:w="226"/>
        <w:gridCol w:w="571"/>
        <w:gridCol w:w="126"/>
        <w:gridCol w:w="109"/>
        <w:gridCol w:w="109"/>
        <w:gridCol w:w="109"/>
        <w:gridCol w:w="281"/>
        <w:gridCol w:w="802"/>
        <w:gridCol w:w="158"/>
        <w:gridCol w:w="109"/>
        <w:gridCol w:w="109"/>
        <w:gridCol w:w="109"/>
        <w:gridCol w:w="237"/>
        <w:gridCol w:w="673"/>
        <w:gridCol w:w="131"/>
        <w:gridCol w:w="109"/>
        <w:gridCol w:w="109"/>
        <w:gridCol w:w="109"/>
        <w:gridCol w:w="466"/>
        <w:gridCol w:w="788"/>
        <w:gridCol w:w="260"/>
        <w:gridCol w:w="109"/>
        <w:gridCol w:w="109"/>
        <w:gridCol w:w="109"/>
        <w:gridCol w:w="109"/>
        <w:gridCol w:w="109"/>
        <w:gridCol w:w="109"/>
        <w:gridCol w:w="109"/>
        <w:gridCol w:w="196"/>
        <w:gridCol w:w="556"/>
        <w:gridCol w:w="162"/>
      </w:tblGrid>
      <w:tr>
        <w:trPr/>
        <w:tc>
          <w:tcPr>
            <w:tcW w:w="71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1"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2023</w:t>
            </w:r>
          </w:p>
        </w:tc>
        <w:tc>
          <w:tcPr>
            <w:tcW w:w="1241" w:type="dxa"/>
            <w:gridSpan w:val="6"/>
            <w:tcBorders/>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Equity</w:t>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December 31, 2022</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 ($0.2825 per share)</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Shares cancelled for taxes</w:t>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June 30, 2023</w:t>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1,317 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2,110 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4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40740"/>
                <wp:effectExtent l="0" t="0" r="0" b="0"/>
                <wp:wrapNone/>
                <wp:docPr id="10" name="Frame10"/>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Cash Flows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three and six months ended June 30, 2024 and 2023 </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2065"/>
        <w:gridCol w:w="1785"/>
        <w:gridCol w:w="1794"/>
        <w:gridCol w:w="211"/>
        <w:gridCol w:w="646"/>
        <w:gridCol w:w="109"/>
        <w:gridCol w:w="109"/>
        <w:gridCol w:w="109"/>
        <w:gridCol w:w="109"/>
        <w:gridCol w:w="211"/>
        <w:gridCol w:w="481"/>
        <w:gridCol w:w="109"/>
        <w:gridCol w:w="109"/>
        <w:gridCol w:w="109"/>
        <w:gridCol w:w="109"/>
        <w:gridCol w:w="211"/>
        <w:gridCol w:w="646"/>
        <w:gridCol w:w="109"/>
        <w:gridCol w:w="109"/>
        <w:gridCol w:w="109"/>
        <w:gridCol w:w="109"/>
        <w:gridCol w:w="211"/>
        <w:gridCol w:w="481"/>
        <w:gridCol w:w="155"/>
      </w:tblGrid>
      <w:tr>
        <w:trPr/>
        <w:tc>
          <w:tcPr>
            <w:tcW w:w="2065"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5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5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 FROM OPERATING ACTIVITIES</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Adjustments to reconcile net income (loss) to net cash provided by operating activities: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depletion and amortization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income tax provision (benefit)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Asset impairments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(gain) loss from commodity derivatives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payments on settled commodity derivatives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64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Gain on asset divestitures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64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64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non-cash charges to income,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 FROM INVESTING ACTIVITIES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investments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accrued capital investments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asset divestitures,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64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investing activities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 FROM FINANCING ACTIVITIES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Revolving Credit Facility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from 2029 Senior Notes,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dividends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Payments on equity-settled awards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64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64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64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Bridge loan commitments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Debt amendment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cancelled for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cash provided by (used in) financing activities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Increase (decrease) in cash and cash equivalents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equivalents—beginning of period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40740"/>
                <wp:effectExtent l="0" t="0" r="0" b="0"/>
                <wp:wrapNone/>
                <wp:docPr id="11" name="Frame11"/>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the Condensed Consolidated Financial Statements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June 30, 2024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NOTE 1    BASIS OF PRESENTATION </w:t>
      </w:r>
    </w:p>
    <w:p>
      <w:pPr>
        <w:pStyle w:val="TextBody"/>
        <w:bidi w:val="0"/>
        <w:spacing w:before="0" w:after="0"/>
        <w:ind w:left="0" w:right="0" w:hanging="108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are an independent energy and carbon management company committed to energy transition. We are committed to environmental stewardship while safely providing local, responsibly sourced energy. We are also focused on maximizing the value of our land, mineral ownership, and energy expertise for decarbonization by developing carbon capture and storage (CCS) and other emissions-reducing projects.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Except when the context otherwise requires or where otherwise indicated, all references to ‘‘CRC,’’ the ‘‘Company,’’ ‘‘we,’’ ‘‘us’’ and ‘‘our’’ refer to California Resources Corporation and its subsidiaries as of the date presented. On July 1, 2024, we closed on transactions contemplated by the definitive agreement and plan of merger (Merger Agreement) to obtain all of the ownership interests in Aera Energy, LLC (Aera) with an effective date of January 1, 2024 (Aera Merger). As such, the accompanying unaudited financial statements do not contain the results of Aera for the periods indicated.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In the opinion of our management, the accompanying unaudited financial statements contain all adjustments necessary to fairly present our financial position, results of operations, comprehensive income, equity and cash flows for all periods presented. We have eliminated all significant intercompany transactions and accounts. We account for our share of oil and natural gas producing activities, in which we have a direct working interest, by reporting our proportionate share of assets, liabilities, revenues, costs and cash flows within the relevant lines on our condensed consolidated financial statements. In applying the equity method of accounting, our investment in an unconsolidated subsidiary (</w:t>
      </w:r>
      <w:r>
        <w:rPr>
          <w:rFonts w:ascii="Arial;sans-serif" w:hAnsi="Arial;sans-serif"/>
          <w:b w:val="false"/>
          <w:color w:val="000000"/>
          <w:sz w:val="20"/>
          <w:shd w:fill="FFFFFF" w:val="clear"/>
        </w:rPr>
        <w:t xml:space="preserve">Carbon TerraVault JV HoldCo, LLC) </w:t>
      </w:r>
      <w:r>
        <w:rPr>
          <w:rFonts w:ascii="Arial;sans-serif" w:hAnsi="Arial;sans-serif"/>
          <w:b w:val="false"/>
          <w:color w:val="000000"/>
          <w:sz w:val="20"/>
        </w:rPr>
        <w:t xml:space="preserve">was initially recognized at cost and then is adjusted for our proportionate share of income or loss in addition to contributions and distributions.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have prepared this report in accordance with generally accepted accounting principles (GAAP) in the United States and the rules and regulations of the U.S. Securities and Exchange Commission applicable to interim financial information which permit the omission of certain disclosures to the extent they have not changed materially since the latest annual financial statements. We believe our disclosures are adequate to make the information presented not misleading.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preparation of financial statements in conformity with GAAP requires management to select appropriate accounting policies and make informed estimates and judgments regarding certain types of financial statement balances and disclosures. Actual results could differ. Management believes that these estimates and judgments provide a reasonable basis for the fair presentation of our condensed consolidated financial statements. These condensed consolidated financial statements should be read in conjunction with the consolidated financial statements and notes thereto in our Annual Report on Form 10-K for the year ended December 31, 2023 (2023 Annual Report).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The carrying amounts of cash, cash equivalents and on-balance sheet financial instruments, other than debt, approximate fair value. Refer to </w:t>
      </w:r>
      <w:r>
        <w:rPr>
          <w:rFonts w:ascii="Arial;sans-serif" w:hAnsi="Arial;sans-serif"/>
          <w:b w:val="false"/>
          <w:i/>
          <w:color w:val="000000"/>
          <w:sz w:val="20"/>
        </w:rPr>
        <w:t>Note 3 Debt</w:t>
      </w:r>
      <w:r>
        <w:rPr>
          <w:color w:val="000000"/>
        </w:rPr>
        <w:t xml:space="preserve"> </w:t>
      </w:r>
      <w:r>
        <w:rPr>
          <w:rFonts w:ascii="Arial;sans-serif" w:hAnsi="Arial;sans-serif"/>
          <w:b w:val="false"/>
          <w:color w:val="000000"/>
          <w:sz w:val="20"/>
        </w:rPr>
        <w:t xml:space="preserve">for the fair value of our debt.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Certain prior period balances related to natural gas liquid (NGL) marketing activities have been reclassified to conform to our 2024 presentation. For the six months ended June 30, 2023, we reclassified $3 million related to NGL storage activities from other revenue to revenue from marketing of purchased commodities on our condensed consolidated statement of operations.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2    INVESTMENT IN UNCONSOLIDATED SUBSIDIARY AND RELATED PARTY TRANSACTIONS</w:t>
      </w:r>
    </w:p>
    <w:p>
      <w:pPr>
        <w:pStyle w:val="TextBody"/>
        <w:bidi w:val="0"/>
        <w:spacing w:before="0" w:after="0"/>
        <w:jc w:val="both"/>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In August 2022, our wholly-owned subsidiary Carbon TerraVault I, LLC entered into a joint venture with BGTF Sierra Aggregator LLC (Brookfield) for the further development of a carbon management business in California (Carbon TerraVault JV). We hold a </w:t>
      </w:r>
      <w:r>
        <w:rPr>
          <w:rFonts w:ascii="Arial;sans-serif" w:hAnsi="Arial;sans-serif"/>
          <w:b w:val="false"/>
          <w:color w:val="000000"/>
          <w:sz w:val="20"/>
        </w:rPr>
        <w:t>51%</w:t>
      </w:r>
      <w:r>
        <w:rPr>
          <w:color w:val="000000"/>
          <w:shd w:fill="FFFFFF" w:val="clear"/>
        </w:rPr>
        <w:t xml:space="preserve"> </w:t>
      </w:r>
      <w:r>
        <w:rPr>
          <w:rFonts w:ascii="Arial;sans-serif" w:hAnsi="Arial;sans-serif"/>
          <w:b w:val="false"/>
          <w:color w:val="000000"/>
          <w:sz w:val="20"/>
          <w:shd w:fill="FFFFFF" w:val="clear"/>
        </w:rPr>
        <w:t xml:space="preserve">interest in the Carbon TerraVault JV and Brookfield holds a </w:t>
      </w:r>
      <w:r>
        <w:rPr>
          <w:rFonts w:ascii="Arial;sans-serif" w:hAnsi="Arial;sans-serif"/>
          <w:b w:val="false"/>
          <w:color w:val="000000"/>
          <w:sz w:val="20"/>
        </w:rPr>
        <w:t>49%</w:t>
      </w:r>
      <w:r>
        <w:rPr>
          <w:color w:val="000000"/>
          <w:shd w:fill="FFFFFF" w:val="clear"/>
        </w:rPr>
        <w:t xml:space="preserve"> </w:t>
      </w:r>
      <w:r>
        <w:rPr>
          <w:rFonts w:ascii="Arial;sans-serif" w:hAnsi="Arial;sans-serif"/>
          <w:b w:val="false"/>
          <w:color w:val="000000"/>
          <w:sz w:val="20"/>
          <w:shd w:fill="FFFFFF" w:val="clear"/>
        </w:rPr>
        <w:t>interest. We determined that the Carbon TerraVault JV is a variable interest entity (VIE); however, we share decision-making power with Brookfield on all matters that most significantly impact the economic performance of the joint venture. Therefore, we account for our investment in the Carbon TerraVault JV under the equity method of accounting. Transactions between us and the Carbon TerraVault JV are related party transactions.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Brookfield has committed an initial </w:t>
      </w:r>
      <w:r>
        <w:rPr>
          <w:rFonts w:ascii="Arial;sans-serif" w:hAnsi="Arial;sans-serif"/>
          <w:b w:val="false"/>
          <w:color w:val="000000"/>
          <w:sz w:val="20"/>
        </w:rPr>
        <w:t>$500 million</w:t>
      </w:r>
      <w:r>
        <w:rPr>
          <w:color w:val="000000"/>
          <w:shd w:fill="FFFFFF" w:val="clear"/>
        </w:rPr>
        <w:t xml:space="preserve"> </w:t>
      </w:r>
      <w:r>
        <w:rPr>
          <w:rFonts w:ascii="Arial;sans-serif" w:hAnsi="Arial;sans-serif"/>
          <w:b w:val="false"/>
          <w:color w:val="000000"/>
          <w:sz w:val="20"/>
          <w:shd w:fill="FFFFFF" w:val="clear"/>
        </w:rPr>
        <w:t>to invest in CCS projects that are jointly approved through the Carbon TerraVault JV. As part of the formation of the Carbon TerraVault JV, we contributed rights to inject CO</w:t>
      </w:r>
      <w:r>
        <w:rPr>
          <w:rFonts w:ascii="Arial;sans-serif" w:hAnsi="Arial;sans-serif"/>
          <w:b w:val="false"/>
          <w:color w:val="000000"/>
          <w:sz w:val="13"/>
          <w:shd w:fill="FFFFFF" w:val="clear"/>
        </w:rPr>
        <w:t>2</w:t>
      </w:r>
      <w:r>
        <w:rPr>
          <w:color w:val="000000"/>
          <w:shd w:fill="FFFFFF" w:val="clear"/>
        </w:rPr>
        <w:t xml:space="preserve"> </w:t>
      </w:r>
      <w:r>
        <w:rPr>
          <w:rFonts w:ascii="Arial;sans-serif" w:hAnsi="Arial;sans-serif"/>
          <w:b w:val="false"/>
          <w:color w:val="000000"/>
          <w:sz w:val="20"/>
          <w:shd w:fill="FFFFFF" w:val="clear"/>
        </w:rPr>
        <w:t>into the 26R reservoir in our Elk Hills field for permanent CO</w:t>
      </w:r>
      <w:r>
        <w:rPr>
          <w:rFonts w:ascii="Arial;sans-serif" w:hAnsi="Arial;sans-serif"/>
          <w:b w:val="false"/>
          <w:color w:val="000000"/>
          <w:sz w:val="13"/>
          <w:shd w:fill="FFFFFF" w:val="clear"/>
        </w:rPr>
        <w:t>2</w:t>
      </w:r>
      <w:r>
        <w:rPr>
          <w:color w:val="000000"/>
          <w:shd w:fill="FFFFFF" w:val="clear"/>
        </w:rPr>
        <w:t xml:space="preserve"> </w:t>
      </w:r>
      <w:r>
        <w:rPr>
          <w:rFonts w:ascii="Arial;sans-serif" w:hAnsi="Arial;sans-serif"/>
          <w:b w:val="false"/>
          <w:color w:val="000000"/>
          <w:sz w:val="20"/>
          <w:shd w:fill="FFFFFF" w:val="clear"/>
        </w:rPr>
        <w:t xml:space="preserve">storage (26R reservoir) and Brookfield committed to make an initial investment of </w:t>
      </w:r>
      <w:r>
        <w:rPr>
          <w:rFonts w:ascii="Arial;sans-serif" w:hAnsi="Arial;sans-serif"/>
          <w:b w:val="false"/>
          <w:color w:val="000000"/>
          <w:sz w:val="20"/>
        </w:rPr>
        <w:t>$137 million</w:t>
      </w:r>
      <w:r>
        <w:rPr>
          <w:rFonts w:ascii="Arial;sans-serif" w:hAnsi="Arial;sans-serif"/>
          <w:b w:val="false"/>
          <w:color w:val="000000"/>
          <w:sz w:val="20"/>
          <w:shd w:fill="FFFFFF" w:val="clear"/>
        </w:rPr>
        <w:t xml:space="preserve">, </w:t>
      </w:r>
      <w:r>
        <w:rPr>
          <w:rFonts w:ascii="Arial;sans-serif" w:hAnsi="Arial;sans-serif"/>
          <w:b w:val="false"/>
          <w:color w:val="000000"/>
          <w:sz w:val="20"/>
        </w:rPr>
        <w:t xml:space="preserve">payable in three installments with the last two installments subject to the achievement of certain milestones. We achieved the milestone for the second installment in March 2024. The third installment will be sized based on permitted storage capacity.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Brookfield contributed the first $46 million installment of their initial investment to the Carbon TerraVault JV in 2022 and the second $46 million installment in April 2024. The remaining balance of the initial installment plus the second installment may, at our sole discretion, be distributed to us or used to satisfy future capital contributions, among other items. </w:t>
      </w:r>
      <w:r>
        <w:rPr>
          <w:rFonts w:ascii="Arial;sans-serif" w:hAnsi="Arial;sans-serif"/>
          <w:b w:val="false"/>
          <w:color w:val="000000"/>
          <w:sz w:val="20"/>
          <w:shd w:fill="FFFFFF" w:val="clear"/>
        </w:rPr>
        <w:t xml:space="preserve">Because the parties have certain put and call rights (repurchase features) with respect to the 26R reservoir if certain milestones are not met, the first and second installment of the initial investment by Brookfield is reflected as a contingent liability included in other long-term liabilities on our condensed consolidated balance sheets. The contingent liability was </w:t>
      </w:r>
      <w:r>
        <w:rPr>
          <w:rFonts w:ascii="Arial;sans-serif" w:hAnsi="Arial;sans-serif"/>
          <w:b w:val="false"/>
          <w:color w:val="000000"/>
          <w:sz w:val="20"/>
        </w:rPr>
        <w:t>$102 million</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$52 million</w:t>
      </w:r>
      <w:r>
        <w:rPr>
          <w:color w:val="000000"/>
          <w:shd w:fill="FFFFFF" w:val="clear"/>
        </w:rPr>
        <w:t xml:space="preserve"> </w:t>
      </w:r>
      <w:r>
        <w:rPr>
          <w:rFonts w:ascii="Arial;sans-serif" w:hAnsi="Arial;sans-serif"/>
          <w:b w:val="false"/>
          <w:color w:val="000000"/>
          <w:sz w:val="20"/>
          <w:shd w:fill="FFFFFF" w:val="clear"/>
        </w:rPr>
        <w:t xml:space="preserve">at </w:t>
      </w:r>
      <w:r>
        <w:rPr>
          <w:rFonts w:ascii="Arial;sans-serif" w:hAnsi="Arial;sans-serif"/>
          <w:b w:val="false"/>
          <w:color w:val="000000"/>
          <w:sz w:val="20"/>
        </w:rPr>
        <w:t>June 30, 2024</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December 31, 2023</w:t>
      </w:r>
      <w:r>
        <w:rPr>
          <w:rFonts w:ascii="Arial;sans-serif" w:hAnsi="Arial;sans-serif"/>
          <w:b w:val="false"/>
          <w:color w:val="000000"/>
          <w:sz w:val="20"/>
          <w:shd w:fill="FFFFFF" w:val="clear"/>
        </w:rPr>
        <w:t xml:space="preserve">, respectively, inclusive of interest.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tables below present the summarized financial information related to our equity method investment in the Carbon TerraVault JV (and do not include amounts we have incurred related to development of our carbon management business, Carbon TerraVault), along with related party transactions for the periods presented.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68"/>
        <w:gridCol w:w="2431"/>
        <w:gridCol w:w="2437"/>
        <w:gridCol w:w="230"/>
        <w:gridCol w:w="525"/>
        <w:gridCol w:w="118"/>
        <w:gridCol w:w="109"/>
        <w:gridCol w:w="109"/>
        <w:gridCol w:w="109"/>
        <w:gridCol w:w="387"/>
        <w:gridCol w:w="693"/>
        <w:gridCol w:w="289"/>
      </w:tblGrid>
      <w:tr>
        <w:trPr/>
        <w:tc>
          <w:tcPr>
            <w:tcW w:w="2768"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7636"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1696" w:type="dxa"/>
            <w:gridSpan w:val="6"/>
            <w:tcBorders/>
          </w:tcPr>
          <w:p>
            <w:pPr>
              <w:pStyle w:val="TableContents"/>
              <w:bidi w:val="0"/>
              <w:spacing w:before="0" w:after="283"/>
              <w:jc w:val="left"/>
              <w:rPr>
                <w:sz w:val="4"/>
                <w:szCs w:val="4"/>
              </w:rPr>
            </w:pPr>
            <w:r>
              <w:rPr>
                <w:sz w:val="4"/>
                <w:szCs w:val="4"/>
              </w:rPr>
            </w:r>
          </w:p>
        </w:tc>
      </w:tr>
      <w:tr>
        <w:trPr/>
        <w:tc>
          <w:tcPr>
            <w:tcW w:w="7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7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7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Investment in unconsolidated subsidiary</w:t>
            </w:r>
            <w:r>
              <w:rPr>
                <w:rFonts w:ascii="Arial;sans-serif" w:hAnsi="Arial;sans-serif"/>
                <w:b w:val="false"/>
                <w:color w:val="000000"/>
                <w:sz w:val="13"/>
              </w:rPr>
              <w:t>(a)</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Receivable from affiliate</w:t>
            </w:r>
            <w:r>
              <w:rPr>
                <w:rFonts w:ascii="Arial;sans-serif" w:hAnsi="Arial;sans-serif"/>
                <w:b w:val="false"/>
                <w:color w:val="000000"/>
                <w:sz w:val="13"/>
              </w:rPr>
              <w:t>(b)</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long-term liabilities - Contingent liability (related to Carbon TerraVault JV put and call rights)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Arial;sans-serif" w:hAnsi="Arial;sans-serif"/>
          <w:b w:val="false"/>
          <w:color w:val="000000"/>
          <w:sz w:val="16"/>
          <w:shd w:fill="FFFFFF" w:val="clear"/>
        </w:rPr>
        <w:t xml:space="preserve">(a)Reflects our investment less losses allocated to us of </w:t>
      </w:r>
      <w:r>
        <w:rPr>
          <w:rFonts w:ascii="Arial;sans-serif" w:hAnsi="Arial;sans-serif"/>
          <w:b w:val="false"/>
          <w:color w:val="000000"/>
          <w:sz w:val="16"/>
        </w:rPr>
        <w:t>$7 million</w:t>
      </w:r>
      <w:r>
        <w:rPr>
          <w:color w:val="000000"/>
          <w:shd w:fill="FFFFFF" w:val="clear"/>
        </w:rPr>
        <w:t xml:space="preserve"> </w:t>
      </w:r>
      <w:r>
        <w:rPr>
          <w:rFonts w:ascii="Arial;sans-serif" w:hAnsi="Arial;sans-serif"/>
          <w:b w:val="false"/>
          <w:color w:val="000000"/>
          <w:sz w:val="16"/>
          <w:shd w:fill="FFFFFF" w:val="clear"/>
        </w:rPr>
        <w:t xml:space="preserve">and $9 million for the </w:t>
      </w:r>
      <w:r>
        <w:rPr>
          <w:rFonts w:ascii="Arial;sans-serif" w:hAnsi="Arial;sans-serif"/>
          <w:b w:val="false"/>
          <w:color w:val="000000"/>
          <w:sz w:val="16"/>
        </w:rPr>
        <w:t>six months ended June 30, 2024</w:t>
      </w:r>
      <w:r>
        <w:rPr>
          <w:color w:val="000000"/>
          <w:shd w:fill="FFFFFF" w:val="clear"/>
        </w:rPr>
        <w:t xml:space="preserve"> </w:t>
      </w:r>
      <w:r>
        <w:rPr>
          <w:rFonts w:ascii="Arial;sans-serif" w:hAnsi="Arial;sans-serif"/>
          <w:b w:val="false"/>
          <w:color w:val="000000"/>
          <w:sz w:val="16"/>
          <w:shd w:fill="FFFFFF" w:val="clear"/>
        </w:rPr>
        <w:t xml:space="preserve">and the year ended </w:t>
      </w:r>
      <w:r>
        <w:rPr>
          <w:rFonts w:ascii="Arial;sans-serif" w:hAnsi="Arial;sans-serif"/>
          <w:b w:val="false"/>
          <w:color w:val="000000"/>
          <w:sz w:val="16"/>
        </w:rPr>
        <w:t>December 31, 2023</w:t>
      </w:r>
      <w:r>
        <w:rPr>
          <w:rFonts w:ascii="Arial;sans-serif" w:hAnsi="Arial;sans-serif"/>
          <w:b w:val="false"/>
          <w:color w:val="000000"/>
          <w:sz w:val="16"/>
          <w:shd w:fill="FFFFFF" w:val="clear"/>
        </w:rPr>
        <w:t>, respectively.</w:t>
      </w:r>
    </w:p>
    <w:p>
      <w:pPr>
        <w:pStyle w:val="TextBody"/>
        <w:bidi w:val="0"/>
        <w:spacing w:lineRule="auto" w:line="288" w:before="0" w:after="0"/>
        <w:ind w:left="0" w:right="0" w:hanging="360"/>
        <w:jc w:val="left"/>
        <w:rPr/>
      </w:pPr>
      <w:r>
        <w:rPr>
          <w:rFonts w:ascii="Arial;sans-serif" w:hAnsi="Arial;sans-serif"/>
          <w:b w:val="false"/>
          <w:color w:val="000000"/>
          <w:sz w:val="16"/>
          <w:shd w:fill="FFFFFF" w:val="clear"/>
        </w:rPr>
        <w:t xml:space="preserve">(b)The amount of Brookfield's contributions available to us and amounts due to us under the MSA (described further below) are reported as receivable from affiliate. At </w:t>
      </w:r>
      <w:r>
        <w:rPr>
          <w:rFonts w:ascii="Arial;sans-serif" w:hAnsi="Arial;sans-serif"/>
          <w:b w:val="false"/>
          <w:color w:val="000000"/>
          <w:sz w:val="16"/>
        </w:rPr>
        <w:t>June 30, 2024</w:t>
      </w:r>
      <w:r>
        <w:rPr>
          <w:rFonts w:ascii="Arial;sans-serif" w:hAnsi="Arial;sans-serif"/>
          <w:b w:val="false"/>
          <w:color w:val="000000"/>
          <w:sz w:val="16"/>
          <w:shd w:fill="FFFFFF" w:val="clear"/>
        </w:rPr>
        <w:t xml:space="preserve">, the amount of $61 million includes the remaining $58 million of Brookfield's first and second installments of their initial investment which is available to us and $3 million related to the MSA and vendor reimbursements. At </w:t>
      </w:r>
      <w:r>
        <w:rPr>
          <w:rFonts w:ascii="Arial;sans-serif" w:hAnsi="Arial;sans-serif"/>
          <w:b w:val="false"/>
          <w:color w:val="000000"/>
          <w:sz w:val="16"/>
        </w:rPr>
        <w:t>December 31, 2023</w:t>
      </w:r>
      <w:r>
        <w:rPr>
          <w:rFonts w:ascii="Arial;sans-serif" w:hAnsi="Arial;sans-serif"/>
          <w:b w:val="false"/>
          <w:color w:val="000000"/>
          <w:sz w:val="16"/>
          <w:shd w:fill="FFFFFF" w:val="clear"/>
        </w:rPr>
        <w:t xml:space="preserve">, the amount of $19 million includes $17 million remaining of Brookfield's initial contribution available to us and </w:t>
      </w:r>
      <w:r>
        <w:rPr>
          <w:rFonts w:ascii="Arial;sans-serif" w:hAnsi="Arial;sans-serif"/>
          <w:b w:val="false"/>
          <w:color w:val="000000"/>
          <w:sz w:val="16"/>
        </w:rPr>
        <w:t>$2 million</w:t>
      </w:r>
      <w:r>
        <w:rPr>
          <w:color w:val="000000"/>
          <w:shd w:fill="FFFFFF" w:val="clear"/>
        </w:rPr>
        <w:t xml:space="preserve"> </w:t>
      </w:r>
      <w:r>
        <w:rPr>
          <w:rFonts w:ascii="Arial;sans-serif" w:hAnsi="Arial;sans-serif"/>
          <w:b w:val="false"/>
          <w:color w:val="000000"/>
          <w:sz w:val="16"/>
          <w:shd w:fill="FFFFFF" w:val="clear"/>
        </w:rPr>
        <w:t xml:space="preserve">related to the MSA and vendor reimbursements. </w:t>
      </w:r>
    </w:p>
    <w:p>
      <w:pPr>
        <w:pStyle w:val="TextBody"/>
        <w:bidi w:val="0"/>
        <w:spacing w:before="0" w:after="0"/>
        <w:jc w:val="left"/>
        <w:rPr/>
      </w:pPr>
      <w:r>
        <w:rPr/>
      </w:r>
    </w:p>
    <w:tbl>
      <w:tblPr>
        <w:tblW w:w="8718" w:type="dxa"/>
        <w:jc w:val="left"/>
        <w:tblInd w:w="0" w:type="dxa"/>
        <w:tblLayout w:type="fixed"/>
        <w:tblCellMar>
          <w:top w:w="28" w:type="dxa"/>
          <w:left w:w="28" w:type="dxa"/>
          <w:bottom w:w="28" w:type="dxa"/>
          <w:right w:w="28" w:type="dxa"/>
        </w:tblCellMar>
      </w:tblPr>
      <w:tblGrid>
        <w:gridCol w:w="1642"/>
        <w:gridCol w:w="1442"/>
        <w:gridCol w:w="1445"/>
        <w:gridCol w:w="283"/>
        <w:gridCol w:w="363"/>
        <w:gridCol w:w="146"/>
        <w:gridCol w:w="146"/>
        <w:gridCol w:w="146"/>
        <w:gridCol w:w="146"/>
        <w:gridCol w:w="283"/>
        <w:gridCol w:w="363"/>
        <w:gridCol w:w="146"/>
        <w:gridCol w:w="109"/>
        <w:gridCol w:w="109"/>
        <w:gridCol w:w="109"/>
        <w:gridCol w:w="250"/>
        <w:gridCol w:w="321"/>
        <w:gridCol w:w="129"/>
        <w:gridCol w:w="129"/>
        <w:gridCol w:w="129"/>
        <w:gridCol w:w="129"/>
        <w:gridCol w:w="250"/>
        <w:gridCol w:w="321"/>
        <w:gridCol w:w="182"/>
      </w:tblGrid>
      <w:tr>
        <w:trPr/>
        <w:tc>
          <w:tcPr>
            <w:tcW w:w="164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from investment in unconsolidated subsidiary</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General and administrative expenses</w:t>
            </w:r>
            <w:r>
              <w:rPr>
                <w:rFonts w:ascii="Arial;sans-serif" w:hAnsi="Arial;sans-serif"/>
                <w:b w:val="false"/>
                <w:color w:val="000000"/>
                <w:sz w:val="13"/>
              </w:rPr>
              <w:t>(a)</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(a)General and administrative expenses on our condensed consolidated statements of operations have been reduced by this amount which we have invoiced to the Carbon TerraVault JV under the MSA for back-office operational and commercial services.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We are also performing well abandonment work at our Elk Hills field as part of the permitting process for injection of CO</w:t>
      </w:r>
      <w:r>
        <w:rPr>
          <w:rFonts w:ascii="Arial;sans-serif" w:hAnsi="Arial;sans-serif"/>
          <w:b w:val="false"/>
          <w:color w:val="000000"/>
          <w:sz w:val="13"/>
          <w:shd w:fill="FFFFFF" w:val="clear"/>
        </w:rPr>
        <w:t>2</w:t>
      </w:r>
      <w:r>
        <w:rPr>
          <w:color w:val="000000"/>
          <w:shd w:fill="FFFFFF" w:val="clear"/>
        </w:rPr>
        <w:t xml:space="preserve"> </w:t>
      </w:r>
      <w:r>
        <w:rPr>
          <w:rFonts w:ascii="Arial;sans-serif" w:hAnsi="Arial;sans-serif"/>
          <w:b w:val="false"/>
          <w:color w:val="000000"/>
          <w:sz w:val="20"/>
          <w:shd w:fill="FFFFFF" w:val="clear"/>
        </w:rPr>
        <w:t xml:space="preserve">at the 26R reservoir. During the </w:t>
      </w:r>
      <w:r>
        <w:rPr>
          <w:rFonts w:ascii="Arial;sans-serif" w:hAnsi="Arial;sans-serif"/>
          <w:b w:val="false"/>
          <w:color w:val="000000"/>
          <w:sz w:val="20"/>
        </w:rPr>
        <w:t>three and six months ended</w:t>
      </w:r>
      <w:r>
        <w:rPr>
          <w:color w:val="000000"/>
          <w:shd w:fill="FFFFFF" w:val="clear"/>
        </w:rPr>
        <w:t xml:space="preserve"> </w:t>
      </w:r>
      <w:r>
        <w:rPr>
          <w:rFonts w:ascii="Arial;sans-serif" w:hAnsi="Arial;sans-serif"/>
          <w:b w:val="false"/>
          <w:color w:val="000000"/>
          <w:sz w:val="20"/>
        </w:rPr>
        <w:t xml:space="preserve">June 30, 2024, we performed abandonment work and sought reimbursement in the amounts of </w:t>
      </w:r>
      <w:r>
        <w:rPr>
          <w:rFonts w:ascii="Arial;sans-serif" w:hAnsi="Arial;sans-serif"/>
          <w:b w:val="false"/>
          <w:color w:val="000000"/>
          <w:sz w:val="20"/>
          <w:shd w:fill="FFFFFF" w:val="clear"/>
        </w:rPr>
        <w:t xml:space="preserve">$5 million and </w:t>
      </w:r>
      <w:r>
        <w:rPr>
          <w:rFonts w:ascii="Arial;sans-serif" w:hAnsi="Arial;sans-serif"/>
          <w:b w:val="false"/>
          <w:color w:val="000000"/>
          <w:sz w:val="20"/>
        </w:rPr>
        <w:t xml:space="preserve">$9 million, respectively, from the Carbon TerraVault JV. </w:t>
      </w:r>
      <w:r>
        <w:rPr>
          <w:rFonts w:ascii="Arial;sans-serif" w:hAnsi="Arial;sans-serif"/>
          <w:b w:val="false"/>
          <w:color w:val="000000"/>
          <w:sz w:val="20"/>
          <w:shd w:fill="FFFFFF" w:val="clear"/>
        </w:rPr>
        <w:t xml:space="preserve">During the </w:t>
      </w:r>
      <w:r>
        <w:rPr>
          <w:rFonts w:ascii="Arial;sans-serif" w:hAnsi="Arial;sans-serif"/>
          <w:b w:val="false"/>
          <w:color w:val="000000"/>
          <w:sz w:val="20"/>
        </w:rPr>
        <w:t>three and six months ended</w:t>
      </w:r>
      <w:r>
        <w:rPr>
          <w:color w:val="000000"/>
          <w:shd w:fill="FFFFFF" w:val="clear"/>
        </w:rPr>
        <w:t xml:space="preserve"> </w:t>
      </w:r>
      <w:r>
        <w:rPr>
          <w:rFonts w:ascii="Arial;sans-serif" w:hAnsi="Arial;sans-serif"/>
          <w:b w:val="false"/>
          <w:color w:val="000000"/>
          <w:sz w:val="20"/>
        </w:rPr>
        <w:t>June 30, 2023, we performed abandonment work and sought reimbursement in the amounts of $1 million</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 xml:space="preserve">$2 million, respectively, from the Carbon TerraVault JV.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The Carbon TerraVault JV has an option to participate in certain projects that involve the capture, transportation and storage of CO</w:t>
      </w:r>
      <w:r>
        <w:rPr>
          <w:rFonts w:ascii="Arial;sans-serif" w:hAnsi="Arial;sans-serif"/>
          <w:b w:val="false"/>
          <w:color w:val="000000"/>
          <w:sz w:val="13"/>
          <w:shd w:fill="FFFFFF" w:val="clear"/>
        </w:rPr>
        <w:t xml:space="preserve">2 </w:t>
      </w:r>
      <w:r>
        <w:rPr>
          <w:rFonts w:ascii="Arial;sans-serif" w:hAnsi="Arial;sans-serif"/>
          <w:b w:val="false"/>
          <w:color w:val="000000"/>
          <w:sz w:val="20"/>
          <w:shd w:fill="FFFFFF" w:val="clear"/>
        </w:rPr>
        <w:t xml:space="preserve">in California. This option expires upon the earlier of (1) August 2027, (2) when a final investment decision has been approved by the Carbon TerraVault JV for storage projects representing in excess of </w:t>
      </w:r>
      <w:r>
        <w:rPr>
          <w:rFonts w:ascii="Arial;sans-serif" w:hAnsi="Arial;sans-serif"/>
          <w:b w:val="false"/>
          <w:color w:val="000000"/>
          <w:sz w:val="20"/>
        </w:rPr>
        <w:t>5 million</w:t>
      </w:r>
      <w:r>
        <w:rPr>
          <w:color w:val="000000"/>
          <w:shd w:fill="FFFFFF" w:val="clear"/>
        </w:rPr>
        <w:t xml:space="preserve"> </w:t>
      </w:r>
      <w:r>
        <w:rPr>
          <w:rFonts w:ascii="Arial;sans-serif" w:hAnsi="Arial;sans-serif"/>
          <w:b w:val="false"/>
          <w:color w:val="000000"/>
          <w:sz w:val="20"/>
          <w:shd w:fill="FFFFFF" w:val="clear"/>
        </w:rPr>
        <w:t xml:space="preserve">metric tons per annum (MMTPA) in the aggregate, or (3) when Brookfield has made contributions to the joint venture in excess of </w:t>
      </w:r>
      <w:r>
        <w:rPr>
          <w:rFonts w:ascii="Arial;sans-serif" w:hAnsi="Arial;sans-serif"/>
          <w:b w:val="false"/>
          <w:color w:val="000000"/>
          <w:sz w:val="20"/>
        </w:rPr>
        <w:t>$500 million</w:t>
      </w:r>
      <w:r>
        <w:rPr>
          <w:color w:val="000000"/>
          <w:shd w:fill="FFFFFF" w:val="clear"/>
        </w:rPr>
        <w:t xml:space="preserve"> </w:t>
      </w:r>
      <w:r>
        <w:rPr>
          <w:rFonts w:ascii="Arial;sans-serif" w:hAnsi="Arial;sans-serif"/>
          <w:b w:val="false"/>
          <w:color w:val="000000"/>
          <w:sz w:val="20"/>
          <w:shd w:fill="FFFFFF" w:val="clear"/>
        </w:rPr>
        <w:t xml:space="preserve">(unless Brookfield elects to increase its commitment).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entered into a Management Services Agreement (MSA) with the Carbon TerraVault JV whereby we provide administrative, operational and commercial services under a cost-plus arrangement. Services may be supplemented by using third parties and payments to us under the MSA are limited to the amount in an approved budget. The MSA may be terminated by mutual agreement of the parties, among other events.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3    DEBT</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As of June 30, 2024 and December 31, 2023, our long-term debt consisted of the following:</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358"/>
        <w:gridCol w:w="1135"/>
        <w:gridCol w:w="1138"/>
        <w:gridCol w:w="211"/>
        <w:gridCol w:w="646"/>
        <w:gridCol w:w="109"/>
        <w:gridCol w:w="109"/>
        <w:gridCol w:w="109"/>
        <w:gridCol w:w="109"/>
        <w:gridCol w:w="332"/>
        <w:gridCol w:w="762"/>
        <w:gridCol w:w="173"/>
        <w:gridCol w:w="109"/>
        <w:gridCol w:w="109"/>
        <w:gridCol w:w="109"/>
        <w:gridCol w:w="624"/>
        <w:gridCol w:w="624"/>
        <w:gridCol w:w="627"/>
        <w:gridCol w:w="109"/>
        <w:gridCol w:w="109"/>
        <w:gridCol w:w="109"/>
        <w:gridCol w:w="462"/>
        <w:gridCol w:w="432"/>
        <w:gridCol w:w="591"/>
      </w:tblGrid>
      <w:tr>
        <w:trPr/>
        <w:tc>
          <w:tcPr>
            <w:tcW w:w="1358"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3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1812" w:type="dxa"/>
            <w:gridSpan w:val="6"/>
            <w:tcBorders/>
          </w:tcPr>
          <w:p>
            <w:pPr>
              <w:pStyle w:val="TableContents"/>
              <w:bidi w:val="0"/>
              <w:spacing w:before="0" w:after="283"/>
              <w:jc w:val="left"/>
              <w:rPr>
                <w:sz w:val="4"/>
                <w:szCs w:val="4"/>
              </w:rPr>
            </w:pPr>
            <w:r>
              <w:rPr>
                <w:sz w:val="4"/>
                <w:szCs w:val="4"/>
              </w:rPr>
            </w:r>
          </w:p>
        </w:tc>
      </w:tr>
      <w:tr>
        <w:trPr/>
        <w:tc>
          <w:tcPr>
            <w:tcW w:w="3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Maturity</w:t>
            </w:r>
          </w:p>
        </w:tc>
      </w:tr>
      <w:tr>
        <w:trPr/>
        <w:tc>
          <w:tcPr>
            <w:tcW w:w="3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Revolving Credit Facility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SOFR plus 2.50%-3.50%</w:t>
            </w:r>
          </w:p>
          <w:p>
            <w:pPr>
              <w:pStyle w:val="TableContents"/>
              <w:bidi w:val="0"/>
              <w:spacing w:lineRule="auto" w:line="240" w:before="0" w:after="0"/>
              <w:jc w:val="center"/>
              <w:rPr/>
            </w:pPr>
            <w:r>
              <w:rPr>
                <w:rFonts w:ascii="Arial;sans-serif" w:hAnsi="Arial;sans-serif"/>
                <w:b w:val="false"/>
                <w:color w:val="000000"/>
                <w:sz w:val="20"/>
              </w:rPr>
              <w:t>ABR plus 1.50%-2.50%</w:t>
            </w:r>
            <w:r>
              <w:rPr>
                <w:rFonts w:ascii="Arial;sans-serif" w:hAnsi="Arial;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July 31, 2027</w:t>
            </w:r>
            <w:r>
              <w:rPr>
                <w:rFonts w:ascii="Arial;sans-serif" w:hAnsi="Arial;sans-serif"/>
                <w:b w:val="false"/>
                <w:color w:val="000000"/>
                <w:sz w:val="13"/>
              </w:rPr>
              <w:t>(b)</w:t>
            </w:r>
          </w:p>
        </w:tc>
      </w:tr>
      <w:tr>
        <w:trPr/>
        <w:tc>
          <w:tcPr>
            <w:tcW w:w="363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 Senior Notes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February 1, 2026</w:t>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 Senior Notes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June 15, 2029</w:t>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Principal amount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Unamortized debt discount and debt issuance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Long-term debt,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Arial;sans-serif" w:hAnsi="Arial;sans-serif"/>
          <w:b w:val="false"/>
          <w:color w:val="000000"/>
          <w:sz w:val="16"/>
        </w:rPr>
        <w:t>(a)</w:t>
      </w:r>
      <w:r>
        <w:rPr>
          <w:rFonts w:ascii="Arial;sans-serif" w:hAnsi="Arial;sans-serif"/>
          <w:b w:val="false"/>
          <w:color w:val="000000"/>
          <w:sz w:val="16"/>
          <w:shd w:fill="FFFFFF" w:val="clear"/>
        </w:rPr>
        <w:t xml:space="preserve">At our election, borrowings under the amended Revolving Credit Facility may be alternate base rate (ABR) loans or term SOFR loans, plus an applicable margin. ABR loans bear interest at a rate equal to the highest of (i) the federal funds effective rate plus </w:t>
      </w:r>
      <w:r>
        <w:rPr>
          <w:rFonts w:ascii="Arial;sans-serif" w:hAnsi="Arial;sans-serif"/>
          <w:b w:val="false"/>
          <w:color w:val="000000"/>
          <w:sz w:val="16"/>
        </w:rPr>
        <w:t>0.50%</w:t>
      </w:r>
      <w:r>
        <w:rPr>
          <w:rFonts w:ascii="Arial;sans-serif" w:hAnsi="Arial;sans-serif"/>
          <w:b w:val="false"/>
          <w:color w:val="000000"/>
          <w:sz w:val="16"/>
          <w:shd w:fill="FFFFFF" w:val="clear"/>
        </w:rPr>
        <w:t xml:space="preserve">, (ii) the administrative agent prime rate and (iii) the one-month SOFR rate plus </w:t>
      </w:r>
      <w:r>
        <w:rPr>
          <w:rFonts w:ascii="Arial;sans-serif" w:hAnsi="Arial;sans-serif"/>
          <w:b w:val="false"/>
          <w:color w:val="000000"/>
          <w:sz w:val="16"/>
        </w:rPr>
        <w:t>1%</w:t>
      </w:r>
      <w:r>
        <w:rPr>
          <w:rFonts w:ascii="Arial;sans-serif" w:hAnsi="Arial;sans-serif"/>
          <w:b w:val="false"/>
          <w:color w:val="000000"/>
          <w:sz w:val="16"/>
          <w:shd w:fill="FFFFFF" w:val="clear"/>
        </w:rPr>
        <w:t xml:space="preserve">. Term SOFR loans bear interest at term SOFR, plus an additional </w:t>
      </w:r>
      <w:r>
        <w:rPr>
          <w:rFonts w:ascii="Arial;sans-serif" w:hAnsi="Arial;sans-serif"/>
          <w:b w:val="false"/>
          <w:color w:val="000000"/>
          <w:sz w:val="16"/>
        </w:rPr>
        <w:t>10</w:t>
      </w:r>
      <w:r>
        <w:rPr>
          <w:color w:val="000000"/>
          <w:shd w:fill="FFFFFF" w:val="clear"/>
        </w:rPr>
        <w:t xml:space="preserve"> </w:t>
      </w:r>
      <w:r>
        <w:rPr>
          <w:rFonts w:ascii="Arial;sans-serif" w:hAnsi="Arial;sans-serif"/>
          <w:b w:val="false"/>
          <w:color w:val="000000"/>
          <w:sz w:val="16"/>
          <w:shd w:fill="FFFFFF" w:val="clear"/>
        </w:rPr>
        <w:t>basis points per annum credit spread adjustment.</w:t>
      </w:r>
      <w:r>
        <w:rPr>
          <w:color w:val="000000"/>
        </w:rPr>
        <w:t xml:space="preserve"> </w:t>
      </w:r>
      <w:r>
        <w:rPr>
          <w:rFonts w:ascii="Arial;sans-serif" w:hAnsi="Arial;sans-serif"/>
          <w:b w:val="false"/>
          <w:color w:val="000000"/>
          <w:sz w:val="16"/>
          <w:shd w:fill="FFFFFF" w:val="clear"/>
        </w:rPr>
        <w:t xml:space="preserve">The applicable margin is adjusted based on a commitment utilization percentage and will vary from (i) in the case of ABR loans, </w:t>
      </w:r>
      <w:r>
        <w:rPr>
          <w:rFonts w:ascii="Arial;sans-serif" w:hAnsi="Arial;sans-serif"/>
          <w:b w:val="false"/>
          <w:color w:val="000000"/>
          <w:sz w:val="16"/>
        </w:rPr>
        <w:t>1.50%</w:t>
      </w:r>
      <w:r>
        <w:rPr>
          <w:color w:val="000000"/>
          <w:shd w:fill="FFFFFF" w:val="clear"/>
        </w:rPr>
        <w:t xml:space="preserve"> </w:t>
      </w:r>
      <w:r>
        <w:rPr>
          <w:rFonts w:ascii="Arial;sans-serif" w:hAnsi="Arial;sans-serif"/>
          <w:b w:val="false"/>
          <w:color w:val="000000"/>
          <w:sz w:val="16"/>
          <w:shd w:fill="FFFFFF" w:val="clear"/>
        </w:rPr>
        <w:t xml:space="preserve">to </w:t>
      </w:r>
      <w:r>
        <w:rPr>
          <w:rFonts w:ascii="Arial;sans-serif" w:hAnsi="Arial;sans-serif"/>
          <w:b w:val="false"/>
          <w:color w:val="000000"/>
          <w:sz w:val="16"/>
        </w:rPr>
        <w:t>2.50%</w:t>
      </w:r>
      <w:r>
        <w:rPr>
          <w:color w:val="000000"/>
          <w:shd w:fill="FFFFFF" w:val="clear"/>
        </w:rPr>
        <w:t xml:space="preserve"> </w:t>
      </w:r>
      <w:r>
        <w:rPr>
          <w:rFonts w:ascii="Arial;sans-serif" w:hAnsi="Arial;sans-serif"/>
          <w:b w:val="false"/>
          <w:color w:val="000000"/>
          <w:sz w:val="16"/>
          <w:shd w:fill="FFFFFF" w:val="clear"/>
        </w:rPr>
        <w:t xml:space="preserve">and (ii) in the case of term SOFR loans, </w:t>
      </w:r>
      <w:r>
        <w:rPr>
          <w:rFonts w:ascii="Arial;sans-serif" w:hAnsi="Arial;sans-serif"/>
          <w:b w:val="false"/>
          <w:color w:val="000000"/>
          <w:sz w:val="16"/>
        </w:rPr>
        <w:t>2.50%</w:t>
      </w:r>
      <w:r>
        <w:rPr>
          <w:color w:val="000000"/>
          <w:shd w:fill="FFFFFF" w:val="clear"/>
        </w:rPr>
        <w:t xml:space="preserve"> </w:t>
      </w:r>
      <w:r>
        <w:rPr>
          <w:rFonts w:ascii="Arial;sans-serif" w:hAnsi="Arial;sans-serif"/>
          <w:b w:val="false"/>
          <w:color w:val="000000"/>
          <w:sz w:val="16"/>
          <w:shd w:fill="FFFFFF" w:val="clear"/>
        </w:rPr>
        <w:t xml:space="preserve">to </w:t>
      </w:r>
      <w:r>
        <w:rPr>
          <w:rFonts w:ascii="Arial;sans-serif" w:hAnsi="Arial;sans-serif"/>
          <w:b w:val="false"/>
          <w:color w:val="000000"/>
          <w:sz w:val="16"/>
        </w:rPr>
        <w:t>3.50%</w:t>
      </w:r>
      <w:r>
        <w:rPr>
          <w:rFonts w:ascii="Arial;sans-serif" w:hAnsi="Arial;sans-serif"/>
          <w:b w:val="false"/>
          <w:color w:val="000000"/>
          <w:sz w:val="16"/>
          <w:shd w:fill="FFFFFF" w:val="clear"/>
        </w:rPr>
        <w:t xml:space="preserve">.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(b)The Revolving Credit Facility is subject to a springing maturity to August 4, 2025 if any of our 2026 Senior Notes are outstanding on that date. </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April 26, 2023, we entered into an Amended and Restated Credit Agreement (Revolving Credit Facility) with Citibank, N.A., as administrative agent, and certain other lenders, which amended and restated in its entirety the prior credit agreement dated October 27, 2020. As of June 30, 2024, our Revolving Credit Facility consisted of a senior revolving loan facility with an aggregate commitment of $630 million. Our Revolving Credit Facility also included a sub-limit of $250 million for the issuance of letters of credit. As of June 30, 2024, $130 million letters of credit were issued to support ordinary course marketing, insurance, regulatory and other matters. As of June 30, 2024, we had $470 million of availability on our Revolving Credit Facility after taking into account a draw of $30 million and $130 million in letters of credit outstanding. The borrowing base is redetermined semi-annually and the next determination will be on or about October 1, 2024.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In February 2024, in connection with the Aera Merger, </w:t>
      </w:r>
      <w:r>
        <w:rPr>
          <w:rFonts w:ascii="Arial;sans-serif" w:hAnsi="Arial;sans-serif"/>
          <w:b w:val="false"/>
          <w:color w:val="000000"/>
          <w:sz w:val="20"/>
        </w:rPr>
        <w:t xml:space="preserve">we entered into a second amendment to our Revolving Credit Facility to, among other things, permit the incurrence of indebtedness under a bridge loan facility. We did not utilize a bridge loan facility in connection with the Aera Merger and wrote-off $6 million of bridge loan and commitment fees during the three months ended June 30, 2024 included in other non-operating (loss) income on our condensed consolidated statement of operations.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March 2024, we entered into a third amendment to our Revolving Credit Facility. This amendment facilitated certain matters with respect to the Aera Merger, including the postponement of the regular spring borrowing base redetermination until the fall of 2024 and certain other amendments.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July 1, 2024, we entered into a fourth amendment to our Revolving Credit Facility. This amendment increased the aggregate revolving commitments available under the Revolving Credit Facility from $630 million to $1.1 billion. The amount we are able to borrow under our Revolving Credit Facility is limited to the amount of these commitments. This amendment also increased the borrowing base from $1.2 billion to $1.5 billion, among other matters.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For a discussion of the Aera Merger, see </w:t>
      </w:r>
      <w:r>
        <w:rPr>
          <w:rFonts w:ascii="Arial;sans-serif" w:hAnsi="Arial;sans-serif"/>
          <w:b w:val="false"/>
          <w:i/>
          <w:color w:val="000000"/>
          <w:sz w:val="20"/>
        </w:rPr>
        <w:t>Note 13 Subsequent Events.</w:t>
      </w:r>
    </w:p>
    <w:p>
      <w:pPr>
        <w:pStyle w:val="TextBody"/>
        <w:bidi w:val="0"/>
        <w:spacing w:before="0" w:after="0"/>
        <w:ind w:left="0" w:right="0" w:firstLine="36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2029 Senior Notes</w:t>
      </w:r>
    </w:p>
    <w:p>
      <w:pPr>
        <w:pStyle w:val="TextBody"/>
        <w:bidi w:val="0"/>
        <w:spacing w:before="0" w:after="0"/>
        <w:jc w:val="both"/>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On June 5, 2024, we completed an offering of $600 million in aggregate principal amount of 8.25% senior notes due 2029 (2029 Senior Notes). The terms of the 2029 Senior Notes are governed by the Indenture, dated as of June 5, 2024, by and among us, the guarantors and Wilmington Trust, National Association, as trustee (2029 Senior Notes Indenture). The net proceeds of $590 million, after $10 million of debt discount and issuance costs, were used along with available cash to repay all of Aera's outstanding debt at closing of the Aera Merger. See </w:t>
      </w:r>
      <w:r>
        <w:rPr>
          <w:rFonts w:ascii="Arial;sans-serif" w:hAnsi="Arial;sans-serif"/>
          <w:b w:val="false"/>
          <w:i/>
          <w:color w:val="000000"/>
          <w:sz w:val="20"/>
        </w:rPr>
        <w:t>Note 13 Subsequent Events</w:t>
      </w:r>
      <w:r>
        <w:rPr>
          <w:color w:val="000000"/>
        </w:rPr>
        <w:t xml:space="preserve"> </w:t>
      </w:r>
      <w:r>
        <w:rPr>
          <w:rFonts w:ascii="Arial;sans-serif" w:hAnsi="Arial;sans-serif"/>
          <w:b w:val="false"/>
          <w:color w:val="000000"/>
          <w:sz w:val="20"/>
        </w:rPr>
        <w:t xml:space="preserve">for more information on the closing of the Aera Merger.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Security</w:t>
      </w:r>
      <w:r>
        <w:rPr>
          <w:color w:val="000000"/>
        </w:rPr>
        <w:t xml:space="preserve"> – </w:t>
      </w:r>
      <w:r>
        <w:rPr>
          <w:rFonts w:ascii="Arial;sans-serif" w:hAnsi="Arial;sans-serif"/>
          <w:b w:val="false"/>
          <w:color w:val="000000"/>
          <w:sz w:val="20"/>
        </w:rPr>
        <w:t>Our 2029 Senior Notes are general unsecured obligations which are guaranteed on a senior unsecured basis by all of our existing subsidiaries that guarantee our obligations under the Revolving Credit Facility and our existing 2026 Senior Notes.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Redemption</w:t>
      </w:r>
      <w:r>
        <w:rPr>
          <w:color w:val="000000"/>
        </w:rPr>
        <w:t xml:space="preserve"> – </w:t>
      </w:r>
      <w:r>
        <w:rPr>
          <w:rFonts w:ascii="Arial;sans-serif" w:hAnsi="Arial;sans-serif"/>
          <w:b w:val="false"/>
          <w:color w:val="000000"/>
          <w:sz w:val="20"/>
        </w:rPr>
        <w:t xml:space="preserve">We may redeem the 2029 Senior Notes at any time on or after June 15, 2026 at the redemption prices of (i) 104.125% during the twelve-month period beginning on June 15, 2026, (ii) 102.063% during the twelve-month period beginning on June 15, 2027 and (iii) 100% after June 15, 2028 and before the maturity date. Prior to June 15, 2026, we may redeem up to 35% of the aggregate principal amount of the 2029 Senior Notes with an amount of cash not greater than the net cash proceeds from certain equity offerings at the redemption price of 108.250%. In addition, before June 15, 2026, we may redeem some or all of the 2029 Senior Notes at a redemption price equal to 100% of the aggregate principal amount of the 2029 Senior Notes redeemed, plus the applicable premium as specified in the 2029 Senior Notes Indenture and accrued and unpaid interest, if any, to, but excluding, the redemption date. In addition, our 2029 Senior Notes were subject to a special mandatory redemption in certain circumstances if the Aera Merger did not close. As of June 30, 2024, it was not probable that this redemption feature would be triggered and it is no longer effective.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Other Covenants</w:t>
      </w:r>
      <w:r>
        <w:rPr>
          <w:color w:val="000000"/>
        </w:rPr>
        <w:t xml:space="preserve"> – </w:t>
      </w:r>
      <w:r>
        <w:rPr>
          <w:rFonts w:ascii="Arial;sans-serif" w:hAnsi="Arial;sans-serif"/>
          <w:b w:val="false"/>
          <w:color w:val="000000"/>
          <w:sz w:val="20"/>
        </w:rPr>
        <w:t xml:space="preserve">Our 2029 Senior Notes include covenants that, among other things, restrict our ability to incur additional indebtedness, issue preferred stock, grant liens, make asset sales and investments, repay existing indebtedness, make subsidiary distributions, and enter into transactions that would result in fundamental changes.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 xml:space="preserve">Events of Default and Change of Control </w:t>
      </w:r>
      <w:r>
        <w:rPr>
          <w:color w:val="000000"/>
        </w:rPr>
        <w:t xml:space="preserve">– </w:t>
      </w:r>
      <w:r>
        <w:rPr>
          <w:rFonts w:ascii="Arial;sans-serif" w:hAnsi="Arial;sans-serif"/>
          <w:b w:val="false"/>
          <w:color w:val="000000"/>
          <w:sz w:val="20"/>
        </w:rPr>
        <w:t>Our 2029 Senior Notes provide for certain triggering events, including upon a change of control, as defined in the indenture, that would require us to repurchase all or any part of the 2029 Senior Notes at a price equal to 101% of the aggregate principal amount plus accrued and unpaid interest.</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Fair Value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estimate that the fair value of our variable rate debt approximates its carrying value because the interest rate approximates current market rates. As shown in the table below, we estimate fair value of our fixed rate Senior Notes based on known prices from market transactions (using Level 1 inputs on the fair value hierarchy). </w:t>
      </w:r>
    </w:p>
    <w:p>
      <w:pPr>
        <w:pStyle w:val="TextBody"/>
        <w:bidi w:val="0"/>
        <w:spacing w:before="0" w:after="0"/>
        <w:ind w:left="0" w:right="0" w:firstLine="360"/>
        <w:jc w:val="left"/>
        <w:rPr/>
      </w:pPr>
      <w:r>
        <w:rPr/>
      </w:r>
    </w:p>
    <w:tbl>
      <w:tblPr>
        <w:tblW w:w="5567" w:type="dxa"/>
        <w:jc w:val="left"/>
        <w:tblInd w:w="0" w:type="dxa"/>
        <w:tblLayout w:type="fixed"/>
        <w:tblCellMar>
          <w:top w:w="28" w:type="dxa"/>
          <w:left w:w="28" w:type="dxa"/>
          <w:bottom w:w="28" w:type="dxa"/>
          <w:right w:w="28" w:type="dxa"/>
        </w:tblCellMar>
      </w:tblPr>
      <w:tblGrid>
        <w:gridCol w:w="1037"/>
        <w:gridCol w:w="912"/>
        <w:gridCol w:w="915"/>
        <w:gridCol w:w="211"/>
        <w:gridCol w:w="646"/>
        <w:gridCol w:w="109"/>
        <w:gridCol w:w="109"/>
        <w:gridCol w:w="109"/>
        <w:gridCol w:w="109"/>
        <w:gridCol w:w="351"/>
        <w:gridCol w:w="801"/>
        <w:gridCol w:w="258"/>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Variable rate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Fixed rate debt</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2026 Senior Notes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2029 Senior Notes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Fair Value of 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Other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As of June 30, 2024, we were in compliance with all financial and other debt covenants under our Revolving Credit Facility, 2026 Senior Notes and 2029 Senior Notes. For more information on our 2026 Senior Notes, see </w:t>
      </w:r>
      <w:r>
        <w:rPr>
          <w:rFonts w:ascii="Arial;sans-serif" w:hAnsi="Arial;sans-serif"/>
          <w:b w:val="false"/>
          <w:i/>
          <w:color w:val="000000"/>
          <w:sz w:val="20"/>
        </w:rPr>
        <w:t>Part II,</w:t>
      </w:r>
      <w:r>
        <w:rPr>
          <w:color w:val="000000"/>
        </w:rPr>
        <w:t xml:space="preserve"> </w:t>
      </w:r>
      <w:r>
        <w:rPr>
          <w:rFonts w:ascii="Arial;sans-serif" w:hAnsi="Arial;sans-serif"/>
          <w:b w:val="false"/>
          <w:i/>
          <w:color w:val="000000"/>
          <w:sz w:val="20"/>
        </w:rPr>
        <w:t xml:space="preserve">Item 8 – Financial Statements and Supplementary Data, Note 4 Debt </w:t>
      </w:r>
      <w:r>
        <w:rPr>
          <w:rFonts w:ascii="Arial;sans-serif" w:hAnsi="Arial;sans-serif"/>
          <w:b w:val="false"/>
          <w:color w:val="000000"/>
          <w:sz w:val="20"/>
        </w:rPr>
        <w:t xml:space="preserve">in our 2023 Annual Report.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4    LAWSUITS, CLAIMS, COMMITMENTS AND CONTINGENCIES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accrue reserves for currently outstanding lawsuits, claims and proceedings when we determine it is probable that a liability has been incurred and the liability can be reasonably estimated. Reserve balances for these items at June 30, 2024 and December 31, 2023 were not material to our condensed consolidated balance sheets as of such dates. We also evaluate the amount of reasonably possible losses that we could incur as a result of these matters. We believe that reasonably possible losses that we could incur in excess of reserves cannot be accurately determined.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October 2020, Signal Hill Services, Inc. defaulted on its decommissioning obligations associated with two offshore platforms. The Bureau of Safety and Environmental Enforcement (BSEE) determined that former lessees, including our former parent, Occidental Petroleum Corporation (Oxy) with a 37.5% share, are responsible for accrued decommissioning obligations associated with these offshore platforms. Oxy sold its interest in the platforms approximately 30 years ago and it is our understanding that Oxy has not had any connection to the operations since that time and was challenging BSEE's order. Oxy notified us of the claim under the indemnification provisions of the Separation and Distribution Agreement between us and Oxy. In September 2021, we accepted the indemnification claim from Oxy and are challenging the order from BSEE. In March 2024, we entered into a cost sharing agreement with former lessees to share in ongoing maintenance costs during the pendency of the challenge to the BSEE order. We estimate our ongoing share of maintenance costs for the platforms could be approximately $5 million per year. Due to the preliminary stage of the process, no cost estimates to abandon the offshore platforms have been determined.</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5    DERIVATIVES</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continue to maintain a commodity hedging program primarily focused on crude oil to help protect our cash flows, margins and capital program from the volatility of commodity prices. We also enter into natural gas swaps for the purpose of hedging our fuel consumption at one of our steamfloods as well as swaps for natural gas purchases and sales related to our marketing activities. We did not have any derivative instruments designated as accounting hedges as of and for the three and six months ended June 30, 2024 and 2023. Unless otherwise indicated, we use the term "hedge" to describe derivative instruments that are designed to implement our hedging strategy.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Summary of Derivative Contracts</w:t>
      </w:r>
    </w:p>
    <w:p>
      <w:pPr>
        <w:pStyle w:val="TextBody"/>
        <w:bidi w:val="0"/>
        <w:spacing w:before="0" w:after="0"/>
        <w:jc w:val="left"/>
        <w:rPr/>
      </w:pPr>
      <w:r>
        <w:rPr/>
      </w:r>
    </w:p>
    <w:p>
      <w:pPr>
        <w:pStyle w:val="TextBody"/>
        <w:bidi w:val="0"/>
        <w:spacing w:lineRule="auto" w:line="276"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held the following Brent-based contracts as of June 30, 2024:</w:t>
      </w:r>
    </w:p>
    <w:p>
      <w:pPr>
        <w:pStyle w:val="TextBody"/>
        <w:bidi w:val="0"/>
        <w:spacing w:before="0" w:after="0"/>
        <w:ind w:left="0" w:right="0" w:firstLine="360"/>
        <w:jc w:val="left"/>
        <w:rPr/>
      </w:pPr>
      <w:r>
        <w:rPr/>
      </w:r>
    </w:p>
    <w:tbl>
      <w:tblPr>
        <w:tblW w:w="9540" w:type="dxa"/>
        <w:jc w:val="left"/>
        <w:tblInd w:w="0" w:type="dxa"/>
        <w:tblLayout w:type="fixed"/>
        <w:tblCellMar>
          <w:top w:w="28" w:type="dxa"/>
          <w:left w:w="28" w:type="dxa"/>
          <w:bottom w:w="28" w:type="dxa"/>
          <w:right w:w="28" w:type="dxa"/>
        </w:tblCellMar>
      </w:tblPr>
      <w:tblGrid>
        <w:gridCol w:w="1437"/>
        <w:gridCol w:w="794"/>
        <w:gridCol w:w="79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Q3</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Q4</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Q2</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2H</w:t>
              <w:br/>
              <w:t>2025</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Sold Calls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Barrels per day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price per barrel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Purchased Puts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Barrels per day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price per barrel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Barrels per day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price per barrel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outcomes of the derivative positions are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Sold calls – we make settlement payments for prices above the indicated weighted-average price per barrel.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Purchased puts – we receive settlement payments for prices below the indicated weighted-average price per barrel.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Swaps – we make settlement payments for prices above the indicated weighted-average price per barrel and receive settlement payments for prices below the indicated weighted-average price per barrel.</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At June 30, 2024, we also held the following swaps to hedge purchased natural gas used in our operations as shown in the table below. </w:t>
      </w:r>
    </w:p>
    <w:p>
      <w:pPr>
        <w:pStyle w:val="TextBody"/>
        <w:bidi w:val="0"/>
        <w:spacing w:before="0" w:after="0"/>
        <w:ind w:left="0" w:right="0" w:firstLine="360"/>
        <w:jc w:val="left"/>
        <w:rPr/>
      </w:pPr>
      <w:r>
        <w:rPr/>
      </w:r>
    </w:p>
    <w:tbl>
      <w:tblPr>
        <w:tblW w:w="5492" w:type="dxa"/>
        <w:jc w:val="left"/>
        <w:tblInd w:w="0" w:type="dxa"/>
        <w:tblLayout w:type="fixed"/>
        <w:tblCellMar>
          <w:top w:w="28" w:type="dxa"/>
          <w:left w:w="28" w:type="dxa"/>
          <w:bottom w:w="28" w:type="dxa"/>
          <w:right w:w="28" w:type="dxa"/>
        </w:tblCellMar>
      </w:tblPr>
      <w:tblGrid>
        <w:gridCol w:w="1167"/>
        <w:gridCol w:w="1033"/>
        <w:gridCol w:w="980"/>
        <w:gridCol w:w="109"/>
        <w:gridCol w:w="109"/>
        <w:gridCol w:w="211"/>
        <w:gridCol w:w="541"/>
        <w:gridCol w:w="109"/>
        <w:gridCol w:w="109"/>
        <w:gridCol w:w="109"/>
        <w:gridCol w:w="109"/>
        <w:gridCol w:w="211"/>
        <w:gridCol w:w="541"/>
        <w:gridCol w:w="154"/>
      </w:tblGrid>
      <w:tr>
        <w:trPr/>
        <w:tc>
          <w:tcPr>
            <w:tcW w:w="11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Q3</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Q4</w:t>
              <w:br/>
              <w:t>2024</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MMBtu per day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Weighted-average price per MMBtu</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also have a limited number of derivative contracts related to our natural gas marketing activities that are intended to lock in locational price spreads. These derivative contracts are not significant to our results of operations or financial statements taken as a whole. </w:t>
      </w:r>
    </w:p>
    <w:p>
      <w:pPr>
        <w:pStyle w:val="TextBody"/>
        <w:bidi w:val="0"/>
        <w:spacing w:before="0" w:after="0"/>
        <w:ind w:left="0" w:right="0" w:firstLine="36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Fair Value of Derivatives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Derivative instruments not designated as hedging instruments are required to be recorded on the balance sheet at fair value. We report gains and losses on our derivative contracts which hedge commodity price risk related to our oil production and our marketing activities in operating revenue on our consolidated statements of operations as shown in the table below: </w:t>
      </w:r>
    </w:p>
    <w:p>
      <w:pPr>
        <w:pStyle w:val="TextBody"/>
        <w:bidi w:val="0"/>
        <w:spacing w:before="0" w:after="0"/>
        <w:ind w:left="0" w:right="0" w:firstLine="360"/>
        <w:jc w:val="left"/>
        <w:rPr/>
      </w:pPr>
      <w:r>
        <w:rPr/>
      </w:r>
    </w:p>
    <w:tbl>
      <w:tblPr>
        <w:tblW w:w="8133" w:type="dxa"/>
        <w:jc w:val="center"/>
        <w:tblInd w:w="0" w:type="dxa"/>
        <w:tblLayout w:type="fixed"/>
        <w:tblCellMar>
          <w:top w:w="28" w:type="dxa"/>
          <w:left w:w="28" w:type="dxa"/>
          <w:bottom w:w="28" w:type="dxa"/>
          <w:right w:w="28" w:type="dxa"/>
        </w:tblCellMar>
      </w:tblPr>
      <w:tblGrid>
        <w:gridCol w:w="1394"/>
        <w:gridCol w:w="1227"/>
        <w:gridCol w:w="1234"/>
        <w:gridCol w:w="248"/>
        <w:gridCol w:w="443"/>
        <w:gridCol w:w="128"/>
        <w:gridCol w:w="128"/>
        <w:gridCol w:w="128"/>
        <w:gridCol w:w="128"/>
        <w:gridCol w:w="248"/>
        <w:gridCol w:w="443"/>
        <w:gridCol w:w="128"/>
        <w:gridCol w:w="109"/>
        <w:gridCol w:w="109"/>
        <w:gridCol w:w="109"/>
        <w:gridCol w:w="211"/>
        <w:gridCol w:w="436"/>
        <w:gridCol w:w="109"/>
        <w:gridCol w:w="109"/>
        <w:gridCol w:w="109"/>
        <w:gridCol w:w="109"/>
        <w:gridCol w:w="211"/>
        <w:gridCol w:w="481"/>
        <w:gridCol w:w="154"/>
      </w:tblGrid>
      <w:tr>
        <w:trPr/>
        <w:tc>
          <w:tcPr>
            <w:tcW w:w="139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Non-cash commodity derivative gain (loss)</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Settlements and premiums</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gain (loss) from commodity derivatives</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report gains and losses on our derivative contracts for purchased natural gas used to generate steam for our steamflood operations as a component of operating expense on our consolidated statement of operations. For the three and six months ended June 30, 2024, we recognized a net loss of $1 million (which includes a non-cash gain of $3 million and $4 million of settlement payments) and a net loss of $2 million (which includes a non-cash gain of $4 million and $6 million of settlement payments) in other operating expenses, net on our consolidated statement of operations. We did not have derivative contracts related to purchased natural gas for our marketing activities during the three and six months ended June 30, 2023.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derivative contracts are measured at fair value using industry-standard models with various inputs, including quoted forward prices, and are classified as Level 2 in the required fair value hierarchy for the periods presented.</w:t>
      </w:r>
    </w:p>
    <w:p>
      <w:pPr>
        <w:pStyle w:val="TextBody"/>
        <w:bidi w:val="0"/>
        <w:spacing w:before="0" w:after="0"/>
        <w:jc w:val="center"/>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tables present the fair values of our outstanding commodity derivatives as of June 30, 2024 and December 31, 2023:</w:t>
      </w:r>
    </w:p>
    <w:p>
      <w:pPr>
        <w:pStyle w:val="TextBody"/>
        <w:bidi w:val="0"/>
        <w:spacing w:before="0" w:after="0"/>
        <w:ind w:left="0" w:right="0" w:firstLine="360"/>
        <w:jc w:val="left"/>
        <w:rPr/>
      </w:pPr>
      <w:r>
        <w:rPr/>
      </w:r>
    </w:p>
    <w:tbl>
      <w:tblPr>
        <w:tblW w:w="8354" w:type="dxa"/>
        <w:jc w:val="center"/>
        <w:tblInd w:w="0" w:type="dxa"/>
        <w:tblLayout w:type="fixed"/>
        <w:tblCellMar>
          <w:top w:w="28" w:type="dxa"/>
          <w:left w:w="28" w:type="dxa"/>
          <w:bottom w:w="28" w:type="dxa"/>
          <w:right w:w="28" w:type="dxa"/>
        </w:tblCellMar>
      </w:tblPr>
      <w:tblGrid>
        <w:gridCol w:w="831"/>
        <w:gridCol w:w="731"/>
        <w:gridCol w:w="733"/>
        <w:gridCol w:w="109"/>
        <w:gridCol w:w="109"/>
        <w:gridCol w:w="109"/>
        <w:gridCol w:w="843"/>
        <w:gridCol w:w="1507"/>
        <w:gridCol w:w="439"/>
        <w:gridCol w:w="109"/>
        <w:gridCol w:w="109"/>
        <w:gridCol w:w="109"/>
        <w:gridCol w:w="222"/>
        <w:gridCol w:w="436"/>
        <w:gridCol w:w="116"/>
        <w:gridCol w:w="109"/>
        <w:gridCol w:w="109"/>
        <w:gridCol w:w="109"/>
        <w:gridCol w:w="399"/>
        <w:gridCol w:w="825"/>
        <w:gridCol w:w="291"/>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83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r>
      <w:tr>
        <w:trPr/>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Classification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Gross Amounts at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Net Fair Value </w:t>
            </w:r>
          </w:p>
        </w:tc>
      </w:tr>
      <w:tr>
        <w:trPr/>
        <w:tc>
          <w:tcPr>
            <w:tcW w:w="2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354" w:type="dxa"/>
        <w:jc w:val="center"/>
        <w:tblInd w:w="0" w:type="dxa"/>
        <w:tblLayout w:type="fixed"/>
        <w:tblCellMar>
          <w:top w:w="28" w:type="dxa"/>
          <w:left w:w="28" w:type="dxa"/>
          <w:bottom w:w="28" w:type="dxa"/>
          <w:right w:w="28" w:type="dxa"/>
        </w:tblCellMar>
      </w:tblPr>
      <w:tblGrid>
        <w:gridCol w:w="831"/>
        <w:gridCol w:w="731"/>
        <w:gridCol w:w="733"/>
        <w:gridCol w:w="109"/>
        <w:gridCol w:w="109"/>
        <w:gridCol w:w="109"/>
        <w:gridCol w:w="843"/>
        <w:gridCol w:w="1507"/>
        <w:gridCol w:w="439"/>
        <w:gridCol w:w="109"/>
        <w:gridCol w:w="109"/>
        <w:gridCol w:w="109"/>
        <w:gridCol w:w="222"/>
        <w:gridCol w:w="436"/>
        <w:gridCol w:w="116"/>
        <w:gridCol w:w="109"/>
        <w:gridCol w:w="109"/>
        <w:gridCol w:w="109"/>
        <w:gridCol w:w="431"/>
        <w:gridCol w:w="769"/>
        <w:gridCol w:w="315"/>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83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2023</w:t>
            </w:r>
          </w:p>
        </w:tc>
      </w:tr>
      <w:tr>
        <w:trPr/>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Classification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Gross Amounts at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Net Fair Value </w:t>
            </w:r>
          </w:p>
        </w:tc>
      </w:tr>
      <w:tr>
        <w:trPr/>
        <w:tc>
          <w:tcPr>
            <w:tcW w:w="2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6    INCOME TAXES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components of our total income tax provision:</w:t>
      </w:r>
    </w:p>
    <w:p>
      <w:pPr>
        <w:pStyle w:val="TextBody"/>
        <w:bidi w:val="0"/>
        <w:spacing w:before="0" w:after="0"/>
        <w:ind w:left="0" w:right="0" w:firstLine="360"/>
        <w:jc w:val="left"/>
        <w:rPr/>
      </w:pPr>
      <w:r>
        <w:rPr/>
      </w:r>
    </w:p>
    <w:tbl>
      <w:tblPr>
        <w:tblW w:w="7672" w:type="dxa"/>
        <w:jc w:val="left"/>
        <w:tblInd w:w="0" w:type="dxa"/>
        <w:tblLayout w:type="fixed"/>
        <w:tblCellMar>
          <w:top w:w="28" w:type="dxa"/>
          <w:left w:w="28" w:type="dxa"/>
          <w:bottom w:w="28" w:type="dxa"/>
          <w:right w:w="28" w:type="dxa"/>
        </w:tblCellMar>
      </w:tblPr>
      <w:tblGrid>
        <w:gridCol w:w="1259"/>
        <w:gridCol w:w="1108"/>
        <w:gridCol w:w="1113"/>
        <w:gridCol w:w="234"/>
        <w:gridCol w:w="417"/>
        <w:gridCol w:w="121"/>
        <w:gridCol w:w="121"/>
        <w:gridCol w:w="121"/>
        <w:gridCol w:w="121"/>
        <w:gridCol w:w="234"/>
        <w:gridCol w:w="534"/>
        <w:gridCol w:w="121"/>
        <w:gridCol w:w="109"/>
        <w:gridCol w:w="109"/>
        <w:gridCol w:w="109"/>
        <w:gridCol w:w="213"/>
        <w:gridCol w:w="334"/>
        <w:gridCol w:w="110"/>
        <w:gridCol w:w="110"/>
        <w:gridCol w:w="110"/>
        <w:gridCol w:w="110"/>
        <w:gridCol w:w="213"/>
        <w:gridCol w:w="486"/>
        <w:gridCol w:w="155"/>
      </w:tblGrid>
      <w:tr>
        <w:trPr/>
        <w:tc>
          <w:tcPr>
            <w:tcW w:w="125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income tax provision</w:t>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income tax provision (benefit)</w:t>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income tax provision (benefit)</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annual effective tax rate of 27% differed from the U.S. federal statutory tax rate of 21% for the three months ended June 30, 2024 primarily due to state taxes. Our annual effective tax rate of 75% differed from the U.S. federal statutory rate of 21% for the six months ended June 30, 2024 primarily due to the settlement of stock-based compensation awards in the first quarter of 2024 at a share price which exceeded the grant date value used to recognize compensation expense for financial accounting. This difference resulted in a tax benefit and had the effect of increasing our effective tax rate for the six months ended June 30, 2024.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Our annual effective tax rate of 28% differed from the U.S. federal statutory tax rate of 21% for the three and six months ended June 30, 2023 primarily due to state taxes. During the six months ended June 30, 2023 we recognized a tax benefit for the release of a valuation allowance, which was recognized in 2022. See </w:t>
      </w:r>
      <w:r>
        <w:rPr>
          <w:rFonts w:ascii="Arial;sans-serif" w:hAnsi="Arial;sans-serif"/>
          <w:b w:val="false"/>
          <w:i/>
          <w:color w:val="000000"/>
          <w:sz w:val="20"/>
        </w:rPr>
        <w:t xml:space="preserve">Part II, Item 8 – Financial Statements and Supplementary Data, Note 7 Income Taxes </w:t>
      </w:r>
      <w:r>
        <w:rPr>
          <w:rFonts w:ascii="Arial;sans-serif" w:hAnsi="Arial;sans-serif"/>
          <w:b w:val="false"/>
          <w:color w:val="000000"/>
          <w:sz w:val="20"/>
        </w:rPr>
        <w:t xml:space="preserve">in our 2023 Annual Report for additional information.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Management expects to realize the recorded deferred tax assets primarily through future income and reversal of taxable temporary differences. Realization of our existing deferred tax assets is not assured and depends on a number of factors including our ability to generate sufficient taxable income in future periods.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7    DIVESTITURES, ACQUISITIONS AND ASSETS HELD FOR SALE</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Divestitures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Fort Apache in Huntington Beach</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March 2024, we sold our 0.9-acre Fort Apache real estate property in Huntington Beach, California for purchase price of $10 million and recognized a $6 million gain.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Other</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During the three and six months ended June 30, 2024, we sold non-core assets recognizing a $1 million gain.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the six months ended June 30, 2023, we sold a non-producing asset in exchange for the assumption of liabilities, recognizing a $7 million gain related to the liability reduction. </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Acquisitions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the three and six months ended June 30, 2024, we acquired land for our carbon management business for approximately $6 million. In the three and six months ended June 30, 2023, we acquired land for our carbon management business for approximately $1 million.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Assets Held for Sale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Ventura Basin Transactions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During 2021 and 2022, we entered into transactions to sell our Ventura basin assets. The transaction contemplates multiple closings that are subject to customary closing conditions. The transfer of the remaining assets in the Ventura basin was approved in June 2024 by the State Lands Commission. We expect to close on the sale of these assets in the second half of 2024. These remaining assets, consisting of property, plant and equipment and associated asset retirement obligations, are classified as held for sale on our condensed consolidated balance sheets at June 30, 2024 and December 31, 2023. See </w:t>
      </w:r>
      <w:r>
        <w:rPr>
          <w:rFonts w:ascii="Arial;sans-serif" w:hAnsi="Arial;sans-serif"/>
          <w:b w:val="false"/>
          <w:i/>
          <w:color w:val="000000"/>
          <w:sz w:val="20"/>
        </w:rPr>
        <w:t xml:space="preserve">Part II, Item 8 – Financial Statements and Supplementary Data, Note 8 Divestitures and Acquisitions </w:t>
      </w:r>
      <w:r>
        <w:rPr>
          <w:rFonts w:ascii="Arial;sans-serif" w:hAnsi="Arial;sans-serif"/>
          <w:b w:val="false"/>
          <w:color w:val="000000"/>
          <w:sz w:val="20"/>
        </w:rPr>
        <w:t xml:space="preserve">in our 2023 Annual Report for additional information on the Ventura basin transactions.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Other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2022, we acquired properties for carbon management activities for approximately $17 million, with the intent to divest a portion of these assets. We recorded these assets at fair value recognizing an impairment of $3 million in the first quarter of 2023. The fair value, using Level 3 inputs in the fair value hierarchy, declined during the first quarter of 2023 due to market conditions (including inflation and rising interest rates). The assets being divested are classified as held for sale as of June 30, 2024 on our condensed consolidated balance sheet.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8    STOCKHOLDERS' EQUITY</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Share Repurchase Program</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Board of Directors has authorized a Share Repurchase Program to acquire up to $1.35 billion of our common stock through December 31, 2025. The repurchases may be effected from time-to-time through open market purchases, privately negotiated transactions, Rule 10b5-1 plans, accelerated stock repurchases, derivative contracts or otherwise in compliance with Rule 10b-18, subject to market conditions. The Share Repurchase Program does not obligate us to repurchase any dollar amount or number of shares and our Board of Directors may modify, suspend or discontinue authorization of the program at any time. The following is a summary of our share repurchases, which are held as treasury stock, for the periods presented: </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127"/>
        <w:gridCol w:w="928"/>
        <w:gridCol w:w="932"/>
        <w:gridCol w:w="944"/>
        <w:gridCol w:w="750"/>
        <w:gridCol w:w="752"/>
        <w:gridCol w:w="109"/>
        <w:gridCol w:w="109"/>
        <w:gridCol w:w="109"/>
        <w:gridCol w:w="564"/>
        <w:gridCol w:w="1289"/>
        <w:gridCol w:w="293"/>
        <w:gridCol w:w="109"/>
        <w:gridCol w:w="109"/>
        <w:gridCol w:w="109"/>
        <w:gridCol w:w="410"/>
        <w:gridCol w:w="1257"/>
        <w:gridCol w:w="305"/>
      </w:tblGrid>
      <w:tr>
        <w:trPr/>
        <w:tc>
          <w:tcPr>
            <w:tcW w:w="112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2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 Value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Average Price Paid per Share</w:t>
            </w:r>
          </w:p>
        </w:tc>
      </w:tr>
      <w:tr>
        <w:trPr/>
        <w:tc>
          <w:tcPr>
            <w:tcW w:w="2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per share)</w:t>
            </w:r>
          </w:p>
        </w:tc>
      </w:tr>
      <w:tr>
        <w:trPr/>
        <w:tc>
          <w:tcPr>
            <w:tcW w:w="29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Three months ended June 30, 2023</w:t>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1,618,746 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39.12 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Three months ended June 30, 2024</w:t>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703,839 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Six months ended June 30, 2023</w:t>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3,042,510 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40.12 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Six months ended June 30, 2024</w:t>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1,769,603 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51.85 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Inception of Program (May 2021) through June 30, 2024</w:t>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16,633,518 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41.74 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Note: The total value of shares purchased includes approximately $1 million in both the six months ended June 30, 2024 and 2023 related to excise taxes on share repurchases, which was effective beginning on January 1, 2023. Commissions paid on share repurchases were not significant in all periods presented.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Dividends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Board of Directors declared the following cash dividends for each of the periods presented. </w:t>
      </w:r>
    </w:p>
    <w:p>
      <w:pPr>
        <w:pStyle w:val="TextBody"/>
        <w:bidi w:val="0"/>
        <w:spacing w:before="0" w:after="0"/>
        <w:ind w:left="0" w:right="0" w:firstLine="360"/>
        <w:jc w:val="left"/>
        <w:rPr/>
      </w:pPr>
      <w:r>
        <w:rPr/>
      </w:r>
    </w:p>
    <w:tbl>
      <w:tblPr>
        <w:tblW w:w="6626" w:type="dxa"/>
        <w:jc w:val="left"/>
        <w:tblInd w:w="0" w:type="dxa"/>
        <w:tblLayout w:type="fixed"/>
        <w:tblCellMar>
          <w:top w:w="28" w:type="dxa"/>
          <w:left w:w="28" w:type="dxa"/>
          <w:bottom w:w="28" w:type="dxa"/>
          <w:right w:w="28" w:type="dxa"/>
        </w:tblCellMar>
      </w:tblPr>
      <w:tblGrid>
        <w:gridCol w:w="1199"/>
        <w:gridCol w:w="1051"/>
        <w:gridCol w:w="1064"/>
        <w:gridCol w:w="441"/>
        <w:gridCol w:w="785"/>
        <w:gridCol w:w="229"/>
        <w:gridCol w:w="109"/>
        <w:gridCol w:w="109"/>
        <w:gridCol w:w="109"/>
        <w:gridCol w:w="289"/>
        <w:gridCol w:w="1030"/>
        <w:gridCol w:w="211"/>
      </w:tblGrid>
      <w:tr>
        <w:trPr/>
        <w:tc>
          <w:tcPr>
            <w:tcW w:w="119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 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Rate Per Share</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per share)</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2024</w:t>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March 31, 2024</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June 30, 2024</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Six months ended June 30, 2024</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2023</w:t>
            </w:r>
          </w:p>
        </w:tc>
        <w:tc>
          <w:tcPr>
            <w:tcW w:w="14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March 31, 2023</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0.2825 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June 30, 2023</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0.2825 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Six months ended June 30, 2023</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In addition to dividends on our common stock shown in the table above, we paid </w:t>
      </w:r>
      <w:r>
        <w:rPr>
          <w:rFonts w:ascii="Arial;sans-serif" w:hAnsi="Arial;sans-serif"/>
          <w:b w:val="false"/>
          <w:color w:val="000000"/>
          <w:sz w:val="20"/>
        </w:rPr>
        <w:t>$4 million</w:t>
      </w:r>
      <w:r>
        <w:rPr>
          <w:color w:val="000000"/>
          <w:shd w:fill="FFFFFF" w:val="clear"/>
        </w:rPr>
        <w:t xml:space="preserve"> </w:t>
      </w:r>
      <w:r>
        <w:rPr>
          <w:rFonts w:ascii="Arial;sans-serif" w:hAnsi="Arial;sans-serif"/>
          <w:b w:val="false"/>
          <w:color w:val="000000"/>
          <w:sz w:val="20"/>
          <w:shd w:fill="FFFFFF" w:val="clear"/>
        </w:rPr>
        <w:t xml:space="preserve">on equity-settled stock-based compensation awards in the six months ended </w:t>
      </w:r>
      <w:r>
        <w:rPr>
          <w:rFonts w:ascii="Arial;sans-serif" w:hAnsi="Arial;sans-serif"/>
          <w:b w:val="false"/>
          <w:color w:val="000000"/>
          <w:sz w:val="20"/>
        </w:rPr>
        <w:t>June 30, 2024</w:t>
      </w:r>
      <w:r>
        <w:rPr>
          <w:rFonts w:ascii="Arial;sans-serif" w:hAnsi="Arial;sans-serif"/>
          <w:b w:val="false"/>
          <w:color w:val="000000"/>
          <w:sz w:val="20"/>
          <w:shd w:fill="FFFFFF" w:val="clear"/>
        </w:rPr>
        <w:t xml:space="preserve">. Future cash dividends, and the establishment of record and payment dates, are subject to final determination by our Board of Directors each quarter after reviewing our financial performance and position. See </w:t>
      </w:r>
      <w:r>
        <w:rPr>
          <w:rFonts w:ascii="Arial;sans-serif" w:hAnsi="Arial;sans-serif"/>
          <w:b w:val="false"/>
          <w:i/>
          <w:color w:val="000000"/>
          <w:sz w:val="20"/>
          <w:shd w:fill="FFFFFF" w:val="clear"/>
        </w:rPr>
        <w:t>Note 13 Subsequent Events</w:t>
      </w:r>
      <w:r>
        <w:rPr>
          <w:color w:val="000000"/>
          <w:shd w:fill="FFFFFF" w:val="clear"/>
        </w:rPr>
        <w:t xml:space="preserve"> </w:t>
      </w:r>
      <w:r>
        <w:rPr>
          <w:rFonts w:ascii="Arial;sans-serif" w:hAnsi="Arial;sans-serif"/>
          <w:b w:val="false"/>
          <w:color w:val="000000"/>
          <w:sz w:val="20"/>
          <w:shd w:fill="FFFFFF" w:val="clear"/>
        </w:rPr>
        <w:t xml:space="preserve">for information on future cash dividends.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Warrants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October 2020, we reserved an aggregate 4,384,182 shares of our common stock for warrants, which are exercisable at $36 per share through October 2024.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As of June 30, 2024, we had outstanding warrants exercisable into 4,119,144 shares of our common stock (subject to adjustments pursuant to the terms of the warrants). During the three and six months ended June 30, 2024, we issued 34,474 and 53,325 shares of our common stock in exchange for warrants. During the three and six months ended June 30, 2023, we issued an insignificant number of shares of our common stock in exchange for warrants.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See </w:t>
      </w:r>
      <w:r>
        <w:rPr>
          <w:rFonts w:ascii="Arial;sans-serif" w:hAnsi="Arial;sans-serif"/>
          <w:b w:val="false"/>
          <w:i/>
          <w:color w:val="000000"/>
          <w:sz w:val="20"/>
        </w:rPr>
        <w:t xml:space="preserve">Part II, Item 8 – Financial Statements and Supplementary Data, Note 10 Stockholders' Equity </w:t>
      </w:r>
      <w:r>
        <w:rPr>
          <w:rFonts w:ascii="Arial;sans-serif" w:hAnsi="Arial;sans-serif"/>
          <w:b w:val="false"/>
          <w:color w:val="000000"/>
          <w:sz w:val="20"/>
        </w:rPr>
        <w:t>in our 2023 Annual Report for additional information on the terms of our warrants.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9    EARNINGS PER SHARE</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Basic and diluted earnings per share (EPS) were calculated using the treasury stock method for the three and six months ended June 30, 2024 and 2023. Our restricted stock unit (RSU) and performance stock unit (PSU) awards are not considered participating securities since the dividend rights on unvested shares are forfeitable.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For basic EPS, the weighted-average number of common shares outstanding excludes shares underlying our equity-settled awards and warrants. For diluted EPS, the basic shares outstanding are adjusted by adding potential common shares, if dilutive.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calculation of basic and diluted EPS, for the three and six months ended June 30, 2024 and 2023:</w:t>
      </w:r>
    </w:p>
    <w:p>
      <w:pPr>
        <w:pStyle w:val="TextBody"/>
        <w:bidi w:val="0"/>
        <w:spacing w:before="0" w:after="0"/>
        <w:jc w:val="left"/>
        <w:rPr/>
      </w:pPr>
      <w:r>
        <w:rPr/>
      </w:r>
    </w:p>
    <w:tbl>
      <w:tblPr>
        <w:tblW w:w="8100" w:type="dxa"/>
        <w:jc w:val="left"/>
        <w:tblInd w:w="0" w:type="dxa"/>
        <w:tblLayout w:type="fixed"/>
        <w:tblCellMar>
          <w:top w:w="28" w:type="dxa"/>
          <w:left w:w="28" w:type="dxa"/>
          <w:bottom w:w="28" w:type="dxa"/>
          <w:right w:w="28" w:type="dxa"/>
        </w:tblCellMar>
      </w:tblPr>
      <w:tblGrid>
        <w:gridCol w:w="1293"/>
        <w:gridCol w:w="1137"/>
        <w:gridCol w:w="1140"/>
        <w:gridCol w:w="211"/>
        <w:gridCol w:w="541"/>
        <w:gridCol w:w="109"/>
        <w:gridCol w:w="109"/>
        <w:gridCol w:w="109"/>
        <w:gridCol w:w="109"/>
        <w:gridCol w:w="211"/>
        <w:gridCol w:w="541"/>
        <w:gridCol w:w="109"/>
        <w:gridCol w:w="109"/>
        <w:gridCol w:w="109"/>
        <w:gridCol w:w="109"/>
        <w:gridCol w:w="211"/>
        <w:gridCol w:w="601"/>
        <w:gridCol w:w="109"/>
        <w:gridCol w:w="109"/>
        <w:gridCol w:w="109"/>
        <w:gridCol w:w="109"/>
        <w:gridCol w:w="211"/>
        <w:gridCol w:w="541"/>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 except per-share amounts)</w:t>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Numerator for Basic and Diluted EPS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Denominator for Basic EPS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Potential common shares, if dilutive: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Warrants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Performance stock units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Denominator for Diluted EPS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EPS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Basic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potentially dilutive weighted-average common shares which were excluded from the denominator for diluted EPS in periods of losses:</w:t>
      </w:r>
    </w:p>
    <w:tbl>
      <w:tblPr>
        <w:tblW w:w="8064" w:type="dxa"/>
        <w:jc w:val="left"/>
        <w:tblInd w:w="0" w:type="dxa"/>
        <w:tblLayout w:type="fixed"/>
        <w:tblCellMar>
          <w:top w:w="28" w:type="dxa"/>
          <w:left w:w="28" w:type="dxa"/>
          <w:bottom w:w="28" w:type="dxa"/>
          <w:right w:w="28" w:type="dxa"/>
        </w:tblCellMar>
      </w:tblPr>
      <w:tblGrid>
        <w:gridCol w:w="1380"/>
        <w:gridCol w:w="1210"/>
        <w:gridCol w:w="1219"/>
        <w:gridCol w:w="225"/>
        <w:gridCol w:w="225"/>
        <w:gridCol w:w="225"/>
        <w:gridCol w:w="225"/>
        <w:gridCol w:w="225"/>
        <w:gridCol w:w="225"/>
        <w:gridCol w:w="225"/>
        <w:gridCol w:w="225"/>
        <w:gridCol w:w="225"/>
        <w:gridCol w:w="109"/>
        <w:gridCol w:w="109"/>
        <w:gridCol w:w="109"/>
        <w:gridCol w:w="218"/>
        <w:gridCol w:w="218"/>
        <w:gridCol w:w="196"/>
        <w:gridCol w:w="196"/>
        <w:gridCol w:w="196"/>
        <w:gridCol w:w="196"/>
        <w:gridCol w:w="203"/>
        <w:gridCol w:w="203"/>
        <w:gridCol w:w="277"/>
      </w:tblGrid>
      <w:tr>
        <w:trPr/>
        <w:tc>
          <w:tcPr>
            <w:tcW w:w="138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issuable upon exercise of warrants</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issuable upon settlement of RSUs</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issuable upon settlement of PSUs</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antidilutive shares</w:t>
            </w:r>
          </w:p>
        </w:tc>
        <w:tc>
          <w:tcPr>
            <w:tcW w:w="4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both"/>
        <w:rPr>
          <w:rFonts w:ascii="Arial;sans-serif" w:hAnsi="Arial;sans-serif"/>
          <w:b/>
          <w:color w:val="000000"/>
          <w:sz w:val="20"/>
        </w:rPr>
      </w:pPr>
      <w:r>
        <w:rPr>
          <w:rFonts w:ascii="Arial;sans-serif" w:hAnsi="Arial;sans-serif"/>
          <w:b/>
          <w:color w:val="000000"/>
          <w:sz w:val="20"/>
        </w:rPr>
        <w:t>NOTE 10    SUPPLEMENTAL ACCOUNT BALANCES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Restricted cash</w:t>
      </w:r>
      <w:r>
        <w:rPr>
          <w:color w:val="000000"/>
        </w:rPr>
        <w:t xml:space="preserve"> — </w:t>
      </w:r>
      <w:r>
        <w:rPr>
          <w:rFonts w:ascii="Arial;sans-serif" w:hAnsi="Arial;sans-serif"/>
          <w:b w:val="false"/>
          <w:color w:val="000000"/>
          <w:sz w:val="20"/>
        </w:rPr>
        <w:t xml:space="preserve">Cash and cash equivalents at June 30, 2024 included an insignificant amount that was restricted under oil and natural gas liens in favor of one of our suppliers. We had no restricted cash at December 31, 2023.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Arial;sans-serif" w:hAnsi="Arial;sans-serif"/>
          <w:b/>
          <w:i/>
          <w:color w:val="000000"/>
          <w:sz w:val="20"/>
        </w:rPr>
        <w:t>Revenues</w:t>
      </w:r>
      <w:r>
        <w:rPr>
          <w:color w:val="000000"/>
        </w:rPr>
        <w:t xml:space="preserve"> — </w:t>
      </w:r>
      <w:r>
        <w:rPr>
          <w:rFonts w:ascii="Arial;sans-serif" w:hAnsi="Arial;sans-serif"/>
          <w:b w:val="false"/>
          <w:color w:val="000000"/>
          <w:sz w:val="20"/>
        </w:rPr>
        <w:t xml:space="preserve">We derive most of our revenue from sales of oil, natural gas and NGLs, with the remaining revenue primarily generated from sales of electricity and marketing activities related to storage and managing excess pipeline capacity.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provides disaggregated revenue for sales of produced oil, natural gas and NGLs to customers: </w:t>
      </w:r>
    </w:p>
    <w:p>
      <w:pPr>
        <w:pStyle w:val="TextBody"/>
        <w:bidi w:val="0"/>
        <w:spacing w:before="0" w:after="0"/>
        <w:ind w:left="0" w:right="0" w:firstLine="360"/>
        <w:jc w:val="left"/>
        <w:rPr/>
      </w:pPr>
      <w:r>
        <w:rPr/>
      </w:r>
    </w:p>
    <w:tbl>
      <w:tblPr>
        <w:tblW w:w="7277" w:type="dxa"/>
        <w:jc w:val="left"/>
        <w:tblInd w:w="0" w:type="dxa"/>
        <w:tblLayout w:type="fixed"/>
        <w:tblCellMar>
          <w:top w:w="28" w:type="dxa"/>
          <w:left w:w="28" w:type="dxa"/>
          <w:bottom w:w="28" w:type="dxa"/>
          <w:right w:w="28" w:type="dxa"/>
        </w:tblCellMar>
      </w:tblPr>
      <w:tblGrid>
        <w:gridCol w:w="1005"/>
        <w:gridCol w:w="887"/>
        <w:gridCol w:w="897"/>
        <w:gridCol w:w="221"/>
        <w:gridCol w:w="505"/>
        <w:gridCol w:w="114"/>
        <w:gridCol w:w="114"/>
        <w:gridCol w:w="114"/>
        <w:gridCol w:w="114"/>
        <w:gridCol w:w="221"/>
        <w:gridCol w:w="505"/>
        <w:gridCol w:w="114"/>
        <w:gridCol w:w="109"/>
        <w:gridCol w:w="109"/>
        <w:gridCol w:w="109"/>
        <w:gridCol w:w="211"/>
        <w:gridCol w:w="481"/>
        <w:gridCol w:w="109"/>
        <w:gridCol w:w="109"/>
        <w:gridCol w:w="109"/>
        <w:gridCol w:w="109"/>
        <w:gridCol w:w="211"/>
        <w:gridCol w:w="646"/>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338" w:type="dxa"/>
            <w:gridSpan w:val="6"/>
            <w:tcBorders/>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NGLs</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 natural gas and NGL sales</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From time-to-time, we enter into transactions for third-party production, which we report as revenue from marketing of purchased commodities on our condensed consolidated statements of operations. Revenues from marketing of purchased commodities primarily results from the storage or transportation of natural gas to take advantage of differences in pricing or location, or in the quality of products other than natural gas. The following table provides disaggregated revenue for sales to customers related to our marketing activities:</w:t>
      </w:r>
    </w:p>
    <w:p>
      <w:pPr>
        <w:pStyle w:val="TextBody"/>
        <w:bidi w:val="0"/>
        <w:spacing w:before="0" w:after="0"/>
        <w:jc w:val="left"/>
        <w:rPr/>
      </w:pPr>
      <w:r>
        <w:rPr/>
      </w:r>
    </w:p>
    <w:tbl>
      <w:tblPr>
        <w:tblW w:w="8928" w:type="dxa"/>
        <w:jc w:val="left"/>
        <w:tblInd w:w="0" w:type="dxa"/>
        <w:tblLayout w:type="fixed"/>
        <w:tblCellMar>
          <w:top w:w="28" w:type="dxa"/>
          <w:left w:w="28" w:type="dxa"/>
          <w:bottom w:w="28" w:type="dxa"/>
          <w:right w:w="28" w:type="dxa"/>
        </w:tblCellMar>
      </w:tblPr>
      <w:tblGrid>
        <w:gridCol w:w="1657"/>
        <w:gridCol w:w="1462"/>
        <w:gridCol w:w="1485"/>
        <w:gridCol w:w="244"/>
        <w:gridCol w:w="435"/>
        <w:gridCol w:w="126"/>
        <w:gridCol w:w="126"/>
        <w:gridCol w:w="126"/>
        <w:gridCol w:w="126"/>
        <w:gridCol w:w="244"/>
        <w:gridCol w:w="470"/>
        <w:gridCol w:w="126"/>
        <w:gridCol w:w="109"/>
        <w:gridCol w:w="109"/>
        <w:gridCol w:w="109"/>
        <w:gridCol w:w="211"/>
        <w:gridCol w:w="481"/>
        <w:gridCol w:w="109"/>
        <w:gridCol w:w="109"/>
        <w:gridCol w:w="109"/>
        <w:gridCol w:w="109"/>
        <w:gridCol w:w="211"/>
        <w:gridCol w:w="481"/>
        <w:gridCol w:w="154"/>
      </w:tblGrid>
      <w:tr>
        <w:trPr/>
        <w:tc>
          <w:tcPr>
            <w:tcW w:w="1657"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173" w:type="dxa"/>
            <w:gridSpan w:val="6"/>
            <w:tcBorders/>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w:t>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NGLs</w:t>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Revenue from marketing of purchased commodities</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Inventories</w:t>
      </w:r>
      <w:r>
        <w:rPr>
          <w:color w:val="000000"/>
        </w:rPr>
        <w:t xml:space="preserve"> — </w:t>
      </w:r>
      <w:r>
        <w:rPr>
          <w:rFonts w:ascii="Arial;sans-serif" w:hAnsi="Arial;sans-serif"/>
          <w:b w:val="false"/>
          <w:color w:val="000000"/>
          <w:sz w:val="20"/>
        </w:rPr>
        <w:t>Materials and supplies, which primarily consist of well equipment and tubular goods used in our oil and natural gas operations, are valued at weighted-average cost and are reviewed periodically for obsolescence. Finished goods include produced oil and NGLs in storage, which are valued at the lower of cost or net realizable value. Inventories, by category, are as follows:</w:t>
      </w:r>
    </w:p>
    <w:tbl>
      <w:tblPr>
        <w:tblW w:w="4689" w:type="dxa"/>
        <w:jc w:val="left"/>
        <w:tblInd w:w="0" w:type="dxa"/>
        <w:tblLayout w:type="fixed"/>
        <w:tblCellMar>
          <w:top w:w="28" w:type="dxa"/>
          <w:left w:w="28" w:type="dxa"/>
          <w:bottom w:w="28" w:type="dxa"/>
          <w:right w:w="28" w:type="dxa"/>
        </w:tblCellMar>
      </w:tblPr>
      <w:tblGrid>
        <w:gridCol w:w="750"/>
        <w:gridCol w:w="657"/>
        <w:gridCol w:w="662"/>
        <w:gridCol w:w="268"/>
        <w:gridCol w:w="478"/>
        <w:gridCol w:w="138"/>
        <w:gridCol w:w="109"/>
        <w:gridCol w:w="109"/>
        <w:gridCol w:w="109"/>
        <w:gridCol w:w="400"/>
        <w:gridCol w:w="715"/>
        <w:gridCol w:w="294"/>
      </w:tblGrid>
      <w:tr>
        <w:trPr/>
        <w:tc>
          <w:tcPr>
            <w:tcW w:w="75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1736" w:type="dxa"/>
            <w:gridSpan w:val="6"/>
            <w:tcBorders/>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Materials and supplies</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the three and six months ended June 30, 2024, we recorded an impairment of excess and obsolete materials and supplies of $13 million. The impairment related to the write-down of obsolete materials and supplies to fair value using Level 3 inputs in the fair value hierarchy.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Other current assets, net</w:t>
      </w:r>
      <w:r>
        <w:rPr>
          <w:color w:val="000000"/>
        </w:rPr>
        <w:t xml:space="preserve"> — </w:t>
      </w:r>
      <w:r>
        <w:rPr>
          <w:rFonts w:ascii="Arial;sans-serif" w:hAnsi="Arial;sans-serif"/>
          <w:b w:val="false"/>
          <w:color w:val="000000"/>
          <w:sz w:val="20"/>
        </w:rPr>
        <w:t>Other current assets, net include the following:</w:t>
      </w:r>
    </w:p>
    <w:tbl>
      <w:tblPr>
        <w:tblW w:w="6731" w:type="dxa"/>
        <w:jc w:val="center"/>
        <w:tblInd w:w="0" w:type="dxa"/>
        <w:tblLayout w:type="fixed"/>
        <w:tblCellMar>
          <w:top w:w="28" w:type="dxa"/>
          <w:left w:w="28" w:type="dxa"/>
          <w:bottom w:w="28" w:type="dxa"/>
          <w:right w:w="28" w:type="dxa"/>
        </w:tblCellMar>
      </w:tblPr>
      <w:tblGrid>
        <w:gridCol w:w="1486"/>
        <w:gridCol w:w="1307"/>
        <w:gridCol w:w="1316"/>
        <w:gridCol w:w="233"/>
        <w:gridCol w:w="532"/>
        <w:gridCol w:w="120"/>
        <w:gridCol w:w="109"/>
        <w:gridCol w:w="109"/>
        <w:gridCol w:w="109"/>
        <w:gridCol w:w="351"/>
        <w:gridCol w:w="801"/>
        <w:gridCol w:w="258"/>
      </w:tblGrid>
      <w:tr>
        <w:trPr/>
        <w:tc>
          <w:tcPr>
            <w:tcW w:w="148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Net amounts due from joint interest partners</w:t>
            </w:r>
            <w:r>
              <w:rPr>
                <w:rFonts w:ascii="Arial;sans-serif" w:hAnsi="Arial;sans-serif"/>
                <w:b w:val="false"/>
                <w:color w:val="000000"/>
                <w:sz w:val="13"/>
              </w:rPr>
              <w:t>(a)</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commodity derivative contracts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Greenhouse gas allowances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receivable</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(a)Included in the June 30, 2024 and December 31, 2023 net amounts due from joint interest partners are allowances of $3 million.</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Other noncurrent assets</w:t>
      </w:r>
      <w:r>
        <w:rPr>
          <w:color w:val="000000"/>
        </w:rPr>
        <w:t xml:space="preserve"> — </w:t>
      </w:r>
      <w:r>
        <w:rPr>
          <w:rFonts w:ascii="Arial;sans-serif" w:hAnsi="Arial;sans-serif"/>
          <w:b w:val="false"/>
          <w:color w:val="000000"/>
          <w:sz w:val="20"/>
        </w:rPr>
        <w:t>Other noncurrent assets include the following:</w:t>
      </w:r>
    </w:p>
    <w:tbl>
      <w:tblPr>
        <w:tblW w:w="7152" w:type="dxa"/>
        <w:jc w:val="center"/>
        <w:tblInd w:w="0" w:type="dxa"/>
        <w:tblLayout w:type="fixed"/>
        <w:tblCellMar>
          <w:top w:w="28" w:type="dxa"/>
          <w:left w:w="28" w:type="dxa"/>
          <w:bottom w:w="28" w:type="dxa"/>
          <w:right w:w="28" w:type="dxa"/>
        </w:tblCellMar>
      </w:tblPr>
      <w:tblGrid>
        <w:gridCol w:w="1640"/>
        <w:gridCol w:w="1443"/>
        <w:gridCol w:w="1447"/>
        <w:gridCol w:w="233"/>
        <w:gridCol w:w="532"/>
        <w:gridCol w:w="120"/>
        <w:gridCol w:w="109"/>
        <w:gridCol w:w="109"/>
        <w:gridCol w:w="109"/>
        <w:gridCol w:w="351"/>
        <w:gridCol w:w="801"/>
        <w:gridCol w:w="258"/>
      </w:tblGrid>
      <w:tr>
        <w:trPr/>
        <w:tc>
          <w:tcPr>
            <w:tcW w:w="1640"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737" w:type="dxa"/>
            <w:gridSpan w:val="6"/>
            <w:tcBorders/>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financing costs - Revolving Credit Facility</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Emission reduction credits </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power plant maintenance</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commodity derivative contracts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Deposits and other </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Accrued liabilities</w:t>
      </w:r>
      <w:r>
        <w:rPr>
          <w:color w:val="000000"/>
        </w:rPr>
        <w:t xml:space="preserve"> — </w:t>
      </w:r>
      <w:r>
        <w:rPr>
          <w:rFonts w:ascii="Arial;sans-serif" w:hAnsi="Arial;sans-serif"/>
          <w:b w:val="false"/>
          <w:color w:val="000000"/>
          <w:sz w:val="20"/>
        </w:rPr>
        <w:t>Accrued liabilities include the following:</w:t>
      </w:r>
    </w:p>
    <w:tbl>
      <w:tblPr>
        <w:tblW w:w="8637" w:type="dxa"/>
        <w:jc w:val="center"/>
        <w:tblInd w:w="0" w:type="dxa"/>
        <w:tblLayout w:type="fixed"/>
        <w:tblCellMar>
          <w:top w:w="28" w:type="dxa"/>
          <w:left w:w="28" w:type="dxa"/>
          <w:bottom w:w="28" w:type="dxa"/>
          <w:right w:w="28" w:type="dxa"/>
        </w:tblCellMar>
      </w:tblPr>
      <w:tblGrid>
        <w:gridCol w:w="2179"/>
        <w:gridCol w:w="1916"/>
        <w:gridCol w:w="1920"/>
        <w:gridCol w:w="233"/>
        <w:gridCol w:w="532"/>
        <w:gridCol w:w="120"/>
        <w:gridCol w:w="109"/>
        <w:gridCol w:w="109"/>
        <w:gridCol w:w="109"/>
        <w:gridCol w:w="351"/>
        <w:gridCol w:w="801"/>
        <w:gridCol w:w="258"/>
      </w:tblGrid>
      <w:tr>
        <w:trPr/>
        <w:tc>
          <w:tcPr>
            <w:tcW w:w="2179"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Employee-related costs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other than on income</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derivative contracts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Premiums due on commodity derivative contracts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Liability for settlement payments on commodity derivative contracts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due under production-sharing contracts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Signal Hill maintenance</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payable</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Accrued liabilities</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Other long-term liabilities</w:t>
      </w:r>
      <w:r>
        <w:rPr>
          <w:color w:val="000000"/>
        </w:rPr>
        <w:t xml:space="preserve"> — </w:t>
      </w:r>
      <w:r>
        <w:rPr>
          <w:rFonts w:ascii="Arial;sans-serif" w:hAnsi="Arial;sans-serif"/>
          <w:b w:val="false"/>
          <w:color w:val="000000"/>
          <w:sz w:val="20"/>
        </w:rPr>
        <w:t xml:space="preserve">Other long-term liabilities includes the following: </w:t>
      </w:r>
    </w:p>
    <w:p>
      <w:pPr>
        <w:pStyle w:val="TextBody"/>
        <w:bidi w:val="0"/>
        <w:spacing w:before="0" w:after="0"/>
        <w:ind w:left="0" w:right="0" w:firstLine="360"/>
        <w:jc w:val="left"/>
        <w:rPr/>
      </w:pPr>
      <w:r>
        <w:rPr/>
      </w:r>
    </w:p>
    <w:tbl>
      <w:tblPr>
        <w:tblW w:w="8862" w:type="dxa"/>
        <w:jc w:val="left"/>
        <w:tblInd w:w="0" w:type="dxa"/>
        <w:tblLayout w:type="fixed"/>
        <w:tblCellMar>
          <w:top w:w="28" w:type="dxa"/>
          <w:left w:w="28" w:type="dxa"/>
          <w:bottom w:w="28" w:type="dxa"/>
          <w:right w:w="28" w:type="dxa"/>
        </w:tblCellMar>
      </w:tblPr>
      <w:tblGrid>
        <w:gridCol w:w="2262"/>
        <w:gridCol w:w="1985"/>
        <w:gridCol w:w="1993"/>
        <w:gridCol w:w="233"/>
        <w:gridCol w:w="532"/>
        <w:gridCol w:w="120"/>
        <w:gridCol w:w="109"/>
        <w:gridCol w:w="109"/>
        <w:gridCol w:w="109"/>
        <w:gridCol w:w="351"/>
        <w:gridCol w:w="801"/>
        <w:gridCol w:w="258"/>
      </w:tblGrid>
      <w:tr>
        <w:trPr/>
        <w:tc>
          <w:tcPr>
            <w:tcW w:w="2262"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737" w:type="dxa"/>
            <w:gridSpan w:val="6"/>
            <w:tcBorders/>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Compensation-related liabilities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Postretirement benefit plan</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Fair value of commodity derivative contracts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Premiums due on commodity derivative contracts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liability (related to Carbon TerraVault JV put and call rights)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General and administrative expenses</w:t>
      </w:r>
      <w:r>
        <w:rPr>
          <w:color w:val="000000"/>
        </w:rPr>
        <w:t xml:space="preserve"> — </w:t>
      </w:r>
      <w:r>
        <w:rPr>
          <w:rFonts w:ascii="Arial;sans-serif" w:hAnsi="Arial;sans-serif"/>
          <w:b w:val="false"/>
          <w:color w:val="000000"/>
          <w:sz w:val="20"/>
        </w:rPr>
        <w:t xml:space="preserve">The table below shows G&amp;A expenses for our exploration and production business (including unallocated corporate overhead and other) separately from our carbon management business. The amounts shown for our carbon management business are net of amounts invoiced by us under the MSA with the Carbon TerraVault JV. See </w:t>
      </w:r>
      <w:r>
        <w:rPr>
          <w:rFonts w:ascii="Arial;sans-serif" w:hAnsi="Arial;sans-serif"/>
          <w:b w:val="false"/>
          <w:i/>
          <w:color w:val="000000"/>
          <w:sz w:val="20"/>
        </w:rPr>
        <w:t>Note 2 Investment in Unconsolidated Subsidiary and Related Party Transactions</w:t>
      </w:r>
      <w:r>
        <w:rPr>
          <w:color w:val="000000"/>
        </w:rPr>
        <w:t xml:space="preserve"> </w:t>
      </w:r>
      <w:r>
        <w:rPr>
          <w:rFonts w:ascii="Arial;sans-serif" w:hAnsi="Arial;sans-serif"/>
          <w:b w:val="false"/>
          <w:color w:val="000000"/>
          <w:sz w:val="20"/>
        </w:rPr>
        <w:t xml:space="preserve">for more information on the Carbon TerraVault JV. </w:t>
      </w:r>
    </w:p>
    <w:p>
      <w:pPr>
        <w:pStyle w:val="TextBody"/>
        <w:bidi w:val="0"/>
        <w:spacing w:before="0" w:after="0"/>
        <w:ind w:left="0" w:right="0" w:firstLine="360"/>
        <w:jc w:val="left"/>
        <w:rPr/>
      </w:pPr>
      <w:r>
        <w:rPr/>
      </w:r>
    </w:p>
    <w:tbl>
      <w:tblPr>
        <w:tblW w:w="8553" w:type="dxa"/>
        <w:jc w:val="left"/>
        <w:tblInd w:w="0" w:type="dxa"/>
        <w:tblLayout w:type="fixed"/>
        <w:tblCellMar>
          <w:top w:w="28" w:type="dxa"/>
          <w:left w:w="28" w:type="dxa"/>
          <w:bottom w:w="28" w:type="dxa"/>
          <w:right w:w="28" w:type="dxa"/>
        </w:tblCellMar>
      </w:tblPr>
      <w:tblGrid>
        <w:gridCol w:w="1532"/>
        <w:gridCol w:w="1347"/>
        <w:gridCol w:w="1351"/>
        <w:gridCol w:w="248"/>
        <w:gridCol w:w="443"/>
        <w:gridCol w:w="128"/>
        <w:gridCol w:w="128"/>
        <w:gridCol w:w="128"/>
        <w:gridCol w:w="128"/>
        <w:gridCol w:w="248"/>
        <w:gridCol w:w="443"/>
        <w:gridCol w:w="128"/>
        <w:gridCol w:w="109"/>
        <w:gridCol w:w="109"/>
        <w:gridCol w:w="109"/>
        <w:gridCol w:w="211"/>
        <w:gridCol w:w="481"/>
        <w:gridCol w:w="109"/>
        <w:gridCol w:w="109"/>
        <w:gridCol w:w="109"/>
        <w:gridCol w:w="109"/>
        <w:gridCol w:w="211"/>
        <w:gridCol w:w="481"/>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Exploration and production, corporate and other</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Carbon management business</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general and administrative expenses</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11    SUPPLEMENTAL CASH FLOW INFORMATION</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Supplemental disclosures to our condensed consolidated statements of cash flows, excluding leases and ARO, are presented below:</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2193"/>
        <w:gridCol w:w="1928"/>
        <w:gridCol w:w="1936"/>
        <w:gridCol w:w="235"/>
        <w:gridCol w:w="453"/>
        <w:gridCol w:w="121"/>
        <w:gridCol w:w="121"/>
        <w:gridCol w:w="121"/>
        <w:gridCol w:w="121"/>
        <w:gridCol w:w="235"/>
        <w:gridCol w:w="453"/>
        <w:gridCol w:w="121"/>
        <w:gridCol w:w="109"/>
        <w:gridCol w:w="109"/>
        <w:gridCol w:w="109"/>
        <w:gridCol w:w="218"/>
        <w:gridCol w:w="390"/>
        <w:gridCol w:w="113"/>
        <w:gridCol w:w="113"/>
        <w:gridCol w:w="113"/>
        <w:gridCol w:w="113"/>
        <w:gridCol w:w="218"/>
        <w:gridCol w:w="390"/>
        <w:gridCol w:w="172"/>
      </w:tblGrid>
      <w:tr>
        <w:trPr/>
        <w:tc>
          <w:tcPr>
            <w:tcW w:w="2193"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6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6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6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Cash Flow Information</w:t>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paid, net of amount capitalized</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paid</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income</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 of Non-cash Investing and Financing Activities</w:t>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Contribution to the Carbon TerraVault JV</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Issuance of shares for stock-based compensation awards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accrued for stock-based compensation awards</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Excise tax on share repurchases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12    CONDENSED CONSOLIDATING FINANCIAL INFORMATION</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have designated certain of our subsidiaries as Unrestricted Subsidiaries under the indenture governing our 2026 Senior Notes (2026 Senior Notes Indenture) and 2029 Senior Notes (2029 Senior Notes Indenture). Unrestricted Subsidiaries (as defined in the 2026 Senior Notes Indenture and 2029 Senior Notes Indenture) are subject to fewer restrictions under the indentures. We are required under the 2026 Senior Notes Indenture and 2029 Senior Notes Indenture to present the financial condition and results of operations of CRC and its Restricted Subsidiaries (as defined in the 2026 Senior Notes Indenture and 2029 Senior Notes Indenture) separate from the financial condition and results of operations of its Unrestricted Subsidiaries. The following condensed consolidating balance sheets as of June 30, 2024 and December 31, 2023 and the condensed consolidating statements of operations for the three and six months ended June 30, 2024 and 2023, as applicable, reflect the condensed consolidating financial information of CRC (Parent), our combined Unrestricted Subsidiaries, our combined Restricted Subsidiaries and the elimination entries necessary to arrive at the information for the Company on a consolidated basis. The financial information may not necessarily be indicative of the financial condition and results of operations had the Unrestricted Subsidiaries operated as independent entities.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Consolidating Balance Sheets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of June 30, 2024 and December 31, 2023</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037"/>
        <w:gridCol w:w="414"/>
        <w:gridCol w:w="418"/>
        <w:gridCol w:w="211"/>
        <w:gridCol w:w="646"/>
        <w:gridCol w:w="109"/>
        <w:gridCol w:w="109"/>
        <w:gridCol w:w="109"/>
        <w:gridCol w:w="109"/>
        <w:gridCol w:w="451"/>
        <w:gridCol w:w="1028"/>
        <w:gridCol w:w="233"/>
        <w:gridCol w:w="109"/>
        <w:gridCol w:w="109"/>
        <w:gridCol w:w="109"/>
        <w:gridCol w:w="364"/>
        <w:gridCol w:w="1119"/>
        <w:gridCol w:w="190"/>
        <w:gridCol w:w="109"/>
        <w:gridCol w:w="109"/>
        <w:gridCol w:w="109"/>
        <w:gridCol w:w="281"/>
        <w:gridCol w:w="863"/>
        <w:gridCol w:w="147"/>
        <w:gridCol w:w="109"/>
        <w:gridCol w:w="109"/>
        <w:gridCol w:w="109"/>
        <w:gridCol w:w="288"/>
        <w:gridCol w:w="882"/>
        <w:gridCol w:w="216"/>
      </w:tblGrid>
      <w:tr>
        <w:trPr/>
        <w:tc>
          <w:tcPr>
            <w:tcW w:w="103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6"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As of June 30, 2024</w:t>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property, plant and equipment,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consolidated subsidiaries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unconsolidated subsidiary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4,482 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(3,794)</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due to (from) affiliates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4,482 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(3,794)</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4,490 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37"/>
        <w:gridCol w:w="414"/>
        <w:gridCol w:w="418"/>
        <w:gridCol w:w="211"/>
        <w:gridCol w:w="646"/>
        <w:gridCol w:w="109"/>
        <w:gridCol w:w="109"/>
        <w:gridCol w:w="109"/>
        <w:gridCol w:w="109"/>
        <w:gridCol w:w="518"/>
        <w:gridCol w:w="925"/>
        <w:gridCol w:w="269"/>
        <w:gridCol w:w="109"/>
        <w:gridCol w:w="109"/>
        <w:gridCol w:w="109"/>
        <w:gridCol w:w="364"/>
        <w:gridCol w:w="1119"/>
        <w:gridCol w:w="190"/>
        <w:gridCol w:w="109"/>
        <w:gridCol w:w="109"/>
        <w:gridCol w:w="109"/>
        <w:gridCol w:w="281"/>
        <w:gridCol w:w="863"/>
        <w:gridCol w:w="147"/>
        <w:gridCol w:w="109"/>
        <w:gridCol w:w="109"/>
        <w:gridCol w:w="109"/>
        <w:gridCol w:w="288"/>
        <w:gridCol w:w="882"/>
        <w:gridCol w:w="216"/>
      </w:tblGrid>
      <w:tr>
        <w:trPr/>
        <w:tc>
          <w:tcPr>
            <w:tcW w:w="103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6"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As of December 31, 2023</w:t>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property, plant and equipment,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consolidated subsidiaries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unconsolidated subsidiary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(3,647)</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4,589 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(3,647)</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3,998 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Consolidating Statement of Operations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three and six months ended June 30, 2024 and 2023</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09"/>
        <w:gridCol w:w="525"/>
        <w:gridCol w:w="528"/>
        <w:gridCol w:w="211"/>
        <w:gridCol w:w="397"/>
        <w:gridCol w:w="109"/>
        <w:gridCol w:w="109"/>
        <w:gridCol w:w="109"/>
        <w:gridCol w:w="109"/>
        <w:gridCol w:w="520"/>
        <w:gridCol w:w="1003"/>
        <w:gridCol w:w="271"/>
        <w:gridCol w:w="109"/>
        <w:gridCol w:w="109"/>
        <w:gridCol w:w="109"/>
        <w:gridCol w:w="460"/>
        <w:gridCol w:w="1049"/>
        <w:gridCol w:w="238"/>
        <w:gridCol w:w="109"/>
        <w:gridCol w:w="109"/>
        <w:gridCol w:w="109"/>
        <w:gridCol w:w="375"/>
        <w:gridCol w:w="721"/>
        <w:gridCol w:w="195"/>
        <w:gridCol w:w="109"/>
        <w:gridCol w:w="109"/>
        <w:gridCol w:w="109"/>
        <w:gridCol w:w="344"/>
        <w:gridCol w:w="785"/>
        <w:gridCol w:w="257"/>
      </w:tblGrid>
      <w:tr>
        <w:trPr/>
        <w:tc>
          <w:tcPr>
            <w:tcW w:w="9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 2024</w:t>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and other</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divestitures</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Non-operating income (loss)</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INCOME (LOSS) BEFORE INCOME TAXES</w:t>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benefit</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99"/>
        <w:gridCol w:w="511"/>
        <w:gridCol w:w="514"/>
        <w:gridCol w:w="211"/>
        <w:gridCol w:w="494"/>
        <w:gridCol w:w="109"/>
        <w:gridCol w:w="109"/>
        <w:gridCol w:w="109"/>
        <w:gridCol w:w="109"/>
        <w:gridCol w:w="511"/>
        <w:gridCol w:w="985"/>
        <w:gridCol w:w="266"/>
        <w:gridCol w:w="109"/>
        <w:gridCol w:w="109"/>
        <w:gridCol w:w="109"/>
        <w:gridCol w:w="453"/>
        <w:gridCol w:w="1033"/>
        <w:gridCol w:w="234"/>
        <w:gridCol w:w="109"/>
        <w:gridCol w:w="109"/>
        <w:gridCol w:w="109"/>
        <w:gridCol w:w="375"/>
        <w:gridCol w:w="721"/>
        <w:gridCol w:w="195"/>
        <w:gridCol w:w="109"/>
        <w:gridCol w:w="109"/>
        <w:gridCol w:w="109"/>
        <w:gridCol w:w="344"/>
        <w:gridCol w:w="785"/>
        <w:gridCol w:w="257"/>
      </w:tblGrid>
      <w:tr>
        <w:trPr/>
        <w:tc>
          <w:tcPr>
            <w:tcW w:w="89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 2023</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and other</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(loss) income</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INCOME BEFORE INCOME TAXES</w:t>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99"/>
        <w:gridCol w:w="511"/>
        <w:gridCol w:w="514"/>
        <w:gridCol w:w="211"/>
        <w:gridCol w:w="494"/>
        <w:gridCol w:w="109"/>
        <w:gridCol w:w="109"/>
        <w:gridCol w:w="109"/>
        <w:gridCol w:w="109"/>
        <w:gridCol w:w="511"/>
        <w:gridCol w:w="985"/>
        <w:gridCol w:w="266"/>
        <w:gridCol w:w="109"/>
        <w:gridCol w:w="109"/>
        <w:gridCol w:w="109"/>
        <w:gridCol w:w="453"/>
        <w:gridCol w:w="1033"/>
        <w:gridCol w:w="234"/>
        <w:gridCol w:w="109"/>
        <w:gridCol w:w="109"/>
        <w:gridCol w:w="109"/>
        <w:gridCol w:w="375"/>
        <w:gridCol w:w="721"/>
        <w:gridCol w:w="195"/>
        <w:gridCol w:w="109"/>
        <w:gridCol w:w="109"/>
        <w:gridCol w:w="109"/>
        <w:gridCol w:w="344"/>
        <w:gridCol w:w="785"/>
        <w:gridCol w:w="257"/>
      </w:tblGrid>
      <w:tr>
        <w:trPr/>
        <w:tc>
          <w:tcPr>
            <w:tcW w:w="89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 2024</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968 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and other</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divestitures</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(loss) income</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INCOME BEFORE INCOME TAXES</w:t>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99"/>
        <w:gridCol w:w="511"/>
        <w:gridCol w:w="514"/>
        <w:gridCol w:w="211"/>
        <w:gridCol w:w="494"/>
        <w:gridCol w:w="109"/>
        <w:gridCol w:w="109"/>
        <w:gridCol w:w="109"/>
        <w:gridCol w:w="109"/>
        <w:gridCol w:w="511"/>
        <w:gridCol w:w="985"/>
        <w:gridCol w:w="266"/>
        <w:gridCol w:w="109"/>
        <w:gridCol w:w="109"/>
        <w:gridCol w:w="109"/>
        <w:gridCol w:w="374"/>
        <w:gridCol w:w="1150"/>
        <w:gridCol w:w="195"/>
        <w:gridCol w:w="109"/>
        <w:gridCol w:w="109"/>
        <w:gridCol w:w="109"/>
        <w:gridCol w:w="375"/>
        <w:gridCol w:w="721"/>
        <w:gridCol w:w="195"/>
        <w:gridCol w:w="109"/>
        <w:gridCol w:w="109"/>
        <w:gridCol w:w="109"/>
        <w:gridCol w:w="288"/>
        <w:gridCol w:w="882"/>
        <w:gridCol w:w="217"/>
      </w:tblGrid>
      <w:tr>
        <w:trPr/>
        <w:tc>
          <w:tcPr>
            <w:tcW w:w="89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 2023</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and other</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divestitures</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(loss) income</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INCOME BEFORE INCOME TAXES</w:t>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13    SUBSEQUENT EVENTS</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Aera Merger</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On July 1, 2024, we obtained all of the ownership interests in Aera. Aera is a leading operator of mature fields in California, primarily in the San Joaquin and Ventura basins, with high oil-weighted production. In connection with the closing of the Aera Merger, we issued 21,315,707 shares of common stock to the Aera owners and paid $990 million in connection with the extinguishment of Aera's outstanding indebtedness using the proceeds from the issuance of the 2029 Senior Notes and cash on hand. For more information on the 2029 Senior Notes and an amendment to our Revolving Credit Facility entered into at the closing of the Aera Merger, refer to </w:t>
      </w:r>
      <w:r>
        <w:rPr>
          <w:rFonts w:ascii="Arial;sans-serif" w:hAnsi="Arial;sans-serif"/>
          <w:b w:val="false"/>
          <w:i/>
          <w:color w:val="000000"/>
          <w:sz w:val="20"/>
        </w:rPr>
        <w:t xml:space="preserve">Note 3 Debt.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of July 1, 2024, immediately following closing of the Aera Merger, our existing stockholders prior to the Aera Merger owned approximately 76% of CRC and the previous owners of Aera owned approximately 24% of CRC.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the three and six months ended June 30, 2024, we recognized $13 million and $26 million, respectively, of transaction and integration costs related to the Aera Merger which are included in other operating expenses, net on our condensed consolidated statement of operations. In July 2024, we recognized additional transaction costs of $27 million which were conditioned upon closing.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We expect the Aera Merger to be accounted for as a business combination using the acquisition method of accounting in accordance with Accounting Standards Codification Topic 805,</w:t>
      </w:r>
      <w:r>
        <w:rPr>
          <w:color w:val="000000"/>
        </w:rPr>
        <w:t xml:space="preserve"> </w:t>
      </w:r>
      <w:r>
        <w:rPr>
          <w:rFonts w:ascii="Arial;sans-serif" w:hAnsi="Arial;sans-serif"/>
          <w:b w:val="false"/>
          <w:i/>
          <w:color w:val="000000"/>
          <w:sz w:val="20"/>
        </w:rPr>
        <w:t xml:space="preserve">Business Combinations </w:t>
      </w:r>
      <w:r>
        <w:rPr>
          <w:rFonts w:ascii="Arial;sans-serif" w:hAnsi="Arial;sans-serif"/>
          <w:b w:val="false"/>
          <w:color w:val="000000"/>
          <w:sz w:val="20"/>
        </w:rPr>
        <w:t xml:space="preserve">(ASC 805). Due to the proximity of the acquisition date to the filing of the Quarterly Report on Form 10-Q for the period ended June 30, 2024, the initial accounting for the Aera Merger is incomplete, and therefore we are unable to disclose certain information required by ASC 805, including the provisional amounts recognized as of the acquisition date for fair value of consideration transferred, each major class of assets acquired and liabilities assumed, and goodwill, if any, due to the ongoing status of the valuation.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Dividend</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On August 2, 2024, our Board of Directors increased the cash dividend policy to anticipate a total annual dividend of </w:t>
      </w:r>
      <w:r>
        <w:rPr>
          <w:rFonts w:ascii="Arial;sans-serif" w:hAnsi="Arial;sans-serif"/>
          <w:b w:val="false"/>
          <w:color w:val="000000"/>
          <w:sz w:val="20"/>
        </w:rPr>
        <w:t>$1.55</w:t>
      </w:r>
      <w:r>
        <w:rPr>
          <w:rFonts w:ascii="Arial;sans-serif" w:hAnsi="Arial;sans-serif"/>
          <w:b w:val="false"/>
          <w:color w:val="000000"/>
          <w:sz w:val="20"/>
          <w:shd w:fill="FFFFFF" w:val="clear"/>
        </w:rPr>
        <w:t xml:space="preserve">, payable to shareholders in quarterly increments of </w:t>
      </w:r>
      <w:r>
        <w:rPr>
          <w:rFonts w:ascii="Arial;sans-serif" w:hAnsi="Arial;sans-serif"/>
          <w:b w:val="false"/>
          <w:color w:val="000000"/>
          <w:sz w:val="20"/>
        </w:rPr>
        <w:t>$0.3875</w:t>
      </w:r>
      <w:r>
        <w:rPr>
          <w:color w:val="000000"/>
          <w:shd w:fill="FFFFFF" w:val="clear"/>
        </w:rPr>
        <w:t xml:space="preserve"> </w:t>
      </w:r>
      <w:r>
        <w:rPr>
          <w:rFonts w:ascii="Arial;sans-serif" w:hAnsi="Arial;sans-serif"/>
          <w:b w:val="false"/>
          <w:color w:val="000000"/>
          <w:sz w:val="20"/>
          <w:shd w:fill="FFFFFF" w:val="clear"/>
        </w:rPr>
        <w:t xml:space="preserve">per share of common stock. The actual declaration of future cash dividends, and the establishment of record and payment dates, is subject to final determination by our Board of Directors each quarter after reviewing our financial performance and position.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Arial;sans-serif" w:hAnsi="Arial;sans-serif"/>
          <w:b w:val="false"/>
          <w:color w:val="000000"/>
          <w:sz w:val="20"/>
          <w:shd w:fill="FFFFFF" w:val="clear"/>
        </w:rPr>
        <w:t xml:space="preserve">On </w:t>
      </w:r>
      <w:r>
        <w:rPr>
          <w:rFonts w:ascii="Arial;sans-serif" w:hAnsi="Arial;sans-serif"/>
          <w:b w:val="false"/>
          <w:color w:val="000000"/>
          <w:sz w:val="20"/>
        </w:rPr>
        <w:t>August 5, 2024</w:t>
      </w:r>
      <w:r>
        <w:rPr>
          <w:rFonts w:ascii="Arial;sans-serif" w:hAnsi="Arial;sans-serif"/>
          <w:b w:val="false"/>
          <w:color w:val="000000"/>
          <w:sz w:val="20"/>
          <w:shd w:fill="FFFFFF" w:val="clear"/>
        </w:rPr>
        <w:t xml:space="preserve">, our Board of Directors declared a quarterly cash dividend of </w:t>
      </w:r>
      <w:r>
        <w:rPr>
          <w:rFonts w:ascii="Arial;sans-serif" w:hAnsi="Arial;sans-serif"/>
          <w:b w:val="false"/>
          <w:color w:val="000000"/>
          <w:sz w:val="20"/>
        </w:rPr>
        <w:t>$0.3875</w:t>
      </w:r>
      <w:r>
        <w:rPr>
          <w:color w:val="000000"/>
          <w:shd w:fill="FFFFFF" w:val="clear"/>
        </w:rPr>
        <w:t xml:space="preserve"> </w:t>
      </w:r>
      <w:r>
        <w:rPr>
          <w:rFonts w:ascii="Arial;sans-serif" w:hAnsi="Arial;sans-serif"/>
          <w:b w:val="false"/>
          <w:color w:val="000000"/>
          <w:sz w:val="20"/>
          <w:shd w:fill="FFFFFF" w:val="clear"/>
        </w:rPr>
        <w:t xml:space="preserve">per share of common stock. The dividend is payable to shareholders of record at the close of business on </w:t>
      </w:r>
      <w:r>
        <w:rPr>
          <w:rFonts w:ascii="Arial;sans-serif" w:hAnsi="Arial;sans-serif"/>
          <w:b w:val="false"/>
          <w:color w:val="000000"/>
          <w:sz w:val="20"/>
        </w:rPr>
        <w:t>August 30, 2024</w:t>
      </w:r>
      <w:r>
        <w:rPr>
          <w:color w:val="000000"/>
          <w:shd w:fill="FFFFFF" w:val="clear"/>
        </w:rPr>
        <w:t xml:space="preserve"> </w:t>
      </w:r>
      <w:r>
        <w:rPr>
          <w:rFonts w:ascii="Arial;sans-serif" w:hAnsi="Arial;sans-serif"/>
          <w:b w:val="false"/>
          <w:color w:val="000000"/>
          <w:sz w:val="20"/>
          <w:shd w:fill="FFFFFF" w:val="clear"/>
        </w:rPr>
        <w:t xml:space="preserve">and is expected to be paid on </w:t>
      </w:r>
      <w:r>
        <w:rPr>
          <w:rFonts w:ascii="Arial;sans-serif" w:hAnsi="Arial;sans-serif"/>
          <w:b w:val="false"/>
          <w:color w:val="000000"/>
          <w:sz w:val="20"/>
        </w:rPr>
        <w:t>September 16, 2024</w:t>
      </w:r>
      <w:r>
        <w:rPr>
          <w:rFonts w:ascii="Arial;sans-serif" w:hAnsi="Arial;sans-serif"/>
          <w:b w:val="false"/>
          <w:color w:val="000000"/>
          <w:sz w:val="20"/>
          <w:shd w:fill="FFFFFF" w:val="clear"/>
        </w:rPr>
        <w:t>.</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2Management’s Discussion and Analysis of Financial Condition and Results of Operations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General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are an independent energy and carbon management company committed to energy transition. We are committed to environmental stewardship while safely providing local, responsibly sourced energy. We are also focused on maximizing the value of our land, mineral ownership, and energy expertise for decarbonization by developing carbon capture and storage (CCS) and other emissions-reducing projects.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Except when the context otherwise requires or where otherwise indicated, all references to ‘‘CRC,’’ the ‘‘Company,’’ ‘‘we,’’ ‘‘us’’ and ‘‘our’’ refer to California Resources Corporation and its consolidated subsidiaries as of the date presented.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Aera Merger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On July 1, 2024, we closed on the transactions contemplated by the definitive agreement and plan of merger (Merger Agreement) to obtain all of the ownership interests in Aera Energy, LLC (Aera) with an effective date of January 1, 2024 (Aera Merger). In connection with the closing of the Aera Merger, we issued 21,315,707 shares of common stock to the Aera owners and paid $990 million in connection with the extinguishment of Aera's outstanding indebtedness using the proceeds from the issuance of the 2029 Senior Notes and cash on hand. For more information on the 2029 Senior Notes, refer to </w:t>
      </w:r>
      <w:r>
        <w:rPr>
          <w:rFonts w:ascii="Arial;sans-serif" w:hAnsi="Arial;sans-serif"/>
          <w:b w:val="false"/>
          <w:i/>
          <w:color w:val="000000"/>
          <w:sz w:val="20"/>
        </w:rPr>
        <w:t>Part I, Item 1 – Financial Statements, Note 3 Debt.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of July 1, 2024, immediately following closing of the Aera Merger, our existing stockholders prior to the Aera Merger owned approximately 76% of CRC and the previous owners of Aera owned approximately 24% of CRC.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the three and six months ended June 30, 2024, we recognized $13 million and $26 million, respectively, of transaction and integration costs related to the Aera Merger which are included in other operating expenses, net on our condensed consolidated statement of operations. In July 2024, we recognized additional transaction costs of $27 million which were conditioned upon closing.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Recent Debt Transactions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2029 Senior Notes</w:t>
      </w:r>
    </w:p>
    <w:p>
      <w:pPr>
        <w:pStyle w:val="TextBody"/>
        <w:bidi w:val="0"/>
        <w:spacing w:before="0" w:after="0"/>
        <w:jc w:val="both"/>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On June 5, 2024, we completed an offering of $600 million in aggregate principal amount of 8.25% senior notes due 2029 (2029 Senior Notes). The terms of the 2029 Senior Notes are governed by the Indenture, dated as of June 5, 2024, by and among us, the guarantors and Wilmington Trust, National Association, as trustee (2029 Senior Notes Indenture). The net proceeds of $590 million, after $10 million of debt discount and issuance costs, were used along with available cash to repay all of Aera's outstanding debt at closing of the Aera Merger. For more information on the 2029 Senior Notes, refer to </w:t>
      </w:r>
      <w:r>
        <w:rPr>
          <w:rFonts w:ascii="Arial;sans-serif" w:hAnsi="Arial;sans-serif"/>
          <w:b w:val="false"/>
          <w:i/>
          <w:color w:val="000000"/>
          <w:sz w:val="20"/>
        </w:rPr>
        <w:t xml:space="preserve">Part I, Item 1 – Financial Statements, Note 3 Debt.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Fourth Amendment to the Revolving Credit Facility</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July 1, 2024, we entered into a fourth amendment to our Revolving Credit Facility. This amendment increased the aggregate revolving commitments available under the Revolving Credit Facility from $630 million to $1.1 billion. Our ability to borrow under our Revolving Credit Facility is limited to the amount of these commitments. This amendment also increased the borrowing base from $1.2 billion to $1.5 billion, among other matters.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Business Environment and Industry Outlook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Commodity Prices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Our operating results, and those of the oil and natural gas industry as a whole, are heavily influenced by commodity prices. Oil and natural gas prices and differentials may fluctuate significantly as a result of numerous market-related variables. These and other factors make it impossible to predict realized prices reliably. We may respond to economic conditions by adjusting the amount and allocation of our capital program while continuing to identify efficiencies and cost savings. Volatility in oil prices may materially affect the quantities of oil and natural gas reserves we can economically produce over the longer term. Refer to </w:t>
      </w:r>
      <w:r>
        <w:rPr>
          <w:rFonts w:ascii="Arial;sans-serif" w:hAnsi="Arial;sans-serif"/>
          <w:b w:val="false"/>
          <w:i/>
          <w:color w:val="000000"/>
          <w:sz w:val="20"/>
        </w:rPr>
        <w:t xml:space="preserve">Prices and Realizations </w:t>
      </w:r>
      <w:r>
        <w:rPr>
          <w:rFonts w:ascii="Arial;sans-serif" w:hAnsi="Arial;sans-serif"/>
          <w:b w:val="false"/>
          <w:color w:val="000000"/>
          <w:sz w:val="20"/>
        </w:rPr>
        <w:t xml:space="preserve">below for information on our realized prices.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average daily benchmark prices for oil and natural gas during the periods presented:</w:t>
      </w:r>
    </w:p>
    <w:tbl>
      <w:tblPr>
        <w:tblW w:w="10205" w:type="dxa"/>
        <w:jc w:val="left"/>
        <w:tblInd w:w="0" w:type="dxa"/>
        <w:tblLayout w:type="fixed"/>
        <w:tblCellMar>
          <w:top w:w="28" w:type="dxa"/>
          <w:left w:w="28" w:type="dxa"/>
          <w:bottom w:w="28" w:type="dxa"/>
          <w:right w:w="28" w:type="dxa"/>
        </w:tblCellMar>
      </w:tblPr>
      <w:tblGrid>
        <w:gridCol w:w="1539"/>
        <w:gridCol w:w="1306"/>
        <w:gridCol w:w="1280"/>
        <w:gridCol w:w="271"/>
        <w:gridCol w:w="831"/>
        <w:gridCol w:w="140"/>
        <w:gridCol w:w="109"/>
        <w:gridCol w:w="109"/>
        <w:gridCol w:w="109"/>
        <w:gridCol w:w="289"/>
        <w:gridCol w:w="886"/>
        <w:gridCol w:w="149"/>
        <w:gridCol w:w="109"/>
        <w:gridCol w:w="109"/>
        <w:gridCol w:w="109"/>
        <w:gridCol w:w="271"/>
        <w:gridCol w:w="831"/>
        <w:gridCol w:w="140"/>
        <w:gridCol w:w="109"/>
        <w:gridCol w:w="109"/>
        <w:gridCol w:w="109"/>
        <w:gridCol w:w="268"/>
        <w:gridCol w:w="822"/>
        <w:gridCol w:w="201"/>
      </w:tblGrid>
      <w:tr>
        <w:trPr/>
        <w:tc>
          <w:tcPr>
            <w:tcW w:w="153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Brent oil ($/Bbl)</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81.84 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WTI oil ($/Bbl)</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NYMEX Henry Hub ($/MMBtu) Average Monthly Settled Price</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Regulatory Updates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Setbacks and Senate Bill No. 1137</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California Senate Bill No. 1137 establishes 3,200 feet as the minimum distance between new oil and natural gas production wells and certain sensitive receptors such as homes, schools and businesses open to the public and separately imposing a number of potential impact analysis and mitigation and reporting requirements. The implementation of Senate Bill No. 1137 was stayed pending the outcome of a voter referendum to repeal the bill on the November 2024 ballot. However, this referendum was withdrawn on June 27, 2024 and the requirements of Senate Bill No. 1137 are no longer stayed.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majority of our production is in rural areas in the San Joaquin basin and is not affected by Senate Bill No. 1137. In addition to the write-down of reserves previously recorded in 2023, we continue to evaluate the location of projects near setback zones and believe any further reductions to the net present value of our proved undeveloped reserves as a result of the withdrawal of the voter referendum and the implementation of Senate Bill No. 1137 would be less than $14 million based on 2023 SEC prices (with an insignificant impact on our overall proved reserves).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Well Permitting Status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CalGEM remains in the process of developing standard operating procedures for reviewing well permit applications that it commenced in the second half of 2023. Significant permitting delays continue pending CalGEM’s completion of this process. An increase in approvals for workovers has continued in the course of the first half of 2024. As of June 30, 2024, we have received 364 permits for workovers (including permits received by Aera) since the beginning of the year. In July 2024, following discussions with CalGEM and further internal review of our development portfolio, we relinquished eight permits for deepenings that we had received in April and May 2024.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May and June 2024, CalGEM issued a number of new well permits to other operators in the state. These permits were issued outside of Kern County or in reliance on an environmental impact analysis other than the Kern County EIR to comply with CEQA. We are pursuing a similar strategy of seeking conditional use permits with respect to our Elk Hills, Buena Vista and Kern Front fields that would allow us to comply with CEQA requirements separate from the Kern County EIR. However, our ability to obtain these conditional use permits is uncertain and we may not be successful in obtaining such permits in a timely manner or at all.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Following the withdrawal of the voter referendum regarding Senate Bill 1137 discussed above, CalGEM returned to operators all pending permit applications to be resubmitted with the information required under that law. CRC and Aera resubmitted substantially all permit applications in accordance with the requirements of this law, excluding permit applications for approximately 150 workovers and approximately 40 deepenings and sidetracks located in setback zones. The resubmission of these permit applications may result in further delays with CalGEM, including with respect to permit applications for wells not located in setback zones.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CCS Project Permitting Status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On June 4, 2024, Kern County released a Draft Recirculated Environmental Impact Report (DREIR) in connection with our application for conditional use permits for our CTV I CCS project. As expected, the public comment period closed on July 18, 2024 and the project is scheduled for consideration by the Kern County Planning Commission on August 22, 2024, at which time the Planning Commission will decide whether to recommend the adoption of changes to the zoning ordinance and certification of the DREIR to the Board of Supervisors. The Board of Supervisors is scheduled to meet to consider this matter later this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Water Injection</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operations in the Wilmington Oil Field utilize injection wells to reinject produced water pursuant to waterflooding plans. These operations are subject to oversight by the City of Long Beach and CalGEM. Following discussions with the City of Long Beach and CalGEM with respect to the level of injection well pressure gradient needed to comply with CalGEM’s requirements for the protection of underground aquifers, while at the same time mitigating subsidence risks, CalGEM provided a directive to reduce the injection well pressure in a gradual manner. In response to this directive, we were required to implement a five-year injection reduction work plan. The first phase of reduction commenced July 1, 2024, and focuses on reducing pressure gradients in the zones at higher starting pressure. We continue to evaluate the work plan with CalGEM, including any subsidence risk, and the work plan may be adjusted further in the future. Given this uncertainty, it is difficult to predict with certainty the impact to production and reserves. However, assuming no adjustments to the current work plan, we currently estimate on a preliminary basis that the net present value of our proved developed reserves would be negatively impacted by less than 1%. We also estimate on a preliminary basis, a negative impact on production of approximately 1 MBoe/d at the end of the 5-year work plan. These estimates are preliminary and could change materially pending the results of our year-end reserve process and technical audits.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Activism</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Opposition toward oil and gas drilling and development activity has been growing over time. Companies in the oil and gas industry are often the target of efforts to delay or prevent oil and gas development by non-governmental organizations and individuals. This opposition also extends to our carbon management business as certain activists oppose carbon capture and sequestration efforts by the oil and gas industry. These activists use a variety of tactics that primarily rely on allegations regarding safety, environmental compliance and business practices. At both the state and federal level, these tactics include seeking changes to laws, pressuring governmental agencies to promulgate regulations or engage in rulemaking, or pursuing litigation. For example, we are currently a named real party in interest in </w:t>
      </w:r>
      <w:r>
        <w:rPr>
          <w:rFonts w:ascii="Arial;sans-serif" w:hAnsi="Arial;sans-serif"/>
          <w:b w:val="false"/>
          <w:i/>
          <w:color w:val="000000"/>
          <w:sz w:val="20"/>
        </w:rPr>
        <w:t>Center for Biological Diversity v. City of Long Beach, Long Beach City Council, California State Lands Commission, et al.</w:t>
      </w:r>
      <w:r>
        <w:rPr>
          <w:rFonts w:ascii="Arial;sans-serif" w:hAnsi="Arial;sans-serif"/>
          <w:b w:val="false"/>
          <w:color w:val="000000"/>
          <w:sz w:val="20"/>
        </w:rPr>
        <w:t>, a lawsuit brought by an environmental non-governmental organization that seeks the shut down of the Long Beach Unit on the basis of a purported CEQA violation by certain governmental entities. While we believe that the defendants will prevail in this matter and do not otherwise expect its disposition will result in a material adverse effect on our business or operations, we cannot predict the outcome of any litigation with certainty.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left"/>
        <w:rPr>
          <w:rFonts w:ascii="Arial;sans-serif" w:hAnsi="Arial;sans-serif"/>
          <w:b/>
          <w:color w:val="000000"/>
          <w:sz w:val="20"/>
        </w:rPr>
      </w:pPr>
      <w:r>
        <w:rPr>
          <w:rFonts w:ascii="Arial;sans-serif" w:hAnsi="Arial;sans-serif"/>
          <w:b/>
          <w:color w:val="000000"/>
          <w:sz w:val="20"/>
        </w:rPr>
        <w:t xml:space="preserve">Results of Oil and Gas Operations </w:t>
      </w:r>
    </w:p>
    <w:p>
      <w:pPr>
        <w:pStyle w:val="TextBody"/>
        <w:bidi w:val="0"/>
        <w:spacing w:before="0" w:after="0"/>
        <w:jc w:val="left"/>
        <w:rPr/>
      </w:pPr>
      <w:r>
        <w:rPr/>
      </w:r>
    </w:p>
    <w:p>
      <w:pPr>
        <w:pStyle w:val="TextBody"/>
        <w:bidi w:val="0"/>
        <w:spacing w:lineRule="auto" w:line="300" w:before="0" w:after="0"/>
        <w:jc w:val="left"/>
        <w:rPr>
          <w:rFonts w:ascii="Arial;sans-serif" w:hAnsi="Arial;sans-serif"/>
          <w:b/>
          <w:i/>
          <w:color w:val="000000"/>
          <w:sz w:val="20"/>
        </w:rPr>
      </w:pPr>
      <w:r>
        <w:rPr>
          <w:rFonts w:ascii="Arial;sans-serif" w:hAnsi="Arial;sans-serif"/>
          <w:b/>
          <w:i/>
          <w:color w:val="000000"/>
          <w:sz w:val="20"/>
        </w:rPr>
        <w:t>Production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sets forth our average net production of oil, NGLs and natural gas per day in each of the California oil and natural gas basins in which we operated for the periods presented. </w:t>
      </w:r>
    </w:p>
    <w:tbl>
      <w:tblPr>
        <w:tblW w:w="10205" w:type="dxa"/>
        <w:jc w:val="left"/>
        <w:tblInd w:w="0" w:type="dxa"/>
        <w:tblLayout w:type="fixed"/>
        <w:tblCellMar>
          <w:top w:w="28" w:type="dxa"/>
          <w:left w:w="28" w:type="dxa"/>
          <w:bottom w:w="28" w:type="dxa"/>
          <w:right w:w="28" w:type="dxa"/>
        </w:tblCellMar>
      </w:tblPr>
      <w:tblGrid>
        <w:gridCol w:w="1050"/>
        <w:gridCol w:w="916"/>
        <w:gridCol w:w="915"/>
        <w:gridCol w:w="449"/>
        <w:gridCol w:w="447"/>
        <w:gridCol w:w="444"/>
        <w:gridCol w:w="221"/>
        <w:gridCol w:w="221"/>
        <w:gridCol w:w="221"/>
        <w:gridCol w:w="486"/>
        <w:gridCol w:w="485"/>
        <w:gridCol w:w="487"/>
        <w:gridCol w:w="109"/>
        <w:gridCol w:w="109"/>
        <w:gridCol w:w="109"/>
        <w:gridCol w:w="109"/>
        <w:gridCol w:w="109"/>
        <w:gridCol w:w="449"/>
        <w:gridCol w:w="447"/>
        <w:gridCol w:w="446"/>
        <w:gridCol w:w="193"/>
        <w:gridCol w:w="193"/>
        <w:gridCol w:w="193"/>
        <w:gridCol w:w="409"/>
        <w:gridCol w:w="406"/>
        <w:gridCol w:w="582"/>
      </w:tblGrid>
      <w:tr>
        <w:trPr/>
        <w:tc>
          <w:tcPr>
            <w:tcW w:w="105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2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Oil (MBbl/d)</w:t>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San Joaquin Basin</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Los Angeles Basin</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2881"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2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NGLs (MBbl/d)</w:t>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San Joaquin Basin</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2881"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2881"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2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Natural gas (MMcf/d)</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San Joaquin Basin</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Los Angeles Basin</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2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Sacramento Basin</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Net Production (MBoe/d)</w:t>
            </w:r>
          </w:p>
        </w:tc>
        <w:tc>
          <w:tcPr>
            <w:tcW w:w="8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5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Total daily net production for the three months ended June 30, 2024 remained flat compared to the three months ended March 31, 2024. Total daily net production for the three months ended March 31, 2024 was negatively impacted by 3 Mboe/d due to scheduled maintenance at our Elk Hills power plant. Total daily net production for the three months ended June 30, 2024 was also negatively impacted by approximately 3 Mboe/d as a result of scheduled maintenance and unplanned downtime at our Elk Hills power plant. Our PSCs, which are described below, did not have a significant impact on our net oil production in the three months ended June 30, 2024 compared to the three months ended March 31, 2024.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Total daily net production decreased by 12 Mboe/d from 88 MBoe/d during the six months ended June 30, 2023 to 76 Mboe/d during the six months ended June 30, 2024 primarily due to natural production decline, downtime at our Elk Hills power plant as well as the divestiture of our share of a non-operated field in December 2023. Our PSCs, which are described below, negatively impacted our net oil production by 1 MBoe/d in the six months ended June 30, 2024 compared to the six months ended June 30, 2023.</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reconciles our average net production to our average gross production (which includes production from the fields we operate and our share of production from fields operated by others) for the periods presented: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59"/>
        <w:gridCol w:w="1106"/>
        <w:gridCol w:w="1109"/>
        <w:gridCol w:w="426"/>
        <w:gridCol w:w="425"/>
        <w:gridCol w:w="411"/>
        <w:gridCol w:w="210"/>
        <w:gridCol w:w="210"/>
        <w:gridCol w:w="210"/>
        <w:gridCol w:w="460"/>
        <w:gridCol w:w="460"/>
        <w:gridCol w:w="461"/>
        <w:gridCol w:w="109"/>
        <w:gridCol w:w="109"/>
        <w:gridCol w:w="109"/>
        <w:gridCol w:w="422"/>
        <w:gridCol w:w="422"/>
        <w:gridCol w:w="418"/>
        <w:gridCol w:w="185"/>
        <w:gridCol w:w="185"/>
        <w:gridCol w:w="185"/>
        <w:gridCol w:w="385"/>
        <w:gridCol w:w="385"/>
        <w:gridCol w:w="544"/>
      </w:tblGrid>
      <w:tr>
        <w:trPr/>
        <w:tc>
          <w:tcPr>
            <w:tcW w:w="125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r>
      <w:tr>
        <w:trPr/>
        <w:tc>
          <w:tcPr>
            <w:tcW w:w="3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(MBoe/d)</w:t>
            </w:r>
          </w:p>
        </w:tc>
      </w:tr>
      <w:tr>
        <w:trPr/>
        <w:tc>
          <w:tcPr>
            <w:tcW w:w="3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Net Production</w:t>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w:t>
            </w:r>
          </w:p>
        </w:tc>
      </w:tr>
      <w:tr>
        <w:trPr/>
        <w:tc>
          <w:tcPr>
            <w:tcW w:w="3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Partners' share under PSCs</w:t>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r>
      <w:tr>
        <w:trPr/>
        <w:tc>
          <w:tcPr>
            <w:tcW w:w="3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Working interest and royalty holders' share</w:t>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r>
      <w:tr>
        <w:trPr/>
        <w:tc>
          <w:tcPr>
            <w:tcW w:w="3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NGL inventory and other</w:t>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r>
      <w:tr>
        <w:trPr/>
        <w:tc>
          <w:tcPr>
            <w:tcW w:w="3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Gross Production</w:t>
            </w:r>
          </w:p>
        </w:tc>
        <w:tc>
          <w:tcPr>
            <w:tcW w:w="126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Production-Sharing Contracts (PSCs)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share of production and reserves from operations in the Wilmington field in the Los Angeles basin is subject to contractual arrangements similar to production-sharing contracts that are in effect through the economic life of the assets. The reporting of our PSCs creates a difference between reported operating costs, which are for the full field, and reported volumes, which are only our net share, inflating the per barrel operating costs. Operating costs, excluding effects of PSCs, is a non-GAAP measure which adjusts for excess costs attributable to PSCs for the periods presented in the tables below:</w:t>
      </w:r>
    </w:p>
    <w:p>
      <w:pPr>
        <w:pStyle w:val="TextBody"/>
        <w:bidi w:val="0"/>
        <w:spacing w:before="0" w:after="0"/>
        <w:ind w:left="0" w:right="0" w:firstLine="360"/>
        <w:jc w:val="left"/>
        <w:rPr/>
      </w:pPr>
      <w:r>
        <w:rPr/>
      </w:r>
    </w:p>
    <w:tbl>
      <w:tblPr>
        <w:tblW w:w="8687" w:type="dxa"/>
        <w:jc w:val="left"/>
        <w:tblInd w:w="0" w:type="dxa"/>
        <w:tblLayout w:type="fixed"/>
        <w:tblCellMar>
          <w:top w:w="28" w:type="dxa"/>
          <w:left w:w="28" w:type="dxa"/>
          <w:bottom w:w="28" w:type="dxa"/>
          <w:right w:w="28" w:type="dxa"/>
        </w:tblCellMar>
      </w:tblPr>
      <w:tblGrid>
        <w:gridCol w:w="1412"/>
        <w:gridCol w:w="1241"/>
        <w:gridCol w:w="1246"/>
        <w:gridCol w:w="241"/>
        <w:gridCol w:w="550"/>
        <w:gridCol w:w="124"/>
        <w:gridCol w:w="109"/>
        <w:gridCol w:w="109"/>
        <w:gridCol w:w="109"/>
        <w:gridCol w:w="211"/>
        <w:gridCol w:w="646"/>
        <w:gridCol w:w="109"/>
        <w:gridCol w:w="109"/>
        <w:gridCol w:w="109"/>
        <w:gridCol w:w="109"/>
        <w:gridCol w:w="241"/>
        <w:gridCol w:w="550"/>
        <w:gridCol w:w="124"/>
        <w:gridCol w:w="109"/>
        <w:gridCol w:w="109"/>
        <w:gridCol w:w="109"/>
        <w:gridCol w:w="211"/>
        <w:gridCol w:w="646"/>
        <w:gridCol w:w="154"/>
      </w:tblGrid>
      <w:tr>
        <w:trPr/>
        <w:tc>
          <w:tcPr>
            <w:tcW w:w="1412"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2024</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Boe)</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Operating costs</w:t>
            </w:r>
            <w:r>
              <w:rPr>
                <w:rFonts w:ascii="Arial;sans-serif" w:hAnsi="Arial;sans-serif"/>
                <w:b w:val="false"/>
                <w:color w:val="000000"/>
                <w:sz w:val="13"/>
              </w:rPr>
              <w:t>(a)</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Excess costs attributable to PSCs</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costs, excluding effects of PSCs</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(a)Operating costs related to our exploration and production activities and are presented before elimination entries. </w:t>
      </w:r>
    </w:p>
    <w:p>
      <w:pPr>
        <w:pStyle w:val="TextBody"/>
        <w:bidi w:val="0"/>
        <w:spacing w:before="0" w:after="0"/>
        <w:jc w:val="left"/>
        <w:rPr/>
      </w:pPr>
      <w:r>
        <w:rPr/>
      </w:r>
    </w:p>
    <w:tbl>
      <w:tblPr>
        <w:tblW w:w="8687" w:type="dxa"/>
        <w:jc w:val="left"/>
        <w:tblInd w:w="0" w:type="dxa"/>
        <w:tblLayout w:type="fixed"/>
        <w:tblCellMar>
          <w:top w:w="28" w:type="dxa"/>
          <w:left w:w="28" w:type="dxa"/>
          <w:bottom w:w="28" w:type="dxa"/>
          <w:right w:w="28" w:type="dxa"/>
        </w:tblCellMar>
      </w:tblPr>
      <w:tblGrid>
        <w:gridCol w:w="1412"/>
        <w:gridCol w:w="1241"/>
        <w:gridCol w:w="1246"/>
        <w:gridCol w:w="241"/>
        <w:gridCol w:w="550"/>
        <w:gridCol w:w="124"/>
        <w:gridCol w:w="109"/>
        <w:gridCol w:w="109"/>
        <w:gridCol w:w="109"/>
        <w:gridCol w:w="211"/>
        <w:gridCol w:w="646"/>
        <w:gridCol w:w="109"/>
        <w:gridCol w:w="109"/>
        <w:gridCol w:w="109"/>
        <w:gridCol w:w="109"/>
        <w:gridCol w:w="241"/>
        <w:gridCol w:w="550"/>
        <w:gridCol w:w="124"/>
        <w:gridCol w:w="109"/>
        <w:gridCol w:w="109"/>
        <w:gridCol w:w="109"/>
        <w:gridCol w:w="211"/>
        <w:gridCol w:w="646"/>
        <w:gridCol w:w="154"/>
      </w:tblGrid>
      <w:tr>
        <w:trPr/>
        <w:tc>
          <w:tcPr>
            <w:tcW w:w="1412"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Boe)</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Operating costs</w:t>
            </w:r>
            <w:r>
              <w:rPr>
                <w:rFonts w:ascii="Arial;sans-serif" w:hAnsi="Arial;sans-serif"/>
                <w:b w:val="false"/>
                <w:color w:val="000000"/>
                <w:sz w:val="13"/>
              </w:rPr>
              <w:t>(a)</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Excess costs attributable to PSCs</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costs, excluding effects of PSCs</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(a)Operating costs related to our exploration and production activities and are presented before elimination entries.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For further information on our production-sharing contracts, see </w:t>
      </w:r>
      <w:r>
        <w:rPr>
          <w:rFonts w:ascii="Arial;sans-serif" w:hAnsi="Arial;sans-serif"/>
          <w:b w:val="false"/>
          <w:i/>
          <w:color w:val="000000"/>
          <w:sz w:val="20"/>
        </w:rPr>
        <w:t>Part I, Item 1 &amp; 2 Business and Properties, Oil and Natural Gas Operations, Production, Price and Cost History</w:t>
      </w:r>
      <w:r>
        <w:rPr>
          <w:color w:val="000000"/>
        </w:rPr>
        <w:t xml:space="preserve"> </w:t>
      </w:r>
      <w:r>
        <w:rPr>
          <w:rFonts w:ascii="Arial;sans-serif" w:hAnsi="Arial;sans-serif"/>
          <w:b w:val="false"/>
          <w:color w:val="000000"/>
          <w:sz w:val="20"/>
        </w:rPr>
        <w:t xml:space="preserve">in our 2023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Prices and Realizations</w:t>
      </w:r>
      <w:r>
        <w:rPr>
          <w:color w:val="000000"/>
        </w:rPr>
        <w:t xml:space="preserve"> </w:t>
      </w:r>
    </w:p>
    <w:p>
      <w:pPr>
        <w:pStyle w:val="TextBody"/>
        <w:bidi w:val="0"/>
        <w:spacing w:before="0" w:after="0"/>
        <w:jc w:val="left"/>
        <w:rPr/>
      </w:pPr>
      <w:r>
        <w:rPr/>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tables set forth the average realized prices and price realizations as a percentage of average Brent, WTI and NYMEX indexes for our oil and natural gas operations for the periods presented:</w:t>
      </w:r>
    </w:p>
    <w:tbl>
      <w:tblPr>
        <w:tblW w:w="10205" w:type="dxa"/>
        <w:jc w:val="center"/>
        <w:tblInd w:w="0" w:type="dxa"/>
        <w:tblLayout w:type="fixed"/>
        <w:tblCellMar>
          <w:top w:w="28" w:type="dxa"/>
          <w:left w:w="28" w:type="dxa"/>
          <w:bottom w:w="28" w:type="dxa"/>
          <w:right w:w="28" w:type="dxa"/>
        </w:tblCellMar>
      </w:tblPr>
      <w:tblGrid>
        <w:gridCol w:w="1813"/>
        <w:gridCol w:w="1582"/>
        <w:gridCol w:w="1569"/>
        <w:gridCol w:w="211"/>
        <w:gridCol w:w="646"/>
        <w:gridCol w:w="109"/>
        <w:gridCol w:w="109"/>
        <w:gridCol w:w="109"/>
        <w:gridCol w:w="109"/>
        <w:gridCol w:w="380"/>
        <w:gridCol w:w="380"/>
        <w:gridCol w:w="381"/>
        <w:gridCol w:w="109"/>
        <w:gridCol w:w="109"/>
        <w:gridCol w:w="109"/>
        <w:gridCol w:w="211"/>
        <w:gridCol w:w="646"/>
        <w:gridCol w:w="109"/>
        <w:gridCol w:w="109"/>
        <w:gridCol w:w="109"/>
        <w:gridCol w:w="109"/>
        <w:gridCol w:w="347"/>
        <w:gridCol w:w="347"/>
        <w:gridCol w:w="493"/>
      </w:tblGrid>
      <w:tr>
        <w:trPr/>
        <w:tc>
          <w:tcPr>
            <w:tcW w:w="1813"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2024</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Realization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Realization</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Oil ($ per Bbl)</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without derivative settlements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98%</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Derivative settlements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 derivative settlements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94%</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WTI</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without derivative settlements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 derivative settlements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NGLs ($ per Bbl)</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 of Brent)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 of WTI)</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66%</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Natural gas </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NYMEX Henry Hub ($/MMBtu) - Average Monthly Settled Price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($/Mcf)</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174%</w:t>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13"/>
        <w:gridCol w:w="1582"/>
        <w:gridCol w:w="1569"/>
        <w:gridCol w:w="211"/>
        <w:gridCol w:w="646"/>
        <w:gridCol w:w="109"/>
        <w:gridCol w:w="109"/>
        <w:gridCol w:w="109"/>
        <w:gridCol w:w="109"/>
        <w:gridCol w:w="380"/>
        <w:gridCol w:w="380"/>
        <w:gridCol w:w="381"/>
        <w:gridCol w:w="109"/>
        <w:gridCol w:w="109"/>
        <w:gridCol w:w="109"/>
        <w:gridCol w:w="211"/>
        <w:gridCol w:w="646"/>
        <w:gridCol w:w="109"/>
        <w:gridCol w:w="109"/>
        <w:gridCol w:w="109"/>
        <w:gridCol w:w="109"/>
        <w:gridCol w:w="347"/>
        <w:gridCol w:w="347"/>
        <w:gridCol w:w="493"/>
      </w:tblGrid>
      <w:tr>
        <w:trPr/>
        <w:tc>
          <w:tcPr>
            <w:tcW w:w="1813"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Realization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Realization</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Oil ($ per Bbl)</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without derivative settlements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96%</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Derivative settlements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 derivative settlements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79%</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WTI</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without derivative settlements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 derivative settlements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85%</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NGLs ($ per Bbl)</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 of Brent)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64%</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 of WTI)</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68%</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Natural gas </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NYMEX Henry Hub ($/MMBtu) - Average Monthly Settled Price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Realized price ($/Mcf)</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451%</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Oil</w:t>
      </w:r>
      <w:r>
        <w:rPr>
          <w:color w:val="000000"/>
        </w:rPr>
        <w:t xml:space="preserve"> — </w:t>
      </w:r>
      <w:r>
        <w:rPr>
          <w:rFonts w:ascii="Arial;sans-serif" w:hAnsi="Arial;sans-serif"/>
          <w:b w:val="false"/>
          <w:color w:val="000000"/>
          <w:sz w:val="20"/>
        </w:rPr>
        <w:t xml:space="preserve">Brent prices were higher for the three months ended June 30, 2024 compared to the three months ended March 31, 2024. The increase in Brent prices is attributable to heightened geopolitical tensions as well as the OPEC+ decision to continue with voluntary production cuts of 2.2 million barrels per day. Brent prices were higher for the six months ended June 30, 2024 compared to the six months ended June 30, 2023 due to global supply and demand factors signaling a continuing supply deficit in 2024 given OPEC+ resolve.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NGLs</w:t>
      </w:r>
      <w:r>
        <w:rPr>
          <w:color w:val="000000"/>
        </w:rPr>
        <w:t xml:space="preserve"> — </w:t>
      </w:r>
      <w:r>
        <w:rPr>
          <w:rFonts w:ascii="Arial;sans-serif" w:hAnsi="Arial;sans-serif"/>
          <w:b w:val="false"/>
          <w:color w:val="000000"/>
          <w:sz w:val="20"/>
        </w:rPr>
        <w:t xml:space="preserve">NGL prices for the three months ended June 30, 2024 decreased compared to the three months ended March 31, 2024 reflecting traditional seasonality between quarters for NGL pricing. NGL prices for the six months ended June 30, 2024 decreased compared to the six months ended June 30, 2023 primarily as a result of the ongoing supply and demand imbalance as a result of a generally mild North American winter in 2024.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Natural Gas</w:t>
      </w:r>
      <w:r>
        <w:rPr>
          <w:color w:val="000000"/>
        </w:rPr>
        <w:t xml:space="preserve"> — </w:t>
      </w:r>
      <w:r>
        <w:rPr>
          <w:rFonts w:ascii="Arial;sans-serif" w:hAnsi="Arial;sans-serif"/>
          <w:b w:val="false"/>
          <w:color w:val="000000"/>
          <w:sz w:val="20"/>
        </w:rPr>
        <w:t>Natural gas prices decreased for the three months ended June 30, 2024 compared to the three months ended March 31, 2024 driven by seasonality between quarters and an abundance of natural gas in storage exiting winter. Natural gas prices decreased for the six months ended June 30, 2024 compared to the six months ended June 30, 2023. In California, specifically, these results reflect record-setting prices for the period in 2023 versus near-record levels of gas in storage across the same period in 2024.</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Statements of Operations Analysis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includes key operating data for our oil and gas operations, excluding certain corporate expenses and intercompany eliminations, for the three months ended June 30, 2024 and March 31, 2024 and the six months ended June 30, 2024 and 2023. Energy operating costs consist of purchased natural gas used to generate electricity for our operations and steam for our steamfloods, purchased electricity and internal costs to generate electricity used in our operations. Gas processing costs include costs associated with compression, maintenance and other activities needed to run our gas processing facilities at Elk Hills. Non-energy operating costs equal total operating costs less energy operating costs and gas processing costs.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85"/>
        <w:gridCol w:w="1163"/>
        <w:gridCol w:w="1167"/>
        <w:gridCol w:w="281"/>
        <w:gridCol w:w="861"/>
        <w:gridCol w:w="145"/>
        <w:gridCol w:w="109"/>
        <w:gridCol w:w="109"/>
        <w:gridCol w:w="109"/>
        <w:gridCol w:w="302"/>
        <w:gridCol w:w="925"/>
        <w:gridCol w:w="155"/>
        <w:gridCol w:w="109"/>
        <w:gridCol w:w="109"/>
        <w:gridCol w:w="109"/>
        <w:gridCol w:w="109"/>
        <w:gridCol w:w="109"/>
        <w:gridCol w:w="281"/>
        <w:gridCol w:w="861"/>
        <w:gridCol w:w="145"/>
        <w:gridCol w:w="109"/>
        <w:gridCol w:w="109"/>
        <w:gridCol w:w="109"/>
        <w:gridCol w:w="277"/>
        <w:gridCol w:w="851"/>
        <w:gridCol w:w="207"/>
      </w:tblGrid>
      <w:tr>
        <w:trPr/>
        <w:tc>
          <w:tcPr>
            <w:tcW w:w="138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r>
      <w:tr>
        <w:trPr/>
        <w:tc>
          <w:tcPr>
            <w:tcW w:w="3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per Boe, except as otherwise stated)</w:t>
            </w:r>
          </w:p>
        </w:tc>
        <w:tc>
          <w:tcPr>
            <w:tcW w:w="1662" w:type="dxa"/>
            <w:gridSpan w:val="6"/>
            <w:tcBorders/>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net production (MBoe/d)</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oil, natural gas and NGL sales (in millions)</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Energy operating costs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Gas processing costs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Non-energy operating costs </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Operating costs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23.14 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24.48 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27.71 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Field general and administrative expenses</w:t>
            </w:r>
            <w:r>
              <w:rPr>
                <w:rFonts w:ascii="Arial;sans-serif" w:hAnsi="Arial;sans-serif"/>
                <w:b w:val="false"/>
                <w:color w:val="000000"/>
                <w:sz w:val="13"/>
              </w:rPr>
              <w:t xml:space="preserve">(a)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Field depreciation, depletion and amortization</w:t>
            </w:r>
            <w:r>
              <w:rPr>
                <w:rFonts w:ascii="Arial;sans-serif" w:hAnsi="Arial;sans-serif"/>
                <w:b w:val="false"/>
                <w:color w:val="000000"/>
                <w:sz w:val="13"/>
              </w:rPr>
              <w:t xml:space="preserve">(b)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Field taxes other than on income</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(a)Excludes unallocated general and administrative expenses.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(b)Excludes depreciation, depletion and amortization related to our corporate assets and our Elk Hills power plant.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Energy operating costs were lower on a per Boe basis during the three months ended June 30, 2024 compared to the three months ended March 31, 2024 as well as during the six months ended June 30, 2024 compared to the six months ended June 30, 2023. The decreases between periods were predominantly a result of lower natural gas prices, partially offset by lower production volumes between periods.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Non-energy operating costs were lower on a per Boe basis during the three months ended June 30, 2024 compared to the three months ended March 31, 2024 due to less downhole maintenance activity. Non-energy operating costs were lower during the six months ended June 30, 2024 compared to the six months ended June 30, 2023 due to reduced downhole maintenance and surface maintenance activity in 2024. Non-energy operating costs were higher on a per Boe basis during the six months ended June 30, 2024 compared to the six months ended June 30, 2023 as a result of lower production volumes.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Consolidated Results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For financial information related to our subsidiaries designated as Unrestricted Subsidiaries under the 2026 Senior Notes Indenture and 2029 Senior Notes Indenture, see </w:t>
      </w:r>
      <w:r>
        <w:rPr>
          <w:rFonts w:ascii="Arial;sans-serif" w:hAnsi="Arial;sans-serif"/>
          <w:b w:val="false"/>
          <w:i/>
          <w:color w:val="000000"/>
          <w:sz w:val="20"/>
        </w:rPr>
        <w:t xml:space="preserve">Part I, Item 1 – Financial Statements, Note 12 Condensed Consolidated Financial Information.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We closed the Aera Merger on July 1, 2024 and the Results of Operations do not contain the results of Aera for the periods presented. For more information on the Aera Merger, see </w:t>
      </w:r>
      <w:r>
        <w:rPr>
          <w:rFonts w:ascii="Arial;sans-serif" w:hAnsi="Arial;sans-serif"/>
          <w:b w:val="false"/>
          <w:i/>
          <w:color w:val="000000"/>
          <w:sz w:val="20"/>
        </w:rPr>
        <w:t>Part I, Item 1 – Financial Statements, Note 13 Subsequent Events.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Certain prior period balances related to NGL marketing activities have been reclassified to conform to our 2024 presentation. For the six months ended June 30, 2023, we reclassified $3 million related to NGL storage activities from other revenue to revenue from marketing of purchased commodities on our condensed consolidated statement of operations.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 xml:space="preserve">Three months ended June 30, 2024 compared to March 31, 2024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our consolidated operating revenues for the three months ended June 30, 2024 and March 31, 2024:</w:t>
      </w:r>
    </w:p>
    <w:tbl>
      <w:tblPr>
        <w:tblW w:w="8385" w:type="dxa"/>
        <w:jc w:val="left"/>
        <w:tblInd w:w="0" w:type="dxa"/>
        <w:tblLayout w:type="fixed"/>
        <w:tblCellMar>
          <w:top w:w="28" w:type="dxa"/>
          <w:left w:w="28" w:type="dxa"/>
          <w:bottom w:w="28" w:type="dxa"/>
          <w:right w:w="28" w:type="dxa"/>
        </w:tblCellMar>
      </w:tblPr>
      <w:tblGrid>
        <w:gridCol w:w="1666"/>
        <w:gridCol w:w="1461"/>
        <w:gridCol w:w="1477"/>
        <w:gridCol w:w="359"/>
        <w:gridCol w:w="821"/>
        <w:gridCol w:w="185"/>
        <w:gridCol w:w="114"/>
        <w:gridCol w:w="114"/>
        <w:gridCol w:w="114"/>
        <w:gridCol w:w="390"/>
        <w:gridCol w:w="893"/>
        <w:gridCol w:w="201"/>
        <w:gridCol w:w="109"/>
        <w:gridCol w:w="109"/>
        <w:gridCol w:w="109"/>
        <w:gridCol w:w="109"/>
        <w:gridCol w:w="154"/>
      </w:tblGrid>
      <w:tr>
        <w:trPr/>
        <w:tc>
          <w:tcPr>
            <w:tcW w:w="1666"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 natural gas and NGL sales</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gain (loss) from commodity derivatives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Revenue from marketing of purchased commodities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Electricity sales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revenue</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Oil, natural gas and NGL sales</w:t>
      </w:r>
      <w:r>
        <w:rPr>
          <w:color w:val="000000"/>
        </w:rPr>
        <w:t xml:space="preserve"> — </w:t>
      </w:r>
      <w:r>
        <w:rPr>
          <w:rFonts w:ascii="Arial;sans-serif" w:hAnsi="Arial;sans-serif"/>
          <w:b w:val="false"/>
          <w:color w:val="000000"/>
          <w:sz w:val="20"/>
        </w:rPr>
        <w:t xml:space="preserve">Oil, natural gas and NGL sales, excluding the effects of cash settlements on our commodity derivative contracts, were $412 million for the three months ended June 30, 2024, which is a decrease of $17 million compared to $429 million for the three months ended March 31, 2024. The components of the decrease in the second quarter of 2024 are shown in the table below. The effect of cash settlements on our commodity derivative contracts and the elimination of intercompany sales related to natural gas sold to our power plant are not included in the table below. </w:t>
      </w:r>
    </w:p>
    <w:tbl>
      <w:tblPr>
        <w:tblW w:w="8836" w:type="dxa"/>
        <w:jc w:val="left"/>
        <w:tblInd w:w="0" w:type="dxa"/>
        <w:tblLayout w:type="fixed"/>
        <w:tblCellMar>
          <w:top w:w="28" w:type="dxa"/>
          <w:left w:w="28" w:type="dxa"/>
          <w:bottom w:w="28" w:type="dxa"/>
          <w:right w:w="28" w:type="dxa"/>
        </w:tblCellMar>
      </w:tblPr>
      <w:tblGrid>
        <w:gridCol w:w="1258"/>
        <w:gridCol w:w="1108"/>
        <w:gridCol w:w="1113"/>
        <w:gridCol w:w="211"/>
        <w:gridCol w:w="481"/>
        <w:gridCol w:w="109"/>
        <w:gridCol w:w="109"/>
        <w:gridCol w:w="109"/>
        <w:gridCol w:w="109"/>
        <w:gridCol w:w="211"/>
        <w:gridCol w:w="376"/>
        <w:gridCol w:w="109"/>
        <w:gridCol w:w="109"/>
        <w:gridCol w:w="109"/>
        <w:gridCol w:w="109"/>
        <w:gridCol w:w="359"/>
        <w:gridCol w:w="639"/>
        <w:gridCol w:w="187"/>
        <w:gridCol w:w="109"/>
        <w:gridCol w:w="109"/>
        <w:gridCol w:w="109"/>
        <w:gridCol w:w="422"/>
        <w:gridCol w:w="963"/>
        <w:gridCol w:w="309"/>
      </w:tblGrid>
      <w:tr>
        <w:trPr/>
        <w:tc>
          <w:tcPr>
            <w:tcW w:w="125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 Operations</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Three months ended March 31, 2024</w:t>
            </w:r>
            <w:r>
              <w:rPr>
                <w:rFonts w:ascii="Arial;sans-serif" w:hAnsi="Arial;sans-serif"/>
                <w:b w:val="false"/>
                <w:color w:val="000000"/>
                <w:sz w:val="13"/>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 in realized prices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 in production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Three months ended June 30, 2024</w:t>
            </w:r>
            <w:r>
              <w:rPr>
                <w:rFonts w:ascii="Arial;sans-serif" w:hAnsi="Arial;sans-serif"/>
                <w:b w:val="false"/>
                <w:color w:val="000000"/>
                <w:sz w:val="13"/>
              </w:rPr>
              <w:t>(b)</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416 </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pPr>
      <w:r>
        <w:rPr>
          <w:rFonts w:ascii="Arial;sans-serif" w:hAnsi="Arial;sans-serif"/>
          <w:b w:val="false"/>
          <w:color w:val="000000"/>
          <w:sz w:val="16"/>
        </w:rPr>
        <w:t xml:space="preserve">Note: See </w:t>
      </w:r>
      <w:r>
        <w:rPr>
          <w:rFonts w:ascii="Arial;sans-serif" w:hAnsi="Arial;sans-serif"/>
          <w:b w:val="false"/>
          <w:i/>
          <w:color w:val="000000"/>
          <w:sz w:val="16"/>
        </w:rPr>
        <w:t xml:space="preserve">Production </w:t>
      </w:r>
      <w:r>
        <w:rPr>
          <w:rFonts w:ascii="Arial;sans-serif" w:hAnsi="Arial;sans-serif"/>
          <w:b w:val="false"/>
          <w:color w:val="000000"/>
          <w:sz w:val="16"/>
        </w:rPr>
        <w:t xml:space="preserve">for volumes by commodity type and </w:t>
      </w:r>
      <w:r>
        <w:rPr>
          <w:rFonts w:ascii="Arial;sans-serif" w:hAnsi="Arial;sans-serif"/>
          <w:b w:val="false"/>
          <w:i/>
          <w:color w:val="000000"/>
          <w:sz w:val="16"/>
        </w:rPr>
        <w:t>Prices and Realizations</w:t>
      </w:r>
      <w:r>
        <w:rPr>
          <w:color w:val="000000"/>
        </w:rPr>
        <w:t xml:space="preserve"> </w:t>
      </w:r>
      <w:r>
        <w:rPr>
          <w:rFonts w:ascii="Arial;sans-serif" w:hAnsi="Arial;sans-serif"/>
          <w:b w:val="false"/>
          <w:color w:val="000000"/>
          <w:sz w:val="16"/>
        </w:rPr>
        <w:t xml:space="preserve">for index and realized prices for comparative periods.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(a)Excludes a $6 million intercompany elimination related to natural gas sold to our Elk Hills power plant.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(b)Excludes a $4 million intercompany elimination related to natural gas sold to our Elk Hills power plant.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Net gain (loss) from commodity derivatives</w:t>
      </w:r>
      <w:r>
        <w:rPr>
          <w:color w:val="000000"/>
        </w:rPr>
        <w:t xml:space="preserve"> — </w:t>
      </w:r>
      <w:r>
        <w:rPr>
          <w:rFonts w:ascii="Arial;sans-serif" w:hAnsi="Arial;sans-serif"/>
          <w:b w:val="false"/>
          <w:color w:val="000000"/>
          <w:sz w:val="20"/>
        </w:rPr>
        <w:t xml:space="preserve">Net gain from commodity derivatives was $5 million for the three months ended June 30, 2024 compared to net loss of $71 million for the three months ended March 31, 2024. The net gain (loss) from commodity derivatives primarily resulted from changes in the fair value of our outstanding commodity derivatives from the positions held as well as the relationship between contract prices and the associated forward curves at the end of each measurement period.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Payments on commodity derivatives were $6 million for the three months ended June 30, 2024 compared to $12 million for the three months ended March 31, 2024. Including the effect of settlement payments for commodity derivatives, the realized prices received for our oil, natural gas and NGL sales decreased by $11 million compared to the three months ended March 31, 2024.</w:t>
      </w:r>
    </w:p>
    <w:tbl>
      <w:tblPr>
        <w:tblW w:w="7418" w:type="dxa"/>
        <w:jc w:val="left"/>
        <w:tblInd w:w="0" w:type="dxa"/>
        <w:tblLayout w:type="fixed"/>
        <w:tblCellMar>
          <w:top w:w="28" w:type="dxa"/>
          <w:left w:w="28" w:type="dxa"/>
          <w:bottom w:w="28" w:type="dxa"/>
          <w:right w:w="28" w:type="dxa"/>
        </w:tblCellMar>
      </w:tblPr>
      <w:tblGrid>
        <w:gridCol w:w="1503"/>
        <w:gridCol w:w="1322"/>
        <w:gridCol w:w="1330"/>
        <w:gridCol w:w="414"/>
        <w:gridCol w:w="738"/>
        <w:gridCol w:w="213"/>
        <w:gridCol w:w="123"/>
        <w:gridCol w:w="123"/>
        <w:gridCol w:w="123"/>
        <w:gridCol w:w="402"/>
        <w:gridCol w:w="834"/>
        <w:gridCol w:w="293"/>
      </w:tblGrid>
      <w:tr>
        <w:trPr/>
        <w:tc>
          <w:tcPr>
            <w:tcW w:w="1503"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2024</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Non-cash commodity derivative gain (loss)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Settlements and premiums</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Net gain (loss) from commodity derivatives</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Revenue from marketing of purchased commodities</w:t>
      </w:r>
      <w:r>
        <w:rPr>
          <w:color w:val="000000"/>
        </w:rPr>
        <w:t xml:space="preserve"> — </w:t>
      </w:r>
      <w:r>
        <w:rPr>
          <w:rFonts w:ascii="Arial;sans-serif" w:hAnsi="Arial;sans-serif"/>
          <w:b w:val="false"/>
          <w:color w:val="000000"/>
          <w:sz w:val="20"/>
        </w:rPr>
        <w:t xml:space="preserve">Revenue from marketing of purchased commodities decreased $23 million to $51 million in the three months ended June 30, 2024 from $74 million in the three months ended March 31, 2024. The decrease was predominantly due to lower natural gas prices in the second quarter compared to the first quarter of 2024. Revenue from marketing of purchased commodities net of costs related to marketing of purchased commodities was $8 million for the three months ended June 30, 2024 compared to $20 million for the three months ended March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Electricity sales</w:t>
      </w:r>
      <w:r>
        <w:rPr>
          <w:color w:val="000000"/>
        </w:rPr>
        <w:t xml:space="preserve"> — </w:t>
      </w:r>
      <w:r>
        <w:rPr>
          <w:rFonts w:ascii="Arial;sans-serif" w:hAnsi="Arial;sans-serif"/>
          <w:b w:val="false"/>
          <w:color w:val="000000"/>
          <w:sz w:val="20"/>
        </w:rPr>
        <w:t xml:space="preserve">Electricity sales increased by $21 million to $36 million for the three months ended June 30, 2024 compared to $15 million for the three months ended March 31, 2024 due to fewer days of downtime at our Elk Hills power plant for maintenance in the second quarter of 2024 and higher revenue from capacity agreements coming into the summer months.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our consolidated operating and non-operating expenses and income for the three months ended June 30, 2024 and March 31, 2024: </w:t>
      </w:r>
    </w:p>
    <w:p>
      <w:pPr>
        <w:pStyle w:val="TextBody"/>
        <w:bidi w:val="0"/>
        <w:spacing w:before="0" w:after="0"/>
        <w:ind w:left="0" w:right="0" w:firstLine="360"/>
        <w:jc w:val="left"/>
        <w:rPr/>
      </w:pPr>
      <w:r>
        <w:rPr/>
      </w:r>
    </w:p>
    <w:tbl>
      <w:tblPr>
        <w:tblW w:w="8581" w:type="dxa"/>
        <w:jc w:val="left"/>
        <w:tblInd w:w="0" w:type="dxa"/>
        <w:tblLayout w:type="fixed"/>
        <w:tblCellMar>
          <w:top w:w="28" w:type="dxa"/>
          <w:left w:w="28" w:type="dxa"/>
          <w:bottom w:w="28" w:type="dxa"/>
          <w:right w:w="28" w:type="dxa"/>
        </w:tblCellMar>
      </w:tblPr>
      <w:tblGrid>
        <w:gridCol w:w="1728"/>
        <w:gridCol w:w="1517"/>
        <w:gridCol w:w="1525"/>
        <w:gridCol w:w="413"/>
        <w:gridCol w:w="738"/>
        <w:gridCol w:w="213"/>
        <w:gridCol w:w="124"/>
        <w:gridCol w:w="124"/>
        <w:gridCol w:w="124"/>
        <w:gridCol w:w="414"/>
        <w:gridCol w:w="857"/>
        <w:gridCol w:w="214"/>
        <w:gridCol w:w="109"/>
        <w:gridCol w:w="109"/>
        <w:gridCol w:w="109"/>
        <w:gridCol w:w="109"/>
        <w:gridCol w:w="154"/>
      </w:tblGrid>
      <w:tr>
        <w:trPr/>
        <w:tc>
          <w:tcPr>
            <w:tcW w:w="1728"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Energy operating costs</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Gas processing costs</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Non-energy operating costs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depletion and amortization</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other than on income</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Exploration expense</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Costs related to marketing of purchased commodities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Electricity generation expenses</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Transportation costs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Accretion expense</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Carbon management business expenses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 net</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divestitures</w:t>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Operating income (loss) </w:t>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Non-operating (expenses) income</w:t>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debt expense</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investment in unconsolidated subsidiary</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Other non-operating (expenses) income </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(provision) benefit</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(loss)</w:t>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Energy operating costs</w:t>
      </w:r>
      <w:r>
        <w:rPr>
          <w:color w:val="000000"/>
        </w:rPr>
        <w:t xml:space="preserve"> — </w:t>
      </w:r>
      <w:r>
        <w:rPr>
          <w:rFonts w:ascii="Arial;sans-serif" w:hAnsi="Arial;sans-serif"/>
          <w:b w:val="false"/>
          <w:color w:val="000000"/>
          <w:sz w:val="20"/>
        </w:rPr>
        <w:t xml:space="preserve">Energy operating costs for the three months ended June 30, 2024 were $41 million, which was a decrease of $12 million from $53 million for the three months ended March 31, 2024. This decrease was primarily the result of lower natural gas prices in the three months ended June 30, 2024. For more information on natural gas market prices, see </w:t>
      </w:r>
      <w:r>
        <w:rPr>
          <w:rFonts w:ascii="Arial;sans-serif" w:hAnsi="Arial;sans-serif"/>
          <w:b w:val="false"/>
          <w:i/>
          <w:color w:val="000000"/>
          <w:sz w:val="20"/>
        </w:rPr>
        <w:t>Prices and Realizations</w:t>
      </w:r>
      <w:r>
        <w:rPr>
          <w:color w:val="000000"/>
        </w:rPr>
        <w:t xml:space="preserve"> </w:t>
      </w:r>
      <w:r>
        <w:rPr>
          <w:rFonts w:ascii="Arial;sans-serif" w:hAnsi="Arial;sans-serif"/>
          <w:b w:val="false"/>
          <w:color w:val="000000"/>
          <w:sz w:val="20"/>
        </w:rPr>
        <w:t xml:space="preserve">above.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 xml:space="preserve">Asset impairments </w:t>
      </w:r>
      <w:r>
        <w:rPr>
          <w:color w:val="000000"/>
        </w:rPr>
        <w:t xml:space="preserve">— </w:t>
      </w:r>
      <w:r>
        <w:rPr>
          <w:rFonts w:ascii="Arial;sans-serif" w:hAnsi="Arial;sans-serif"/>
          <w:b w:val="false"/>
          <w:color w:val="000000"/>
          <w:sz w:val="20"/>
        </w:rPr>
        <w:t xml:space="preserve">During the three months ended June 30, 2024 we recognized a $13 million impairment for excess and obsolete materials and supplies related to our oilfield operations. We did not recognize an asset impairment for the three months ended March 31, 2024.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Costs related to marketing of purchased commodities</w:t>
      </w:r>
      <w:r>
        <w:rPr>
          <w:color w:val="000000"/>
        </w:rPr>
        <w:t xml:space="preserve"> — </w:t>
      </w:r>
      <w:r>
        <w:rPr>
          <w:rFonts w:ascii="Arial;sans-serif" w:hAnsi="Arial;sans-serif"/>
          <w:b w:val="false"/>
          <w:color w:val="000000"/>
          <w:sz w:val="20"/>
        </w:rPr>
        <w:t xml:space="preserve">Costs related to marketing of purchased commodities were $43 million for the three months ended June 30, 2024 compared to $54 million for the three months ended March 31, 2024. The decrease of $11 million was primarily due to lower natural gas prices in the three months ended June 30, 2024 compared to the three months ended March 31, 2024. This decrease was partially offset by higher volumes of purchased third-party crude oil in the three months ended June 30,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Other operating expenses, net</w:t>
      </w:r>
      <w:r>
        <w:rPr>
          <w:color w:val="000000"/>
        </w:rPr>
        <w:t xml:space="preserve"> — </w:t>
      </w:r>
      <w:r>
        <w:rPr>
          <w:rFonts w:ascii="Arial;sans-serif" w:hAnsi="Arial;sans-serif"/>
          <w:b w:val="false"/>
          <w:color w:val="000000"/>
          <w:sz w:val="20"/>
        </w:rPr>
        <w:t xml:space="preserve">Other operating expenses, net increased $14 million to $51 million for the three months ended June 30, 2024 compared to $37 million for the three months ended March 31, 2024. The increase was predominantly due to expenses related to transaction and integration costs related to the Aera Merger.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Six months ended June 30, 2024 compared to June 30, 2023</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our operating revenues for the six months ended June 30, 2024 and June 30, 2023:</w:t>
      </w:r>
    </w:p>
    <w:tbl>
      <w:tblPr>
        <w:tblW w:w="8250" w:type="dxa"/>
        <w:jc w:val="left"/>
        <w:tblInd w:w="0" w:type="dxa"/>
        <w:tblLayout w:type="fixed"/>
        <w:tblCellMar>
          <w:top w:w="28" w:type="dxa"/>
          <w:left w:w="28" w:type="dxa"/>
          <w:bottom w:w="28" w:type="dxa"/>
          <w:right w:w="28" w:type="dxa"/>
        </w:tblCellMar>
      </w:tblPr>
      <w:tblGrid>
        <w:gridCol w:w="1666"/>
        <w:gridCol w:w="1461"/>
        <w:gridCol w:w="1477"/>
        <w:gridCol w:w="359"/>
        <w:gridCol w:w="820"/>
        <w:gridCol w:w="185"/>
        <w:gridCol w:w="109"/>
        <w:gridCol w:w="109"/>
        <w:gridCol w:w="109"/>
        <w:gridCol w:w="298"/>
        <w:gridCol w:w="913"/>
        <w:gridCol w:w="154"/>
        <w:gridCol w:w="109"/>
        <w:gridCol w:w="109"/>
        <w:gridCol w:w="109"/>
        <w:gridCol w:w="109"/>
        <w:gridCol w:w="154"/>
      </w:tblGrid>
      <w:tr>
        <w:trPr/>
        <w:tc>
          <w:tcPr>
            <w:tcW w:w="1666"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 natural gas and NGL sales</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 gain from commodity derivatives</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from marketing of purchased commodities</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Electricity sales</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revenue</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968 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Oil, natural gas and NGL sales</w:t>
      </w:r>
      <w:r>
        <w:rPr>
          <w:color w:val="000000"/>
        </w:rPr>
        <w:t xml:space="preserve"> — </w:t>
      </w:r>
      <w:r>
        <w:rPr>
          <w:rFonts w:ascii="Arial;sans-serif" w:hAnsi="Arial;sans-serif"/>
          <w:b w:val="false"/>
          <w:color w:val="000000"/>
          <w:sz w:val="20"/>
        </w:rPr>
        <w:t xml:space="preserve">Oil, natural gas and NGL sales, excluding the effects of cash settlements on our commodity derivative contracts, were $841 million for the six months ended June 30, 2024, which is a decrease of $321 million compared to $1,162 million for the six months ended June 30, 2023. This decrease was primarily due to changes in realized prices as shown in the table below, including lower realized prices for natural gas and NGLs, partially offset by higher realized prices for oil. Oil, natural gas and NGL sales were also impacted by lower production volumes across all commodities. The effect of cash settlements on our commodity derivative contracts and the elimination of intercompany sales related to natural gas sold to our power plant are not included in the table below. </w:t>
      </w:r>
    </w:p>
    <w:tbl>
      <w:tblPr>
        <w:tblW w:w="8613" w:type="dxa"/>
        <w:jc w:val="left"/>
        <w:tblInd w:w="0" w:type="dxa"/>
        <w:tblLayout w:type="fixed"/>
        <w:tblCellMar>
          <w:top w:w="28" w:type="dxa"/>
          <w:left w:w="28" w:type="dxa"/>
          <w:bottom w:w="28" w:type="dxa"/>
          <w:right w:w="28" w:type="dxa"/>
        </w:tblCellMar>
      </w:tblPr>
      <w:tblGrid>
        <w:gridCol w:w="1139"/>
        <w:gridCol w:w="1003"/>
        <w:gridCol w:w="1008"/>
        <w:gridCol w:w="211"/>
        <w:gridCol w:w="481"/>
        <w:gridCol w:w="109"/>
        <w:gridCol w:w="109"/>
        <w:gridCol w:w="109"/>
        <w:gridCol w:w="109"/>
        <w:gridCol w:w="211"/>
        <w:gridCol w:w="481"/>
        <w:gridCol w:w="109"/>
        <w:gridCol w:w="109"/>
        <w:gridCol w:w="109"/>
        <w:gridCol w:w="109"/>
        <w:gridCol w:w="312"/>
        <w:gridCol w:w="712"/>
        <w:gridCol w:w="161"/>
        <w:gridCol w:w="109"/>
        <w:gridCol w:w="109"/>
        <w:gridCol w:w="109"/>
        <w:gridCol w:w="353"/>
        <w:gridCol w:w="1083"/>
        <w:gridCol w:w="259"/>
      </w:tblGrid>
      <w:tr>
        <w:trPr/>
        <w:tc>
          <w:tcPr>
            <w:tcW w:w="113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 Operations</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Six months ended June 30,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realized prices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production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Six months ended June 30, 2024</w:t>
            </w:r>
            <w:r>
              <w:rPr>
                <w:rFonts w:ascii="Arial;sans-serif" w:hAnsi="Arial;sans-serif"/>
                <w:b w:val="false"/>
                <w:color w:val="000000"/>
                <w:sz w:val="13"/>
              </w:rPr>
              <w:t>(a)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851 </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pPr>
      <w:r>
        <w:rPr>
          <w:rFonts w:ascii="Arial;sans-serif" w:hAnsi="Arial;sans-serif"/>
          <w:b w:val="false"/>
          <w:color w:val="000000"/>
          <w:sz w:val="16"/>
        </w:rPr>
        <w:t xml:space="preserve">Note: See </w:t>
      </w:r>
      <w:r>
        <w:rPr>
          <w:rFonts w:ascii="Arial;sans-serif" w:hAnsi="Arial;sans-serif"/>
          <w:b w:val="false"/>
          <w:i/>
          <w:color w:val="000000"/>
          <w:sz w:val="16"/>
        </w:rPr>
        <w:t xml:space="preserve">Production </w:t>
      </w:r>
      <w:r>
        <w:rPr>
          <w:rFonts w:ascii="Arial;sans-serif" w:hAnsi="Arial;sans-serif"/>
          <w:b w:val="false"/>
          <w:color w:val="000000"/>
          <w:sz w:val="16"/>
        </w:rPr>
        <w:t xml:space="preserve">for volumes by commodity type and </w:t>
      </w:r>
      <w:r>
        <w:rPr>
          <w:rFonts w:ascii="Arial;sans-serif" w:hAnsi="Arial;sans-serif"/>
          <w:b w:val="false"/>
          <w:i/>
          <w:color w:val="000000"/>
          <w:sz w:val="16"/>
        </w:rPr>
        <w:t>Prices and Realizations</w:t>
      </w:r>
      <w:r>
        <w:rPr>
          <w:color w:val="000000"/>
        </w:rPr>
        <w:t xml:space="preserve"> </w:t>
      </w:r>
      <w:r>
        <w:rPr>
          <w:rFonts w:ascii="Arial;sans-serif" w:hAnsi="Arial;sans-serif"/>
          <w:b w:val="false"/>
          <w:color w:val="000000"/>
          <w:sz w:val="16"/>
        </w:rPr>
        <w:t xml:space="preserve">for index and realized prices for comparative periods.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(a)Excludes a $10 million intercompany elimination related to natural gas sold to our Elk Hills power plant.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Net (loss) gain from commodity derivatives</w:t>
      </w:r>
      <w:r>
        <w:rPr>
          <w:color w:val="000000"/>
        </w:rPr>
        <w:t xml:space="preserve"> — </w:t>
      </w:r>
      <w:r>
        <w:rPr>
          <w:rFonts w:ascii="Arial;sans-serif" w:hAnsi="Arial;sans-serif"/>
          <w:b w:val="false"/>
          <w:color w:val="000000"/>
          <w:sz w:val="20"/>
        </w:rPr>
        <w:t xml:space="preserve">Net loss from commodity derivatives was $66 million for the six months ended June 30, 2024 compared to a net gain of $73 million for the six months ended June 30, 2023. The net (loss) gain from commodity derivatives primarily resulted from changes in the fair value of our outstanding commodity derivatives from the positions held as well as the relationship between contract prices and the associated forward curves at the end of each measurement period.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Payments on commodity derivatives were $18 million for the six months ended June 30, 2024 compared to payments of $128 million for the six months ended June 30, 2023. Payments on commodity derivatives for the six months ended June 30, 2023 included settlements for hedges that were entered into at a lower commodity price due to the requirements of our Revolving Credit Facility at that time. Including the effect of settlement payments for commodity derivatives, our oil, natural gas and NGL sales decreased by $211 million compared to the six months ended June 30, 2023.</w:t>
      </w:r>
    </w:p>
    <w:tbl>
      <w:tblPr>
        <w:tblW w:w="7855" w:type="dxa"/>
        <w:jc w:val="left"/>
        <w:tblInd w:w="0" w:type="dxa"/>
        <w:tblLayout w:type="fixed"/>
        <w:tblCellMar>
          <w:top w:w="28" w:type="dxa"/>
          <w:left w:w="28" w:type="dxa"/>
          <w:bottom w:w="28" w:type="dxa"/>
          <w:right w:w="28" w:type="dxa"/>
        </w:tblCellMar>
      </w:tblPr>
      <w:tblGrid>
        <w:gridCol w:w="1720"/>
        <w:gridCol w:w="1513"/>
        <w:gridCol w:w="1522"/>
        <w:gridCol w:w="381"/>
        <w:gridCol w:w="787"/>
        <w:gridCol w:w="196"/>
        <w:gridCol w:w="109"/>
        <w:gridCol w:w="109"/>
        <w:gridCol w:w="109"/>
        <w:gridCol w:w="351"/>
        <w:gridCol w:w="802"/>
        <w:gridCol w:w="256"/>
      </w:tblGrid>
      <w:tr>
        <w:trPr/>
        <w:tc>
          <w:tcPr>
            <w:tcW w:w="1720"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Non-cash commodity derivative (loss) gain</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payments on settled commodity derivatives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Net (loss) gain from commodity derivatives</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Revenue from marketing of purchased commodities</w:t>
      </w:r>
      <w:r>
        <w:rPr>
          <w:color w:val="000000"/>
        </w:rPr>
        <w:t xml:space="preserve"> — </w:t>
      </w:r>
      <w:r>
        <w:rPr>
          <w:rFonts w:ascii="Arial;sans-serif" w:hAnsi="Arial;sans-serif"/>
          <w:b w:val="false"/>
          <w:color w:val="000000"/>
          <w:sz w:val="20"/>
        </w:rPr>
        <w:t xml:space="preserve">Revenue from marketing of purchased commodities was $125 million for the six months ended June 30, 2024, which was a decrease of $134 million from $259 million during the six months ended June 30, 2023. The decrease was primarily the result of lower natural gas prices in 2024 compared to 2023. This decrease was partially offset by higher sales of purchased crude oil in 2024. Revenue from marketing of purchased commodities net of costs related to marketing of purchased commodities was $28 million for the six months ended June 30, 2024 compared to $108 million for the six months ended June 30, 2023.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Electricity sales</w:t>
      </w:r>
      <w:r>
        <w:rPr>
          <w:color w:val="000000"/>
        </w:rPr>
        <w:t xml:space="preserve"> — </w:t>
      </w:r>
      <w:r>
        <w:rPr>
          <w:rFonts w:ascii="Arial;sans-serif" w:hAnsi="Arial;sans-serif"/>
          <w:b w:val="false"/>
          <w:color w:val="000000"/>
          <w:sz w:val="20"/>
        </w:rPr>
        <w:t xml:space="preserve">Electricity sales decreased by $51 million to $51 million for the six months ended June 30, 2024 compared to $102 million for the six months ended June 30, 2023 due to scheduled maintenance and unplanned downtime at our Elk Hills power plant in the six months ended June 30, 2024. This decrease was partially offset by higher revenues from capacity agreements due to higher prices in six months ended June 30, 2024 as compared to the prior comparative period.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our operating and non-operating expenses and income for the six months ended June 30, 2024 and 2023: </w:t>
      </w:r>
    </w:p>
    <w:p>
      <w:pPr>
        <w:pStyle w:val="TextBody"/>
        <w:bidi w:val="0"/>
        <w:spacing w:before="0" w:after="0"/>
        <w:ind w:left="0" w:right="0" w:firstLine="360"/>
        <w:jc w:val="left"/>
        <w:rPr/>
      </w:pPr>
      <w:r>
        <w:rPr/>
      </w:r>
    </w:p>
    <w:tbl>
      <w:tblPr>
        <w:tblW w:w="8175" w:type="dxa"/>
        <w:jc w:val="left"/>
        <w:tblInd w:w="0" w:type="dxa"/>
        <w:tblLayout w:type="fixed"/>
        <w:tblCellMar>
          <w:top w:w="28" w:type="dxa"/>
          <w:left w:w="28" w:type="dxa"/>
          <w:bottom w:w="28" w:type="dxa"/>
          <w:right w:w="28" w:type="dxa"/>
        </w:tblCellMar>
      </w:tblPr>
      <w:tblGrid>
        <w:gridCol w:w="1641"/>
        <w:gridCol w:w="1441"/>
        <w:gridCol w:w="1448"/>
        <w:gridCol w:w="414"/>
        <w:gridCol w:w="737"/>
        <w:gridCol w:w="213"/>
        <w:gridCol w:w="109"/>
        <w:gridCol w:w="109"/>
        <w:gridCol w:w="109"/>
        <w:gridCol w:w="359"/>
        <w:gridCol w:w="820"/>
        <w:gridCol w:w="185"/>
        <w:gridCol w:w="109"/>
        <w:gridCol w:w="109"/>
        <w:gridCol w:w="109"/>
        <w:gridCol w:w="109"/>
        <w:gridCol w:w="154"/>
      </w:tblGrid>
      <w:tr>
        <w:trPr/>
        <w:tc>
          <w:tcPr>
            <w:tcW w:w="164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Energy operating costs</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Gas processing costs</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Non-energy operating costs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depletion and amortization</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other than on income</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Exploration expense</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Purchased natural gas marketing expense</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Electricity generation expenses</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Transportation costs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Accretion expense</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Carbon management business expenses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 net</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1,082 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Gain on asset divestitures</w:t>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Operating income </w:t>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Non-operating (expenses) income</w:t>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debt expense</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investment in unconsolidated subsidiary</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non-operating income</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income before income taxes</w:t>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benefit (provision)</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Net (loss) income </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Energy operating costs</w:t>
      </w:r>
      <w:r>
        <w:rPr>
          <w:color w:val="000000"/>
        </w:rPr>
        <w:t xml:space="preserve"> — </w:t>
      </w:r>
      <w:r>
        <w:rPr>
          <w:rFonts w:ascii="Arial;sans-serif" w:hAnsi="Arial;sans-serif"/>
          <w:b w:val="false"/>
          <w:color w:val="000000"/>
          <w:sz w:val="20"/>
        </w:rPr>
        <w:t xml:space="preserve">Energy operating costs for the six months ended June 30, 2024 were $94 million, which was a decrease of $89 million from $183 million for the six months ended June 30, 2023. This decrease was a result of lower natural gas prices in the six months of 2024 compared to the same prior year period. For more information on our natural gas market prices, see </w:t>
      </w:r>
      <w:r>
        <w:rPr>
          <w:rFonts w:ascii="Arial;sans-serif" w:hAnsi="Arial;sans-serif"/>
          <w:b w:val="false"/>
          <w:i/>
          <w:color w:val="000000"/>
          <w:sz w:val="20"/>
        </w:rPr>
        <w:t>Prices and Realizations</w:t>
      </w:r>
      <w:r>
        <w:rPr>
          <w:color w:val="000000"/>
        </w:rPr>
        <w:t xml:space="preserve"> </w:t>
      </w:r>
      <w:r>
        <w:rPr>
          <w:rFonts w:ascii="Arial;sans-serif" w:hAnsi="Arial;sans-serif"/>
          <w:b w:val="false"/>
          <w:color w:val="000000"/>
          <w:sz w:val="20"/>
        </w:rPr>
        <w:t xml:space="preserve">above.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Non-energy operating costs</w:t>
      </w:r>
      <w:r>
        <w:rPr>
          <w:color w:val="000000"/>
        </w:rPr>
        <w:t xml:space="preserve"> — </w:t>
      </w:r>
      <w:r>
        <w:rPr>
          <w:rFonts w:ascii="Arial;sans-serif" w:hAnsi="Arial;sans-serif"/>
          <w:b w:val="false"/>
          <w:color w:val="000000"/>
          <w:sz w:val="20"/>
        </w:rPr>
        <w:t>Non-energy operating costs were $231 million for the six months ended June 30, 2024, which was a decrease of $16 million from $247 million for the six months ended June 30, 2023. The decrease was primarily due to lower downhole and surface maintenance activities combined with more favorable vendor pricing for certain items in 2024 as a result of cost savings initiatives undertaken during 2023.</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General and administrative expenses</w:t>
      </w:r>
      <w:r>
        <w:rPr>
          <w:color w:val="000000"/>
        </w:rPr>
        <w:t xml:space="preserve"> — </w:t>
      </w:r>
      <w:r>
        <w:rPr>
          <w:rFonts w:ascii="Arial;sans-serif" w:hAnsi="Arial;sans-serif"/>
          <w:b w:val="false"/>
          <w:color w:val="000000"/>
          <w:sz w:val="20"/>
        </w:rPr>
        <w:t>General and administrative (G&amp;A) expenses were $120 million for the six months ended June 30, 2024, which was a decrease of $16 million from $136 million for the six months ended June 30, 2023. The decrease in G&amp;A expenses was primarily attributable to lower compensation-related expenses. G&amp;A expenses were also lower in the six months ended June 30, 2024 compared to the same prior year period as a result in reduced spending on information technology infrastructure. Stock-based compensation awards are discussed further below.</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table below shows G&amp;A expenses for our exploration and production business (in addition to unallocated corporate overhead and other) separately from our carbon management business. The amounts shown for our carbon management business do not include expenses borne by the Carbon TerraVault JV. </w:t>
      </w:r>
    </w:p>
    <w:p>
      <w:pPr>
        <w:pStyle w:val="TextBody"/>
        <w:bidi w:val="0"/>
        <w:spacing w:before="0" w:after="0"/>
        <w:ind w:left="0" w:right="0" w:firstLine="360"/>
        <w:jc w:val="left"/>
        <w:rPr/>
      </w:pPr>
      <w:r>
        <w:rPr/>
      </w:r>
    </w:p>
    <w:tbl>
      <w:tblPr>
        <w:tblW w:w="7330" w:type="dxa"/>
        <w:jc w:val="left"/>
        <w:tblInd w:w="0" w:type="dxa"/>
        <w:tblLayout w:type="fixed"/>
        <w:tblCellMar>
          <w:top w:w="28" w:type="dxa"/>
          <w:left w:w="28" w:type="dxa"/>
          <w:bottom w:w="28" w:type="dxa"/>
          <w:right w:w="28" w:type="dxa"/>
        </w:tblCellMar>
      </w:tblPr>
      <w:tblGrid>
        <w:gridCol w:w="1532"/>
        <w:gridCol w:w="1347"/>
        <w:gridCol w:w="1351"/>
        <w:gridCol w:w="359"/>
        <w:gridCol w:w="820"/>
        <w:gridCol w:w="185"/>
        <w:gridCol w:w="109"/>
        <w:gridCol w:w="109"/>
        <w:gridCol w:w="109"/>
        <w:gridCol w:w="351"/>
        <w:gridCol w:w="802"/>
        <w:gridCol w:w="256"/>
      </w:tblGrid>
      <w:tr>
        <w:trPr/>
        <w:tc>
          <w:tcPr>
            <w:tcW w:w="153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Exploration and production, corporate and other</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Carbon management business</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general and administrative expenses</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Awards are granted under our stock-based compensation plans to executives, non-executive employees and non-employee directors that are either settled with shares of our common stock or cash. Our equity-settled awards granted to executives include performance stock units and restricted stock units that either cliff vest at the end of a two- or three-year period or vest ratably over a two- or three-year period. Our equity-settled awards granted to non-employee directors are restricted stock units that vest ratably over a three-year period. Our cash-settled awards granted to non-executive employees vest ratably over a three-year period.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Changes in our stock price introduce volatility in our results of operations because we pay half of our cash-settled awards based on our stock price performance and we adjust our obligation for unvested cash-settled awards at the end of each reporting period. Equity-settled awards are not similarly adjusted for changes in our stock price.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Stock-based compensation included in G&amp;A expense is shown in the table below:</w:t>
      </w:r>
    </w:p>
    <w:p>
      <w:pPr>
        <w:pStyle w:val="TextBody"/>
        <w:bidi w:val="0"/>
        <w:spacing w:before="0" w:after="0"/>
        <w:ind w:left="0" w:right="0" w:firstLine="360"/>
        <w:jc w:val="left"/>
        <w:rPr/>
      </w:pPr>
      <w:r>
        <w:rPr/>
      </w:r>
    </w:p>
    <w:tbl>
      <w:tblPr>
        <w:tblW w:w="7901" w:type="dxa"/>
        <w:jc w:val="left"/>
        <w:tblInd w:w="0" w:type="dxa"/>
        <w:tblLayout w:type="fixed"/>
        <w:tblCellMar>
          <w:top w:w="28" w:type="dxa"/>
          <w:left w:w="28" w:type="dxa"/>
          <w:bottom w:w="28" w:type="dxa"/>
          <w:right w:w="28" w:type="dxa"/>
        </w:tblCellMar>
      </w:tblPr>
      <w:tblGrid>
        <w:gridCol w:w="1733"/>
        <w:gridCol w:w="1522"/>
        <w:gridCol w:w="1529"/>
        <w:gridCol w:w="413"/>
        <w:gridCol w:w="738"/>
        <w:gridCol w:w="214"/>
        <w:gridCol w:w="114"/>
        <w:gridCol w:w="114"/>
        <w:gridCol w:w="114"/>
        <w:gridCol w:w="401"/>
        <w:gridCol w:w="716"/>
        <w:gridCol w:w="293"/>
      </w:tblGrid>
      <w:tr>
        <w:trPr/>
        <w:tc>
          <w:tcPr>
            <w:tcW w:w="1733"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Cash-settled awards</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Stock-settled awards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included in general and administrative expenses</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Asset impairments</w:t>
      </w:r>
      <w:r>
        <w:rPr>
          <w:color w:val="000000"/>
        </w:rPr>
        <w:t xml:space="preserve"> — </w:t>
      </w:r>
      <w:r>
        <w:rPr>
          <w:rFonts w:ascii="Arial;sans-serif" w:hAnsi="Arial;sans-serif"/>
          <w:b w:val="false"/>
          <w:color w:val="000000"/>
          <w:sz w:val="20"/>
        </w:rPr>
        <w:t xml:space="preserve">Asset impairments increased $10 million to $13 million for the six months ended June 30, 2024 from $3 million for the six months ended June 30, 2023. In the six months ended June 30, 2024, our asset impairment related to the write-down of excess and obsolete materials and supplies inventory related to our oilfield operations. In the six months ended June 30, 2023, our asset impairment related to the write-down of a property to fair value when it was classified as held for sale.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Taxes other than on income</w:t>
      </w:r>
      <w:r>
        <w:rPr>
          <w:color w:val="000000"/>
        </w:rPr>
        <w:t xml:space="preserve"> — </w:t>
      </w:r>
      <w:r>
        <w:rPr>
          <w:rFonts w:ascii="Arial;sans-serif" w:hAnsi="Arial;sans-serif"/>
          <w:b w:val="false"/>
          <w:color w:val="000000"/>
          <w:sz w:val="20"/>
        </w:rPr>
        <w:t xml:space="preserve">Taxes other than on income were $77 million for the six months ended June 30, 2024, which was a decrease of $7 million from $84 million for the six months ended June 30, 2023. The decrease was primarily related to lower greenhouse gas expense in 2024. This decrease was partially offset by higher ad valorem taxes in the six months ended June 30, 2024 compared to the same prior year period.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Costs related to marketing of purchased commodities</w:t>
      </w:r>
      <w:r>
        <w:rPr>
          <w:color w:val="000000"/>
        </w:rPr>
        <w:t xml:space="preserve"> — </w:t>
      </w:r>
      <w:r>
        <w:rPr>
          <w:rFonts w:ascii="Arial;sans-serif" w:hAnsi="Arial;sans-serif"/>
          <w:b w:val="false"/>
          <w:color w:val="000000"/>
          <w:sz w:val="20"/>
        </w:rPr>
        <w:t xml:space="preserve">Costs related to marketing of purchased commodities were $97 million for the six months ended June 30, 2024, which was a decrease of $54 million from $151 million for the six months ended June 30, 2023. The decrease primarily related to lower natural gas prices in 2024 compared to 2023.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Electricity generation expense</w:t>
      </w:r>
      <w:r>
        <w:rPr>
          <w:color w:val="000000"/>
        </w:rPr>
        <w:t xml:space="preserve"> — </w:t>
      </w:r>
      <w:r>
        <w:rPr>
          <w:rFonts w:ascii="Arial;sans-serif" w:hAnsi="Arial;sans-serif"/>
          <w:b w:val="false"/>
          <w:color w:val="000000"/>
          <w:sz w:val="20"/>
        </w:rPr>
        <w:t>Electricity generation expenses for the six months ended June 30, 2024 were $22 million, which was a decrease of $40 million from $62 million for the same prior year period. This decrease was primarily due to lower prices for natural gas as well as downtime at our Elk Hills power plant for maintenance.</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Carbon management business expenses</w:t>
      </w:r>
      <w:r>
        <w:rPr>
          <w:color w:val="000000"/>
        </w:rPr>
        <w:t xml:space="preserve"> — </w:t>
      </w:r>
      <w:r>
        <w:rPr>
          <w:rFonts w:ascii="Arial;sans-serif" w:hAnsi="Arial;sans-serif"/>
          <w:b w:val="false"/>
          <w:color w:val="000000"/>
          <w:sz w:val="20"/>
        </w:rPr>
        <w:t xml:space="preserve">Carbon management business expenses increased by $10 million to $23 million for the six months ended June 30, 2024 from $13 million for the six months ended June 30, 2023. The increase in carbon management business expenses was predominantly due to higher easement expense and compensation-related expenses.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Other operating expenses, net</w:t>
      </w:r>
      <w:r>
        <w:rPr>
          <w:color w:val="000000"/>
        </w:rPr>
        <w:t xml:space="preserve"> — </w:t>
      </w:r>
      <w:r>
        <w:rPr>
          <w:rFonts w:ascii="Arial;sans-serif" w:hAnsi="Arial;sans-serif"/>
          <w:b w:val="false"/>
          <w:color w:val="000000"/>
          <w:sz w:val="20"/>
        </w:rPr>
        <w:t xml:space="preserve">Other operating expenses, net increased $67 million to $88 million for the six months ended June 30, 2024 compared to $21 million for the six months ended June 30, 2023. The increase was primarily related to transaction and integration costs for the Aera Merger as well as additional expenses related to electricity purchased during the ongoing maintenance at our Elk Hills power plant.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Income taxes</w:t>
      </w:r>
      <w:r>
        <w:rPr>
          <w:color w:val="000000"/>
        </w:rPr>
        <w:t xml:space="preserve"> – </w:t>
      </w:r>
      <w:r>
        <w:rPr>
          <w:rFonts w:ascii="Arial;sans-serif" w:hAnsi="Arial;sans-serif"/>
          <w:b w:val="false"/>
          <w:color w:val="000000"/>
          <w:sz w:val="20"/>
        </w:rPr>
        <w:t xml:space="preserve">The income tax benefit for the six months ended June 30, 2024 was $6 million (representing an effective tax rate of 75%), compared to a provision of $113 million (representing an effective tax rate of 22%) for the six months ended June 30, 2023. We recognized an excess tax benefit as a discrete adjustment in the six months ended June 30, 2024 related to the settlement of certain equity-settled stock-based compensation awards. See </w:t>
      </w:r>
      <w:r>
        <w:rPr>
          <w:rFonts w:ascii="Arial;sans-serif" w:hAnsi="Arial;sans-serif"/>
          <w:b w:val="false"/>
          <w:i/>
          <w:color w:val="000000"/>
          <w:sz w:val="20"/>
        </w:rPr>
        <w:t xml:space="preserve">Part I, Item 1 – Financial Statements, Note 6 Income Taxes </w:t>
      </w:r>
      <w:r>
        <w:rPr>
          <w:rFonts w:ascii="Arial;sans-serif" w:hAnsi="Arial;sans-serif"/>
          <w:b w:val="false"/>
          <w:color w:val="000000"/>
          <w:sz w:val="20"/>
        </w:rPr>
        <w:t xml:space="preserve">for more information on our effective tax rate.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Liquidity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primary sources of liquidity and capital resources are cash flows from operations, cash and cash equivalents and available borrowing capacity under our Revolving Credit Facility. We consider our low leverage and ability to control costs to be a core strength and strategic advantage, which we are focused on maintaining. Our primary uses of operating cash flow for the three months ended June 30, 2024 were for capital investments, repurchases of our common stock and dividends.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liquidity: </w:t>
      </w:r>
    </w:p>
    <w:tbl>
      <w:tblPr>
        <w:tblW w:w="4874" w:type="dxa"/>
        <w:jc w:val="left"/>
        <w:tblInd w:w="0" w:type="dxa"/>
        <w:tblLayout w:type="fixed"/>
        <w:tblCellMar>
          <w:top w:w="28" w:type="dxa"/>
          <w:left w:w="28" w:type="dxa"/>
          <w:bottom w:w="28" w:type="dxa"/>
          <w:right w:w="28" w:type="dxa"/>
        </w:tblCellMar>
      </w:tblPr>
      <w:tblGrid>
        <w:gridCol w:w="1256"/>
        <w:gridCol w:w="1103"/>
        <w:gridCol w:w="1106"/>
        <w:gridCol w:w="294"/>
        <w:gridCol w:w="901"/>
        <w:gridCol w:w="214"/>
      </w:tblGrid>
      <w:tr>
        <w:trPr/>
        <w:tc>
          <w:tcPr>
            <w:tcW w:w="125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Available cash and cash equivalents</w:t>
            </w:r>
            <w:r>
              <w:rPr>
                <w:rFonts w:ascii="Arial;sans-serif" w:hAnsi="Arial;sans-serif"/>
                <w:b w:val="false"/>
                <w:color w:val="000000"/>
                <w:sz w:val="13"/>
              </w:rPr>
              <w:t>(a)</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Revolving Credit Facility:</w:t>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Borrowing capacity</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Revolver balance drawn</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letters of credit</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Availability</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Liquidity</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(a)Excludes an insignificant amount of restricted cash.</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At the time of the closing of the Aera Merger, we had available cash of $1.1 billion, which included $100 million of available cash at Aera. We used this cash to pay $990 million in connection with the extinguishment of Aera's outstanding indebtedness, and transaction costs and financing fees for the combined entity of $75 million, of which $9 million was accrued as of June 30, 2024.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We amended our Revolving Credit Facility during the first quarter of 2024 which increased the aggregate commitment amount and our borrowing base as described in </w:t>
      </w:r>
      <w:r>
        <w:rPr>
          <w:rFonts w:ascii="Arial;sans-serif" w:hAnsi="Arial;sans-serif"/>
          <w:b w:val="false"/>
          <w:i/>
          <w:color w:val="000000"/>
          <w:sz w:val="20"/>
        </w:rPr>
        <w:t xml:space="preserve">Part I, Item 1 – Financial Statements, Note 3 Debt </w:t>
      </w:r>
      <w:r>
        <w:rPr>
          <w:rFonts w:ascii="Arial;sans-serif" w:hAnsi="Arial;sans-serif"/>
          <w:b w:val="false"/>
          <w:color w:val="000000"/>
          <w:sz w:val="20"/>
        </w:rPr>
        <w:t>and continue to evaluate refinancing options for our 2026 Senior Notes. We also intend to pursue financing options for our carbon management business that are separate from the rest of our business.</w:t>
      </w:r>
      <w:r>
        <w:rPr>
          <w:color w:val="000000"/>
        </w:rPr>
        <w:t xml:space="preser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At current commodity prices and based upon our planned 2024 capital program described below, we expect to generate operating cash flow to support and invest in our core assets and preserve financial flexibility. We regularly review our financial position and evaluate whether to (i) adjust our drilling program, (ii) return available cash to shareholders through dividends or stock buybacks to the extent permitted under our Revolving Credit Facility and the indentures for our 2026 Senior Notes and our 2029 Senior Notes, (iii) reduce outstanding indebtedness, (iv) advance carbon management activities, or (v) maintain cash and cash equivalents on our balance sheet. We believe we have sufficient sources of liquidity to meet our obligations for the next twelve months.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Cash Flow Analysis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Cash flows from operating activities</w:t>
      </w:r>
      <w:r>
        <w:rPr>
          <w:color w:val="000000"/>
        </w:rPr>
        <w:t xml:space="preserve"> — </w:t>
      </w:r>
      <w:r>
        <w:rPr>
          <w:rFonts w:ascii="Arial;sans-serif" w:hAnsi="Arial;sans-serif"/>
          <w:b w:val="false"/>
          <w:color w:val="000000"/>
          <w:sz w:val="20"/>
        </w:rPr>
        <w:t xml:space="preserve">For the six months ended June 30, 2024, our operating cash flow decreased $234 million to $184 million from $418 million in the same period in 2023. This decrease in operating cash flow was primarily driven by lower natural gas prices in California markets during the six months ended June 30, 2024 compared to the same prior year period. Our average natural gas prices decreased $9.63 per Mcf from $12.44 per MMcf in the six months ended June 30, 2023 to $2.81 per Mcf during the six months ended June 30, 2024. Further, our natural gas production decreased by 27 MMcf/d from 136 MMcf/d in the six months ended June 30, 2023 to 109 MMcf/d in the six months ended June 30, 2024, also contributing to the decrease.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While our realized oil price with derivative settlements increased by $15.85 per barrel to $79.20 in the six months ended June 30, 2024 from $63.35 in the same prior year period, our net oil production volumes decreased 7 MBbl/d from 54 MBbl/d in the six months ended June 30, 2023 to 47 MBbl/d in the six months ended June 30, 2024.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total net production volumes decreased by 12 MBoe/d from 88 MBoe/d in the six months ended June 30, 2023 to 76 MBoe/d for the six months ended June 30, 2024 primarily due to plant downtime during the first quarter of 2024, natural production decline and the divestiture of our share of a non-operated field in December 2023. Our PSCs also negatively impacted our net oil production by 1 MBoe/d in the six months ended June 30, 2024 compared to the same prior year period.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Cash flows used in investing activities</w:t>
      </w:r>
      <w:r>
        <w:rPr>
          <w:color w:val="000000"/>
        </w:rPr>
        <w:t xml:space="preserve"> — </w:t>
      </w:r>
      <w:r>
        <w:rPr>
          <w:rFonts w:ascii="Arial;sans-serif" w:hAnsi="Arial;sans-serif"/>
          <w:b w:val="false"/>
          <w:color w:val="000000"/>
          <w:sz w:val="20"/>
        </w:rPr>
        <w:t>The following table provides a comparative summary of net cash used in investing activities:</w:t>
      </w:r>
    </w:p>
    <w:p>
      <w:pPr>
        <w:pStyle w:val="TextBody"/>
        <w:bidi w:val="0"/>
        <w:spacing w:before="0" w:after="0"/>
        <w:ind w:left="0" w:right="0" w:firstLine="360"/>
        <w:jc w:val="left"/>
        <w:rPr/>
      </w:pPr>
      <w:r>
        <w:rPr/>
      </w:r>
    </w:p>
    <w:tbl>
      <w:tblPr>
        <w:tblW w:w="6850" w:type="dxa"/>
        <w:jc w:val="left"/>
        <w:tblInd w:w="0" w:type="dxa"/>
        <w:tblLayout w:type="fixed"/>
        <w:tblCellMar>
          <w:top w:w="28" w:type="dxa"/>
          <w:left w:w="28" w:type="dxa"/>
          <w:bottom w:w="28" w:type="dxa"/>
          <w:right w:w="28" w:type="dxa"/>
        </w:tblCellMar>
      </w:tblPr>
      <w:tblGrid>
        <w:gridCol w:w="1306"/>
        <w:gridCol w:w="1144"/>
        <w:gridCol w:w="1150"/>
        <w:gridCol w:w="109"/>
        <w:gridCol w:w="109"/>
        <w:gridCol w:w="201"/>
        <w:gridCol w:w="201"/>
        <w:gridCol w:w="390"/>
        <w:gridCol w:w="806"/>
        <w:gridCol w:w="201"/>
        <w:gridCol w:w="109"/>
        <w:gridCol w:w="109"/>
        <w:gridCol w:w="109"/>
        <w:gridCol w:w="211"/>
        <w:gridCol w:w="541"/>
        <w:gridCol w:w="154"/>
      </w:tblGrid>
      <w:tr>
        <w:trPr/>
        <w:tc>
          <w:tcPr>
            <w:tcW w:w="130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c>
          <w:tcPr>
            <w:tcW w:w="1233" w:type="dxa"/>
            <w:gridSpan w:val="6"/>
            <w:tcBorders/>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6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accrued capital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divestitures,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In March 2024, we sold our 0.9-acre Fort Apache real estate property in Huntington Beach, California for $10 million. For more information on our divestiture in the three months ended March 31, 2024, see </w:t>
      </w:r>
      <w:r>
        <w:rPr>
          <w:rFonts w:ascii="Arial;sans-serif" w:hAnsi="Arial;sans-serif"/>
          <w:b w:val="false"/>
          <w:i/>
          <w:color w:val="000000"/>
          <w:sz w:val="20"/>
        </w:rPr>
        <w:t xml:space="preserve">Part I, Item 1 – Financial Statements, Note 7 Divestitures and Acquisitions.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Cash flows used in financing activities</w:t>
      </w:r>
      <w:r>
        <w:rPr>
          <w:color w:val="000000"/>
        </w:rPr>
        <w:t xml:space="preserve"> — </w:t>
      </w:r>
      <w:r>
        <w:rPr>
          <w:rFonts w:ascii="Arial;sans-serif" w:hAnsi="Arial;sans-serif"/>
          <w:b w:val="false"/>
          <w:color w:val="000000"/>
          <w:sz w:val="20"/>
        </w:rPr>
        <w:t>The following table provides a comparative summary of net cash used in financing activities:</w:t>
      </w:r>
    </w:p>
    <w:p>
      <w:pPr>
        <w:pStyle w:val="TextBody"/>
        <w:bidi w:val="0"/>
        <w:spacing w:before="0" w:after="0"/>
        <w:ind w:left="0" w:right="0" w:firstLine="360"/>
        <w:jc w:val="left"/>
        <w:rPr/>
      </w:pPr>
      <w:r>
        <w:rPr/>
      </w:r>
    </w:p>
    <w:tbl>
      <w:tblPr>
        <w:tblW w:w="7703" w:type="dxa"/>
        <w:jc w:val="left"/>
        <w:tblInd w:w="0" w:type="dxa"/>
        <w:tblLayout w:type="fixed"/>
        <w:tblCellMar>
          <w:top w:w="28" w:type="dxa"/>
          <w:left w:w="28" w:type="dxa"/>
          <w:bottom w:w="28" w:type="dxa"/>
          <w:right w:w="28" w:type="dxa"/>
        </w:tblCellMar>
      </w:tblPr>
      <w:tblGrid>
        <w:gridCol w:w="1611"/>
        <w:gridCol w:w="1419"/>
        <w:gridCol w:w="1424"/>
        <w:gridCol w:w="109"/>
        <w:gridCol w:w="109"/>
        <w:gridCol w:w="192"/>
        <w:gridCol w:w="192"/>
        <w:gridCol w:w="372"/>
        <w:gridCol w:w="850"/>
        <w:gridCol w:w="192"/>
        <w:gridCol w:w="109"/>
        <w:gridCol w:w="109"/>
        <w:gridCol w:w="109"/>
        <w:gridCol w:w="211"/>
        <w:gridCol w:w="541"/>
        <w:gridCol w:w="154"/>
      </w:tblGrid>
      <w:tr>
        <w:trPr/>
        <w:tc>
          <w:tcPr>
            <w:tcW w:w="161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c>
          <w:tcPr>
            <w:tcW w:w="1233" w:type="dxa"/>
            <w:gridSpan w:val="6"/>
            <w:tcBorders/>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6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from Revolving Credit Facility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from 2029 Senior Notes,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Repurchases of common stock</w:t>
            </w:r>
            <w:r>
              <w:rPr>
                <w:rFonts w:ascii="Arial;sans-serif" w:hAnsi="Arial;sans-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Payments on equity-settled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Bridge loan commitment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Debt amendment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cancelled for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cash provided by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Arial;sans-serif" w:hAnsi="Arial;sans-serif"/>
          <w:b w:val="false"/>
          <w:color w:val="000000"/>
          <w:sz w:val="16"/>
          <w:shd w:fill="FFFFFF" w:val="clear"/>
        </w:rPr>
        <w:t>(a)</w:t>
      </w:r>
      <w:r>
        <w:rPr>
          <w:rFonts w:ascii="Arial;sans-serif" w:hAnsi="Arial;sans-serif"/>
          <w:b w:val="false"/>
          <w:color w:val="000000"/>
          <w:sz w:val="16"/>
        </w:rPr>
        <w:t xml:space="preserve">The total value of shares purchased includes approximately $1 million in both the six months ended June 30, 2024 and 2023 related to excise taxes on share repurchases, which was effective beginning on January 1, 2023. Commissions paid on share repurchases were not significant in all periods presented.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A significant number of stock-based compensation awards were settled in the first quarter of 2024. These awards were primarily granted in January 2021 following our emergence from bankruptcy. We withheld shares of common stock to satisfy the tax withholding obligations (shares cancelled for taxes). In addition to the $21 million of dividends paid in the first quarter of 2024,</w:t>
      </w:r>
      <w:r>
        <w:rPr>
          <w:color w:val="000000"/>
          <w:shd w:fill="FFFFFF" w:val="clear"/>
        </w:rPr>
        <w:t xml:space="preserve"> </w:t>
      </w:r>
      <w:r>
        <w:rPr>
          <w:rFonts w:ascii="Arial;sans-serif" w:hAnsi="Arial;sans-serif"/>
          <w:b w:val="false"/>
          <w:color w:val="000000"/>
          <w:sz w:val="20"/>
          <w:shd w:fill="FFFFFF" w:val="clear"/>
        </w:rPr>
        <w:t xml:space="preserve">we paid $4 million of dividend equivalents accrued on these stock-based compensation awards. For more information on the terms of our stock-based compensation awards, refer to </w:t>
      </w:r>
      <w:r>
        <w:rPr>
          <w:rFonts w:ascii="Arial;sans-serif" w:hAnsi="Arial;sans-serif"/>
          <w:b w:val="false"/>
          <w:i/>
          <w:color w:val="000000"/>
          <w:sz w:val="20"/>
        </w:rPr>
        <w:t>Part II,</w:t>
      </w:r>
      <w:r>
        <w:rPr>
          <w:color w:val="000000"/>
        </w:rPr>
        <w:t xml:space="preserve"> </w:t>
      </w:r>
      <w:r>
        <w:rPr>
          <w:rFonts w:ascii="Arial;sans-serif" w:hAnsi="Arial;sans-serif"/>
          <w:b w:val="false"/>
          <w:i/>
          <w:color w:val="000000"/>
          <w:sz w:val="20"/>
        </w:rPr>
        <w:t xml:space="preserve">Item 8 – Financial Statements and Supplementary Data, Note 9 Stock-Based Compensation </w:t>
      </w:r>
      <w:r>
        <w:rPr>
          <w:rFonts w:ascii="Arial;sans-serif" w:hAnsi="Arial;sans-serif"/>
          <w:b w:val="false"/>
          <w:color w:val="000000"/>
          <w:sz w:val="20"/>
        </w:rPr>
        <w:t xml:space="preserve">in our 2023 Annual Report. </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2024 Capital Program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Our capital program is dynamic in response to commodity price volatility and permit availability while focusing on oil production and maximizing our free cash flow. Our capital investment for the six months ended June 30, 2024 was $88 million. For the combined business after completion of the Aera Merger, we expect our capital program for the second half of 2024 to range between $170 million and $210 million under current permitting conditions. Of this amount, $155 million to $185 million is related to oil and natural gas development, $10 million to $15 million is for carbon management projects and $5 million to $10 million is for corporate and other. We expect to run a one rig program for the remainder of 2024 executing projects using existing permits. Refer to </w:t>
      </w:r>
      <w:r>
        <w:rPr>
          <w:rFonts w:ascii="Arial;sans-serif" w:hAnsi="Arial;sans-serif"/>
          <w:b w:val="false"/>
          <w:i/>
          <w:color w:val="000000"/>
          <w:sz w:val="20"/>
        </w:rPr>
        <w:t>Regulatory Updates</w:t>
      </w:r>
      <w:r>
        <w:rPr>
          <w:color w:val="000000"/>
        </w:rPr>
        <w:t xml:space="preserve"> </w:t>
      </w:r>
      <w:r>
        <w:rPr>
          <w:rFonts w:ascii="Arial;sans-serif" w:hAnsi="Arial;sans-serif"/>
          <w:b w:val="false"/>
          <w:color w:val="000000"/>
          <w:sz w:val="20"/>
        </w:rPr>
        <w:t>above for more information on permitting.</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Derivatives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Significant changes in oil and natural gas prices may have a material impact on our liquidity. Declining commodity prices negatively affect our operating cash flow, and the inverse applies during periods of rising commodity prices. Our hedging strategy seeks to mitigate our exposure to commodity price volatility and ensure our financial strength and liquidity by protecting our cash flows. We will continue to evaluate our hedging strategy based on prevailing market prices and conditions.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Unless otherwise indicated, we use the term “hedge” to describe derivative instruments that are designed to achieve our hedging requirements and program goals, even though they are not accounted for as cash-flow or fair-value hedges. We did not have any commodity derivatives designated as accounting hedges as of and during the six months ended June 30, 2024. See </w:t>
      </w:r>
      <w:r>
        <w:rPr>
          <w:rFonts w:ascii="Arial;sans-serif" w:hAnsi="Arial;sans-serif"/>
          <w:b w:val="false"/>
          <w:i/>
          <w:color w:val="000000"/>
          <w:sz w:val="20"/>
        </w:rPr>
        <w:t>Part I, Item 1 – Financial Statements, Note 5 Derivatives</w:t>
      </w:r>
      <w:r>
        <w:rPr>
          <w:color w:val="000000"/>
        </w:rPr>
        <w:t xml:space="preserve"> </w:t>
      </w:r>
      <w:r>
        <w:rPr>
          <w:rFonts w:ascii="Arial;sans-serif" w:hAnsi="Arial;sans-serif"/>
          <w:b w:val="false"/>
          <w:color w:val="000000"/>
          <w:sz w:val="20"/>
        </w:rPr>
        <w:t xml:space="preserve">for further information on our derivatives and a summary of our open derivative contracts as of June 30, 2024 and </w:t>
      </w:r>
      <w:r>
        <w:rPr>
          <w:rFonts w:ascii="Arial;sans-serif" w:hAnsi="Arial;sans-serif"/>
          <w:b w:val="false"/>
          <w:i/>
          <w:color w:val="000000"/>
          <w:sz w:val="20"/>
        </w:rPr>
        <w:t>Part II,</w:t>
      </w:r>
      <w:r>
        <w:rPr>
          <w:color w:val="000000"/>
        </w:rPr>
        <w:t xml:space="preserve"> </w:t>
      </w:r>
      <w:r>
        <w:rPr>
          <w:rFonts w:ascii="Arial;sans-serif" w:hAnsi="Arial;sans-serif"/>
          <w:b w:val="false"/>
          <w:i/>
          <w:color w:val="000000"/>
          <w:sz w:val="20"/>
        </w:rPr>
        <w:t xml:space="preserve">Item 8 – Financial Statements and Supplementary Data, Note 4 Debt </w:t>
      </w:r>
      <w:r>
        <w:rPr>
          <w:rFonts w:ascii="Arial;sans-serif" w:hAnsi="Arial;sans-serif"/>
          <w:b w:val="false"/>
          <w:color w:val="000000"/>
          <w:sz w:val="20"/>
        </w:rPr>
        <w:t>in our 2023 Annual Report</w:t>
      </w:r>
      <w:r>
        <w:rPr>
          <w:color w:val="000000"/>
        </w:rPr>
        <w:t xml:space="preserve"> </w:t>
      </w:r>
      <w:r>
        <w:rPr>
          <w:rFonts w:ascii="Arial;sans-serif" w:hAnsi="Arial;sans-serif"/>
          <w:b w:val="false"/>
          <w:color w:val="000000"/>
          <w:sz w:val="20"/>
        </w:rPr>
        <w:t xml:space="preserve">for information on the hedging requirements included in our Revolving Credit Facility.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Dividends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On August 2, 2024, our Board of Directors increased the cash dividend policy to anticipate a total annual dividend of </w:t>
      </w:r>
      <w:r>
        <w:rPr>
          <w:rFonts w:ascii="Arial;sans-serif" w:hAnsi="Arial;sans-serif"/>
          <w:b w:val="false"/>
          <w:color w:val="000000"/>
          <w:sz w:val="20"/>
        </w:rPr>
        <w:t>$1.55</w:t>
      </w:r>
      <w:r>
        <w:rPr>
          <w:rFonts w:ascii="Arial;sans-serif" w:hAnsi="Arial;sans-serif"/>
          <w:b w:val="false"/>
          <w:color w:val="000000"/>
          <w:sz w:val="20"/>
          <w:shd w:fill="FFFFFF" w:val="clear"/>
        </w:rPr>
        <w:t xml:space="preserve">, payable to shareholders in quarterly increments of </w:t>
      </w:r>
      <w:r>
        <w:rPr>
          <w:rFonts w:ascii="Arial;sans-serif" w:hAnsi="Arial;sans-serif"/>
          <w:b w:val="false"/>
          <w:color w:val="000000"/>
          <w:sz w:val="20"/>
        </w:rPr>
        <w:t>$0.3875</w:t>
      </w:r>
      <w:r>
        <w:rPr>
          <w:color w:val="000000"/>
          <w:shd w:fill="FFFFFF" w:val="clear"/>
        </w:rPr>
        <w:t xml:space="preserve"> </w:t>
      </w:r>
      <w:r>
        <w:rPr>
          <w:rFonts w:ascii="Arial;sans-serif" w:hAnsi="Arial;sans-serif"/>
          <w:b w:val="false"/>
          <w:color w:val="000000"/>
          <w:sz w:val="20"/>
          <w:shd w:fill="FFFFFF" w:val="clear"/>
        </w:rPr>
        <w:t xml:space="preserve">per share of common stock. The actual declaration of future cash dividends, and the establishment of record and payment dates, is subject to final determination by our Board of Directors each quarter after reviewing our financial performance and position.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Arial;sans-serif" w:hAnsi="Arial;sans-serif"/>
          <w:b w:val="false"/>
          <w:color w:val="000000"/>
          <w:sz w:val="20"/>
          <w:shd w:fill="FFFFFF" w:val="clear"/>
        </w:rPr>
        <w:t xml:space="preserve">On </w:t>
      </w:r>
      <w:r>
        <w:rPr>
          <w:rFonts w:ascii="Arial;sans-serif" w:hAnsi="Arial;sans-serif"/>
          <w:b w:val="false"/>
          <w:color w:val="000000"/>
          <w:sz w:val="20"/>
        </w:rPr>
        <w:t>August 5, 2024</w:t>
      </w:r>
      <w:r>
        <w:rPr>
          <w:rFonts w:ascii="Arial;sans-serif" w:hAnsi="Arial;sans-serif"/>
          <w:b w:val="false"/>
          <w:color w:val="000000"/>
          <w:sz w:val="20"/>
          <w:shd w:fill="FFFFFF" w:val="clear"/>
        </w:rPr>
        <w:t xml:space="preserve">, our Board of Directors declared a quarterly cash dividend of </w:t>
      </w:r>
      <w:r>
        <w:rPr>
          <w:rFonts w:ascii="Arial;sans-serif" w:hAnsi="Arial;sans-serif"/>
          <w:b w:val="false"/>
          <w:color w:val="000000"/>
          <w:sz w:val="20"/>
        </w:rPr>
        <w:t>$0.3875</w:t>
      </w:r>
      <w:r>
        <w:rPr>
          <w:color w:val="000000"/>
          <w:shd w:fill="FFFFFF" w:val="clear"/>
        </w:rPr>
        <w:t xml:space="preserve"> </w:t>
      </w:r>
      <w:r>
        <w:rPr>
          <w:rFonts w:ascii="Arial;sans-serif" w:hAnsi="Arial;sans-serif"/>
          <w:b w:val="false"/>
          <w:color w:val="000000"/>
          <w:sz w:val="20"/>
          <w:shd w:fill="FFFFFF" w:val="clear"/>
        </w:rPr>
        <w:t xml:space="preserve">per share of common stock. The dividend is payable to shareholders of record at the close of business on </w:t>
      </w:r>
      <w:r>
        <w:rPr>
          <w:rFonts w:ascii="Arial;sans-serif" w:hAnsi="Arial;sans-serif"/>
          <w:b w:val="false"/>
          <w:color w:val="000000"/>
          <w:sz w:val="20"/>
        </w:rPr>
        <w:t>August 30, 2024</w:t>
      </w:r>
      <w:r>
        <w:rPr>
          <w:color w:val="000000"/>
          <w:shd w:fill="FFFFFF" w:val="clear"/>
        </w:rPr>
        <w:t xml:space="preserve"> </w:t>
      </w:r>
      <w:r>
        <w:rPr>
          <w:rFonts w:ascii="Arial;sans-serif" w:hAnsi="Arial;sans-serif"/>
          <w:b w:val="false"/>
          <w:color w:val="000000"/>
          <w:sz w:val="20"/>
          <w:shd w:fill="FFFFFF" w:val="clear"/>
        </w:rPr>
        <w:t xml:space="preserve">and is expected to be paid on </w:t>
      </w:r>
      <w:r>
        <w:rPr>
          <w:rFonts w:ascii="Arial;sans-serif" w:hAnsi="Arial;sans-serif"/>
          <w:b w:val="false"/>
          <w:color w:val="000000"/>
          <w:sz w:val="20"/>
        </w:rPr>
        <w:t>September 16, 2024</w:t>
      </w:r>
      <w:r>
        <w:rPr>
          <w:rFonts w:ascii="Arial;sans-serif" w:hAnsi="Arial;sans-serif"/>
          <w:b w:val="false"/>
          <w:color w:val="000000"/>
          <w:sz w:val="20"/>
          <w:shd w:fill="FFFFFF" w:val="clear"/>
        </w:rPr>
        <w: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Board of Directors declared the following cash dividends in each of the periods presented. </w:t>
      </w:r>
    </w:p>
    <w:p>
      <w:pPr>
        <w:pStyle w:val="TextBody"/>
        <w:bidi w:val="0"/>
        <w:spacing w:before="0" w:after="0"/>
        <w:ind w:left="0" w:right="0" w:firstLine="360"/>
        <w:jc w:val="left"/>
        <w:rPr/>
      </w:pPr>
      <w:r>
        <w:rPr/>
      </w:r>
    </w:p>
    <w:tbl>
      <w:tblPr>
        <w:tblW w:w="6626" w:type="dxa"/>
        <w:jc w:val="left"/>
        <w:tblInd w:w="0" w:type="dxa"/>
        <w:tblLayout w:type="fixed"/>
        <w:tblCellMar>
          <w:top w:w="28" w:type="dxa"/>
          <w:left w:w="28" w:type="dxa"/>
          <w:bottom w:w="28" w:type="dxa"/>
          <w:right w:w="28" w:type="dxa"/>
        </w:tblCellMar>
      </w:tblPr>
      <w:tblGrid>
        <w:gridCol w:w="1199"/>
        <w:gridCol w:w="1051"/>
        <w:gridCol w:w="1064"/>
        <w:gridCol w:w="441"/>
        <w:gridCol w:w="785"/>
        <w:gridCol w:w="229"/>
        <w:gridCol w:w="109"/>
        <w:gridCol w:w="109"/>
        <w:gridCol w:w="109"/>
        <w:gridCol w:w="289"/>
        <w:gridCol w:w="1030"/>
        <w:gridCol w:w="211"/>
      </w:tblGrid>
      <w:tr>
        <w:trPr/>
        <w:tc>
          <w:tcPr>
            <w:tcW w:w="119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 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Rate Per Share</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per share)</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2024</w:t>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March 31, 2024</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June 30, 2024</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Six months ended June 30, 2024</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2023</w:t>
            </w:r>
          </w:p>
        </w:tc>
        <w:tc>
          <w:tcPr>
            <w:tcW w:w="14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March 31, 2023</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0.2825 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June 30, 2023</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0.2825 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Six months ended June 30, 2023</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In addition to dividends declared, we paid </w:t>
      </w:r>
      <w:r>
        <w:rPr>
          <w:rFonts w:ascii="Arial;sans-serif" w:hAnsi="Arial;sans-serif"/>
          <w:b w:val="false"/>
          <w:color w:val="000000"/>
          <w:sz w:val="20"/>
        </w:rPr>
        <w:t>$4 million</w:t>
      </w:r>
      <w:r>
        <w:rPr>
          <w:color w:val="000000"/>
          <w:shd w:fill="FFFFFF" w:val="clear"/>
        </w:rPr>
        <w:t xml:space="preserve"> </w:t>
      </w:r>
      <w:r>
        <w:rPr>
          <w:rFonts w:ascii="Arial;sans-serif" w:hAnsi="Arial;sans-serif"/>
          <w:b w:val="false"/>
          <w:color w:val="000000"/>
          <w:sz w:val="20"/>
          <w:shd w:fill="FFFFFF" w:val="clear"/>
        </w:rPr>
        <w:t xml:space="preserve">of dividend equivalents related to stock-based compensation awards which were settled in the six months ended June 30, 2024. The declaration of future cash dividends, and the establishment of record and payment dates, is subject to final determination by our Board of Directors each quarter after reviewing our financial performance and position. Since the adoption of our dividend policy in 2021, we have returned $197 million to shareholders through dividends. For information regarding past dividends paid, see </w:t>
      </w:r>
      <w:r>
        <w:rPr>
          <w:rFonts w:ascii="Arial;sans-serif" w:hAnsi="Arial;sans-serif"/>
          <w:b w:val="false"/>
          <w:i/>
          <w:color w:val="000000"/>
          <w:sz w:val="20"/>
        </w:rPr>
        <w:t xml:space="preserve">Cash Flow Analysis, </w:t>
      </w:r>
      <w:r>
        <w:rPr>
          <w:rFonts w:ascii="Arial;sans-serif" w:hAnsi="Arial;sans-serif"/>
          <w:b w:val="false"/>
          <w:i/>
          <w:color w:val="000000"/>
          <w:sz w:val="20"/>
          <w:shd w:fill="FFFFFF" w:val="clear"/>
        </w:rPr>
        <w:t>Cash Flow Used in Financing Activities</w:t>
      </w:r>
      <w:r>
        <w:rPr>
          <w:color w:val="000000"/>
          <w:shd w:fill="FFFFFF" w:val="clear"/>
        </w:rPr>
        <w:t xml:space="preserve"> </w:t>
      </w:r>
      <w:r>
        <w:rPr>
          <w:rFonts w:ascii="Arial;sans-serif" w:hAnsi="Arial;sans-serif"/>
          <w:b w:val="false"/>
          <w:color w:val="000000"/>
          <w:sz w:val="20"/>
          <w:shd w:fill="FFFFFF" w:val="clear"/>
        </w:rPr>
        <w:t xml:space="preserve">above.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Share Repurchase Program</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Board of Directors has authorized a Share Repurchase Program to acquire up to $1.35 billion of our common stock through December 31, 2025. The aggregate value of shares that may yet be purchased under the Share Repurchase Program totaled $656 million, excluding commissions and excise taxes on repurchases, as of June 30, 2024. The repurchases may be effected from time-to-time through open market purchases, privately negotiated transactions, Rule 10b5-1 plans, accelerated stock repurchases, derivative contracts or otherwise in compliance with Rule 10b-18, subject to market conditions and contractual limitations in our debt agreements. The Share Repurchase Program does not obligate us to repurchase any dollar amount or number of shares and our Board of Directors may modify, suspend or discontinue authorization of the program at any time. The following is a summary of our share repurchases, which are held as treasury stock, for the periods presented: </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127"/>
        <w:gridCol w:w="928"/>
        <w:gridCol w:w="932"/>
        <w:gridCol w:w="944"/>
        <w:gridCol w:w="750"/>
        <w:gridCol w:w="752"/>
        <w:gridCol w:w="109"/>
        <w:gridCol w:w="109"/>
        <w:gridCol w:w="109"/>
        <w:gridCol w:w="564"/>
        <w:gridCol w:w="1289"/>
        <w:gridCol w:w="293"/>
        <w:gridCol w:w="109"/>
        <w:gridCol w:w="109"/>
        <w:gridCol w:w="109"/>
        <w:gridCol w:w="410"/>
        <w:gridCol w:w="1257"/>
        <w:gridCol w:w="305"/>
      </w:tblGrid>
      <w:tr>
        <w:trPr/>
        <w:tc>
          <w:tcPr>
            <w:tcW w:w="112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2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Value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Average Price Paid per Share</w:t>
            </w:r>
          </w:p>
        </w:tc>
      </w:tr>
      <w:tr>
        <w:trPr/>
        <w:tc>
          <w:tcPr>
            <w:tcW w:w="2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share)</w:t>
            </w:r>
          </w:p>
        </w:tc>
      </w:tr>
      <w:tr>
        <w:trPr/>
        <w:tc>
          <w:tcPr>
            <w:tcW w:w="2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June 30, 2023</w:t>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1,618,746 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39.12 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June 30, 2024</w:t>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703,839 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Six months ended June 30, 2023</w:t>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3,042,510 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40.12 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Six months ended June 30, 2024</w:t>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1,769,603 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51.85 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Inception of Program (May 2021) through June 30, 2024</w:t>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16,633,518 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41.74 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vAlign w:val="center"/>
          </w:tcPr>
          <w:p>
            <w:pPr>
              <w:pStyle w:val="TableContents"/>
              <w:bidi w:val="0"/>
              <w:spacing w:before="0" w:after="283"/>
              <w:jc w:val="left"/>
              <w:rPr>
                <w:sz w:val="4"/>
                <w:szCs w:val="4"/>
              </w:rPr>
            </w:pPr>
            <w:r>
              <w:rPr>
                <w:sz w:val="4"/>
                <w:szCs w:val="4"/>
              </w:rPr>
            </w:r>
          </w:p>
        </w:tc>
        <w:tc>
          <w:tcPr>
            <w:tcW w:w="2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Note: The total value of shares purchased includes approximately $1 million in both the six months ended June 30, 2024 and 2023 related to excise taxes on share repurchases, which was effective beginning on January 1, 2023. Commissions paid on share repurchases were not significant in all periods presented.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0"/>
        </w:rPr>
        <w:t>Divestitures, Acquisitions and Assets Held for Sale</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See</w:t>
      </w:r>
      <w:r>
        <w:rPr>
          <w:color w:val="000000"/>
        </w:rPr>
        <w:t xml:space="preserve"> </w:t>
      </w:r>
      <w:r>
        <w:rPr>
          <w:rFonts w:ascii="Arial;sans-serif" w:hAnsi="Arial;sans-serif"/>
          <w:b w:val="false"/>
          <w:i/>
          <w:color w:val="000000"/>
          <w:sz w:val="20"/>
        </w:rPr>
        <w:t>Part I, Item 1 – Financial Statements, Note 7 Divestitures, Acquisitions and Assets Held for Sale</w:t>
      </w:r>
      <w:r>
        <w:rPr>
          <w:color w:val="000000"/>
        </w:rPr>
        <w:t xml:space="preserve"> </w:t>
      </w:r>
      <w:r>
        <w:rPr>
          <w:rFonts w:ascii="Arial;sans-serif" w:hAnsi="Arial;sans-serif"/>
          <w:b w:val="false"/>
          <w:color w:val="000000"/>
          <w:sz w:val="20"/>
        </w:rPr>
        <w:t xml:space="preserve">for information on our divestitures and acquisitions during the three months ended June 30, 2024 and 2023.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Lawsuits, Claims, Commitments and Contingencies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accrue reserves for currently outstanding lawsuits, claims and proceedings when it is probable that a liability has been incurred and the liability can be reasonably estimated. Reserve balances at June 30, 2024 and December 31, 2023 were not material to our condensed consolidated balance sheets as of such dates. We also evaluate the amount of reasonably possible losses that we could incur as a result of these matters. We believe that reasonably possible losses that we could incur in excess of reserves cannot be accurately determined.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See </w:t>
      </w:r>
      <w:r>
        <w:rPr>
          <w:rFonts w:ascii="Arial;sans-serif" w:hAnsi="Arial;sans-serif"/>
          <w:b w:val="false"/>
          <w:i/>
          <w:color w:val="000000"/>
          <w:sz w:val="20"/>
        </w:rPr>
        <w:t>Part I, Item 1 – Financial Statements, Note 4 Lawsuits, Claims, Commitments and Contingencies</w:t>
      </w:r>
      <w:r>
        <w:rPr>
          <w:color w:val="000000"/>
        </w:rPr>
        <w:t xml:space="preserve"> </w:t>
      </w:r>
      <w:r>
        <w:rPr>
          <w:rFonts w:ascii="Arial;sans-serif" w:hAnsi="Arial;sans-serif"/>
          <w:b w:val="false"/>
          <w:color w:val="000000"/>
          <w:sz w:val="20"/>
        </w:rPr>
        <w:t>for further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Critical Accounting Estimates and Significant Accounting and Disclosure Changes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There have been no changes to our critical accounting estimates, which are summarized in </w:t>
      </w:r>
      <w:r>
        <w:rPr>
          <w:rFonts w:ascii="Arial;sans-serif" w:hAnsi="Arial;sans-serif"/>
          <w:b w:val="false"/>
          <w:i/>
          <w:color w:val="000000"/>
          <w:sz w:val="20"/>
        </w:rPr>
        <w:t>Part II, Item 7 – Management’s Discussion and Analysis of Financial Condition and Results of Operations, Critical Accounting Estimates</w:t>
      </w:r>
      <w:r>
        <w:rPr>
          <w:color w:val="000000"/>
        </w:rPr>
        <w:t xml:space="preserve"> </w:t>
      </w:r>
      <w:r>
        <w:rPr>
          <w:rFonts w:ascii="Arial;sans-serif" w:hAnsi="Arial;sans-serif"/>
          <w:b w:val="false"/>
          <w:color w:val="000000"/>
          <w:sz w:val="20"/>
        </w:rPr>
        <w:t xml:space="preserve">of our 2023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Arial;sans-serif" w:hAnsi="Arial;sans-serif"/>
          <w:b/>
          <w:color w:val="000000"/>
          <w:sz w:val="20"/>
        </w:rPr>
      </w:pPr>
      <w:r>
        <w:rPr>
          <w:rFonts w:ascii="Arial;sans-serif" w:hAnsi="Arial;sans-serif"/>
          <w:b/>
          <w:color w:val="000000"/>
          <w:sz w:val="20"/>
        </w:rPr>
        <w:t xml:space="preserve">Forward-Looking Statements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This document contains statements that we believe to be “forward-looking statements” within the meaning of Section 27A of the Securities Act of 1933 and Section 21E of the Securities Exchange Act of 1934. All statements other than historical facts are forward-looking statements, and include statements regarding our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“strategy” or similar expressions are generally intended to identify forward-looking statements. Such forward-looking statements are subject to risks and uncertainties that could cause actual results to differ materially from those expressed in, or implied by, such statements.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fluctuations in commodity prices, including supply and demand considerations for our products and services, and the impact of such fluctuations on revenues and operating expenses;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decisions as to production levels and/or pricing by OPEC or U.S. producers in future periods;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government policy, war and political conditions and events, including the military conflicts in Israel, Ukraine and Yemen and the Red Sea;</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the ability to successfully integrate Aera's business;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regulatory actions and changes that affect the oil and gas industry generally and us in particular, including (1) the availability or timing of, or conditions imposed on, permits and approvals necessary for drilling or development activities or our carbon management business; (2) the management of energy, water, land, greenhouse gases (GHGs) or other emissions, (3) the protection of health, safety and the environment, or (4) the transportation, marketing and sale of our products;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the impact of inflation on future expenses and changes generally in the prices of goods and services;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changes in business strategy and our capital plan;</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lower-than-expected production or higher-than-expected production decline rates;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changes to our estimates of reserves and related future cash flows, including changes arising from our inability to develop such reserves in a timely manner, and any inability to replace such reserves;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the recoverability of resources and unexpected geologic conditions;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general economic conditions and trends, including conditions in the worldwide financial, trade and credit markets;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production-sharing contracts' effects on production and operating costs;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the lack of available equipment, service or labor price inflation;</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limitations on transportation or storage capacity and the need to shut-in wells;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any failure of risk management;</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results from operations and competition in the industries in which we operate;</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Our ability to realize the anticipated benefits from prior or future efforts to reduce costs;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environmental risks and liability under federal, regional, state, provincial, tribal, local and international environmental laws and regulations (including remedial actions);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the creditworthiness and performance of our counterparties, including financial institutions, operating partners, CCS project participants and other parties;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reorganization or restructuring of our operations;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Our ability to claim and utilize tax credits or other incentives in connection with our CCS projects;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Our ability to realize the benefits contemplated by our energy transition strategies and initiatives, including CCS projects and other renewable energy efforts;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Our ability to successfully identify, develop and finance carbon capture and storage projects and other renewable energy efforts, including those in connection with the Carbon TerraVault JV, and our ability to convert our CDMAs to definitive agreements and enter into other offtake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Our ability to maximize the value of our carbon management business and operate it on a stand alone basis;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Our ability to successfully develop infrastructure projects and enter into third party contracts on contemplated terms;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uncertainty around the accounting of emissions and our ability to successfully gather and verify emissions data and other environmental impacts;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changes to our dividend policy and share repurchase program, and our ability to declare future dividends or repurchase shares under our debt agreements;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limitations on our financial flexibility due to existing and future debt;</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insufficient cash flow to fund our capital plan and other planned investments and return capital to shareholders;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changes in interest rates;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Our access to and the terms of credit in commercial banking and capital markets, including our ability to refinance our debt or obtain separate financing for our carbon management business;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changes in state, federal or international tax rates, including our ability to utilize our net operating loss carryforwards to reduce our income tax obligations;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effects of hedging transactions;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the effect of our stock price on costs associated with incentive compensation;</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inability to enter into desirable transactions, including joint ventures, divestitures of oil and natural gas properties and real estate, and acquisitions, and our ability to achieve any expected synergies;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disruptions due to earthquakes, forest fires, floods, extreme weather events or other natural occurrences, accidents, mechanical failures, power outages, transportation or storage constraints, labor difficulties, cybersecurity breaches or attacks or other catastrophic events;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pandemics, epidemics, outbreaks, or other public health events, such as the COVID-19 pandemic;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other factors discussed in </w:t>
      </w:r>
      <w:r>
        <w:rPr>
          <w:rFonts w:ascii="Arial;sans-serif" w:hAnsi="Arial;sans-serif"/>
          <w:b w:val="false"/>
          <w:i/>
          <w:color w:val="000000"/>
          <w:sz w:val="20"/>
        </w:rPr>
        <w:t xml:space="preserve">Part I, Item 1A – Risk Factors </w:t>
      </w:r>
      <w:r>
        <w:rPr>
          <w:rFonts w:ascii="Arial;sans-serif" w:hAnsi="Arial;sans-serif"/>
          <w:b w:val="false"/>
          <w:color w:val="000000"/>
          <w:sz w:val="20"/>
        </w:rPr>
        <w:t>in our 2023 Annual Report</w:t>
      </w:r>
      <w:r>
        <w:rPr>
          <w:rFonts w:ascii="Arial;sans-serif" w:hAnsi="Arial;sans-serif"/>
          <w:b w:val="false"/>
          <w:i/>
          <w:color w:val="000000"/>
          <w:sz w:val="20"/>
        </w:rPr>
        <w:t>.</w: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caution you not to place undue reliance on forward-looking statements contained in this document, which speak only as of the filing date, and we undertake no obligation to update this information. This document may also contain information from third party sources. This data may involve a number of assumptions and limitations, and we have not independently verified them and do not warrant the accuracy or completeness of such third-party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3Quantitative and Qualitative Disclosures About Market Risk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For the three and six months ended June 30, 2024, there were no material changes to market risks from the information provided under Item 305 of Regulation S-K included under the caption </w:t>
      </w:r>
      <w:r>
        <w:rPr>
          <w:rFonts w:ascii="Arial;sans-serif" w:hAnsi="Arial;sans-serif"/>
          <w:b w:val="false"/>
          <w:i/>
          <w:color w:val="000000"/>
          <w:sz w:val="20"/>
        </w:rPr>
        <w:t>Part II, Item 7A – Quantitative and Qualitative Disclosures About Market Risk</w:t>
      </w:r>
      <w:r>
        <w:rPr>
          <w:color w:val="000000"/>
        </w:rPr>
        <w:t xml:space="preserve"> </w:t>
      </w:r>
      <w:r>
        <w:rPr>
          <w:rFonts w:ascii="Arial;sans-serif" w:hAnsi="Arial;sans-serif"/>
          <w:b w:val="false"/>
          <w:color w:val="000000"/>
          <w:sz w:val="20"/>
        </w:rPr>
        <w:t xml:space="preserve">in the 2023 Annual Report.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Commodity Price Risk</w:t>
      </w:r>
    </w:p>
    <w:p>
      <w:pPr>
        <w:pStyle w:val="TextBody"/>
        <w:bidi w:val="0"/>
        <w:spacing w:before="0" w:after="0"/>
        <w:jc w:val="left"/>
        <w:rPr/>
      </w:pPr>
      <w:r>
        <w:rPr/>
      </w:r>
    </w:p>
    <w:p>
      <w:pPr>
        <w:pStyle w:val="TextBody"/>
        <w:bidi w:val="0"/>
        <w:spacing w:lineRule="auto" w:line="268" w:before="0" w:after="0"/>
        <w:ind w:left="0" w:right="0" w:firstLine="450"/>
        <w:jc w:val="left"/>
        <w:rPr/>
      </w:pPr>
      <w:r>
        <w:rPr>
          <w:rFonts w:ascii="Arial;sans-serif" w:hAnsi="Arial;sans-serif"/>
          <w:b w:val="false"/>
          <w:color w:val="000000"/>
          <w:sz w:val="20"/>
        </w:rPr>
        <w:t>Our financial results are sensitive to fluctuations in oil, NGL and natural gas prices. These commodity price changes also impact the volume changes under our PSCs. We maintain a commodity hedging program primarily focused on hedging crude oil sales to help protect our cash flows, margins and capital program from the volatility of crude oil prices. As of June 30, 2024, we had a net liability of $38 million for our commodity derivative positions which are carried at fair value. Following the closing of the Aera Merger, we expect to increase our commodity hedging program with respect to natural gas. For more information on our derivative positions as</w:t>
      </w:r>
      <w:r>
        <w:rPr>
          <w:color w:val="000000"/>
          <w:shd w:fill="FFFFFF" w:val="clear"/>
        </w:rPr>
        <w:t xml:space="preserve"> </w:t>
      </w:r>
      <w:r>
        <w:rPr>
          <w:rFonts w:ascii="Arial;sans-serif" w:hAnsi="Arial;sans-serif"/>
          <w:b w:val="false"/>
          <w:color w:val="000000"/>
          <w:sz w:val="20"/>
          <w:shd w:fill="FFFFFF" w:val="clear"/>
        </w:rPr>
        <w:t xml:space="preserve">of </w:t>
      </w:r>
      <w:r>
        <w:rPr>
          <w:rFonts w:ascii="Arial;sans-serif" w:hAnsi="Arial;sans-serif"/>
          <w:b w:val="false"/>
          <w:color w:val="000000"/>
          <w:sz w:val="20"/>
        </w:rPr>
        <w:t>June 30, 2024</w:t>
      </w:r>
      <w:r>
        <w:rPr>
          <w:rFonts w:ascii="Arial;sans-serif" w:hAnsi="Arial;sans-serif"/>
          <w:b w:val="false"/>
          <w:color w:val="000000"/>
          <w:sz w:val="20"/>
          <w:shd w:fill="FFFFFF" w:val="clear"/>
        </w:rPr>
        <w:t xml:space="preserve">, refer to </w:t>
      </w:r>
      <w:r>
        <w:rPr>
          <w:rFonts w:ascii="Arial;sans-serif" w:hAnsi="Arial;sans-serif"/>
          <w:b w:val="false"/>
          <w:i/>
          <w:color w:val="000000"/>
          <w:sz w:val="20"/>
        </w:rPr>
        <w:t xml:space="preserve">Part I, Item 1 – Financial Statements, Note 5 Derivatives. </w:t>
      </w:r>
      <w:r>
        <w:rPr>
          <w:rFonts w:ascii="Arial;sans-serif" w:hAnsi="Arial;sans-serif"/>
          <w:b w:val="false"/>
          <w:color w:val="000000"/>
          <w:sz w:val="20"/>
        </w:rPr>
        <w:t xml:space="preserve">We have price exposure for natural gas we purchase and use in our business. We used natural gas to generate electricity for our operations and higher natural gas prices will also result in an increase to our electricity costs. </w:t>
      </w:r>
    </w:p>
    <w:p>
      <w:pPr>
        <w:pStyle w:val="TextBody"/>
        <w:bidi w:val="0"/>
        <w:spacing w:before="0" w:after="0"/>
        <w:ind w:left="0" w:right="0" w:firstLine="45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Counterparty Credit Risk</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credit risk relates primarily to trade receivables and derivative financial instruments. Credit exposure for each customer is monitored for outstanding balances and current activity. Counterparty credit limits have been established based upon the financial health of our counterparties, and these limits are actively monitored. In the event counterparty credit risk is heightened, we may request collateral and accelerate payment dates. Concentration of credit risk is regularly reviewed to ensure that counterparty credit risk is adequately diversified.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As of June 30, 2024, the majority of our credit exposure was with investment-grade counterparties. We believe exposure to counterparty credit-related losses related to our business at June 30, 2024 was not material and losses associated with counterparty credit risk have been insignificant for all periods presented.</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Interest-Rate Risk</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Changes in interest rates may affect the amount of interest we pay on our long-term debt. We had $30 million of variable-rate debt outstanding as of June 30, 2024</w:t>
      </w:r>
      <w:r>
        <w:rPr>
          <w:rFonts w:ascii="Arial;sans-serif" w:hAnsi="Arial;sans-serif"/>
          <w:b w:val="false"/>
          <w:color w:val="000000"/>
          <w:sz w:val="20"/>
          <w:shd w:fill="FFFFFF" w:val="clear"/>
        </w:rPr>
        <w:t xml:space="preserve">. </w:t>
      </w:r>
      <w:r>
        <w:rPr>
          <w:rFonts w:ascii="Arial;sans-serif" w:hAnsi="Arial;sans-serif"/>
          <w:b w:val="false"/>
          <w:color w:val="000000"/>
          <w:sz w:val="20"/>
        </w:rPr>
        <w:t>Our 2026 Senior Notes bear interest at a fixed rate of 7.125% per annum. Our 2029 Senior Notes bear interest at a fixed rate of 8.250% per annum.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4Controls and Procedures </w:t>
      </w:r>
    </w:p>
    <w:p>
      <w:pPr>
        <w:pStyle w:val="TextBody"/>
        <w:bidi w:val="0"/>
        <w:spacing w:before="0" w:after="0"/>
        <w:jc w:val="both"/>
        <w:rPr/>
      </w:pPr>
      <w:r>
        <w:rPr/>
      </w:r>
    </w:p>
    <w:p>
      <w:pPr>
        <w:pStyle w:val="TextBody"/>
        <w:bidi w:val="0"/>
        <w:spacing w:lineRule="auto" w:line="288" w:before="0" w:after="200"/>
        <w:ind w:left="0" w:right="0" w:firstLine="360"/>
        <w:jc w:val="left"/>
        <w:rPr>
          <w:rFonts w:ascii="Arial;sans-serif" w:hAnsi="Arial;sans-serif"/>
          <w:b w:val="false"/>
          <w:color w:val="000000"/>
          <w:sz w:val="20"/>
        </w:rPr>
      </w:pPr>
      <w:r>
        <w:rPr>
          <w:rFonts w:ascii="Arial;sans-serif" w:hAnsi="Arial;sans-serif"/>
          <w:b w:val="false"/>
          <w:color w:val="000000"/>
          <w:sz w:val="20"/>
        </w:rPr>
        <w:t>Our Chief Executive Officer and Chief Financial Officer supervised and participated in management's evaluation of our disclosure controls and procedures (as defined in Rules 13a-15(e) and 15d-15(e) under the Securities Exchange Act of 1934) as of the end of the period covered by this report. Based upon that evaluation, our Chief Executive Officer and our Chief Financial Officer concluded that our disclosure controls and procedures were effective as of June 30, 2024.</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There were no changes in our internal controls over financial reporting (as defined in Rules 13a-15(f) and 15d-15(f) under the Securities Exchange Act of 1934) during the three months ended June 30, 2024 that materially affected, or are reasonably likely to materially affect, our internal controls over financial reporting.</w:t>
      </w:r>
    </w:p>
    <w:p>
      <w:pPr>
        <w:pStyle w:val="TextBody"/>
        <w:bidi w:val="0"/>
        <w:spacing w:before="0" w:after="20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    OTHER INFORMATION</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1Legal Proceedings </w:t>
      </w:r>
    </w:p>
    <w:p>
      <w:pPr>
        <w:pStyle w:val="TextBody"/>
        <w:bidi w:val="0"/>
        <w:spacing w:before="0" w:after="0"/>
        <w:ind w:left="0" w:right="0" w:hanging="108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For additional information regarding legal proceedings, see </w:t>
      </w:r>
      <w:r>
        <w:rPr>
          <w:rFonts w:ascii="Arial;sans-serif" w:hAnsi="Arial;sans-serif"/>
          <w:b w:val="false"/>
          <w:i/>
          <w:color w:val="000000"/>
          <w:sz w:val="20"/>
        </w:rPr>
        <w:t xml:space="preserve">Item 1 </w:t>
      </w:r>
      <w:r>
        <w:rPr>
          <w:color w:val="000000"/>
        </w:rPr>
        <w:t xml:space="preserve">– </w:t>
      </w:r>
      <w:r>
        <w:rPr>
          <w:rFonts w:ascii="Arial;sans-serif" w:hAnsi="Arial;sans-serif"/>
          <w:b w:val="false"/>
          <w:i/>
          <w:color w:val="000000"/>
          <w:sz w:val="20"/>
        </w:rPr>
        <w:t>Financial Statements, Note 4 Lawsuits, Claims, Commitments and Contingencies</w:t>
      </w:r>
      <w:r>
        <w:rPr>
          <w:color w:val="000000"/>
        </w:rPr>
        <w:t xml:space="preserve"> </w:t>
      </w:r>
      <w:r>
        <w:rPr>
          <w:rFonts w:ascii="Arial;sans-serif" w:hAnsi="Arial;sans-serif"/>
          <w:b w:val="false"/>
          <w:color w:val="000000"/>
          <w:sz w:val="20"/>
        </w:rPr>
        <w:t xml:space="preserve">in the Notes to the Condensed Consolidated Financial Statements included in Part I of this Form 10-Q, </w:t>
      </w:r>
      <w:r>
        <w:rPr>
          <w:rFonts w:ascii="Arial;sans-serif" w:hAnsi="Arial;sans-serif"/>
          <w:b w:val="false"/>
          <w:i/>
          <w:color w:val="000000"/>
          <w:sz w:val="20"/>
        </w:rPr>
        <w:t>Part I, Item 2 – Management's Discussion and Analysis of Financial Condition and Results of Operations, Lawsuits, Claims, Commitments and Contingencies</w:t>
      </w:r>
      <w:r>
        <w:rPr>
          <w:color w:val="000000"/>
        </w:rPr>
        <w:t xml:space="preserve"> </w:t>
      </w:r>
      <w:r>
        <w:rPr>
          <w:rFonts w:ascii="Arial;sans-serif" w:hAnsi="Arial;sans-serif"/>
          <w:b w:val="false"/>
          <w:color w:val="000000"/>
          <w:sz w:val="20"/>
        </w:rPr>
        <w:t xml:space="preserve">in this Form 10-Q, and </w:t>
      </w:r>
      <w:r>
        <w:rPr>
          <w:rFonts w:ascii="Arial;sans-serif" w:hAnsi="Arial;sans-serif"/>
          <w:b w:val="false"/>
          <w:i/>
          <w:color w:val="000000"/>
          <w:sz w:val="20"/>
        </w:rPr>
        <w:t>Part I, Item 3, Legal Proceedings</w:t>
      </w:r>
      <w:r>
        <w:rPr>
          <w:color w:val="000000"/>
        </w:rPr>
        <w:t xml:space="preserve"> </w:t>
      </w:r>
      <w:r>
        <w:rPr>
          <w:rFonts w:ascii="Arial;sans-serif" w:hAnsi="Arial;sans-serif"/>
          <w:b w:val="false"/>
          <w:color w:val="000000"/>
          <w:sz w:val="20"/>
        </w:rPr>
        <w:t xml:space="preserve">in our 2023 Annual Report.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both"/>
        <w:rPr>
          <w:rFonts w:ascii="Arial;sans-serif" w:hAnsi="Arial;sans-serif"/>
          <w:b/>
          <w:color w:val="000000"/>
          <w:sz w:val="20"/>
        </w:rPr>
      </w:pPr>
      <w:r>
        <w:rPr>
          <w:rFonts w:ascii="Arial;sans-serif" w:hAnsi="Arial;sans-serif"/>
          <w:b/>
          <w:color w:val="000000"/>
          <w:sz w:val="20"/>
        </w:rPr>
        <w:t xml:space="preserve">Item 1A     Risk Factors </w:t>
      </w:r>
    </w:p>
    <w:p>
      <w:pPr>
        <w:pStyle w:val="TextBody"/>
        <w:bidi w:val="0"/>
        <w:spacing w:before="0" w:after="0"/>
        <w:jc w:val="both"/>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We are subject to various risks and uncertainties in the course of our business. A discussion of such risks and uncertainties may be found under the heading </w:t>
      </w:r>
      <w:r>
        <w:rPr>
          <w:rFonts w:ascii="Arial;sans-serif" w:hAnsi="Arial;sans-serif"/>
          <w:b w:val="false"/>
          <w:i/>
          <w:color w:val="000000"/>
          <w:sz w:val="20"/>
        </w:rPr>
        <w:t>Risk Factors</w:t>
      </w:r>
      <w:r>
        <w:rPr>
          <w:color w:val="000000"/>
        </w:rPr>
        <w:t xml:space="preserve"> </w:t>
      </w:r>
      <w:r>
        <w:rPr>
          <w:rFonts w:ascii="Arial;sans-serif" w:hAnsi="Arial;sans-serif"/>
          <w:b w:val="false"/>
          <w:color w:val="000000"/>
          <w:sz w:val="20"/>
        </w:rPr>
        <w:t>in our 2023 Annual Report. Except as set forth below, there were no material changes to those risk factors during the three months ended June 30, 2024.</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 xml:space="preserve">Increases in prices for commodities used in our oil and natural gas operations may negatively affect our financial results.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Operating and capital costs in the oil and natural gas industry are heavily influenced by commodity prices, including the prices we pay for electricity, natural gas and steel-based materials. For example, we use natural gas in our operations to generate steam for use in steamfloods. Following the closing of the Aera Merger on July 1, 2024, we expect that our consumption of natural gas will increase significantly and could exceed the amount of natural gas we produce. We also use electricity generated by our Elk Hills power plant to power our oil and gas operations in the Elk Hills field. If we are unable to generate sufficient natural gas or electricity for use in our operations, we may need to purchase these commodities from third parties. Increases in the volumes or prices of commodities used in our operations could cause increases in our operating expenses. We attempt to manage our exposure to price increases of certain commodities used in our operations, including natural gas, by entering into hedges or longer-term contracts with fixed price arrangements. However, these measures do not fully protect us from the effects of commodity price increases and we may not be able to enter into similar arrangements in the future on acceptable terms or at all.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before="0" w:after="0"/>
        <w:ind w:left="0" w:right="0" w:hanging="108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Board of Directors has authorized a Share Repurchase Program to acquire up to $1.35 billion of our common stock through December 31, 2025. The repurchases may be affected from time-to-time through open market purchases, privately negotiated transactions, Rule 10b5-1 plans, accelerated stock repurchases, derivative contracts or otherwise in compliance with Rule 10b-18, subject to market and contractual limitations in our debt agreements. The Share Repurchase Program does not obligate us to repurchase any dollar amount or number of shares and our Board of Directors may modify, suspend or discontinue authorization of the program at any time. Shares repurchased are held as treasury stock.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share repurchase activity for the three months ended June 30, 2024 was as follows: </w:t>
      </w:r>
    </w:p>
    <w:p>
      <w:pPr>
        <w:pStyle w:val="TextBody"/>
        <w:bidi w:val="0"/>
        <w:spacing w:before="0" w:after="0"/>
        <w:ind w:left="0" w:right="0" w:hanging="1080"/>
        <w:jc w:val="both"/>
        <w:rPr/>
      </w:pPr>
      <w:r>
        <w:rPr/>
      </w:r>
    </w:p>
    <w:tbl>
      <w:tblPr>
        <w:tblW w:w="10205" w:type="dxa"/>
        <w:jc w:val="left"/>
        <w:tblInd w:w="0" w:type="dxa"/>
        <w:tblLayout w:type="fixed"/>
        <w:tblCellMar>
          <w:top w:w="28" w:type="dxa"/>
          <w:left w:w="28" w:type="dxa"/>
          <w:bottom w:w="28" w:type="dxa"/>
          <w:right w:w="28" w:type="dxa"/>
        </w:tblCellMar>
      </w:tblPr>
      <w:tblGrid>
        <w:gridCol w:w="399"/>
        <w:gridCol w:w="351"/>
        <w:gridCol w:w="354"/>
        <w:gridCol w:w="612"/>
        <w:gridCol w:w="510"/>
        <w:gridCol w:w="511"/>
        <w:gridCol w:w="109"/>
        <w:gridCol w:w="109"/>
        <w:gridCol w:w="109"/>
        <w:gridCol w:w="289"/>
        <w:gridCol w:w="886"/>
        <w:gridCol w:w="149"/>
        <w:gridCol w:w="109"/>
        <w:gridCol w:w="109"/>
        <w:gridCol w:w="109"/>
        <w:gridCol w:w="894"/>
        <w:gridCol w:w="832"/>
        <w:gridCol w:w="834"/>
        <w:gridCol w:w="109"/>
        <w:gridCol w:w="109"/>
        <w:gridCol w:w="109"/>
        <w:gridCol w:w="709"/>
        <w:gridCol w:w="1364"/>
        <w:gridCol w:w="530"/>
      </w:tblGrid>
      <w:tr>
        <w:trPr/>
        <w:tc>
          <w:tcPr>
            <w:tcW w:w="39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Period</w:t>
            </w:r>
          </w:p>
        </w:tc>
        <w:tc>
          <w:tcPr>
            <w:tcW w:w="1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Maximum Dollar Value of Shares that May Yet be Purchased Under the Plans or Programs</w:t>
            </w:r>
            <w:r>
              <w:rPr>
                <w:rFonts w:ascii="Arial;sans-serif" w:hAnsi="Arial;sans-serif"/>
                <w:b/>
                <w:color w:val="000000"/>
                <w:sz w:val="13"/>
              </w:rPr>
              <w:t>(a)</w:t>
            </w:r>
          </w:p>
        </w:tc>
      </w:tr>
      <w:tr>
        <w:trPr/>
        <w:tc>
          <w:tcPr>
            <w:tcW w:w="1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April 1, 2024 - April 30, 2024</w:t>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273,620 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273,620 </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May 1, 2024 - May 31, 2024</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63,471 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63,471 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June 1, 2024 - June 30, 2024</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366,748 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366,748 </w:t>
            </w:r>
          </w:p>
        </w:tc>
        <w:tc>
          <w:tcPr>
            <w:tcW w:w="8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w:t>
            </w:r>
          </w:p>
        </w:tc>
        <w:tc>
          <w:tcPr>
            <w:tcW w:w="11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703,839 </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49.71 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703,839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6"/>
          <w:shd w:fill="FFFFFF" w:val="clear"/>
        </w:rPr>
        <w:t>(a)</w:t>
      </w:r>
      <w:r>
        <w:rPr>
          <w:rFonts w:ascii="Arial;sans-serif" w:hAnsi="Arial;sans-serif"/>
          <w:b w:val="false"/>
          <w:color w:val="000000"/>
          <w:sz w:val="16"/>
        </w:rPr>
        <w:t>The total value of shares that may yet be purchased under the Share Repurchase Program totaled $656 million as of June 30,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080"/>
        <w:jc w:val="both"/>
        <w:rPr>
          <w:rFonts w:ascii="Arial;sans-serif" w:hAnsi="Arial;sans-serif"/>
          <w:b/>
          <w:color w:val="000000"/>
          <w:sz w:val="20"/>
        </w:rPr>
      </w:pPr>
      <w:r>
        <w:rPr>
          <w:rFonts w:ascii="Arial;sans-serif" w:hAnsi="Arial;sans-serif"/>
          <w:b/>
          <w:color w:val="000000"/>
          <w:sz w:val="20"/>
        </w:rPr>
        <w:t xml:space="preserve">Item 5     Other Disclosures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Rule 10b5-1 Trading Arrangements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On June 6 2024, Francisco J. Leon, our Chief Executive Officer and President, entered into a 10b5-1 trading arrangement intended to satisfy the affirmative defense conditions of Rule 10b5-1(c). The trading arrangement will be in effect from September 5, 2024 to February 28, 2025. An aggregate of up to 35,000 shares may be sold pursuant to this trading arrangement.</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On June 13, 2024, Noelle M. Repetti, our Senior Vice President and Controller, entered into a 10b5-1 trading arrangement intended to satisfy the affirmative defense conditions of Rule 10b5-1(c). The trading arrangement will be in effect from September 12, 2024 to February 28, 2025. An aggregate of up to 18,770 shares may be sold pursuant to this trading arrangement.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During the three months ended June 30, 2024, no other directors or officers adopted or terminated a “Rule 10b5-1 trading arrangement” or “non-Rule 10b5-1 trading arrangement,” as each term is defined in Item 408 of Regulation S-K.</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 xml:space="preserve">Item 6 </w:t>
      </w:r>
      <w:r>
        <w:rPr>
          <w:rFonts w:ascii="Arial;sans-serif" w:hAnsi="Arial;sans-serif"/>
          <w:b/>
          <w:color w:val="000000"/>
          <w:sz w:val="20"/>
        </w:rPr>
        <w:t xml:space="preserve">Exhibits </w:t>
      </w:r>
    </w:p>
    <w:tbl>
      <w:tblPr>
        <w:tblW w:w="10205" w:type="dxa"/>
        <w:jc w:val="left"/>
        <w:tblInd w:w="0" w:type="dxa"/>
        <w:tblLayout w:type="fixed"/>
        <w:tblCellMar>
          <w:top w:w="28" w:type="dxa"/>
          <w:left w:w="28" w:type="dxa"/>
          <w:bottom w:w="28" w:type="dxa"/>
          <w:right w:w="28" w:type="dxa"/>
        </w:tblCellMar>
      </w:tblPr>
      <w:tblGrid>
        <w:gridCol w:w="178"/>
        <w:gridCol w:w="157"/>
        <w:gridCol w:w="161"/>
        <w:gridCol w:w="2897"/>
        <w:gridCol w:w="2813"/>
        <w:gridCol w:w="3999"/>
      </w:tblGrid>
      <w:tr>
        <w:trPr/>
        <w:tc>
          <w:tcPr>
            <w:tcW w:w="1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97"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3999"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3.1</w:t>
            </w:r>
          </w:p>
        </w:tc>
        <w:tc>
          <w:tcPr>
            <w:tcW w:w="970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Arial;sans-serif" w:hAnsi="Arial;sans-serif"/>
                  <w:b w:val="false"/>
                  <w:color w:val="0000FF"/>
                  <w:sz w:val="20"/>
                  <w:u w:val="single"/>
                </w:rPr>
                <w:t>Amended and Restated Certificate of Incorporation of California Resources Corporation (filed as Exhibit 3.1 to Registrant’s Registration Statement on Form 8-A filed October 27, 2020 and incorporated herein by reference).</w:t>
              </w:r>
            </w:hyperlink>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3.2</w:t>
            </w:r>
          </w:p>
        </w:tc>
        <w:tc>
          <w:tcPr>
            <w:tcW w:w="970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Arial;sans-serif" w:hAnsi="Arial;sans-serif"/>
                  <w:b w:val="false"/>
                  <w:color w:val="0000FF"/>
                  <w:sz w:val="20"/>
                  <w:u w:val="single"/>
                </w:rPr>
                <w:t>Certificate of Amendment of Amended and Restated Certificate of Incorporation of California Resources Corporation (filed as Exhibit 3.1 to Registrant's Current Report on Form 8-K filed on May 6, 2022 and incorporated herein by reference).</w:t>
              </w:r>
            </w:hyperlink>
            <w:r>
              <w:rPr>
                <w:color w:val="000000"/>
              </w:rPr>
              <w:t xml:space="preserve"> </w:t>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3.3</w:t>
            </w:r>
          </w:p>
        </w:tc>
        <w:tc>
          <w:tcPr>
            <w:tcW w:w="970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Arial;sans-serif" w:hAnsi="Arial;sans-serif"/>
                  <w:b w:val="false"/>
                  <w:color w:val="0000FF"/>
                  <w:sz w:val="20"/>
                  <w:u w:val="single"/>
                </w:rPr>
                <w:t>Certificate of Amendment of Amended and Restated Certificate of Incorporation of California Resources Corporation (filed as Exhibit 3.1 to Registrant's Current Report on Form 8-K filed on May 1, 2023 and incorporated herein by reference).</w:t>
              </w:r>
            </w:hyperlink>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3.4</w:t>
            </w:r>
          </w:p>
        </w:tc>
        <w:tc>
          <w:tcPr>
            <w:tcW w:w="970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Arial;sans-serif" w:hAnsi="Arial;sans-serif"/>
                  <w:b w:val="false"/>
                  <w:color w:val="0000FF"/>
                  <w:sz w:val="20"/>
                  <w:u w:val="single"/>
                </w:rPr>
                <w:t>Amended and Restated Bylaws of California Resources Corporation (filed as Exhibit 3.2 to the Registrant’s Registration Statement on Form 8-A filed October 27, 2020 and incorporated herein by reference).</w:t>
              </w:r>
            </w:hyperlink>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4.1</w:t>
            </w:r>
          </w:p>
        </w:tc>
        <w:tc>
          <w:tcPr>
            <w:tcW w:w="9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20"/>
                  <w:u w:val="single"/>
                </w:rPr>
                <w:t>Indenture, dated June 5, 2024, by and among the Company, the Guarantors and the Trustee (filed as Exhibit 4.1 to Registrant's Current Report on Form 8-K filed on June 5, 2024 and incorporated herein by reference).</w:t>
              </w:r>
            </w:hyperlink>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4.2</w:t>
            </w:r>
          </w:p>
        </w:tc>
        <w:tc>
          <w:tcPr>
            <w:tcW w:w="9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20"/>
                  <w:u w:val="single"/>
                </w:rPr>
                <w:t>Supplemental Indenture to the 2026 Indenture, dated as of July 1, 2024, by and among Aera Energy LLC, a California limited liability company, Aera Energy Services Company, a Delaware corporation, Aera Federal LLC, a Delaware limited liability company, Belridge Farms &amp; Packing LLC, a California limited liability company, Green Gate San Ardo LLC, a Delaware limited liability company, Terrain Technology Inc., a California corporation, Green Gate Intermediate LLC, a Delaware limited liability company, Green Gate Resources E LLC, a Delaware limited liability company, Green Gate Resources S LLC, a Delaware limited liability company, Green Gate Resources Holdings LLC, a Delaware limited liability company, Green Gate Resources Parent LLC, a Delaware limited liability company, Petra Merger Sub S, LLC, a Delaware limited liability company, the other guarantors party thereto, CRC and Wilmington Trust, National Association, as trustee (filed as Exhibit 10.6 to the Registrant’s Current Report on Form 8-K filed on July 1, 2024 and incorporated herein by reference).</w:t>
              </w:r>
            </w:hyperlink>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4.3</w:t>
            </w:r>
          </w:p>
        </w:tc>
        <w:tc>
          <w:tcPr>
            <w:tcW w:w="9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20"/>
                  <w:u w:val="single"/>
                </w:rPr>
                <w:t>Supplemental Indenture to the 2029 Indenture, dated as of July 1, 2024, by and among Aera Energy LLC, a California limited liability company, Aera Energy Services Company, a Delaware corporation, Aera Federal LLC, a Delaware limited liability company, Belridge Farms &amp; Packing LLC, a California limited liability company, Green Gate San Ardo LLC, a Delaware limited liability company, Terrain Technology Inc., a California corporation, Green Gate Intermediate LLC, a Delaware limited liability company, Green Gate Resources E LLC, a Delaware limited liability company, Green Gate Resources S LLC, a Delaware limited liability company, Green Gate Resources Holdings LLC, a Delaware limited liability company, Green Gate Resources Parent LLC, a Delaware limited liability company, Petra Merger Sub S, LLC, a Delaware limited liability company, the other guarantors party thereto, CRC and Wilmington Trust, National Association, as trustee (filed as Exhibit 10.7 to the Registrant’s Current Report on Form 8-K filed on July 1, 2024 and incorporated herein by reference).</w:t>
              </w:r>
            </w:hyperlink>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w:t>
            </w:r>
          </w:p>
        </w:tc>
        <w:tc>
          <w:tcPr>
            <w:tcW w:w="9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20"/>
                  <w:u w:val="single"/>
                </w:rPr>
                <w:t>Agreement and Plan of Merger, dated February 7, 2024, among California Resources Corporation and Petra Merger Sub I, LLC, Petra Merger Sub C, LLC, Petra Merger Sub O, LLC, Petra Merger Sub O2, LLC, Petra Merger Sub O3, LLC, each a Delaware limited liability company and a wholly-owned direct subsidiary of the Company, Petra Merger Sub S, LLC, a Delaware limited liability company and a wholly-owned direct subsidiary of the Company, IKAV Impact USA Inc., a Delaware corporation, CPPIB Vedder US Holdings LLC, a Delaware limited liability company, Opps Xb Aera E CTB, LLC, a Delaware limited liability company, Opps XI Aera E CTB, LLC, a Delaware limited liability company, Green Gate COI, LLC, a Delaware limited liability company and solely for purposes of the Member Provisions (as defined in the Merger Agreement), IKAV Impact S.a.r.l., a Luxembourg corporation, Simlog Inc., a Delaware corporation, and IKAV Energy Inc., a Delaware corporation, CPP Investment Board Private Holdings (6), Inc., a Canadian corporation, OCM Opps Xb AIF Holdings (Delaware), L.P., a Delaware limited partnership, Oaktree Huntington Investment Fund II AIF (Delaware), L.P. – Class C, a Delaware limited partnership, OCM Opps XI AIV Holdings (Delaware), L.P., a Delaware limited partnership and OCM Aera E Holdings, LLC, a Delaware limited liability company. (filed as Exhibit 10.1 to the Registrant's Current Report on Form 8-K filed February 9, 2024 and incorporated herein by reference).</w:t>
              </w:r>
            </w:hyperlink>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10.2</w:t>
            </w:r>
          </w:p>
        </w:tc>
        <w:tc>
          <w:tcPr>
            <w:tcW w:w="9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20"/>
                  <w:u w:val="single"/>
                </w:rPr>
                <w:t>Fourth Amendment to Amended and Restated Credit Agreement, dated as of July 1, 2024, by and among CRC, the guarantors party thereto, the banks, financial institution and other lending institutions from time to time parties as lenders thereto, and Citibank, N.A., as administrative agent and collateral agent (filed as Exhibit 10.5 to Registrant's Current Report on Form 8-K filed on June 28, 2024 and incorporated herein by reference).</w:t>
              </w:r>
            </w:hyperlink>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10.3</w:t>
            </w:r>
          </w:p>
        </w:tc>
        <w:tc>
          <w:tcPr>
            <w:tcW w:w="9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80"/>
                  <w:sz w:val="20"/>
                  <w:u w:val="single"/>
                </w:rPr>
                <w:t>Registration Rights</w:t>
              </w:r>
            </w:hyperlink>
            <w:hyperlink r:id="rId12">
              <w:r>
                <w:rPr>
                  <w:rStyle w:val="InternetLink"/>
                  <w:rFonts w:ascii="Arial;sans-serif" w:hAnsi="Arial;sans-serif"/>
                  <w:b w:val="false"/>
                  <w:color w:val="000080"/>
                  <w:sz w:val="20"/>
                  <w:u w:val="single"/>
                </w:rPr>
                <w:t xml:space="preserve"> Agreement, </w:t>
              </w:r>
            </w:hyperlink>
            <w:hyperlink r:id="rId13">
              <w:r>
                <w:rPr>
                  <w:rStyle w:val="InternetLink"/>
                  <w:rFonts w:ascii="Arial;sans-serif" w:hAnsi="Arial;sans-serif"/>
                  <w:b w:val="false"/>
                  <w:color w:val="000080"/>
                  <w:sz w:val="20"/>
                  <w:u w:val="single"/>
                </w:rPr>
                <w:t xml:space="preserve">by and </w:t>
              </w:r>
            </w:hyperlink>
            <w:hyperlink r:id="rId14">
              <w:r>
                <w:rPr>
                  <w:rStyle w:val="InternetLink"/>
                  <w:rFonts w:ascii="Arial;sans-serif" w:hAnsi="Arial;sans-serif"/>
                  <w:b w:val="false"/>
                  <w:color w:val="000080"/>
                  <w:sz w:val="20"/>
                  <w:u w:val="single"/>
                </w:rPr>
                <w:t>between CRC and</w:t>
              </w:r>
            </w:hyperlink>
            <w:hyperlink r:id="rId15">
              <w:r>
                <w:rPr>
                  <w:rStyle w:val="InternetLink"/>
                  <w:rFonts w:ascii="Arial;sans-serif" w:hAnsi="Arial;sans-serif"/>
                  <w:b w:val="false"/>
                  <w:color w:val="000080"/>
                  <w:sz w:val="20"/>
                  <w:u w:val="single"/>
                </w:rPr>
                <w:t xml:space="preserve"> the </w:t>
              </w:r>
            </w:hyperlink>
            <w:hyperlink r:id="rId16">
              <w:r>
                <w:rPr>
                  <w:rStyle w:val="InternetLink"/>
                  <w:rFonts w:ascii="Arial;sans-serif" w:hAnsi="Arial;sans-serif"/>
                  <w:b w:val="false"/>
                  <w:color w:val="000080"/>
                  <w:sz w:val="20"/>
                  <w:u w:val="single"/>
                </w:rPr>
                <w:t>Sellers, dated as of July 1, 2024</w:t>
              </w:r>
            </w:hyperlink>
            <w:hyperlink r:id="rId17">
              <w:r>
                <w:rPr>
                  <w:rStyle w:val="InternetLink"/>
                  <w:rFonts w:ascii="Arial;sans-serif" w:hAnsi="Arial;sans-serif"/>
                  <w:b w:val="false"/>
                  <w:color w:val="000080"/>
                  <w:sz w:val="20"/>
                  <w:u w:val="single"/>
                </w:rPr>
                <w:t xml:space="preserve"> (filed as Exhibit 10.1 to the </w:t>
              </w:r>
            </w:hyperlink>
            <w:hyperlink r:id="rId18">
              <w:r>
                <w:rPr>
                  <w:rStyle w:val="InternetLink"/>
                  <w:rFonts w:ascii="Arial;sans-serif" w:hAnsi="Arial;sans-serif"/>
                  <w:b w:val="false"/>
                  <w:color w:val="000080"/>
                  <w:sz w:val="20"/>
                  <w:u w:val="single"/>
                </w:rPr>
                <w:t>Registrant’s</w:t>
              </w:r>
            </w:hyperlink>
            <w:hyperlink r:id="rId19">
              <w:r>
                <w:rPr>
                  <w:rStyle w:val="InternetLink"/>
                  <w:rFonts w:ascii="Arial;sans-serif" w:hAnsi="Arial;sans-serif"/>
                  <w:b w:val="false"/>
                  <w:color w:val="000080"/>
                  <w:sz w:val="20"/>
                  <w:u w:val="single"/>
                </w:rPr>
                <w:t xml:space="preserve"> Current Report on Form 8-K filed </w:t>
              </w:r>
            </w:hyperlink>
            <w:hyperlink r:id="rId20">
              <w:r>
                <w:rPr>
                  <w:rStyle w:val="InternetLink"/>
                  <w:rFonts w:ascii="Arial;sans-serif" w:hAnsi="Arial;sans-serif"/>
                  <w:b w:val="false"/>
                  <w:color w:val="000080"/>
                  <w:sz w:val="20"/>
                  <w:u w:val="single"/>
                </w:rPr>
                <w:t>on July 1,</w:t>
              </w:r>
            </w:hyperlink>
            <w:hyperlink r:id="rId21">
              <w:r>
                <w:rPr>
                  <w:rStyle w:val="InternetLink"/>
                  <w:rFonts w:ascii="Arial;sans-serif" w:hAnsi="Arial;sans-serif"/>
                  <w:b w:val="false"/>
                  <w:color w:val="000080"/>
                  <w:sz w:val="20"/>
                  <w:u w:val="single"/>
                </w:rPr>
                <w:t xml:space="preserve"> 2024 and incorporated herein by reference).</w:t>
              </w:r>
            </w:hyperlink>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4"/>
        <w:gridCol w:w="227"/>
        <w:gridCol w:w="229"/>
        <w:gridCol w:w="2900"/>
        <w:gridCol w:w="2721"/>
        <w:gridCol w:w="3854"/>
      </w:tblGrid>
      <w:tr>
        <w:trPr/>
        <w:tc>
          <w:tcPr>
            <w:tcW w:w="27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c>
          <w:tcPr>
            <w:tcW w:w="3854" w:type="dxa"/>
            <w:tcBorders/>
            <w:vAlign w:val="center"/>
          </w:tcPr>
          <w:p>
            <w:pPr>
              <w:pStyle w:val="TableContents"/>
              <w:bidi w:val="0"/>
              <w:spacing w:before="0" w:after="283"/>
              <w:jc w:val="left"/>
              <w:rPr>
                <w:sz w:val="4"/>
                <w:szCs w:val="4"/>
              </w:rPr>
            </w:pPr>
            <w:r>
              <w:rPr>
                <w:sz w:val="4"/>
                <w:szCs w:val="4"/>
              </w:rPr>
            </w:r>
          </w:p>
        </w:tc>
      </w:tr>
      <w:tr>
        <w:trPr/>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10.4</w:t>
            </w:r>
          </w:p>
        </w:tc>
        <w:tc>
          <w:tcPr>
            <w:tcW w:w="9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sans-serif" w:hAnsi="Arial;sans-serif"/>
                  <w:b w:val="false"/>
                  <w:color w:val="000080"/>
                  <w:sz w:val="20"/>
                  <w:u w:val="single"/>
                </w:rPr>
                <w:t>Stockholder Agreement, by and between CRC and IKAV Seller, dated as of July 1, 2024</w:t>
              </w:r>
            </w:hyperlink>
            <w:hyperlink r:id="rId23">
              <w:r>
                <w:rPr>
                  <w:rStyle w:val="InternetLink"/>
                  <w:rFonts w:ascii="Arial;sans-serif" w:hAnsi="Arial;sans-serif"/>
                  <w:b w:val="false"/>
                  <w:color w:val="000080"/>
                  <w:sz w:val="20"/>
                  <w:u w:val="single"/>
                </w:rPr>
                <w:t xml:space="preserve"> (filed as Exhibit </w:t>
              </w:r>
            </w:hyperlink>
            <w:hyperlink r:id="rId24">
              <w:r>
                <w:rPr>
                  <w:rStyle w:val="InternetLink"/>
                  <w:rFonts w:ascii="Arial;sans-serif" w:hAnsi="Arial;sans-serif"/>
                  <w:b w:val="false"/>
                  <w:color w:val="000080"/>
                  <w:sz w:val="20"/>
                  <w:u w:val="single"/>
                </w:rPr>
                <w:t>10.2</w:t>
              </w:r>
            </w:hyperlink>
            <w:hyperlink r:id="rId25">
              <w:r>
                <w:rPr>
                  <w:rStyle w:val="InternetLink"/>
                  <w:rFonts w:ascii="Arial;sans-serif" w:hAnsi="Arial;sans-serif"/>
                  <w:b w:val="false"/>
                  <w:color w:val="000080"/>
                  <w:sz w:val="20"/>
                  <w:u w:val="single"/>
                </w:rPr>
                <w:t xml:space="preserve"> to the Registrant’s </w:t>
              </w:r>
            </w:hyperlink>
            <w:hyperlink r:id="rId26">
              <w:r>
                <w:rPr>
                  <w:rStyle w:val="InternetLink"/>
                  <w:rFonts w:ascii="Arial;sans-serif" w:hAnsi="Arial;sans-serif"/>
                  <w:b w:val="false"/>
                  <w:color w:val="000080"/>
                  <w:sz w:val="20"/>
                  <w:u w:val="single"/>
                </w:rPr>
                <w:t>Current</w:t>
              </w:r>
            </w:hyperlink>
            <w:hyperlink r:id="rId27">
              <w:r>
                <w:rPr>
                  <w:rStyle w:val="InternetLink"/>
                  <w:rFonts w:ascii="Arial;sans-serif" w:hAnsi="Arial;sans-serif"/>
                  <w:b w:val="false"/>
                  <w:color w:val="000080"/>
                  <w:sz w:val="20"/>
                  <w:u w:val="single"/>
                </w:rPr>
                <w:t xml:space="preserve"> Report on Form </w:t>
              </w:r>
            </w:hyperlink>
            <w:hyperlink r:id="rId28">
              <w:r>
                <w:rPr>
                  <w:rStyle w:val="InternetLink"/>
                  <w:rFonts w:ascii="Arial;sans-serif" w:hAnsi="Arial;sans-serif"/>
                  <w:b w:val="false"/>
                  <w:color w:val="000080"/>
                  <w:sz w:val="20"/>
                  <w:u w:val="single"/>
                </w:rPr>
                <w:t>8-K</w:t>
              </w:r>
            </w:hyperlink>
            <w:hyperlink r:id="rId29">
              <w:r>
                <w:rPr>
                  <w:rStyle w:val="InternetLink"/>
                  <w:rFonts w:ascii="Arial;sans-serif" w:hAnsi="Arial;sans-serif"/>
                  <w:b w:val="false"/>
                  <w:color w:val="000080"/>
                  <w:sz w:val="20"/>
                  <w:u w:val="single"/>
                </w:rPr>
                <w:t xml:space="preserve"> filed on </w:t>
              </w:r>
            </w:hyperlink>
            <w:hyperlink r:id="rId30">
              <w:r>
                <w:rPr>
                  <w:rStyle w:val="InternetLink"/>
                  <w:rFonts w:ascii="Arial;sans-serif" w:hAnsi="Arial;sans-serif"/>
                  <w:b w:val="false"/>
                  <w:color w:val="000080"/>
                  <w:sz w:val="20"/>
                  <w:u w:val="single"/>
                </w:rPr>
                <w:t>July 1,</w:t>
              </w:r>
            </w:hyperlink>
            <w:hyperlink r:id="rId31">
              <w:r>
                <w:rPr>
                  <w:rStyle w:val="InternetLink"/>
                  <w:rFonts w:ascii="Arial;sans-serif" w:hAnsi="Arial;sans-serif"/>
                  <w:b w:val="false"/>
                  <w:color w:val="000080"/>
                  <w:sz w:val="20"/>
                  <w:u w:val="single"/>
                </w:rPr>
                <w:t xml:space="preserve"> 2024 and incorporated herein by reference).</w:t>
              </w:r>
            </w:hyperlink>
          </w:p>
        </w:tc>
      </w:tr>
      <w:tr>
        <w:trPr/>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10.5</w:t>
            </w:r>
          </w:p>
        </w:tc>
        <w:tc>
          <w:tcPr>
            <w:tcW w:w="9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Arial;sans-serif" w:hAnsi="Arial;sans-serif"/>
                  <w:b w:val="false"/>
                  <w:color w:val="0000FF"/>
                  <w:sz w:val="20"/>
                  <w:u w:val="single"/>
                </w:rPr>
                <w:t>Stockholder Agreement, by and between CRC and CPP Seller, dated as of July 1, 2024 (filed as Exhibit 10.3 to the Registrant’s Current Report on Form 8-K filed on July 1, 2024 and incorporated herein by reference).</w:t>
              </w:r>
            </w:hyperlink>
          </w:p>
        </w:tc>
      </w:tr>
      <w:tr>
        <w:trPr/>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10.6*</w:t>
            </w:r>
          </w:p>
        </w:tc>
        <w:tc>
          <w:tcPr>
            <w:tcW w:w="9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q2exhibit106.htm">
              <w:r>
                <w:rPr>
                  <w:rStyle w:val="InternetLink"/>
                  <w:rFonts w:ascii="Arial;sans-serif" w:hAnsi="Arial;sans-serif"/>
                  <w:b w:val="false"/>
                  <w:color w:val="000080"/>
                  <w:sz w:val="20"/>
                  <w:u w:val="single"/>
                </w:rPr>
                <w:t xml:space="preserve">2024 Form of California Resources Corporation 2021 Long Term Incentive Plan Restricted Stock Unit </w:t>
              </w:r>
            </w:hyperlink>
            <w:hyperlink w:anchor="a2024q2exhibit106.htm">
              <w:r>
                <w:rPr>
                  <w:rStyle w:val="InternetLink"/>
                  <w:rFonts w:ascii="Arial;sans-serif" w:hAnsi="Arial;sans-serif"/>
                  <w:b w:val="false"/>
                  <w:color w:val="000080"/>
                  <w:sz w:val="20"/>
                  <w:u w:val="single"/>
                </w:rPr>
                <w:t xml:space="preserve">for </w:t>
              </w:r>
            </w:hyperlink>
            <w:hyperlink w:anchor="a2024q2exhibit106.htm">
              <w:r>
                <w:rPr>
                  <w:rStyle w:val="InternetLink"/>
                  <w:rFonts w:ascii="Arial;sans-serif" w:hAnsi="Arial;sans-serif"/>
                  <w:b w:val="false"/>
                  <w:color w:val="000080"/>
                  <w:sz w:val="20"/>
                  <w:u w:val="single"/>
                </w:rPr>
                <w:t>Non-</w:t>
              </w:r>
            </w:hyperlink>
            <w:hyperlink w:anchor="a2024q2exhibit106.htm">
              <w:r>
                <w:rPr>
                  <w:rStyle w:val="InternetLink"/>
                  <w:rFonts w:ascii="Arial;sans-serif" w:hAnsi="Arial;sans-serif"/>
                  <w:b w:val="false"/>
                  <w:color w:val="000080"/>
                  <w:sz w:val="20"/>
                  <w:u w:val="single"/>
                </w:rPr>
                <w:t xml:space="preserve">Employee </w:t>
              </w:r>
            </w:hyperlink>
            <w:hyperlink w:anchor="a2024q2exhibit106.htm">
              <w:r>
                <w:rPr>
                  <w:rStyle w:val="InternetLink"/>
                  <w:rFonts w:ascii="Arial;sans-serif" w:hAnsi="Arial;sans-serif"/>
                  <w:b w:val="false"/>
                  <w:color w:val="000080"/>
                  <w:sz w:val="20"/>
                  <w:u w:val="single"/>
                </w:rPr>
                <w:t>Directors</w:t>
              </w:r>
            </w:hyperlink>
            <w:hyperlink w:anchor="a2024q2exhibit106.htm">
              <w:r>
                <w:rPr>
                  <w:rStyle w:val="InternetLink"/>
                  <w:rFonts w:ascii="Arial;sans-serif" w:hAnsi="Arial;sans-serif"/>
                  <w:b w:val="false"/>
                  <w:color w:val="000080"/>
                  <w:sz w:val="20"/>
                  <w:u w:val="single"/>
                </w:rPr>
                <w:t xml:space="preserve"> Grant </w:t>
              </w:r>
            </w:hyperlink>
            <w:hyperlink w:anchor="a2024q2exhibit106.htm">
              <w:r>
                <w:rPr>
                  <w:rStyle w:val="InternetLink"/>
                  <w:rFonts w:ascii="Arial;sans-serif" w:hAnsi="Arial;sans-serif"/>
                  <w:b w:val="false"/>
                  <w:color w:val="000080"/>
                  <w:sz w:val="20"/>
                  <w:u w:val="single"/>
                </w:rPr>
                <w:t>Agreement.</w:t>
              </w:r>
            </w:hyperlink>
          </w:p>
        </w:tc>
      </w:tr>
      <w:tr>
        <w:trPr/>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31.1*</w:t>
            </w:r>
          </w:p>
        </w:tc>
        <w:tc>
          <w:tcPr>
            <w:tcW w:w="9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q2exhibit311.htm">
              <w:r>
                <w:rPr>
                  <w:rStyle w:val="InternetLink"/>
                  <w:rFonts w:ascii="Arial;sans-serif" w:hAnsi="Arial;sans-serif"/>
                  <w:b w:val="false"/>
                  <w:color w:val="0000FF"/>
                  <w:sz w:val="20"/>
                  <w:u w:val="single"/>
                </w:rPr>
                <w:t>Certification of Principal Executive Officer Pursuant to Section 302 of the Sarbanes-Oxley Act of 2002.</w:t>
              </w:r>
            </w:hyperlink>
          </w:p>
        </w:tc>
      </w:tr>
      <w:tr>
        <w:trPr/>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9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q2exhibit312.htm">
              <w:r>
                <w:rPr>
                  <w:rStyle w:val="InternetLink"/>
                  <w:rFonts w:ascii="Arial;sans-serif" w:hAnsi="Arial;sans-serif"/>
                  <w:b w:val="false"/>
                  <w:color w:val="0000FF"/>
                  <w:sz w:val="20"/>
                  <w:u w:val="single"/>
                </w:rPr>
                <w:t>Certification of Principal Financial Officer Pursuant to Section 302 of the Sarbanes-Oxley Act of 2002.</w:t>
              </w:r>
            </w:hyperlink>
          </w:p>
        </w:tc>
      </w:tr>
      <w:tr>
        <w:trPr/>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32.1*</w:t>
            </w:r>
          </w:p>
        </w:tc>
        <w:tc>
          <w:tcPr>
            <w:tcW w:w="9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q2exhibit321.htm">
              <w:r>
                <w:rPr>
                  <w:rStyle w:val="InternetLink"/>
                  <w:rFonts w:ascii="Arial;sans-serif" w:hAnsi="Arial;sans-serif"/>
                  <w:b w:val="false"/>
                  <w:color w:val="0000FF"/>
                  <w:sz w:val="20"/>
                  <w:u w:val="single"/>
                </w:rPr>
                <w:t>Certifications of Principal Executive Officer and Principal Financial Officer Pursuant to Section 906 of the Sarbanes-Oxley Act of 2002.</w:t>
              </w:r>
            </w:hyperlink>
          </w:p>
        </w:tc>
      </w:tr>
      <w:tr>
        <w:trPr/>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101.INS*</w:t>
            </w:r>
          </w:p>
        </w:tc>
        <w:tc>
          <w:tcPr>
            <w:tcW w:w="94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Instance Document.</w:t>
            </w:r>
          </w:p>
        </w:tc>
      </w:tr>
      <w:tr>
        <w:trPr/>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101.SCH*</w:t>
            </w:r>
          </w:p>
        </w:tc>
        <w:tc>
          <w:tcPr>
            <w:tcW w:w="94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101.CAL*</w:t>
            </w:r>
          </w:p>
        </w:tc>
        <w:tc>
          <w:tcPr>
            <w:tcW w:w="94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r>
      <w:tr>
        <w:trPr/>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101.LAB*</w:t>
            </w:r>
          </w:p>
        </w:tc>
        <w:tc>
          <w:tcPr>
            <w:tcW w:w="94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r>
        <w:trPr/>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101.PRE*</w:t>
            </w:r>
          </w:p>
        </w:tc>
        <w:tc>
          <w:tcPr>
            <w:tcW w:w="94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101.DEF*</w:t>
            </w:r>
          </w:p>
        </w:tc>
        <w:tc>
          <w:tcPr>
            <w:tcW w:w="94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r>
      <w:tr>
        <w:trPr/>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104</w:t>
            </w:r>
          </w:p>
        </w:tc>
        <w:tc>
          <w:tcPr>
            <w:tcW w:w="94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(formatted in inline XBRL and contained in Exhibits 101).</w:t>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 Filed or furnished herewith</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**Certain portions of this exhibit (indicated by "[*****]") have been omitted pursuant to Item 601(b)(10)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tbl>
      <w:tblPr>
        <w:tblW w:w="4779" w:type="dxa"/>
        <w:jc w:val="left"/>
        <w:tblInd w:w="0" w:type="dxa"/>
        <w:tblLayout w:type="fixed"/>
        <w:tblCellMar>
          <w:top w:w="28" w:type="dxa"/>
          <w:left w:w="28" w:type="dxa"/>
          <w:bottom w:w="28" w:type="dxa"/>
          <w:right w:w="28" w:type="dxa"/>
        </w:tblCellMar>
      </w:tblPr>
      <w:tblGrid>
        <w:gridCol w:w="124"/>
        <w:gridCol w:w="109"/>
        <w:gridCol w:w="109"/>
        <w:gridCol w:w="1354"/>
        <w:gridCol w:w="1354"/>
        <w:gridCol w:w="135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 RESOURCES CORPORATION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tbl>
      <w:tblPr>
        <w:tblW w:w="5755" w:type="dxa"/>
        <w:jc w:val="left"/>
        <w:tblInd w:w="0" w:type="dxa"/>
        <w:tblLayout w:type="fixed"/>
        <w:tblCellMar>
          <w:top w:w="28" w:type="dxa"/>
          <w:left w:w="28" w:type="dxa"/>
          <w:bottom w:w="28" w:type="dxa"/>
          <w:right w:w="28" w:type="dxa"/>
        </w:tblCellMar>
      </w:tblPr>
      <w:tblGrid>
        <w:gridCol w:w="255"/>
        <w:gridCol w:w="224"/>
        <w:gridCol w:w="226"/>
        <w:gridCol w:w="474"/>
        <w:gridCol w:w="474"/>
        <w:gridCol w:w="476"/>
        <w:gridCol w:w="1083"/>
        <w:gridCol w:w="1083"/>
        <w:gridCol w:w="1088"/>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7, 2024</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Noelle M. Repetti</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Noelle M. Repetti</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Controller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10.6</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CALIFORNIA RESOURCES CORPORATION </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2021 LONG TERM INCENTIVE PLAN</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RESTRICTED STOCK UNIT AWARD </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FOR NON-EMPLOYEE DIRECTORS GRANT AGREEMENT</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Name of Grantee: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Date of Grant: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Number of Restricted Stock Units: </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Agreement</w:t>
      </w:r>
      <w:r>
        <w:rPr>
          <w:color w:val="000000"/>
        </w:rPr>
        <w:t xml:space="preserve"> </w:t>
      </w:r>
      <w:r>
        <w:rPr>
          <w:rFonts w:ascii="Times New Roman;sans-serif" w:hAnsi="Times New Roman;sans-serif"/>
          <w:b w:val="false"/>
          <w:color w:val="000000"/>
          <w:sz w:val="24"/>
        </w:rPr>
        <w:t>(this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made as of the Date of Grant between CALIFORNIA RESOURCES CORPORATION, a Delaware corporation (“</w:t>
      </w:r>
      <w:r>
        <w:rPr>
          <w:rFonts w:ascii="Times New Roman;sans-serif" w:hAnsi="Times New Roman;sans-serif"/>
          <w:b/>
          <w:color w:val="000000"/>
          <w:sz w:val="24"/>
        </w:rPr>
        <w:t>CRC</w:t>
      </w:r>
      <w:r>
        <w:rPr>
          <w:color w:val="000000"/>
        </w:rPr>
        <w:t>”</w:t>
      </w:r>
      <w:r>
        <w:rPr>
          <w:rFonts w:ascii="Times New Roman;sans-serif" w:hAnsi="Times New Roman;sans-serif"/>
          <w:b w:val="false"/>
          <w:color w:val="000000"/>
          <w:sz w:val="24"/>
        </w:rPr>
        <w:t>), and with its subsidiaries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and the Eligible Person receiving this Award (the “</w:t>
      </w:r>
      <w:r>
        <w:rPr>
          <w:rFonts w:ascii="Times New Roman;sans-serif" w:hAnsi="Times New Roman;sans-serif"/>
          <w:b/>
          <w:color w:val="000000"/>
          <w:sz w:val="24"/>
        </w:rPr>
        <w:t>Grantee</w:t>
      </w:r>
      <w:r>
        <w:rPr>
          <w:color w:val="000000"/>
        </w:rPr>
        <w:t>”</w:t>
      </w:r>
      <w:r>
        <w:rPr>
          <w:rFonts w:ascii="Times New Roman;sans-serif" w:hAnsi="Times New Roman;sans-serif"/>
          <w:b w:val="false"/>
          <w:color w:val="000000"/>
          <w:sz w:val="24"/>
        </w:rPr>
        <w:t>).</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Times New Roman;sans-serif" w:hAnsi="Times New Roman;sans-serif"/>
          <w:b/>
          <w:color w:val="000000"/>
          <w:sz w:val="24"/>
        </w:rPr>
        <w:t>1.</w:t>
      </w:r>
      <w:r>
        <w:rPr>
          <w:rFonts w:ascii="Times New Roman;sans-serif" w:hAnsi="Times New Roman;sans-serif"/>
          <w:b/>
          <w:color w:val="000000"/>
          <w:sz w:val="24"/>
        </w:rPr>
        <w:t>Grant of Restricted Stock Units</w:t>
      </w:r>
      <w:r>
        <w:rPr>
          <w:rFonts w:ascii="Times New Roman;sans-serif" w:hAnsi="Times New Roman;sans-serif"/>
          <w:b w:val="false"/>
          <w:color w:val="000000"/>
          <w:sz w:val="24"/>
        </w:rPr>
        <w:t>. In accordance with this Agreement and the California Resources Corporation 2021 Long Term Incentive Plan, as amended from time to time (the “</w:t>
      </w:r>
      <w:r>
        <w:rPr>
          <w:rFonts w:ascii="Times New Roman;sans-serif" w:hAnsi="Times New Roman;sans-serif"/>
          <w:b/>
          <w:color w:val="000000"/>
          <w:sz w:val="24"/>
        </w:rPr>
        <w:t>Plan</w:t>
      </w:r>
      <w:r>
        <w:rPr>
          <w:color w:val="000000"/>
        </w:rPr>
        <w:t>”</w:t>
      </w:r>
      <w:r>
        <w:rPr>
          <w:rFonts w:ascii="Times New Roman;sans-serif" w:hAnsi="Times New Roman;sans-serif"/>
          <w:b w:val="false"/>
          <w:color w:val="000000"/>
          <w:sz w:val="24"/>
        </w:rPr>
        <w:t>), CRC hereby grants to the Grantee as of the Date of Grant, the number of Restricted Stock Units set forth above. For purposes of this Agreement, a grant of Restricted Stock Units is a bookkeeping entry that represents the right to receive an equivalent number of shares of CRC common stock, $0.01 par value (the “</w:t>
      </w:r>
      <w:r>
        <w:rPr>
          <w:rFonts w:ascii="Times New Roman;sans-serif" w:hAnsi="Times New Roman;sans-serif"/>
          <w:b/>
          <w:color w:val="000000"/>
          <w:sz w:val="24"/>
        </w:rPr>
        <w:t>Common Stock</w:t>
      </w:r>
      <w:r>
        <w:rPr>
          <w:color w:val="000000"/>
        </w:rPr>
        <w:t>”</w:t>
      </w:r>
      <w:r>
        <w:rPr>
          <w:rFonts w:ascii="Times New Roman;sans-serif" w:hAnsi="Times New Roman;sans-serif"/>
          <w:b w:val="false"/>
          <w:color w:val="000000"/>
          <w:sz w:val="24"/>
        </w:rPr>
        <w:t>), on the applicable payment date set forth in Section 4. Restricted Stock Units are not shares of Common Stock and have no voting rights or, except as stated in Section 5, dividend rights.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color w:val="000000"/>
          <w:sz w:val="24"/>
        </w:rPr>
        <w:t>2.</w:t>
      </w:r>
      <w:r>
        <w:rPr>
          <w:rFonts w:ascii="Times New Roman;sans-serif" w:hAnsi="Times New Roman;sans-serif"/>
          <w:b/>
          <w:color w:val="000000"/>
          <w:sz w:val="24"/>
        </w:rPr>
        <w:t>Restrictions on Transfer</w:t>
      </w:r>
      <w:r>
        <w:rPr>
          <w:rFonts w:ascii="Times New Roman;sans-serif" w:hAnsi="Times New Roman;sans-serif"/>
          <w:b w:val="false"/>
          <w:color w:val="000000"/>
          <w:sz w:val="24"/>
        </w:rPr>
        <w:t>. Neither this Agreement nor any right to receive shares of Common Stock pursuant to this Agreement may be transferred or assigned by the Grantee other than to a beneficiary designated on a form approved by CRC (if enforceable under local law), by will or, if the Grantee dies without designating a beneficiary of a valid will, by the laws of descent and distribution. Any purported transfer, encumbrance or other disposition of the Grantee’s rights under this Agreement that is in violation of this Section 2 shall be null and void.</w:t>
      </w:r>
    </w:p>
    <w:p>
      <w:pPr>
        <w:pStyle w:val="TextBody"/>
        <w:bidi w:val="0"/>
        <w:spacing w:before="0" w:after="0"/>
        <w:ind w:left="0" w:right="0" w:firstLine="360"/>
        <w:jc w:val="both"/>
        <w:rPr/>
      </w:pPr>
      <w:r>
        <w:rPr/>
      </w:r>
    </w:p>
    <w:p>
      <w:pPr>
        <w:pStyle w:val="TextBody"/>
        <w:bidi w:val="0"/>
        <w:spacing w:lineRule="auto" w:line="268"/>
        <w:jc w:val="both"/>
        <w:rPr/>
      </w:pPr>
      <w:r>
        <w:rPr>
          <w:rFonts w:ascii="Times New Roman;sans-serif" w:hAnsi="Times New Roman;sans-serif"/>
          <w:b/>
          <w:color w:val="000000"/>
          <w:sz w:val="24"/>
        </w:rPr>
        <w:t>3.</w:t>
      </w:r>
      <w:r>
        <w:rPr>
          <w:rFonts w:ascii="Times New Roman;sans-serif" w:hAnsi="Times New Roman;sans-serif"/>
          <w:b/>
          <w:color w:val="000000"/>
          <w:sz w:val="24"/>
        </w:rPr>
        <w:t>Vesting of Restricted Stock Units</w:t>
      </w:r>
      <w:r>
        <w:rPr>
          <w:rFonts w:ascii="Times New Roman;sans-serif" w:hAnsi="Times New Roman;sans-serif"/>
          <w:b w:val="false"/>
          <w:color w:val="000000"/>
          <w:sz w:val="24"/>
        </w:rPr>
        <w:t>. Provided that the Grantee has continuously served as a member of the Board from the Date of Grant through the vesting date described in this sentence, the Restricted Stock Units shall vest on ; provided, however, that 100% of the unvested Restricted Stock Units shall immediately vest on the earlier of (i) the date upon which a Qualifying Change in Control occurs if such event occurs prior to the date of the Grantee’s “separation from service” (as defined under Section 409A of the Code (“</w:t>
      </w:r>
      <w:r>
        <w:rPr>
          <w:rFonts w:ascii="Times New Roman;sans-serif" w:hAnsi="Times New Roman;sans-serif"/>
          <w:b/>
          <w:color w:val="000000"/>
          <w:sz w:val="24"/>
        </w:rPr>
        <w:t>Separation from Service</w:t>
      </w:r>
      <w:r>
        <w:rPr>
          <w:color w:val="000000"/>
        </w:rPr>
        <w:t>”</w:t>
      </w:r>
      <w:r>
        <w:rPr>
          <w:rFonts w:ascii="Times New Roman;sans-serif" w:hAnsi="Times New Roman;sans-serif"/>
          <w:b w:val="false"/>
          <w:color w:val="000000"/>
          <w:sz w:val="24"/>
        </w:rPr>
        <w:t>)), (ii) the date of the Grantee’s death if such event occurs while Grantee is serving as a member of the Board, or (iii) the date of the Grantee’s Separation from Service by reason of disability (as determined by the Committee). The date described in the preceding sentence upon which Restricted Stock Units vest is referred to herein as the “</w:t>
      </w:r>
      <w:r>
        <w:rPr>
          <w:rFonts w:ascii="Times New Roman;sans-serif" w:hAnsi="Times New Roman;sans-serif"/>
          <w:b/>
          <w:color w:val="000000"/>
          <w:sz w:val="24"/>
        </w:rPr>
        <w:t>Vesting Date</w:t>
      </w:r>
      <w:r>
        <w:rPr>
          <w:rFonts w:ascii="Times New Roman;sans-serif" w:hAnsi="Times New Roman;sans-serif"/>
          <w:b w:val="false"/>
          <w:color w:val="000000"/>
          <w:sz w:val="24"/>
        </w:rPr>
        <w:t>.” As used herein, the term “</w:t>
      </w:r>
      <w:r>
        <w:rPr>
          <w:rFonts w:ascii="Times New Roman;sans-serif" w:hAnsi="Times New Roman;sans-serif"/>
          <w:b/>
          <w:color w:val="000000"/>
          <w:sz w:val="24"/>
        </w:rPr>
        <w:t>Qualifying Change in Control</w:t>
      </w:r>
      <w:r>
        <w:rPr>
          <w:color w:val="000000"/>
        </w:rPr>
        <w:t xml:space="preserve">” </w:t>
      </w:r>
      <w:r>
        <w:rPr>
          <w:rFonts w:ascii="Times New Roman;sans-serif" w:hAnsi="Times New Roman;sans-serif"/>
          <w:b w:val="false"/>
          <w:color w:val="000000"/>
          <w:sz w:val="24"/>
        </w:rPr>
        <w:t xml:space="preserve">means a Change in Control, but excluding any event that would otherwise constitute a Change in Control and that relates solely to any acquisition of securities of the Company by a stockholder of the Company that owns 20% or more of either the Outstanding Stock or the Outstanding Company Voting Securities as of the Date of Grant (or by such a stockholder and/or one or more of its affiliates). Any Restricted Stock Units that do not become vested in accordance with the preceding provisions of this Section 3 shall be forfeited and surrendered to CRC for no consideration as of the date of the Grantee’s Separation from Service. In addition, if the Grantee incurs a Separation from Service for cause (as determined by the Board), then, notwithstanding any provision herein to the contrary, all of the Grantee’s Restricted Stock Units which have not yet been paid pursuant to </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Section 4 (whether vested or unvested) shall be forfeited and surrendered to CRC for no consideration as of the date of the Grantee’s Separation from Service.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color w:val="000000"/>
          <w:sz w:val="24"/>
        </w:rPr>
        <w:t>4.</w:t>
      </w:r>
      <w:r>
        <w:rPr>
          <w:rFonts w:ascii="Times New Roman;sans-serif" w:hAnsi="Times New Roman;sans-serif"/>
          <w:b/>
          <w:color w:val="000000"/>
          <w:sz w:val="24"/>
        </w:rPr>
        <w:t>Payment of Awards</w:t>
      </w:r>
      <w:r>
        <w:rPr>
          <w:rFonts w:ascii="Times New Roman;sans-serif" w:hAnsi="Times New Roman;sans-serif"/>
          <w:b w:val="false"/>
          <w:color w:val="000000"/>
          <w:sz w:val="24"/>
        </w:rPr>
        <w:t>. Restricted Stock Units that become vested in accordance with Section 3 shall be paid on the earlier of (i) the date that is three months and one day after the date of the Grantee’s Separation from Service, (ii) the date upon which a Qualifying Change in Control occurs (or within 45 days thereafter) provided that such Qualifying Change in Control also constitutes a change in control event within the meaning of Treasury regulation section 1.409A-3(i)(5), (iii) the date of the Grantee’s death (or within 45 days thereafter), or (iv) the date the Grantee becomes disabled within the meaning of Treasury regulation section 1.409A-3(i)(4) (or within 45 days thereafter). Payment shall be made in the form of shares of Common Stock equal in number to the number of Restricted Stock Units with respect to which payment is being made on that date, plus cash for any fractional share units based on the Fair Market Value of a share of Common Stock as of the date immediately preceding the date of such payment.</w:t>
      </w:r>
    </w:p>
    <w:p>
      <w:pPr>
        <w:pStyle w:val="TextBody"/>
        <w:bidi w:val="0"/>
        <w:spacing w:before="0" w:after="0"/>
        <w:ind w:left="0" w:right="0" w:firstLine="360"/>
        <w:jc w:val="both"/>
        <w:rPr/>
      </w:pPr>
      <w:r>
        <w:rPr/>
      </w:r>
    </w:p>
    <w:p>
      <w:pPr>
        <w:pStyle w:val="TextBody"/>
        <w:bidi w:val="0"/>
        <w:spacing w:lineRule="auto" w:line="268" w:before="0" w:after="0"/>
        <w:jc w:val="both"/>
        <w:rPr/>
      </w:pPr>
      <w:r>
        <w:rPr>
          <w:rFonts w:ascii="Times New Roman;sans-serif" w:hAnsi="Times New Roman;sans-serif"/>
          <w:b/>
          <w:color w:val="000000"/>
          <w:sz w:val="24"/>
        </w:rPr>
        <w:t>5.</w:t>
      </w:r>
      <w:r>
        <w:rPr>
          <w:rFonts w:ascii="Times New Roman;sans-serif" w:hAnsi="Times New Roman;sans-serif"/>
          <w:b/>
          <w:color w:val="000000"/>
          <w:sz w:val="24"/>
        </w:rPr>
        <w:t>Crediting and Payment of Dividend Equivalents</w:t>
      </w:r>
      <w:r>
        <w:rPr>
          <w:rFonts w:ascii="Times New Roman;sans-serif" w:hAnsi="Times New Roman;sans-serif"/>
          <w:b w:val="false"/>
          <w:color w:val="000000"/>
          <w:sz w:val="24"/>
        </w:rPr>
        <w:t>. With respect to the number of outstanding Restricted Stock Units listed above that have not been paid pursuant to Section 4, the Grantee shall be credited on the books and records of CRC with an amount (the “</w:t>
      </w:r>
      <w:r>
        <w:rPr>
          <w:rFonts w:ascii="Times New Roman;sans-serif" w:hAnsi="Times New Roman;sans-serif"/>
          <w:b/>
          <w:color w:val="000000"/>
          <w:sz w:val="24"/>
        </w:rPr>
        <w:t>Dividend Equivalent</w:t>
      </w:r>
      <w:r>
        <w:rPr>
          <w:color w:val="000000"/>
        </w:rPr>
        <w:t>”</w:t>
      </w:r>
      <w:r>
        <w:rPr>
          <w:rFonts w:ascii="Times New Roman;sans-serif" w:hAnsi="Times New Roman;sans-serif"/>
          <w:b w:val="false"/>
          <w:color w:val="000000"/>
          <w:sz w:val="24"/>
        </w:rPr>
        <w:t>) equal to the amount per share of any cash dividends declared by the Board on the outstanding Common Stock as and when declared during the period beginning on the Date of Grant and ending on the applicable payment date set forth in Section 4. CRC will pay in cash to the Grantee an amount equal to the Dividend Equivalents credited to such Grantee within 60 days of the later of (i) the relevant dividend payment date applicable to stockholders generally with respect to the dividends associated with such Dividend Equivalents and (ii) the date on which the Restricted Stock units to which such Dividend Equivalents are attributable vest in accordance with Section 3 (provided, however, for purposes of this clause (ii) only, the vesting of Restricted Stock Units upon the occurrence of a Qualifying Change in Control that does not also constitute a change in control event within the meaning of Treasury regulation section 1.409A-3(i)(5) shall be disregarded and, in such case, the date provided in this clause (ii) shall be deemed to reference the earlier of the date upon which such Restricted Stock Units would have otherwise vested pursuant to Section 3 or are settled and paid in accordance with Section 4). If the Restricted Stock Units (or any portion thereof) are forfeited by the Grantee pursuant to the terms of this Agreement, then the Grantee shall also forfeit the Dividend Equivalents, if any, accrued and unpaid with respect to such forfeited Restricted Stock Units. No interest will accrue on the Dividend Equivalents between the declaration and payment of the applicable dividends and the settlement of the Dividend Equivalents.</w:t>
      </w:r>
    </w:p>
    <w:p>
      <w:pPr>
        <w:pStyle w:val="TextBody"/>
        <w:bidi w:val="0"/>
        <w:spacing w:before="0" w:after="0"/>
        <w:ind w:left="0" w:right="0" w:firstLine="360"/>
        <w:jc w:val="both"/>
        <w:rPr/>
      </w:pPr>
      <w:r>
        <w:rPr/>
      </w:r>
    </w:p>
    <w:p>
      <w:pPr>
        <w:pStyle w:val="TextBody"/>
        <w:bidi w:val="0"/>
        <w:spacing w:lineRule="auto" w:line="268" w:before="0" w:after="0"/>
        <w:jc w:val="both"/>
        <w:rPr/>
      </w:pPr>
      <w:r>
        <w:rPr>
          <w:rFonts w:ascii="Times New Roman;sans-serif" w:hAnsi="Times New Roman;sans-serif"/>
          <w:b/>
          <w:color w:val="000000"/>
          <w:sz w:val="24"/>
        </w:rPr>
        <w:t>6.</w:t>
      </w:r>
      <w:r>
        <w:rPr>
          <w:rFonts w:ascii="Times New Roman;sans-serif" w:hAnsi="Times New Roman;sans-serif"/>
          <w:b/>
          <w:color w:val="000000"/>
          <w:sz w:val="24"/>
        </w:rPr>
        <w:t>Retention as Director</w:t>
      </w:r>
      <w:r>
        <w:rPr>
          <w:rFonts w:ascii="Times New Roman;sans-serif" w:hAnsi="Times New Roman;sans-serif"/>
          <w:b w:val="false"/>
          <w:color w:val="000000"/>
          <w:sz w:val="24"/>
        </w:rPr>
        <w:t>. Nothing contained in this Agreement shall interfere with or limit in any way the right of CRC or the stockholders of CRC to remove the Grantee from the Board pursuant to the by-laws of CRC, nor confer upon any Grantee any right to continue in the service of CRC as a member of the Board.</w:t>
      </w:r>
    </w:p>
    <w:p>
      <w:pPr>
        <w:pStyle w:val="TextBody"/>
        <w:bidi w:val="0"/>
        <w:spacing w:before="0" w:after="0"/>
        <w:ind w:left="0" w:right="0" w:firstLine="360"/>
        <w:jc w:val="both"/>
        <w:rPr/>
      </w:pPr>
      <w:r>
        <w:rPr/>
      </w:r>
    </w:p>
    <w:p>
      <w:pPr>
        <w:pStyle w:val="TextBody"/>
        <w:bidi w:val="0"/>
        <w:spacing w:lineRule="auto" w:line="268" w:before="0" w:after="0"/>
        <w:jc w:val="both"/>
        <w:rPr/>
      </w:pPr>
      <w:r>
        <w:rPr>
          <w:rFonts w:ascii="Times New Roman;sans-serif" w:hAnsi="Times New Roman;sans-serif"/>
          <w:b/>
          <w:color w:val="000000"/>
          <w:sz w:val="24"/>
        </w:rPr>
        <w:t>7.</w:t>
      </w:r>
      <w:r>
        <w:rPr>
          <w:rFonts w:ascii="Times New Roman;sans-serif" w:hAnsi="Times New Roman;sans-serif"/>
          <w:b/>
          <w:color w:val="000000"/>
          <w:sz w:val="24"/>
        </w:rPr>
        <w:t>Taxes and Withholding</w:t>
      </w:r>
      <w:r>
        <w:rPr>
          <w:rFonts w:ascii="Times New Roman;sans-serif" w:hAnsi="Times New Roman;sans-serif"/>
          <w:b w:val="false"/>
          <w:color w:val="000000"/>
          <w:sz w:val="24"/>
        </w:rPr>
        <w:t>. The Grantee is responsible for any federal, state, local or non-U.S. tax, including income tax, social insurance, payroll tax, payment on account or other tax-related withholding with respect to the grant of Restricted Stock Units (including the grant, the vesting, the receipt of Common Stock, the sale of Common Stock and the receipt of Dividend Equivalents, if any). The Company does not guarantee any particular tax treatment or results in connection with the grant, vesting or payment of the Restricted Stock Units or the payment of Dividend Equivalents, if any.</w:t>
      </w:r>
    </w:p>
    <w:p>
      <w:pPr>
        <w:pStyle w:val="TextBody"/>
        <w:bidi w:val="0"/>
        <w:spacing w:before="0" w:after="0"/>
        <w:ind w:left="0" w:right="0" w:firstLine="360"/>
        <w:jc w:val="both"/>
        <w:rPr/>
      </w:pPr>
      <w:r>
        <w:rPr/>
      </w:r>
    </w:p>
    <w:p>
      <w:pPr>
        <w:pStyle w:val="TextBody"/>
        <w:bidi w:val="0"/>
        <w:spacing w:lineRule="auto" w:line="268" w:before="0" w:after="0"/>
        <w:jc w:val="both"/>
        <w:rPr/>
      </w:pPr>
      <w:r>
        <w:rPr>
          <w:rFonts w:ascii="Times New Roman;sans-serif" w:hAnsi="Times New Roman;sans-serif"/>
          <w:b/>
          <w:color w:val="000000"/>
          <w:sz w:val="24"/>
        </w:rPr>
        <w:t>8.</w:t>
      </w:r>
      <w:r>
        <w:rPr>
          <w:rFonts w:ascii="Times New Roman;sans-serif" w:hAnsi="Times New Roman;sans-serif"/>
          <w:b/>
          <w:color w:val="000000"/>
          <w:sz w:val="24"/>
        </w:rPr>
        <w:t>Compliance with Law</w:t>
      </w:r>
      <w:r>
        <w:rPr>
          <w:rFonts w:ascii="Times New Roman;sans-serif" w:hAnsi="Times New Roman;sans-serif"/>
          <w:b w:val="false"/>
          <w:color w:val="000000"/>
          <w:sz w:val="24"/>
        </w:rPr>
        <w:t>. The Company will make reasonable efforts to comply with all applicable federal, state and foreign securities laws; however, the Company will not issue any Common Stock or other securities pursuant to this Agreement if their issuance would result in a violation of any such law by the Company.</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color w:val="000000"/>
          <w:sz w:val="24"/>
        </w:rPr>
        <w:t>9.</w:t>
      </w:r>
      <w:r>
        <w:rPr>
          <w:rFonts w:ascii="Times New Roman;sans-serif" w:hAnsi="Times New Roman;sans-serif"/>
          <w:b/>
          <w:color w:val="000000"/>
          <w:sz w:val="24"/>
        </w:rPr>
        <w:t>Adjustments</w:t>
      </w:r>
      <w:r>
        <w:rPr>
          <w:rFonts w:ascii="Times New Roman;sans-serif" w:hAnsi="Times New Roman;sans-serif"/>
          <w:b w:val="false"/>
          <w:color w:val="000000"/>
          <w:sz w:val="24"/>
        </w:rPr>
        <w:t>. The number or kind of shares of stock covered by this Restricted Stock Unit Award may be adjusted as the Committee determines pursuant to the Plan in order to prevent dilution or expansion of the Grantee’s rights under this Agreement as a result of events such as stock dividends, stock splits, or other change in the capital structure of CRC, or any merger, consolidation, spin-off, liquidation or other corporate transaction or event having a similar effect. If any such adjustment occurs, the Company will give the Grantee written notice of the adjustment containing an explanation of the nature of the adjustment.</w:t>
      </w:r>
    </w:p>
    <w:p>
      <w:pPr>
        <w:pStyle w:val="TextBody"/>
        <w:bidi w:val="0"/>
        <w:spacing w:before="0" w:after="0"/>
        <w:ind w:left="0" w:right="0" w:firstLine="360"/>
        <w:jc w:val="both"/>
        <w:rPr/>
      </w:pPr>
      <w:r>
        <w:rPr/>
      </w:r>
    </w:p>
    <w:p>
      <w:pPr>
        <w:pStyle w:val="TextBody"/>
        <w:bidi w:val="0"/>
        <w:spacing w:lineRule="auto" w:line="268" w:before="0" w:after="0"/>
        <w:jc w:val="both"/>
        <w:rPr/>
      </w:pPr>
      <w:r>
        <w:rPr>
          <w:rFonts w:ascii="Times New Roman;sans-serif" w:hAnsi="Times New Roman;sans-serif"/>
          <w:b/>
          <w:color w:val="000000"/>
          <w:sz w:val="24"/>
        </w:rPr>
        <w:t>10.</w:t>
      </w:r>
      <w:r>
        <w:rPr>
          <w:rFonts w:ascii="Times New Roman;sans-serif" w:hAnsi="Times New Roman;sans-serif"/>
          <w:b/>
          <w:color w:val="000000"/>
          <w:sz w:val="24"/>
        </w:rPr>
        <w:t>Amendments</w:t>
      </w:r>
      <w:r>
        <w:rPr>
          <w:rFonts w:ascii="Times New Roman;sans-serif" w:hAnsi="Times New Roman;sans-serif"/>
          <w:b w:val="false"/>
          <w:color w:val="000000"/>
          <w:sz w:val="24"/>
        </w:rPr>
        <w:t>. The Plan may be modified, amended, suspended or terminated by the Company at any time, as provided in the Plan. Any amendment to the Plan will be deemed to be an amendment to this Agreement to the extent it is applicable to this Agreement; however, except to the extent necessary to comply with applicable law, no amendment will adversely affect the rights of the Grantee under this Agreement without the Grantee’s consent.</w:t>
      </w:r>
    </w:p>
    <w:p>
      <w:pPr>
        <w:pStyle w:val="TextBody"/>
        <w:bidi w:val="0"/>
        <w:spacing w:before="0" w:after="0"/>
        <w:ind w:left="0" w:right="0" w:firstLine="360"/>
        <w:jc w:val="both"/>
        <w:rPr/>
      </w:pPr>
      <w:r>
        <w:rPr/>
      </w:r>
    </w:p>
    <w:p>
      <w:pPr>
        <w:pStyle w:val="TextBody"/>
        <w:bidi w:val="0"/>
        <w:spacing w:lineRule="auto" w:line="268" w:before="0" w:after="0"/>
        <w:jc w:val="both"/>
        <w:rPr/>
      </w:pPr>
      <w:r>
        <w:rPr>
          <w:rFonts w:ascii="Times New Roman;sans-serif" w:hAnsi="Times New Roman;sans-serif"/>
          <w:b/>
          <w:color w:val="000000"/>
          <w:sz w:val="24"/>
        </w:rPr>
        <w:t>11.</w:t>
      </w:r>
      <w:r>
        <w:rPr>
          <w:rFonts w:ascii="Times New Roman;sans-serif" w:hAnsi="Times New Roman;sans-serif"/>
          <w:b/>
          <w:color w:val="000000"/>
          <w:sz w:val="24"/>
        </w:rPr>
        <w:t>Severability</w:t>
      </w:r>
      <w:r>
        <w:rPr>
          <w:rFonts w:ascii="Times New Roman;sans-serif" w:hAnsi="Times New Roman;sans-serif"/>
          <w:b w:val="false"/>
          <w:color w:val="000000"/>
          <w:sz w:val="24"/>
        </w:rPr>
        <w:t>. If one or more of the provisions of this Agreement is invalidated for any reason by a court of competent jurisdiction, the invalidated provisions shall be deemed to be separable from the other provisions of this Agreement, and the remaining provisions of this Agreement will continue to be valid and fully enforceable.</w:t>
      </w:r>
    </w:p>
    <w:p>
      <w:pPr>
        <w:pStyle w:val="TextBody"/>
        <w:bidi w:val="0"/>
        <w:spacing w:before="0" w:after="0"/>
        <w:ind w:left="0" w:right="0" w:firstLine="360"/>
        <w:jc w:val="both"/>
        <w:rPr/>
      </w:pPr>
      <w:r>
        <w:rPr/>
      </w:r>
    </w:p>
    <w:p>
      <w:pPr>
        <w:pStyle w:val="TextBody"/>
        <w:bidi w:val="0"/>
        <w:spacing w:lineRule="auto" w:line="268" w:before="0" w:after="0"/>
        <w:jc w:val="both"/>
        <w:rPr/>
      </w:pPr>
      <w:r>
        <w:rPr>
          <w:rFonts w:ascii="Times New Roman;sans-serif" w:hAnsi="Times New Roman;sans-serif"/>
          <w:b/>
          <w:color w:val="000000"/>
          <w:sz w:val="24"/>
        </w:rPr>
        <w:t>12.</w:t>
      </w:r>
      <w:r>
        <w:rPr>
          <w:rFonts w:ascii="Times New Roman;sans-serif" w:hAnsi="Times New Roman;sans-serif"/>
          <w:b/>
          <w:color w:val="000000"/>
          <w:sz w:val="24"/>
        </w:rPr>
        <w:t>Relation to Plan; Interpretation</w:t>
      </w:r>
      <w:r>
        <w:rPr>
          <w:rFonts w:ascii="Times New Roman;sans-serif" w:hAnsi="Times New Roman;sans-serif"/>
          <w:b w:val="false"/>
          <w:color w:val="000000"/>
          <w:sz w:val="24"/>
        </w:rPr>
        <w:t>. This Agreement is subject to the terms and conditions of the Plan. In the event of any inconsistent provisions between this Agreement and the Plan, the provisions of the Plan control. Capitalized terms used in this Agreement without definitions have the meanings assigned to them in the Plan. References to Sections are to Sections of this Agreement unless otherwise noted.</w:t>
      </w:r>
    </w:p>
    <w:p>
      <w:pPr>
        <w:pStyle w:val="TextBody"/>
        <w:bidi w:val="0"/>
        <w:spacing w:before="0" w:after="0"/>
        <w:ind w:left="0" w:right="0" w:firstLine="360"/>
        <w:jc w:val="both"/>
        <w:rPr/>
      </w:pPr>
      <w:r>
        <w:rPr/>
      </w:r>
    </w:p>
    <w:p>
      <w:pPr>
        <w:pStyle w:val="TextBody"/>
        <w:bidi w:val="0"/>
        <w:spacing w:lineRule="auto" w:line="268" w:before="0" w:after="0"/>
        <w:jc w:val="both"/>
        <w:rPr/>
      </w:pPr>
      <w:r>
        <w:rPr>
          <w:rFonts w:ascii="Times New Roman;sans-serif" w:hAnsi="Times New Roman;sans-serif"/>
          <w:b/>
          <w:color w:val="000000"/>
          <w:sz w:val="24"/>
        </w:rPr>
        <w:t>13.</w:t>
      </w:r>
      <w:r>
        <w:rPr>
          <w:rFonts w:ascii="Times New Roman;sans-serif" w:hAnsi="Times New Roman;sans-serif"/>
          <w:b/>
          <w:color w:val="000000"/>
          <w:sz w:val="24"/>
        </w:rPr>
        <w:t>Successors and Assigns</w:t>
      </w:r>
      <w:r>
        <w:rPr>
          <w:rFonts w:ascii="Times New Roman;sans-serif" w:hAnsi="Times New Roman;sans-serif"/>
          <w:b w:val="false"/>
          <w:color w:val="000000"/>
          <w:sz w:val="24"/>
        </w:rPr>
        <w:t>. Subject to Sections 2 and 3, the provisions of this Agreement shall be for the benefit of, and be binding upon, the successors, administrators, heirs, legal representatives and assigns of the Grantee, and the successors and assigns of the Company.</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color w:val="000000"/>
          <w:sz w:val="24"/>
        </w:rPr>
        <w:t>14.</w:t>
      </w:r>
      <w:r>
        <w:rPr>
          <w:rFonts w:ascii="Times New Roman;sans-serif" w:hAnsi="Times New Roman;sans-serif"/>
          <w:b/>
          <w:color w:val="000000"/>
          <w:sz w:val="24"/>
        </w:rPr>
        <w:t>Governing Law</w:t>
      </w:r>
      <w:r>
        <w:rPr>
          <w:rFonts w:ascii="Times New Roman;sans-serif" w:hAnsi="Times New Roman;sans-serif"/>
          <w:b w:val="false"/>
          <w:color w:val="000000"/>
          <w:sz w:val="24"/>
        </w:rPr>
        <w:t>. The laws of the State of Delaware govern the interpretation, performance, and enforcement of this Agreement.</w:t>
      </w:r>
    </w:p>
    <w:p>
      <w:pPr>
        <w:pStyle w:val="TextBody"/>
        <w:bidi w:val="0"/>
        <w:spacing w:before="0" w:after="0"/>
        <w:ind w:left="0" w:right="0" w:firstLine="360"/>
        <w:jc w:val="both"/>
        <w:rPr/>
      </w:pPr>
      <w:r>
        <w:rPr/>
      </w:r>
    </w:p>
    <w:p>
      <w:pPr>
        <w:pStyle w:val="TextBody"/>
        <w:bidi w:val="0"/>
        <w:spacing w:lineRule="auto" w:line="268" w:before="0" w:after="0"/>
        <w:jc w:val="both"/>
        <w:rPr/>
      </w:pPr>
      <w:r>
        <w:rPr>
          <w:rFonts w:ascii="Times New Roman;sans-serif" w:hAnsi="Times New Roman;sans-serif"/>
          <w:b/>
          <w:color w:val="000000"/>
          <w:sz w:val="24"/>
        </w:rPr>
        <w:t>15.</w:t>
      </w:r>
      <w:r>
        <w:rPr>
          <w:rFonts w:ascii="Times New Roman;sans-serif" w:hAnsi="Times New Roman;sans-serif"/>
          <w:b/>
          <w:color w:val="000000"/>
          <w:sz w:val="24"/>
        </w:rPr>
        <w:t>Notices</w:t>
      </w:r>
      <w:r>
        <w:rPr>
          <w:rFonts w:ascii="Times New Roman;sans-serif" w:hAnsi="Times New Roman;sans-serif"/>
          <w:b w:val="false"/>
          <w:color w:val="000000"/>
          <w:sz w:val="24"/>
        </w:rPr>
        <w:t>. Any notice to the Company provided for in this Agreement will be given to its chief legal officer at its principal executive offices, and any notice to the Grantee will be addressed to the Grantee at his or her address currently on file with the Company. Any written notice will be deemed to be duly given when received if delivered personally or sent by telecopy, e-mail, or the United States mail, first class registered mail, postage and fees prepaid, and addressed as provided in this paragraph. Any party may change the address to which notices are to be given by written notice to the other party as specified in the preceding sentence.</w:t>
      </w:r>
    </w:p>
    <w:p>
      <w:pPr>
        <w:pStyle w:val="TextBody"/>
        <w:bidi w:val="0"/>
        <w:spacing w:before="0" w:after="0"/>
        <w:ind w:left="0" w:right="0" w:firstLine="360"/>
        <w:jc w:val="both"/>
        <w:rPr/>
      </w:pPr>
      <w:r>
        <w:rPr/>
      </w:r>
    </w:p>
    <w:p>
      <w:pPr>
        <w:pStyle w:val="TextBody"/>
        <w:bidi w:val="0"/>
        <w:spacing w:lineRule="auto" w:line="268"/>
        <w:jc w:val="both"/>
        <w:rPr/>
      </w:pPr>
      <w:r>
        <w:rPr>
          <w:rFonts w:ascii="Times New Roman;sans-serif" w:hAnsi="Times New Roman;sans-serif"/>
          <w:b/>
          <w:color w:val="000000"/>
          <w:sz w:val="24"/>
        </w:rPr>
        <w:t>16.</w:t>
      </w:r>
      <w:r>
        <w:rPr>
          <w:rFonts w:ascii="Times New Roman;sans-serif" w:hAnsi="Times New Roman;sans-serif"/>
          <w:b/>
          <w:color w:val="000000"/>
          <w:sz w:val="24"/>
        </w:rPr>
        <w:t>Privacy Rights</w:t>
      </w:r>
      <w:r>
        <w:rPr>
          <w:rFonts w:ascii="Times New Roman;sans-serif" w:hAnsi="Times New Roman;sans-serif"/>
          <w:b w:val="false"/>
          <w:color w:val="000000"/>
          <w:sz w:val="24"/>
        </w:rPr>
        <w:t>. By accepting this Award, the Grantee explicitly and unambiguously consents to the collection, use and transfer, in electronic or other form, of the Grantee’s Data (as defined below) by and among, as applicable, the Company and its affiliates for the exclusive purpose of implementing, administering and managing the Grantee’s participation in the Plan. The Company holds or may receive from any agent designated by the Company certain personal information about the Grantee, including, but not limited to, the Grantee’s name, home address and telephone number, date of birth, social insurance number or other identification number, salary, nationality, job title, any shares of stock or directorships held in CRC, details of this Restricted Stock Unit Award or any other entitlement to shares of stock awarded, canceled, exercised, vested, unvested or outstanding in the Grantee’s favor, for the purpose of implementing, administering and managing the Plan, including complying with applicable tax and securities laws (“</w:t>
      </w:r>
      <w:r>
        <w:rPr>
          <w:rFonts w:ascii="Times New Roman;sans-serif" w:hAnsi="Times New Roman;sans-serif"/>
          <w:b/>
          <w:color w:val="000000"/>
          <w:sz w:val="24"/>
        </w:rPr>
        <w:t>Data</w:t>
      </w:r>
      <w:r>
        <w:rPr>
          <w:color w:val="000000"/>
        </w:rPr>
        <w:t>”</w:t>
      </w:r>
      <w:r>
        <w:rPr>
          <w:rFonts w:ascii="Times New Roman;sans-serif" w:hAnsi="Times New Roman;sans-serif"/>
          <w:b w:val="false"/>
          <w:color w:val="000000"/>
          <w:sz w:val="24"/>
        </w:rPr>
        <w:t xml:space="preserve">). Data may be transferred to any third parties assisting in the implementation, administration and management of the Plan. These recipients may be located in the Grantee’s country or </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elsewhere, and may have different data privacy laws and protections than the Grantee’s country. By accepting this Agreement, the Grantee authorizes the recipients to receive, possess, use, retain and transfer the Data, in electronic or other form, for the purposes described above. The Grantee may, at any time, view Data, request additional information about the storage and processing of Data, require any necessary amendments to Data or refuse or withdraw the consents herein, in any case without cost, by contacting the Committee in writing. Refusing or withdrawing consent may affect the Grantee’s ability to participate in the Plan.</w:t>
      </w:r>
    </w:p>
    <w:p>
      <w:pPr>
        <w:pStyle w:val="TextBody"/>
        <w:bidi w:val="0"/>
        <w:spacing w:before="0" w:after="0"/>
        <w:ind w:left="0" w:right="0" w:firstLine="360"/>
        <w:jc w:val="both"/>
        <w:rPr/>
      </w:pPr>
      <w:r>
        <w:rPr/>
      </w:r>
    </w:p>
    <w:p>
      <w:pPr>
        <w:pStyle w:val="TextBody"/>
        <w:bidi w:val="0"/>
        <w:spacing w:lineRule="auto" w:line="268" w:before="0" w:after="0"/>
        <w:jc w:val="both"/>
        <w:rPr/>
      </w:pPr>
      <w:r>
        <w:rPr>
          <w:rFonts w:ascii="Times New Roman;sans-serif" w:hAnsi="Times New Roman;sans-serif"/>
          <w:b/>
          <w:color w:val="000000"/>
          <w:sz w:val="24"/>
        </w:rPr>
        <w:t>17.</w:t>
      </w:r>
      <w:r>
        <w:rPr>
          <w:rFonts w:ascii="Times New Roman;sans-serif" w:hAnsi="Times New Roman;sans-serif"/>
          <w:b/>
          <w:color w:val="000000"/>
          <w:sz w:val="24"/>
        </w:rPr>
        <w:t>Electronic Delivery</w:t>
      </w:r>
      <w:r>
        <w:rPr>
          <w:rFonts w:ascii="Times New Roman;sans-serif" w:hAnsi="Times New Roman;sans-serif"/>
          <w:b w:val="false"/>
          <w:color w:val="000000"/>
          <w:sz w:val="24"/>
        </w:rPr>
        <w:t>. The Company may, in its sole discretion, decide to deliver any documents related to this Restricted Stock Unit Award granted under the Plan or future awards that may be granted under the Plan (if any) by electronic means or to request the Grantee’s consent to participate in the Plan by electronic means. The Grantee hereby consents to receive such documents by electronic delivery and, if requested, to participate in the Plan through an on-line or electronic system established and maintained by the Company or another third party designated by the Company.</w:t>
      </w:r>
    </w:p>
    <w:p>
      <w:pPr>
        <w:pStyle w:val="TextBody"/>
        <w:bidi w:val="0"/>
        <w:spacing w:before="0" w:after="0"/>
        <w:ind w:left="0" w:right="0" w:firstLine="360"/>
        <w:jc w:val="both"/>
        <w:rPr/>
      </w:pPr>
      <w:r>
        <w:rPr/>
      </w:r>
    </w:p>
    <w:p>
      <w:pPr>
        <w:pStyle w:val="TextBody"/>
        <w:bidi w:val="0"/>
        <w:spacing w:lineRule="auto" w:line="268" w:before="0" w:after="0"/>
        <w:jc w:val="both"/>
        <w:rPr/>
      </w:pPr>
      <w:r>
        <w:rPr>
          <w:rFonts w:ascii="Times New Roman;sans-serif" w:hAnsi="Times New Roman;sans-serif"/>
          <w:b/>
          <w:color w:val="000000"/>
          <w:sz w:val="24"/>
        </w:rPr>
        <w:t>18.</w:t>
      </w:r>
      <w:r>
        <w:rPr>
          <w:rFonts w:ascii="Times New Roman;sans-serif" w:hAnsi="Times New Roman;sans-serif"/>
          <w:b/>
          <w:color w:val="000000"/>
          <w:sz w:val="24"/>
        </w:rPr>
        <w:t>Compliance With Section 409A of the Code</w:t>
      </w:r>
      <w:r>
        <w:rPr>
          <w:rFonts w:ascii="Times New Roman;sans-serif" w:hAnsi="Times New Roman;sans-serif"/>
          <w:b w:val="false"/>
          <w:color w:val="000000"/>
          <w:sz w:val="24"/>
        </w:rPr>
        <w:t>. This Agreement shall be interpreted and administered in such a way as to comply with the applicable provisions of Section 409A of the Code (“</w:t>
      </w:r>
      <w:r>
        <w:rPr>
          <w:rFonts w:ascii="Times New Roman;sans-serif" w:hAnsi="Times New Roman;sans-serif"/>
          <w:b/>
          <w:color w:val="000000"/>
          <w:sz w:val="24"/>
        </w:rPr>
        <w:t>Section 409A</w:t>
      </w:r>
      <w:r>
        <w:rPr>
          <w:color w:val="000000"/>
        </w:rPr>
        <w:t>”</w:t>
      </w:r>
      <w:r>
        <w:rPr>
          <w:rFonts w:ascii="Times New Roman;sans-serif" w:hAnsi="Times New Roman;sans-serif"/>
          <w:b w:val="false"/>
          <w:color w:val="000000"/>
          <w:sz w:val="24"/>
        </w:rPr>
        <w:t>) to the maximum extent possible. In addition, (i) if the Grantee must be treated as a “specified employee” within the meaning of Section 409A, any payment made on account of the Grantee’s Separation from Service will be made at the time specified above in Section 4 or, if later, on the date that is six (6) months and one (1) day following the date of the Grantee’s Separation from Service; and (ii) any payment on a Qualifying Change in Control event will be made only if the Qualifying Change in Control also qualifies as a change in control event within the meaning of Section 409A. To the extent that the Board determines that the Plan or this Award fails to comply with the requirements of Section 409A, the Board reserves the right (without any obligation to do so) to amend or terminate the Plan and/or amend, restructure, terminate or replace this Award in order to cause this Award either to not be subject to Section 409A or to comply with the applicable provisions of such section.</w:t>
      </w:r>
    </w:p>
    <w:p>
      <w:pPr>
        <w:pStyle w:val="TextBody"/>
        <w:bidi w:val="0"/>
        <w:spacing w:before="0" w:after="0"/>
        <w:ind w:left="0" w:right="0" w:firstLine="360"/>
        <w:jc w:val="both"/>
        <w:rPr/>
      </w:pPr>
      <w:r>
        <w:rPr/>
      </w:r>
    </w:p>
    <w:p>
      <w:pPr>
        <w:pStyle w:val="TextBody"/>
        <w:bidi w:val="0"/>
        <w:spacing w:lineRule="auto" w:line="268" w:before="0" w:after="0"/>
        <w:jc w:val="both"/>
        <w:rPr/>
      </w:pPr>
      <w:r>
        <w:rPr>
          <w:rFonts w:ascii="Times New Roman;sans-serif" w:hAnsi="Times New Roman;sans-serif"/>
          <w:b/>
          <w:color w:val="000000"/>
          <w:sz w:val="24"/>
        </w:rPr>
        <w:t>19.</w:t>
      </w:r>
      <w:r>
        <w:rPr>
          <w:rFonts w:ascii="Times New Roman;sans-serif" w:hAnsi="Times New Roman;sans-serif"/>
          <w:b/>
          <w:color w:val="000000"/>
          <w:sz w:val="24"/>
        </w:rPr>
        <w:t>Grantee’s Representations and Releases</w:t>
      </w:r>
      <w:r>
        <w:rPr>
          <w:rFonts w:ascii="Times New Roman;sans-serif" w:hAnsi="Times New Roman;sans-serif"/>
          <w:b w:val="false"/>
          <w:color w:val="000000"/>
          <w:sz w:val="24"/>
        </w:rPr>
        <w:t>. By accepting this Award, the Grantee acknowledges that the Grantee has read this Agreement and understands that the future value of any shares of Common Stock issued pursuant to this Restricted Stock Unit Award cannot be predicted and CRC does not assume liability in the event such shares of Common Stock have no value in the future; and the Grantee will be solely responsible for the payment or nonpayment of taxes imposed or threatened to be imposed by any authority of any jurisdiction.</w:t>
      </w:r>
    </w:p>
    <w:p>
      <w:pPr>
        <w:pStyle w:val="TextBody"/>
        <w:bidi w:val="0"/>
        <w:spacing w:before="0" w:after="0"/>
        <w:ind w:left="0" w:right="0" w:hanging="360"/>
        <w:jc w:val="both"/>
        <w:rPr/>
      </w:pPr>
      <w:r>
        <w:rPr/>
      </w:r>
    </w:p>
    <w:p>
      <w:pPr>
        <w:pStyle w:val="TextBody"/>
        <w:bidi w:val="0"/>
        <w:spacing w:lineRule="auto" w:line="268"/>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consideration of the grant of this Restricted Stock Unit Award, no claim or entitlement to compensation or damages shall arise from termination of this Restricted Stock Unit Award or diminution in value of this Restricted Stock Unit Award or Common Stock issued pursuant to this Restricted Stock Unit Award resulting from termination of the Grantee’s service as a member of the Board and the Grantee irrevocably releases the Company from any such claim that may arise; if, notwithstanding the foregoing, any such claim is found by a court of competent jurisdiction to have arisen, then, by accepting this Agreement, the Grantee shall be deemed irrevocably to have waived his or her entitlement to pursue such claim.</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13a – 14(a) / 15d – 14(a)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§302 OF THE SARBANES-OXLEY ACT OF 2002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I, Francisco J. Leon, certify that:</w:t>
      </w:r>
    </w:p>
    <w:p>
      <w:pPr>
        <w:pStyle w:val="TextBody"/>
        <w:bidi w:val="0"/>
        <w:spacing w:before="0" w:after="0"/>
        <w:jc w:val="left"/>
        <w:rPr/>
      </w:pPr>
      <w:r>
        <w:rPr/>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1.I have reviewed this quarterly report on Form 10-Q of California Resources Corporation;</w:t>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9"/>
        </w:rPr>
        <w:t>Date:  </w:t>
      </w:r>
      <w:r>
        <w:rPr>
          <w:rFonts w:ascii="Arial;sans-serif" w:hAnsi="Arial;sans-serif"/>
          <w:b w:val="false"/>
          <w:color w:val="000000"/>
          <w:sz w:val="20"/>
        </w:rPr>
        <w:t>August 7, 2024</w:t>
      </w:r>
      <w:r>
        <w:rPr>
          <w:color w:val="000000"/>
        </w:rPr>
        <w:t xml:space="preserve"> </w:t>
      </w:r>
    </w:p>
    <w:tbl>
      <w:tblPr>
        <w:tblW w:w="4103" w:type="dxa"/>
        <w:jc w:val="left"/>
        <w:tblInd w:w="0" w:type="dxa"/>
        <w:tblLayout w:type="fixed"/>
        <w:tblCellMar>
          <w:top w:w="28" w:type="dxa"/>
          <w:left w:w="28" w:type="dxa"/>
          <w:bottom w:w="28" w:type="dxa"/>
          <w:right w:w="28" w:type="dxa"/>
        </w:tblCellMar>
      </w:tblPr>
      <w:tblGrid>
        <w:gridCol w:w="124"/>
        <w:gridCol w:w="109"/>
        <w:gridCol w:w="109"/>
        <w:gridCol w:w="1128"/>
        <w:gridCol w:w="1128"/>
        <w:gridCol w:w="113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Francisco J. Leon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9"/>
              </w:rPr>
            </w:pPr>
            <w:r>
              <w:rPr>
                <w:rFonts w:ascii="Arial;sans-serif" w:hAnsi="Arial;sans-serif"/>
                <w:b w:val="false"/>
                <w:color w:val="000000"/>
                <w:sz w:val="19"/>
              </w:rPr>
              <w:t>Francisco J. Leon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RULE 13a – 14(a) / 15d – 14(a)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PURSUANT TO §302 OF THE SARBANES-OXLEY ACT OF 2002 </w:t>
      </w:r>
    </w:p>
    <w:p>
      <w:pPr>
        <w:pStyle w:val="TextBody"/>
        <w:bidi w:val="0"/>
        <w:spacing w:lineRule="auto" w:line="288" w:before="100" w:after="100"/>
        <w:jc w:val="left"/>
        <w:rPr>
          <w:rFonts w:ascii="Arial;sans-serif" w:hAnsi="Arial;sans-serif"/>
          <w:b w:val="false"/>
          <w:color w:val="000000"/>
          <w:sz w:val="19"/>
        </w:rPr>
      </w:pPr>
      <w:r>
        <w:rPr>
          <w:rFonts w:ascii="Arial;sans-serif" w:hAnsi="Arial;sans-serif"/>
          <w:b w:val="false"/>
          <w:color w:val="000000"/>
          <w:sz w:val="19"/>
        </w:rPr>
        <w:t xml:space="preserve">I, Manuela (Nelly) Molina, certify that: </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1.I have reviewed this quarterly report on Form 10-Q of California Resources Corporation;</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9"/>
        </w:rPr>
        <w:t xml:space="preserve">Date: </w:t>
      </w:r>
      <w:r>
        <w:rPr>
          <w:rFonts w:ascii="Arial;sans-serif" w:hAnsi="Arial;sans-serif"/>
          <w:b w:val="false"/>
          <w:color w:val="000000"/>
          <w:sz w:val="20"/>
        </w:rPr>
        <w:t>August 7, 2024</w:t>
      </w:r>
      <w:r>
        <w:rPr>
          <w:color w:val="000000"/>
        </w:rPr>
        <w:t xml:space="preserve"> </w:t>
      </w:r>
    </w:p>
    <w:tbl>
      <w:tblPr>
        <w:tblW w:w="411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813"/>
        <w:gridCol w:w="813"/>
        <w:gridCol w:w="1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Manuela (Nelly) Molina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Manuela (Nelly) Molina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Executive Vice President and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CERTIFICATION OF CEO AND CFO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18 U.S.C. § 1350,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 906 OF THE SARBANES-OXLEY ACT OF 2002 </w:t>
      </w:r>
    </w:p>
    <w:p>
      <w:pPr>
        <w:pStyle w:val="TextBody"/>
        <w:bidi w:val="0"/>
        <w:spacing w:before="100" w:after="100"/>
        <w:jc w:val="left"/>
        <w:rPr/>
      </w:pPr>
      <w:r>
        <w:rPr/>
      </w:r>
    </w:p>
    <w:p>
      <w:pPr>
        <w:pStyle w:val="TextBody"/>
        <w:bidi w:val="0"/>
        <w:spacing w:lineRule="auto" w:line="288" w:before="100" w:after="100"/>
        <w:ind w:left="0" w:right="0" w:firstLine="360"/>
        <w:jc w:val="left"/>
        <w:rPr>
          <w:rFonts w:ascii="Arial;sans-serif" w:hAnsi="Arial;sans-serif"/>
          <w:b w:val="false"/>
          <w:color w:val="000000"/>
          <w:sz w:val="20"/>
        </w:rPr>
      </w:pPr>
      <w:r>
        <w:rPr>
          <w:rFonts w:ascii="Arial;sans-serif" w:hAnsi="Arial;sans-serif"/>
          <w:b w:val="false"/>
          <w:color w:val="000000"/>
          <w:sz w:val="20"/>
        </w:rPr>
        <w:t>In connection with the Quarterly Report on Form 10-Q of California Resources Corporation (the “Company”) for the fiscal period ended June 30, 2024, as filed with the Securities and Exchange Commission on August 7, 2024 (the “Report”), Francisco J. Leon, as Chief Executive Officer of the Company, and Manuela (Nelly) Molina, as Chief Financial Officer of the Company, each hereby certifies, pursuant to 18 U.S.C. § 1350, as adopted pursuant to § 906 of the Sarbanes-Oxley Act of 2002, that, to the best of his or her knowledge, respectively:</w:t>
      </w:r>
    </w:p>
    <w:p>
      <w:pPr>
        <w:pStyle w:val="TextBody"/>
        <w:bidi w:val="0"/>
        <w:spacing w:before="100" w:after="100"/>
        <w:ind w:left="0" w:right="0" w:firstLine="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5482" w:type="dxa"/>
        <w:jc w:val="center"/>
        <w:tblInd w:w="0" w:type="dxa"/>
        <w:tblLayout w:type="fixed"/>
        <w:tblCellMar>
          <w:top w:w="28" w:type="dxa"/>
          <w:left w:w="28" w:type="dxa"/>
          <w:bottom w:w="28" w:type="dxa"/>
          <w:right w:w="28" w:type="dxa"/>
        </w:tblCellMar>
      </w:tblPr>
      <w:tblGrid>
        <w:gridCol w:w="271"/>
        <w:gridCol w:w="239"/>
        <w:gridCol w:w="239"/>
        <w:gridCol w:w="215"/>
        <w:gridCol w:w="215"/>
        <w:gridCol w:w="215"/>
        <w:gridCol w:w="1128"/>
        <w:gridCol w:w="1128"/>
        <w:gridCol w:w="1133"/>
        <w:gridCol w:w="109"/>
        <w:gridCol w:w="109"/>
        <w:gridCol w:w="109"/>
        <w:gridCol w:w="109"/>
        <w:gridCol w:w="109"/>
        <w:gridCol w:w="154"/>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Francisco J. Leon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Name: </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Francisco J. Leon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Title: </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6980" w:type="dxa"/>
        <w:jc w:val="center"/>
        <w:tblInd w:w="0" w:type="dxa"/>
        <w:tblLayout w:type="fixed"/>
        <w:tblCellMar>
          <w:top w:w="28" w:type="dxa"/>
          <w:left w:w="28" w:type="dxa"/>
          <w:bottom w:w="28" w:type="dxa"/>
          <w:right w:w="28" w:type="dxa"/>
        </w:tblCellMar>
      </w:tblPr>
      <w:tblGrid>
        <w:gridCol w:w="297"/>
        <w:gridCol w:w="261"/>
        <w:gridCol w:w="261"/>
        <w:gridCol w:w="261"/>
        <w:gridCol w:w="261"/>
        <w:gridCol w:w="261"/>
        <w:gridCol w:w="1558"/>
        <w:gridCol w:w="1558"/>
        <w:gridCol w:w="1563"/>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Manuela (Nelly) Molina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Name: </w:t>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Manuela (Nelly) Molina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Title: </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00" w:after="100"/>
        <w:ind w:left="0" w:right="0" w:firstLine="360"/>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pStyle w:val="TextBody"/>
        <w:bidi w:val="0"/>
        <w:spacing w:lineRule="auto" w:line="288" w:before="100" w:after="100"/>
        <w:ind w:left="0" w:right="0" w:firstLine="360"/>
        <w:jc w:val="left"/>
        <w:rPr>
          <w:rFonts w:ascii="Arial;sans-serif" w:hAnsi="Arial;sans-serif"/>
          <w:b w:val="false"/>
          <w:color w:val="000000"/>
          <w:sz w:val="20"/>
        </w:rPr>
      </w:pPr>
      <w:r>
        <w:rPr>
          <w:rFonts w:ascii="Arial;sans-serif" w:hAnsi="Arial;sans-serif"/>
          <w:b w:val="false"/>
          <w:color w:val="000000"/>
          <w:sz w:val="20"/>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09253/000160925320000137/a8aex31.htm" TargetMode="External"/><Relationship Id="rId3" Type="http://schemas.openxmlformats.org/officeDocument/2006/relationships/hyperlink" Target="https://www.sec.gov/Archives/edgar/data/1609253/000160925322000036/a20220504ex31.htm" TargetMode="External"/><Relationship Id="rId4" Type="http://schemas.openxmlformats.org/officeDocument/2006/relationships/hyperlink" Target="https://www.sec.gov/Archives/edgar/data/1609253/000160925323000034/a20230428exhibit31.htm" TargetMode="External"/><Relationship Id="rId5" Type="http://schemas.openxmlformats.org/officeDocument/2006/relationships/hyperlink" Target="https://www.sec.gov/Archives/edgar/data/1609253/000160925320000137/a8aex32.htm" TargetMode="External"/><Relationship Id="rId6" Type="http://schemas.openxmlformats.org/officeDocument/2006/relationships/hyperlink" Target="https://www.sec.gov/Archives/edgar/data/1609253/000119312524155155/d844238dex41.htm" TargetMode="External"/><Relationship Id="rId7" Type="http://schemas.openxmlformats.org/officeDocument/2006/relationships/hyperlink" Target="https://www.sec.gov/Archives/edgar/data/1609253/000119312524173343/d845209dex106.htm" TargetMode="External"/><Relationship Id="rId8" Type="http://schemas.openxmlformats.org/officeDocument/2006/relationships/hyperlink" Target="https://www.sec.gov/Archives/edgar/data/1609253/000119312524173343/d845209dex107.htm" TargetMode="External"/><Relationship Id="rId9" Type="http://schemas.openxmlformats.org/officeDocument/2006/relationships/hyperlink" Target="https://www.sec.gov/Archives/edgar/data/1609253/000160925324000020/a20240207exhibit101.htm" TargetMode="External"/><Relationship Id="rId10" Type="http://schemas.openxmlformats.org/officeDocument/2006/relationships/hyperlink" Target="https://www.sec.gov/Archives/edgar/data/1609253/000119312524173343/d845209dex105.htm" TargetMode="External"/><Relationship Id="rId11" Type="http://schemas.openxmlformats.org/officeDocument/2006/relationships/hyperlink" Target="https://www.sec.gov/Archives/edgar/data/1609253/000119312524173343/d845209dex101.htm" TargetMode="External"/><Relationship Id="rId12" Type="http://schemas.openxmlformats.org/officeDocument/2006/relationships/hyperlink" Target="https://www.sec.gov/Archives/edgar/data/1609253/000119312524173343/d845209dex101.htm" TargetMode="External"/><Relationship Id="rId13" Type="http://schemas.openxmlformats.org/officeDocument/2006/relationships/hyperlink" Target="https://www.sec.gov/Archives/edgar/data/1609253/000119312524173343/d845209dex101.htm" TargetMode="External"/><Relationship Id="rId14" Type="http://schemas.openxmlformats.org/officeDocument/2006/relationships/hyperlink" Target="https://www.sec.gov/Archives/edgar/data/1609253/000119312524173343/d845209dex101.htm" TargetMode="External"/><Relationship Id="rId15" Type="http://schemas.openxmlformats.org/officeDocument/2006/relationships/hyperlink" Target="https://www.sec.gov/Archives/edgar/data/1609253/000119312524173343/d845209dex101.htm" TargetMode="External"/><Relationship Id="rId16" Type="http://schemas.openxmlformats.org/officeDocument/2006/relationships/hyperlink" Target="https://www.sec.gov/Archives/edgar/data/1609253/000119312524173343/d845209dex101.htm" TargetMode="External"/><Relationship Id="rId17" Type="http://schemas.openxmlformats.org/officeDocument/2006/relationships/hyperlink" Target="https://www.sec.gov/Archives/edgar/data/1609253/000119312524173343/d845209dex101.htm" TargetMode="External"/><Relationship Id="rId18" Type="http://schemas.openxmlformats.org/officeDocument/2006/relationships/hyperlink" Target="https://www.sec.gov/Archives/edgar/data/1609253/000119312524173343/d845209dex101.htm" TargetMode="External"/><Relationship Id="rId19" Type="http://schemas.openxmlformats.org/officeDocument/2006/relationships/hyperlink" Target="https://www.sec.gov/Archives/edgar/data/1609253/000119312524173343/d845209dex101.htm" TargetMode="External"/><Relationship Id="rId20" Type="http://schemas.openxmlformats.org/officeDocument/2006/relationships/hyperlink" Target="https://www.sec.gov/Archives/edgar/data/1609253/000119312524173343/d845209dex101.htm" TargetMode="External"/><Relationship Id="rId21" Type="http://schemas.openxmlformats.org/officeDocument/2006/relationships/hyperlink" Target="https://www.sec.gov/Archives/edgar/data/1609253/000119312524173343/d845209dex101.htm" TargetMode="External"/><Relationship Id="rId22" Type="http://schemas.openxmlformats.org/officeDocument/2006/relationships/hyperlink" Target="https://www.sec.gov/Archives/edgar/data/1609253/000119312524173343/d845209dex102.htm" TargetMode="External"/><Relationship Id="rId23" Type="http://schemas.openxmlformats.org/officeDocument/2006/relationships/hyperlink" Target="https://www.sec.gov/Archives/edgar/data/1609253/000119312524173343/d845209dex102.htm" TargetMode="External"/><Relationship Id="rId24" Type="http://schemas.openxmlformats.org/officeDocument/2006/relationships/hyperlink" Target="https://www.sec.gov/Archives/edgar/data/1609253/000119312524173343/d845209dex102.htm" TargetMode="External"/><Relationship Id="rId25" Type="http://schemas.openxmlformats.org/officeDocument/2006/relationships/hyperlink" Target="https://www.sec.gov/Archives/edgar/data/1609253/000119312524173343/d845209dex102.htm" TargetMode="External"/><Relationship Id="rId26" Type="http://schemas.openxmlformats.org/officeDocument/2006/relationships/hyperlink" Target="https://www.sec.gov/Archives/edgar/data/1609253/000119312524173343/d845209dex102.htm" TargetMode="External"/><Relationship Id="rId27" Type="http://schemas.openxmlformats.org/officeDocument/2006/relationships/hyperlink" Target="https://www.sec.gov/Archives/edgar/data/1609253/000119312524173343/d845209dex102.htm" TargetMode="External"/><Relationship Id="rId28" Type="http://schemas.openxmlformats.org/officeDocument/2006/relationships/hyperlink" Target="https://www.sec.gov/Archives/edgar/data/1609253/000119312524173343/d845209dex102.htm" TargetMode="External"/><Relationship Id="rId29" Type="http://schemas.openxmlformats.org/officeDocument/2006/relationships/hyperlink" Target="https://www.sec.gov/Archives/edgar/data/1609253/000119312524173343/d845209dex102.htm" TargetMode="External"/><Relationship Id="rId30" Type="http://schemas.openxmlformats.org/officeDocument/2006/relationships/hyperlink" Target="https://www.sec.gov/Archives/edgar/data/1609253/000119312524173343/d845209dex102.htm" TargetMode="External"/><Relationship Id="rId31" Type="http://schemas.openxmlformats.org/officeDocument/2006/relationships/hyperlink" Target="https://www.sec.gov/Archives/edgar/data/1609253/000119312524173343/d845209dex102.htm" TargetMode="External"/><Relationship Id="rId32" Type="http://schemas.openxmlformats.org/officeDocument/2006/relationships/hyperlink" Target="https://www.sec.gov/Archives/edgar/data/1609253/000119312524173343/d845209dex103.htm" TargetMode="External"/><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26237</Words>
  <Characters>137710</Characters>
  <CharactersWithSpaces>162274</CharactersWithSpaces>
  <Paragraphs>3733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