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May 8,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27200 Tourney Road, Suite 315</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Santa Clarita,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p>
    <w:p>
      <w:pPr>
        <w:spacing w:after="0" w:line="17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held its 2019 Annual Meeting of Stockholders (the “Annual Meeting”) on May 8, 2019.</w:t>
      </w:r>
    </w:p>
    <w:p>
      <w:pPr>
        <w:spacing w:after="0" w:line="171"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actions were taken at the Annual Meeting, for which proxies were solicited pursuant to Regulation 14A under the Securities Exchange Act of 1934, as amended, and the final number of votes cast for, against or withheld, abstentions and broker non-votes for each matter are set forth below:</w:t>
      </w:r>
    </w:p>
    <w:p>
      <w:pPr>
        <w:spacing w:after="0" w:line="12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ten director nominees named in the Company's proxy statement were elected with the following votes:</w:t>
      </w:r>
    </w:p>
    <w:p>
      <w:pPr>
        <w:spacing w:after="0" w:line="26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Broker</w:t>
            </w:r>
          </w:p>
        </w:tc>
        <w:tc>
          <w:tcPr>
            <w:tcW w:w="4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line="196" w:lineRule="exact"/>
              <w:rPr>
                <w:sz w:val="20"/>
                <w:szCs w:val="20"/>
                <w:color w:val="auto"/>
              </w:rPr>
            </w:pPr>
            <w:r>
              <w:rPr>
                <w:rFonts w:ascii="Arial" w:cs="Arial" w:eastAsia="Arial" w:hAnsi="Arial"/>
                <w:sz w:val="18"/>
                <w:szCs w:val="18"/>
                <w:b w:val="1"/>
                <w:bCs w:val="1"/>
                <w:color w:val="auto"/>
                <w:w w:val="86"/>
              </w:rPr>
              <w:t>Nominee</w:t>
            </w:r>
          </w:p>
        </w:tc>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00" w:type="dxa"/>
            <w:vAlign w:val="bottom"/>
            <w:gridSpan w:val="2"/>
          </w:tcPr>
          <w:p>
            <w:pPr>
              <w:jc w:val="right"/>
              <w:ind w:right="1620"/>
              <w:spacing w:after="0" w:line="196" w:lineRule="exact"/>
              <w:rPr>
                <w:sz w:val="20"/>
                <w:szCs w:val="20"/>
                <w:color w:val="auto"/>
              </w:rPr>
            </w:pPr>
            <w:r>
              <w:rPr>
                <w:rFonts w:ascii="Arial" w:cs="Arial" w:eastAsia="Arial" w:hAnsi="Arial"/>
                <w:sz w:val="18"/>
                <w:szCs w:val="18"/>
                <w:b w:val="1"/>
                <w:bCs w:val="1"/>
                <w:color w:val="auto"/>
                <w:w w:val="89"/>
              </w:rPr>
              <w:t>For</w:t>
            </w:r>
          </w:p>
        </w:tc>
        <w:tc>
          <w:tcPr>
            <w:tcW w:w="1900" w:type="dxa"/>
            <w:vAlign w:val="bottom"/>
            <w:gridSpan w:val="2"/>
          </w:tcPr>
          <w:p>
            <w:pPr>
              <w:jc w:val="right"/>
              <w:ind w:right="1320"/>
              <w:spacing w:after="0" w:line="196" w:lineRule="exact"/>
              <w:rPr>
                <w:sz w:val="20"/>
                <w:szCs w:val="20"/>
                <w:color w:val="auto"/>
              </w:rPr>
            </w:pPr>
            <w:r>
              <w:rPr>
                <w:rFonts w:ascii="Arial" w:cs="Arial" w:eastAsia="Arial" w:hAnsi="Arial"/>
                <w:sz w:val="18"/>
                <w:szCs w:val="18"/>
                <w:b w:val="1"/>
                <w:bCs w:val="1"/>
                <w:color w:val="auto"/>
                <w:w w:val="84"/>
              </w:rPr>
              <w:t>Against</w:t>
            </w:r>
          </w:p>
        </w:tc>
        <w:tc>
          <w:tcPr>
            <w:tcW w:w="2100" w:type="dxa"/>
            <w:vAlign w:val="bottom"/>
            <w:gridSpan w:val="2"/>
          </w:tcPr>
          <w:p>
            <w:pPr>
              <w:jc w:val="right"/>
              <w:ind w:right="1200"/>
              <w:spacing w:after="0" w:line="196" w:lineRule="exact"/>
              <w:rPr>
                <w:sz w:val="20"/>
                <w:szCs w:val="20"/>
                <w:color w:val="auto"/>
              </w:rPr>
            </w:pPr>
            <w:r>
              <w:rPr>
                <w:rFonts w:ascii="Arial" w:cs="Arial" w:eastAsia="Arial" w:hAnsi="Arial"/>
                <w:sz w:val="18"/>
                <w:szCs w:val="18"/>
                <w:b w:val="1"/>
                <w:bCs w:val="1"/>
                <w:color w:val="auto"/>
                <w:w w:val="84"/>
              </w:rPr>
              <w:t>Abstentions</w:t>
            </w:r>
          </w:p>
        </w:tc>
        <w:tc>
          <w:tcPr>
            <w:tcW w:w="1160" w:type="dxa"/>
            <w:vAlign w:val="bottom"/>
            <w:gridSpan w:val="4"/>
          </w:tcPr>
          <w:p>
            <w:pPr>
              <w:jc w:val="center"/>
              <w:ind w:right="360"/>
              <w:spacing w:after="0" w:line="196" w:lineRule="exact"/>
              <w:rPr>
                <w:sz w:val="20"/>
                <w:szCs w:val="20"/>
                <w:color w:val="auto"/>
              </w:rPr>
            </w:pPr>
            <w:r>
              <w:rPr>
                <w:rFonts w:ascii="Arial" w:cs="Arial" w:eastAsia="Arial" w:hAnsi="Arial"/>
                <w:sz w:val="18"/>
                <w:szCs w:val="18"/>
                <w:b w:val="1"/>
                <w:bCs w:val="1"/>
                <w:color w:val="auto"/>
                <w:w w:val="88"/>
              </w:rPr>
              <w:t>Non-Votes</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William E. Albrecht</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20,821,795</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213,043</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110,993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Justin A. Gannon</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20,869,178</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162,243</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114,410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Harold M. Korell</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20,811,842</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221,203</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112,786</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Harry T. McMahon</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20,907,441</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126,045</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112,345</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Richard W. Moncrief</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20,835,122</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198,070</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112,639</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Avedick B. Poladian</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20,826,263</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207,215</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112,353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Anita M. Powers</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20,854,104</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183,823</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107,904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Laurie A. Siegel</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20,911,132</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123,199</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111,500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20,787,923</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244,118</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113,790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Todd A. Stevens</w:t>
            </w:r>
          </w:p>
        </w:tc>
        <w:tc>
          <w:tcPr>
            <w:tcW w:w="2760" w:type="dxa"/>
            <w:vAlign w:val="bottom"/>
            <w:gridSpan w:val="3"/>
          </w:tcPr>
          <w:p>
            <w:pPr>
              <w:jc w:val="right"/>
              <w:ind w:right="1000"/>
              <w:spacing w:after="0"/>
              <w:rPr>
                <w:sz w:val="20"/>
                <w:szCs w:val="20"/>
                <w:color w:val="auto"/>
              </w:rPr>
            </w:pPr>
            <w:r>
              <w:rPr>
                <w:rFonts w:ascii="Arial" w:cs="Arial" w:eastAsia="Arial" w:hAnsi="Arial"/>
                <w:sz w:val="18"/>
                <w:szCs w:val="18"/>
                <w:color w:val="auto"/>
              </w:rPr>
              <w:t>20,870,013</w:t>
            </w: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163,741</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112,077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18,947,538</w:t>
            </w:r>
          </w:p>
        </w:tc>
      </w:tr>
    </w:tbl>
    <w:p>
      <w:pPr>
        <w:spacing w:after="0" w:line="175" w:lineRule="exact"/>
        <w:rPr>
          <w:sz w:val="20"/>
          <w:szCs w:val="20"/>
          <w:color w:val="auto"/>
        </w:rPr>
      </w:pPr>
    </w:p>
    <w:p>
      <w:pPr>
        <w:ind w:left="660" w:right="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ratification of the selection of KPMG LLP as the Company's independent registered public accounting firm for the fiscal year ending December 31, 2019 was approved. The proposal received 39,811,130 votes for; 147,163 votes against; and 135,076 abstentions.</w:t>
      </w:r>
    </w:p>
    <w:p>
      <w:pPr>
        <w:spacing w:after="0" w:line="92"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advisory vote to approve named executive officer compensation was approved. The proposal received 20,610,381 votes for; 260,799 votes against; 274,651 abstentions and 18,947,538 broker non-votes.</w:t>
      </w:r>
    </w:p>
    <w:p>
      <w:pPr>
        <w:spacing w:after="0" w:line="11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California Resources Corporation Long-Term Incentive Plan was approved. The proposal received 20,451,008 votes for; 529,029 votes against; 165,794 abstentions; and 18,947,538 broker non-votes.</w:t>
      </w:r>
    </w:p>
    <w:p>
      <w:pPr>
        <w:spacing w:after="0" w:line="116" w:lineRule="exact"/>
        <w:rPr>
          <w:sz w:val="20"/>
          <w:szCs w:val="20"/>
          <w:color w:val="auto"/>
        </w:rPr>
      </w:pPr>
    </w:p>
    <w:p>
      <w:pPr>
        <w:jc w:val="center"/>
        <w:ind w:right="220"/>
        <w:spacing w:after="0" w:line="308" w:lineRule="auto"/>
        <w:rPr>
          <w:sz w:val="20"/>
          <w:szCs w:val="20"/>
          <w:color w:val="auto"/>
        </w:rPr>
      </w:pPr>
      <w:r>
        <w:rPr>
          <w:rFonts w:ascii="Arial" w:cs="Arial" w:eastAsia="Arial" w:hAnsi="Arial"/>
          <w:sz w:val="17"/>
          <w:szCs w:val="17"/>
          <w:color w:val="auto"/>
        </w:rPr>
        <w:t>5(a).    The proposal to change the supermajority vote requirement for stockholders to remove directors without cause to a majority vote requirement was not approved. The proposal received 20,751,069 votes for; 347,999 votes against; 46,763 abstentions; and 18,947,538 broker non-votes.</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5(b).</w:t>
      </w:r>
      <w:r>
        <w:rPr>
          <w:sz w:val="20"/>
          <w:szCs w:val="20"/>
          <w:color w:val="auto"/>
        </w:rPr>
        <w:tab/>
      </w:r>
      <w:r>
        <w:rPr>
          <w:rFonts w:ascii="Arial" w:cs="Arial" w:eastAsia="Arial" w:hAnsi="Arial"/>
          <w:sz w:val="16"/>
          <w:szCs w:val="16"/>
          <w:color w:val="auto"/>
        </w:rPr>
        <w:t>The proposal to change the supermajority vote requirement for stockholders to amend the Bylaws to a majority vote requirement was not approved.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proposal received 20,734,666 votes for; 357,743 votes against; 53,422 abstentions; and 18,947,538 broker non-votes.</w:t>
      </w:r>
    </w:p>
    <w:p>
      <w:pPr>
        <w:spacing w:after="0" w:line="157" w:lineRule="exact"/>
        <w:rPr>
          <w:sz w:val="20"/>
          <w:szCs w:val="20"/>
          <w:color w:val="auto"/>
        </w:rPr>
      </w:pPr>
    </w:p>
    <w:p>
      <w:pPr>
        <w:ind w:left="660" w:right="60" w:hanging="647"/>
        <w:spacing w:after="0" w:line="264" w:lineRule="auto"/>
        <w:tabs>
          <w:tab w:leader="none" w:pos="640" w:val="left"/>
        </w:tabs>
        <w:rPr>
          <w:sz w:val="20"/>
          <w:szCs w:val="20"/>
          <w:color w:val="auto"/>
        </w:rPr>
      </w:pPr>
      <w:r>
        <w:rPr>
          <w:rFonts w:ascii="Arial" w:cs="Arial" w:eastAsia="Arial" w:hAnsi="Arial"/>
          <w:sz w:val="18"/>
          <w:szCs w:val="18"/>
          <w:color w:val="auto"/>
        </w:rPr>
        <w:t>5(c).</w:t>
      </w:r>
      <w:r>
        <w:rPr>
          <w:sz w:val="20"/>
          <w:szCs w:val="20"/>
          <w:color w:val="auto"/>
        </w:rPr>
        <w:tab/>
      </w:r>
      <w:r>
        <w:rPr>
          <w:rFonts w:ascii="Arial" w:cs="Arial" w:eastAsia="Arial" w:hAnsi="Arial"/>
          <w:sz w:val="18"/>
          <w:szCs w:val="18"/>
          <w:color w:val="auto"/>
        </w:rPr>
        <w:t>The proposal to change the supermajority vote requirement for stockholders to amend certain provisions of the Amended and Restated Certificate of Incorporation to a majority vote requirement was not approved. The proposal received 20,725,698 votes for; 362,976 votes against; 57,157 abstentions; and 18,947,538 broker non-votes.</w:t>
      </w:r>
    </w:p>
    <w:p>
      <w:pPr>
        <w:sectPr>
          <w:pgSz w:w="11900" w:h="16838" w:orient="portrait"/>
          <w:cols w:equalWidth="0" w:num="1">
            <w:col w:w="11400"/>
          </w:cols>
          <w:pgMar w:left="240" w:top="580"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Roy M. Pineci</w:t>
      </w:r>
    </w:p>
    <w:p>
      <w:pPr>
        <w:spacing w:after="0" w:line="75"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May 13, 2019</w:t>
      </w:r>
    </w:p>
    <w:sectPr>
      <w:pgSz w:w="11900" w:h="16838" w:orient="portrait"/>
      <w:cols w:equalWidth="0" w:num="1">
        <w:col w:w="10940"/>
      </w:cols>
      <w:pgMar w:left="240" w:top="58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2019-12-02T20:08:26Z</dcterms:created>
  <dcterms:modified xsi:type="dcterms:W3CDTF">2019-12-02T20:08:26Z</dcterms:modified>
</cp:coreProperties>
</file>