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75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755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Barnes Robert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9200 OAKDALE AVENUE</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05/27/2016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EVP - Operations</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LOS ANGELES 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91311</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w w:val="97"/>
              </w:rPr>
              <w:t>05/27/2016</w:t>
            </w:r>
            <w:r>
              <w:rPr>
                <w:rFonts w:ascii="Arial" w:cs="Arial" w:eastAsia="Arial" w:hAnsi="Arial"/>
                <w:sz w:val="22"/>
                <w:szCs w:val="22"/>
                <w:color w:val="008000"/>
                <w:w w:val="97"/>
                <w:vertAlign w:val="superscript"/>
              </w:rPr>
              <w:t>(1)</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(2)</w:t>
            </w:r>
          </w:p>
        </w:tc>
        <w:tc>
          <w:tcPr>
            <w:tcW w:w="8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8"/>
              </w:rPr>
              <w:t>273,438</w:t>
            </w:r>
            <w:r>
              <w:rPr>
                <w:rFonts w:ascii="Arial" w:cs="Arial" w:eastAsia="Arial" w:hAnsi="Arial"/>
                <w:sz w:val="22"/>
                <w:szCs w:val="22"/>
                <w:color w:val="008000"/>
                <w:w w:val="88"/>
                <w:vertAlign w:val="superscript"/>
              </w:rPr>
              <w:t>(3)</w:t>
            </w:r>
          </w:p>
        </w:tc>
        <w:tc>
          <w:tcPr>
            <w:tcW w:w="540" w:type="dxa"/>
            <w:vAlign w:val="bottom"/>
            <w:tcBorders>
              <w:bottom w:val="single" w:sz="8" w:color="2C2C2C"/>
            </w:tcBorders>
          </w:tcPr>
          <w:p>
            <w:pPr>
              <w:jc w:val="right"/>
              <w:ind w:right="71"/>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6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7"/>
                <w:szCs w:val="17"/>
                <w:color w:val="0000FF"/>
              </w:rPr>
              <w:t>409,166.972</w:t>
            </w:r>
            <w:r>
              <w:rPr>
                <w:rFonts w:ascii="Arial" w:cs="Arial" w:eastAsia="Arial" w:hAnsi="Arial"/>
                <w:sz w:val="22"/>
                <w:szCs w:val="22"/>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2"/>
          </w:tcPr>
          <w:p>
            <w:pPr>
              <w:jc w:val="center"/>
              <w:ind w:left="6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18,750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1080" w:type="dxa"/>
            <w:vAlign w:val="bottom"/>
          </w:tcPr>
          <w:p>
            <w:pPr>
              <w:ind w:left="260"/>
              <w:spacing w:after="0" w:line="145" w:lineRule="exact"/>
              <w:rPr>
                <w:sz w:val="20"/>
                <w:szCs w:val="20"/>
                <w:color w:val="auto"/>
              </w:rPr>
            </w:pPr>
            <w:r>
              <w:rPr>
                <w:rFonts w:ascii="Arial" w:cs="Arial" w:eastAsia="Arial" w:hAnsi="Arial"/>
                <w:sz w:val="13"/>
                <w:szCs w:val="13"/>
                <w:color w:val="0000FF"/>
              </w:rPr>
              <w:t>05/27/2016</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580" w:type="dxa"/>
            <w:vAlign w:val="bottom"/>
          </w:tcPr>
          <w:p>
            <w:pPr>
              <w:ind w:left="80"/>
              <w:spacing w:after="0" w:line="145" w:lineRule="exact"/>
              <w:rPr>
                <w:sz w:val="20"/>
                <w:szCs w:val="20"/>
                <w:color w:val="auto"/>
              </w:rPr>
            </w:pPr>
            <w:r>
              <w:rPr>
                <w:rFonts w:ascii="Arial" w:cs="Arial" w:eastAsia="Arial" w:hAnsi="Arial"/>
                <w:sz w:val="13"/>
                <w:szCs w:val="13"/>
                <w:color w:val="0000FF"/>
              </w:rPr>
              <w:t>18,750</w:t>
            </w:r>
          </w:p>
        </w:tc>
        <w:tc>
          <w:tcPr>
            <w:tcW w:w="300" w:type="dxa"/>
            <w:vAlign w:val="bottom"/>
          </w:tcPr>
          <w:p>
            <w:pPr>
              <w:spacing w:after="0"/>
              <w:rPr>
                <w:sz w:val="12"/>
                <w:szCs w:val="12"/>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ind w:left="20"/>
              <w:spacing w:after="0" w:line="145" w:lineRule="exact"/>
              <w:rPr>
                <w:sz w:val="20"/>
                <w:szCs w:val="20"/>
                <w:color w:val="auto"/>
              </w:rPr>
            </w:pPr>
            <w:r>
              <w:rPr>
                <w:rFonts w:ascii="Arial" w:cs="Arial" w:eastAsia="Arial" w:hAnsi="Arial"/>
                <w:sz w:val="13"/>
                <w:szCs w:val="13"/>
                <w:color w:val="0000FF"/>
              </w:rPr>
              <w:t>05/26/2019</w:t>
            </w:r>
          </w:p>
        </w:tc>
        <w:tc>
          <w:tcPr>
            <w:tcW w:w="70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40" w:type="dxa"/>
            <w:vAlign w:val="bottom"/>
            <w:gridSpan w:val="3"/>
          </w:tcPr>
          <w:p>
            <w:pPr>
              <w:ind w:left="3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18,750</w:t>
            </w:r>
          </w:p>
        </w:tc>
        <w:tc>
          <w:tcPr>
            <w:tcW w:w="280" w:type="dxa"/>
            <w:vAlign w:val="bottom"/>
          </w:tcPr>
          <w:p>
            <w:pPr>
              <w:spacing w:after="0"/>
              <w:rPr>
                <w:sz w:val="12"/>
                <w:szCs w:val="12"/>
                <w:color w:val="auto"/>
              </w:rPr>
            </w:pPr>
          </w:p>
        </w:tc>
        <w:tc>
          <w:tcPr>
            <w:tcW w:w="700" w:type="dxa"/>
            <w:vAlign w:val="bottom"/>
          </w:tcPr>
          <w:p>
            <w:pPr>
              <w:ind w:left="360"/>
              <w:spacing w:after="0" w:line="145" w:lineRule="exact"/>
              <w:rPr>
                <w:sz w:val="20"/>
                <w:szCs w:val="20"/>
                <w:color w:val="auto"/>
              </w:rPr>
            </w:pPr>
            <w:r>
              <w:rPr>
                <w:rFonts w:ascii="Arial" w:cs="Arial" w:eastAsia="Arial" w:hAnsi="Arial"/>
                <w:sz w:val="13"/>
                <w:szCs w:val="13"/>
                <w:color w:val="0000FF"/>
              </w:rPr>
              <w:t>I</w:t>
            </w:r>
          </w:p>
        </w:tc>
        <w:tc>
          <w:tcPr>
            <w:tcW w:w="840" w:type="dxa"/>
            <w:vAlign w:val="bottom"/>
            <w:gridSpan w:val="3"/>
          </w:tcPr>
          <w:p>
            <w:pPr>
              <w:ind w:left="140"/>
              <w:spacing w:after="0" w:line="145" w:lineRule="exact"/>
              <w:rPr>
                <w:sz w:val="20"/>
                <w:szCs w:val="20"/>
                <w:color w:val="auto"/>
              </w:rPr>
            </w:pPr>
            <w:r>
              <w:rPr>
                <w:rFonts w:ascii="Arial" w:cs="Arial" w:eastAsia="Arial" w:hAnsi="Arial"/>
                <w:sz w:val="13"/>
                <w:szCs w:val="13"/>
                <w:color w:val="0000FF"/>
              </w:rPr>
              <w:t>By wife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w:t>
            </w:r>
            <w:r>
              <w:rPr>
                <w:rFonts w:ascii="Arial" w:cs="Arial" w:eastAsia="Arial" w:hAnsi="Arial"/>
                <w:sz w:val="22"/>
                <w:szCs w:val="22"/>
                <w:color w:val="008000"/>
                <w:vertAlign w:val="superscript"/>
              </w:rPr>
              <w:t>(5)</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71"/>
              <w:spacing w:after="0"/>
              <w:rPr>
                <w:sz w:val="20"/>
                <w:szCs w:val="20"/>
                <w:color w:val="auto"/>
              </w:rPr>
            </w:pPr>
            <w:r>
              <w:rPr>
                <w:rFonts w:ascii="Arial" w:cs="Arial" w:eastAsia="Arial" w:hAnsi="Arial"/>
                <w:sz w:val="13"/>
                <w:szCs w:val="13"/>
                <w:color w:val="0000FF"/>
                <w:w w:val="85"/>
              </w:rPr>
              <w:t>Stock</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May 31, 2016, CRC conducted a 1 for 10 reverse stock split. Share amounts reported on this Form 4 do not reflect that split.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of Restricted Stock Units (RSUs) pursuant to California Resources Corporation's Long-Term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will vest in three (3) equal annual installments on May 26, 2017, 2018 and 2019.</w:t>
      </w:r>
    </w:p>
    <w:p>
      <w:pPr>
        <w:spacing w:after="0" w:line="51" w:lineRule="exact"/>
        <w:rPr>
          <w:rFonts w:ascii="Arial" w:cs="Arial" w:eastAsia="Arial" w:hAnsi="Arial"/>
          <w:sz w:val="13"/>
          <w:szCs w:val="13"/>
          <w:color w:val="008000"/>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83.133 shares distributed on March 24, 2016 as a dividend from Occidental Petroleum Corporation and 2,500 shares acquired pursuant to CRC's 2014 Employee Stock Purchase Plan on March 31, 2016. Includes 3.839 shares distributed to Mr. Barnes' wife on March 24, 2016 as a dividend from Occidental Petroleum Corporation and 3,304 aggregate shares acquired to Mr. Barnes' wife pursuant to CRC's 2014 Employee Stock Purchase Plan on September 30, 2015 and December 31, 2015.</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PSU is the economic equivalent of one share of CRC Common Stock subject to the limits noted in Footnote 4.</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Stock Units (PSUs) will vest in three (3) equal annual installments on May 26, 2017, 2018, 2019, subject to a minimum payment equal to $0.80 per unit and a maximum payment equal to $3.20 per unit.</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 Attorney-in-Fact for Robert A. </w:t>
      </w:r>
      <w:r>
        <w:rPr>
          <w:rFonts w:ascii="Arial" w:cs="Arial" w:eastAsia="Arial" w:hAnsi="Arial"/>
          <w:sz w:val="34"/>
          <w:szCs w:val="34"/>
          <w:color w:val="0000FF"/>
          <w:vertAlign w:val="subscript"/>
        </w:rPr>
        <w:t>06/01/2016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20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Barnes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30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734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7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2019-12-09T00:32:23Z</dcterms:created>
  <dcterms:modified xsi:type="dcterms:W3CDTF">2019-12-09T00:32:23Z</dcterms:modified>
</cp:coreProperties>
</file>