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ARES MANAGEMENT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740"/>
        <w:spacing w:after="0" w:line="356" w:lineRule="auto"/>
        <w:rPr>
          <w:sz w:val="20"/>
          <w:szCs w:val="20"/>
          <w:color w:val="auto"/>
        </w:rPr>
      </w:pPr>
      <w:r>
        <w:rPr>
          <w:rFonts w:ascii="Arial" w:cs="Arial" w:eastAsia="Arial" w:hAnsi="Arial"/>
          <w:sz w:val="17"/>
          <w:szCs w:val="17"/>
          <w:color w:val="0000FF"/>
        </w:rPr>
        <w:t>2000 AVENUE OF THE STARS,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06/14/2021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0" w:lineRule="exact"/>
        <w:rPr>
          <w:sz w:val="24"/>
          <w:szCs w:val="24"/>
          <w:color w:val="auto"/>
        </w:rPr>
      </w:pPr>
    </w:p>
    <w:p>
      <w:pPr>
        <w:sectPr>
          <w:pgSz w:w="11900" w:h="16838" w:orient="portrait"/>
          <w:cols w:equalWidth="0" w:num="3">
            <w:col w:w="3200" w:space="720"/>
            <w:col w:w="3095" w:space="720"/>
            <w:col w:w="3345"/>
          </w:cols>
          <w:pgMar w:left="460" w:top="225" w:right="359" w:bottom="0" w:gutter="0" w:footer="0" w:header="0"/>
          <w:type w:val="continuous"/>
        </w:sectPr>
      </w:pPr>
    </w:p>
    <w:tbl>
      <w:tblPr>
        <w:tblLayout w:type="fixed"/>
        <w:tblInd w:w="80" w:type="dxa"/>
        <w:tblCellMar>
          <w:top w:w="0" w:type="dxa"/>
          <w:left w:w="0" w:type="dxa"/>
          <w:bottom w:w="0" w:type="dxa"/>
          <w:right w:w="0" w:type="dxa"/>
        </w:tblCellMar>
      </w:tblPr>
      <w:tr>
        <w:trPr>
          <w:trHeight w:val="61"/>
        </w:trPr>
        <w:tc>
          <w:tcPr>
            <w:tcW w:w="40" w:type="dxa"/>
            <w:vAlign w:val="bottom"/>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600" w:type="dxa"/>
            <w:vAlign w:val="bottom"/>
            <w:tcBorders>
              <w:bottom w:val="single" w:sz="8" w:color="9A9A9A"/>
            </w:tcBorders>
          </w:tcPr>
          <w:p>
            <w:pPr>
              <w:spacing w:after="0"/>
              <w:rPr>
                <w:sz w:val="5"/>
                <w:szCs w:val="5"/>
                <w:color w:val="auto"/>
              </w:rPr>
            </w:pPr>
          </w:p>
        </w:tc>
        <w:tc>
          <w:tcPr>
            <w:tcW w:w="3760" w:type="dxa"/>
            <w:vAlign w:val="bottom"/>
            <w:vMerge w:val="restart"/>
          </w:tcPr>
          <w:p>
            <w:pPr>
              <w:ind w:left="160"/>
              <w:spacing w:after="0" w:line="148" w:lineRule="exact"/>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220"/>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3760" w:type="dxa"/>
            <w:vAlign w:val="bottom"/>
            <w:vMerge w:val="continue"/>
          </w:tcPr>
          <w:p>
            <w:pPr>
              <w:spacing w:after="0"/>
              <w:rPr>
                <w:sz w:val="5"/>
                <w:szCs w:val="5"/>
                <w:color w:val="auto"/>
              </w:rPr>
            </w:pPr>
          </w:p>
        </w:tc>
        <w:tc>
          <w:tcPr>
            <w:tcW w:w="32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Line)</w:t>
            </w:r>
          </w:p>
        </w:tc>
        <w:tc>
          <w:tcPr>
            <w:tcW w:w="2640" w:type="dxa"/>
            <w:vAlign w:val="bottom"/>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Arial" w:cs="Arial" w:eastAsia="Arial" w:hAnsi="Arial"/>
                <w:sz w:val="17"/>
                <w:szCs w:val="17"/>
                <w:color w:val="0000FF"/>
              </w:rPr>
              <w:t>LOS</w:t>
            </w:r>
          </w:p>
        </w:tc>
        <w:tc>
          <w:tcPr>
            <w:tcW w:w="1040" w:type="dxa"/>
            <w:vAlign w:val="bottom"/>
            <w:vMerge w:val="restart"/>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90067</w:t>
            </w:r>
          </w:p>
        </w:tc>
        <w:tc>
          <w:tcPr>
            <w:tcW w:w="3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4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3760" w:type="dxa"/>
            <w:vAlign w:val="bottom"/>
          </w:tcPr>
          <w:p>
            <w:pPr>
              <w:spacing w:after="0"/>
              <w:rPr>
                <w:sz w:val="7"/>
                <w:szCs w:val="7"/>
                <w:color w:val="auto"/>
              </w:rPr>
            </w:pPr>
          </w:p>
        </w:tc>
        <w:tc>
          <w:tcPr>
            <w:tcW w:w="640" w:type="dxa"/>
            <w:vAlign w:val="bottom"/>
            <w:vMerge w:val="restart"/>
          </w:tcPr>
          <w:p>
            <w:pPr>
              <w:ind w:left="420"/>
              <w:spacing w:after="0"/>
              <w:rPr>
                <w:sz w:val="20"/>
                <w:szCs w:val="20"/>
                <w:color w:val="auto"/>
              </w:rPr>
            </w:pPr>
            <w:r>
              <w:rPr>
                <w:rFonts w:ascii="Arial" w:cs="Arial" w:eastAsia="Arial" w:hAnsi="Arial"/>
                <w:sz w:val="17"/>
                <w:szCs w:val="17"/>
                <w:color w:val="0000FF"/>
              </w:rPr>
              <w:t>X</w:t>
            </w:r>
          </w:p>
        </w:tc>
        <w:tc>
          <w:tcPr>
            <w:tcW w:w="2640" w:type="dxa"/>
            <w:vAlign w:val="bottom"/>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1000" w:type="dxa"/>
            <w:vAlign w:val="bottom"/>
            <w:vMerge w:val="restart"/>
          </w:tcPr>
          <w:p>
            <w:pPr>
              <w:spacing w:after="0"/>
              <w:rPr>
                <w:sz w:val="20"/>
                <w:szCs w:val="20"/>
                <w:color w:val="auto"/>
              </w:rPr>
            </w:pPr>
            <w:r>
              <w:rPr>
                <w:rFonts w:ascii="Arial" w:cs="Arial" w:eastAsia="Arial" w:hAnsi="Arial"/>
                <w:sz w:val="17"/>
                <w:szCs w:val="17"/>
                <w:color w:val="0000FF"/>
              </w:rPr>
              <w:t>ANGELES</w:t>
            </w:r>
          </w:p>
        </w:tc>
        <w:tc>
          <w:tcPr>
            <w:tcW w:w="10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37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264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3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3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536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8"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ectPr>
          <w:pgSz w:w="11900" w:h="16838" w:orient="portrait"/>
          <w:cols w:equalWidth="0" w:num="1">
            <w:col w:w="11080"/>
          </w:cols>
          <w:pgMar w:left="460" w:top="225" w:right="359" w:bottom="0" w:gutter="0" w:footer="0" w:header="0"/>
          <w:type w:val="continuous"/>
        </w:sectPr>
      </w:pPr>
    </w:p>
    <w:p>
      <w:pPr>
        <w:spacing w:after="0" w:line="140" w:lineRule="exact"/>
        <w:rPr>
          <w:sz w:val="24"/>
          <w:szCs w:val="24"/>
          <w:color w:val="auto"/>
        </w:rPr>
      </w:pPr>
    </w:p>
    <w:p>
      <w:pPr>
        <w:ind w:left="80" w:firstLine="7"/>
        <w:spacing w:after="0" w:line="257" w:lineRule="auto"/>
        <w:tabs>
          <w:tab w:leader="none" w:pos="228" w:val="left"/>
        </w:tabs>
        <w:numPr>
          <w:ilvl w:val="0"/>
          <w:numId w:val="2"/>
        </w:numPr>
        <w:rPr>
          <w:rFonts w:ascii="Arial" w:cs="Arial" w:eastAsia="Arial" w:hAnsi="Arial"/>
          <w:sz w:val="13"/>
          <w:szCs w:val="13"/>
          <w:b w:val="1"/>
          <w:bCs w:val="1"/>
          <w:color w:val="auto"/>
        </w:rPr>
      </w:pPr>
      <w:r>
        <w:rPr>
          <w:rFonts w:ascii="Arial" w:cs="Arial" w:eastAsia="Arial" w:hAnsi="Arial"/>
          <w:sz w:val="13"/>
          <w:szCs w:val="13"/>
          <w:b w:val="1"/>
          <w:bCs w:val="1"/>
          <w:color w:val="auto"/>
        </w:rPr>
        <w:t>Title of Security (Instr. 3)</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040" w:type="dxa"/>
            <w:vAlign w:val="bottom"/>
          </w:tcPr>
          <w:p>
            <w:pPr>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5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 Disposed Of</w:t>
            </w:r>
          </w:p>
        </w:tc>
        <w:tc>
          <w:tcPr>
            <w:tcW w:w="1820" w:type="dxa"/>
            <w:vAlign w:val="bottom"/>
          </w:tcPr>
          <w:p>
            <w:pPr>
              <w:ind w:left="60"/>
              <w:spacing w:after="0"/>
              <w:rPr>
                <w:sz w:val="20"/>
                <w:szCs w:val="20"/>
                <w:color w:val="auto"/>
              </w:rPr>
            </w:pPr>
            <w:r>
              <w:rPr>
                <w:rFonts w:ascii="Arial" w:cs="Arial" w:eastAsia="Arial" w:hAnsi="Arial"/>
                <w:sz w:val="12"/>
                <w:szCs w:val="12"/>
                <w:b w:val="1"/>
                <w:bCs w:val="1"/>
                <w:color w:val="auto"/>
              </w:rPr>
              <w:t>5. Amount of Securities</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6.</w:t>
            </w:r>
          </w:p>
        </w:tc>
        <w:tc>
          <w:tcPr>
            <w:tcW w:w="1660" w:type="dxa"/>
            <w:vAlign w:val="bottom"/>
          </w:tcPr>
          <w:p>
            <w:pPr>
              <w:ind w:left="8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(Instr. 3, 4 and 5)</w:t>
            </w: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 Owned Following</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1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 Ownership (Instr.</w:t>
            </w:r>
          </w:p>
        </w:tc>
        <w:tc>
          <w:tcPr>
            <w:tcW w:w="0" w:type="dxa"/>
            <w:vAlign w:val="bottom"/>
          </w:tcPr>
          <w:p>
            <w:pPr>
              <w:spacing w:after="0"/>
              <w:rPr>
                <w:sz w:val="1"/>
                <w:szCs w:val="1"/>
                <w:color w:val="auto"/>
              </w:rPr>
            </w:pPr>
          </w:p>
        </w:tc>
      </w:tr>
      <w:tr>
        <w:trPr>
          <w:trHeight w:val="133"/>
        </w:trPr>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 Transaction(s)</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1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20" w:type="dxa"/>
            <w:vAlign w:val="bottom"/>
          </w:tcPr>
          <w:p>
            <w:pPr>
              <w:spacing w:after="0"/>
              <w:rPr>
                <w:sz w:val="6"/>
                <w:szCs w:val="6"/>
                <w:color w:val="auto"/>
              </w:rPr>
            </w:pPr>
          </w:p>
        </w:tc>
        <w:tc>
          <w:tcPr>
            <w:tcW w:w="7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1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4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w:t>
            </w:r>
          </w:p>
        </w:tc>
        <w:tc>
          <w:tcPr>
            <w:tcW w:w="6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V</w:t>
            </w:r>
          </w:p>
        </w:tc>
        <w:tc>
          <w:tcPr>
            <w:tcW w:w="1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w:t>
            </w:r>
          </w:p>
        </w:tc>
        <w:tc>
          <w:tcPr>
            <w:tcW w:w="1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80" w:type="dxa"/>
            <w:vAlign w:val="bottom"/>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7" w:lineRule="exact"/>
        <w:rPr>
          <w:sz w:val="24"/>
          <w:szCs w:val="24"/>
          <w:color w:val="auto"/>
        </w:rPr>
      </w:pPr>
    </w:p>
    <w:p>
      <w:pPr>
        <w:sectPr>
          <w:pgSz w:w="11900" w:h="16838" w:orient="portrait"/>
          <w:cols w:equalWidth="0" w:num="2">
            <w:col w:w="660" w:space="400"/>
            <w:col w:w="10020"/>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311"/>
        </w:trPr>
        <w:tc>
          <w:tcPr>
            <w:tcW w:w="20" w:type="dxa"/>
            <w:vAlign w:val="bottom"/>
          </w:tcPr>
          <w:p>
            <w:pPr>
              <w:spacing w:after="0"/>
              <w:rPr>
                <w:sz w:val="24"/>
                <w:szCs w:val="24"/>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Common</w:t>
            </w: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20" w:type="dxa"/>
            <w:vAlign w:val="bottom"/>
            <w:gridSpan w:val="4"/>
            <w:vMerge w:val="restart"/>
          </w:tcPr>
          <w:p>
            <w:pPr>
              <w:ind w:left="40"/>
              <w:spacing w:after="0"/>
              <w:rPr>
                <w:sz w:val="20"/>
                <w:szCs w:val="20"/>
                <w:color w:val="auto"/>
              </w:rPr>
            </w:pPr>
            <w:r>
              <w:rPr>
                <w:rFonts w:ascii="Arial" w:cs="Arial" w:eastAsia="Arial" w:hAnsi="Arial"/>
                <w:sz w:val="34"/>
                <w:szCs w:val="34"/>
                <w:color w:val="0000FF"/>
                <w:w w:val="86"/>
                <w:vertAlign w:val="subscript"/>
              </w:rPr>
              <w:t>See Footnotes</w:t>
            </w:r>
            <w:r>
              <w:rPr>
                <w:rFonts w:ascii="Arial" w:cs="Arial" w:eastAsia="Arial" w:hAnsi="Arial"/>
                <w:sz w:val="11"/>
                <w:szCs w:val="11"/>
                <w:color w:val="008000"/>
                <w:w w:val="86"/>
              </w:rPr>
              <w:t>(1)(2)(3)(4)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80" w:type="dxa"/>
            <w:vAlign w:val="bottom"/>
            <w:gridSpan w:val="2"/>
          </w:tcPr>
          <w:p>
            <w:pPr>
              <w:ind w:left="60"/>
              <w:spacing w:after="0" w:line="168" w:lineRule="exact"/>
              <w:rPr>
                <w:sz w:val="20"/>
                <w:szCs w:val="20"/>
                <w:color w:val="auto"/>
              </w:rPr>
            </w:pPr>
            <w:r>
              <w:rPr>
                <w:rFonts w:ascii="Arial" w:cs="Arial" w:eastAsia="Arial" w:hAnsi="Arial"/>
                <w:sz w:val="17"/>
                <w:szCs w:val="17"/>
                <w:color w:val="0000FF"/>
                <w:w w:val="91"/>
              </w:rPr>
              <w:t>Stock, par</w:t>
            </w:r>
          </w:p>
        </w:tc>
        <w:tc>
          <w:tcPr>
            <w:tcW w:w="1920" w:type="dxa"/>
            <w:vAlign w:val="bottom"/>
            <w:gridSpan w:val="2"/>
          </w:tcPr>
          <w:p>
            <w:pPr>
              <w:ind w:left="360"/>
              <w:spacing w:after="0" w:line="168" w:lineRule="exact"/>
              <w:rPr>
                <w:sz w:val="20"/>
                <w:szCs w:val="20"/>
                <w:color w:val="auto"/>
              </w:rPr>
            </w:pPr>
            <w:r>
              <w:rPr>
                <w:rFonts w:ascii="Arial" w:cs="Arial" w:eastAsia="Arial" w:hAnsi="Arial"/>
                <w:sz w:val="17"/>
                <w:szCs w:val="17"/>
                <w:color w:val="0000FF"/>
              </w:rPr>
              <w:t>06/14/2021</w:t>
            </w:r>
          </w:p>
        </w:tc>
        <w:tc>
          <w:tcPr>
            <w:tcW w:w="600" w:type="dxa"/>
            <w:vAlign w:val="bottom"/>
          </w:tcPr>
          <w:p>
            <w:pPr>
              <w:spacing w:after="0"/>
              <w:rPr>
                <w:sz w:val="14"/>
                <w:szCs w:val="14"/>
                <w:color w:val="auto"/>
              </w:rPr>
            </w:pPr>
          </w:p>
        </w:tc>
        <w:tc>
          <w:tcPr>
            <w:tcW w:w="460" w:type="dxa"/>
            <w:vAlign w:val="bottom"/>
          </w:tcPr>
          <w:p>
            <w:pPr>
              <w:ind w:left="100"/>
              <w:spacing w:after="0"/>
              <w:rPr>
                <w:sz w:val="20"/>
                <w:szCs w:val="20"/>
                <w:color w:val="auto"/>
              </w:rPr>
            </w:pPr>
            <w:r>
              <w:rPr>
                <w:rFonts w:ascii="Arial" w:cs="Arial" w:eastAsia="Arial" w:hAnsi="Arial"/>
                <w:sz w:val="13"/>
                <w:szCs w:val="13"/>
                <w:color w:val="0000FF"/>
              </w:rPr>
              <w:t>S</w:t>
            </w:r>
          </w:p>
        </w:tc>
        <w:tc>
          <w:tcPr>
            <w:tcW w:w="2180" w:type="dxa"/>
            <w:vAlign w:val="bottom"/>
            <w:gridSpan w:val="6"/>
          </w:tcPr>
          <w:p>
            <w:pPr>
              <w:ind w:left="320"/>
              <w:spacing w:after="0" w:line="168" w:lineRule="exact"/>
              <w:rPr>
                <w:sz w:val="20"/>
                <w:szCs w:val="20"/>
                <w:color w:val="auto"/>
              </w:rPr>
            </w:pPr>
            <w:r>
              <w:rPr>
                <w:rFonts w:ascii="Arial" w:cs="Arial" w:eastAsia="Arial" w:hAnsi="Arial"/>
                <w:sz w:val="19"/>
                <w:szCs w:val="19"/>
                <w:color w:val="0000FF"/>
                <w:vertAlign w:val="subscript"/>
              </w:rPr>
              <w:t>200,000</w:t>
            </w:r>
            <w:r>
              <w:rPr>
                <w:rFonts w:ascii="Arial" w:cs="Arial" w:eastAsia="Arial" w:hAnsi="Arial"/>
                <w:sz w:val="9"/>
                <w:szCs w:val="9"/>
                <w:color w:val="008000"/>
              </w:rPr>
              <w:t xml:space="preserve">(1)(2)(3)(4)(5)(6)(7)   </w:t>
            </w:r>
            <w:r>
              <w:rPr>
                <w:rFonts w:ascii="Arial" w:cs="Arial" w:eastAsia="Arial" w:hAnsi="Arial"/>
                <w:sz w:val="19"/>
                <w:szCs w:val="19"/>
                <w:color w:val="0000FF"/>
                <w:vertAlign w:val="subscript"/>
              </w:rPr>
              <w:t>D</w:t>
            </w:r>
          </w:p>
        </w:tc>
        <w:tc>
          <w:tcPr>
            <w:tcW w:w="2620" w:type="dxa"/>
            <w:vAlign w:val="bottom"/>
            <w:gridSpan w:val="4"/>
          </w:tcPr>
          <w:p>
            <w:pPr>
              <w:jc w:val="right"/>
              <w:ind w:right="140"/>
              <w:spacing w:after="0" w:line="168" w:lineRule="exact"/>
              <w:rPr>
                <w:sz w:val="20"/>
                <w:szCs w:val="20"/>
                <w:color w:val="auto"/>
              </w:rPr>
            </w:pPr>
            <w:r>
              <w:rPr>
                <w:rFonts w:ascii="Arial" w:cs="Arial" w:eastAsia="Arial" w:hAnsi="Arial"/>
                <w:sz w:val="19"/>
                <w:szCs w:val="19"/>
                <w:color w:val="000000"/>
                <w:vertAlign w:val="subscript"/>
              </w:rPr>
              <w:t>$</w:t>
            </w:r>
            <w:r>
              <w:rPr>
                <w:rFonts w:ascii="Arial" w:cs="Arial" w:eastAsia="Arial" w:hAnsi="Arial"/>
                <w:sz w:val="19"/>
                <w:szCs w:val="19"/>
                <w:color w:val="0000FF"/>
                <w:vertAlign w:val="subscript"/>
              </w:rPr>
              <w:t>33.26  15,451,592</w:t>
            </w:r>
            <w:r>
              <w:rPr>
                <w:rFonts w:ascii="Arial" w:cs="Arial" w:eastAsia="Arial" w:hAnsi="Arial"/>
                <w:sz w:val="9"/>
                <w:szCs w:val="9"/>
                <w:color w:val="008000"/>
              </w:rPr>
              <w:t>(1)(2)(3)(4)(5)(6)(7)</w:t>
            </w:r>
          </w:p>
        </w:tc>
        <w:tc>
          <w:tcPr>
            <w:tcW w:w="680" w:type="dxa"/>
            <w:vAlign w:val="bottom"/>
          </w:tcPr>
          <w:p>
            <w:pPr>
              <w:ind w:left="220"/>
              <w:spacing w:after="0" w:line="168" w:lineRule="exact"/>
              <w:rPr>
                <w:sz w:val="20"/>
                <w:szCs w:val="20"/>
                <w:color w:val="auto"/>
              </w:rPr>
            </w:pPr>
            <w:r>
              <w:rPr>
                <w:rFonts w:ascii="Arial" w:cs="Arial" w:eastAsia="Arial" w:hAnsi="Arial"/>
                <w:sz w:val="17"/>
                <w:szCs w:val="17"/>
                <w:color w:val="0000FF"/>
              </w:rPr>
              <w:t>I</w:t>
            </w:r>
          </w:p>
        </w:tc>
        <w:tc>
          <w:tcPr>
            <w:tcW w:w="18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value $0.01</w:t>
            </w:r>
          </w:p>
        </w:tc>
        <w:tc>
          <w:tcPr>
            <w:tcW w:w="1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color w:val="008000"/>
              </w:rPr>
              <w:t>(5)(6)(7)</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820" w:type="dxa"/>
            <w:vAlign w:val="bottom"/>
            <w:tcBorders>
              <w:bottom w:val="single" w:sz="8" w:color="2C2C2C"/>
            </w:tcBorders>
            <w:gridSpan w:val="2"/>
          </w:tcPr>
          <w:p>
            <w:pPr>
              <w:spacing w:after="0"/>
              <w:rPr>
                <w:sz w:val="8"/>
                <w:szCs w:val="8"/>
                <w:color w:val="auto"/>
              </w:rPr>
            </w:pPr>
          </w:p>
        </w:tc>
        <w:tc>
          <w:tcPr>
            <w:tcW w:w="960" w:type="dxa"/>
            <w:vAlign w:val="bottom"/>
            <w:tcBorders>
              <w:bottom w:val="single" w:sz="8" w:color="2C2C2C"/>
            </w:tcBorders>
            <w:gridSpan w:val="2"/>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460" w:type="dxa"/>
            <w:vAlign w:val="bottom"/>
            <w:tcBorders>
              <w:bottom w:val="single" w:sz="8" w:color="2C2C2C"/>
            </w:tcBorders>
            <w:gridSpan w:val="5"/>
          </w:tcPr>
          <w:p>
            <w:pPr>
              <w:spacing w:after="0"/>
              <w:rPr>
                <w:sz w:val="8"/>
                <w:szCs w:val="8"/>
                <w:color w:val="auto"/>
              </w:rPr>
            </w:pPr>
          </w:p>
        </w:tc>
        <w:tc>
          <w:tcPr>
            <w:tcW w:w="1400" w:type="dxa"/>
            <w:vAlign w:val="bottom"/>
            <w:tcBorders>
              <w:bottom w:val="single" w:sz="8" w:color="2C2C2C"/>
            </w:tcBorders>
            <w:gridSpan w:val="3"/>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76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220" w:type="dxa"/>
            <w:vAlign w:val="bottom"/>
            <w:gridSpan w:val="11"/>
          </w:tcPr>
          <w:p>
            <w:pPr>
              <w:ind w:left="4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00" w:type="dxa"/>
            <w:vAlign w:val="bottom"/>
          </w:tcPr>
          <w:p>
            <w:pPr>
              <w:spacing w:after="0"/>
              <w:rPr>
                <w:sz w:val="20"/>
                <w:szCs w:val="20"/>
                <w:color w:val="auto"/>
              </w:rPr>
            </w:pPr>
            <w:r>
              <w:rPr>
                <w:rFonts w:ascii="Arial" w:cs="Arial" w:eastAsia="Arial" w:hAnsi="Arial"/>
                <w:sz w:val="12"/>
                <w:szCs w:val="12"/>
                <w:b w:val="1"/>
                <w:bCs w:val="1"/>
                <w:color w:val="auto"/>
              </w:rPr>
              <w:t>2.</w:t>
            </w:r>
          </w:p>
        </w:tc>
        <w:tc>
          <w:tcPr>
            <w:tcW w:w="122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gridSpan w:val="2"/>
          </w:tcPr>
          <w:p>
            <w:pPr>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Conversion</w:t>
            </w:r>
          </w:p>
        </w:tc>
        <w:tc>
          <w:tcPr>
            <w:tcW w:w="12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or Exercise</w:t>
            </w:r>
          </w:p>
        </w:tc>
        <w:tc>
          <w:tcPr>
            <w:tcW w:w="12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Price of</w:t>
            </w:r>
          </w:p>
        </w:tc>
        <w:tc>
          <w:tcPr>
            <w:tcW w:w="1220" w:type="dxa"/>
            <w:vAlign w:val="bottom"/>
          </w:tcPr>
          <w:p>
            <w:pPr>
              <w:spacing w:after="0"/>
              <w:rPr>
                <w:sz w:val="11"/>
                <w:szCs w:val="11"/>
                <w:color w:val="auto"/>
              </w:rPr>
            </w:pP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6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gridSpan w:val="2"/>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92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70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tcBorders>
              <w:bottom w:val="single" w:sz="8" w:color="0000EE"/>
            </w:tcBorders>
            <w:gridSpan w:val="3"/>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gridSpan w:val="2"/>
          </w:tcPr>
          <w:p>
            <w:pPr>
              <w:ind w:left="20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3"/>
          </w:tcPr>
          <w:p>
            <w:pPr>
              <w:spacing w:after="0"/>
              <w:rPr>
                <w:sz w:val="20"/>
                <w:szCs w:val="20"/>
                <w:color w:val="auto"/>
              </w:rPr>
            </w:pPr>
            <w:r>
              <w:rPr>
                <w:rFonts w:ascii="Arial" w:cs="Arial" w:eastAsia="Arial" w:hAnsi="Arial"/>
                <w:sz w:val="17"/>
                <w:szCs w:val="17"/>
                <w:color w:val="0000FF"/>
              </w:rPr>
              <w:t>2000 AVENUE OF THE STARS,</w:t>
            </w: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1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220" w:type="dxa"/>
            <w:vAlign w:val="bottom"/>
          </w:tcPr>
          <w:p>
            <w:pPr>
              <w:ind w:left="20"/>
              <w:spacing w:after="0"/>
              <w:rPr>
                <w:sz w:val="20"/>
                <w:szCs w:val="20"/>
                <w:color w:val="auto"/>
              </w:rPr>
            </w:pPr>
            <w:r>
              <w:rPr>
                <w:rFonts w:ascii="Arial" w:cs="Arial" w:eastAsia="Arial" w:hAnsi="Arial"/>
                <w:sz w:val="17"/>
                <w:szCs w:val="17"/>
                <w:color w:val="0000FF"/>
              </w:rPr>
              <w:t>CA</w:t>
            </w:r>
          </w:p>
        </w:tc>
        <w:tc>
          <w:tcPr>
            <w:tcW w:w="1060" w:type="dxa"/>
            <w:vAlign w:val="bottom"/>
            <w:gridSpan w:val="2"/>
          </w:tcPr>
          <w:p>
            <w:pPr>
              <w:ind w:left="200"/>
              <w:spacing w:after="0"/>
              <w:rPr>
                <w:sz w:val="20"/>
                <w:szCs w:val="20"/>
                <w:color w:val="auto"/>
              </w:rPr>
            </w:pPr>
            <w:r>
              <w:rPr>
                <w:rFonts w:ascii="Arial" w:cs="Arial" w:eastAsia="Arial" w:hAnsi="Arial"/>
                <w:sz w:val="17"/>
                <w:szCs w:val="17"/>
                <w:color w:val="0000FF"/>
              </w:rPr>
              <w:t>90067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gridSpan w:val="2"/>
          </w:tcPr>
          <w:p>
            <w:pPr>
              <w:ind w:left="20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92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7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5"/>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ACOF Investment Management LLC</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gridSpan w:val="2"/>
          </w:tcPr>
          <w:p>
            <w:pPr>
              <w:ind w:left="20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3"/>
          </w:tcPr>
          <w:p>
            <w:pPr>
              <w:spacing w:after="0"/>
              <w:rPr>
                <w:sz w:val="20"/>
                <w:szCs w:val="20"/>
                <w:color w:val="auto"/>
              </w:rPr>
            </w:pPr>
            <w:r>
              <w:rPr>
                <w:rFonts w:ascii="Arial" w:cs="Arial" w:eastAsia="Arial" w:hAnsi="Arial"/>
                <w:sz w:val="17"/>
                <w:szCs w:val="17"/>
                <w:color w:val="0000FF"/>
              </w:rPr>
              <w:t>2000 AVENUE OF THE STARS,</w:t>
            </w: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1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220" w:type="dxa"/>
            <w:vAlign w:val="bottom"/>
          </w:tcPr>
          <w:p>
            <w:pPr>
              <w:ind w:left="20"/>
              <w:spacing w:after="0"/>
              <w:rPr>
                <w:sz w:val="20"/>
                <w:szCs w:val="20"/>
                <w:color w:val="auto"/>
              </w:rPr>
            </w:pPr>
            <w:r>
              <w:rPr>
                <w:rFonts w:ascii="Arial" w:cs="Arial" w:eastAsia="Arial" w:hAnsi="Arial"/>
                <w:sz w:val="17"/>
                <w:szCs w:val="17"/>
                <w:color w:val="0000FF"/>
              </w:rPr>
              <w:t>CA</w:t>
            </w:r>
          </w:p>
        </w:tc>
        <w:tc>
          <w:tcPr>
            <w:tcW w:w="1060" w:type="dxa"/>
            <w:vAlign w:val="bottom"/>
            <w:gridSpan w:val="2"/>
          </w:tcPr>
          <w:p>
            <w:pPr>
              <w:ind w:left="200"/>
              <w:spacing w:after="0"/>
              <w:rPr>
                <w:sz w:val="20"/>
                <w:szCs w:val="20"/>
                <w:color w:val="auto"/>
              </w:rPr>
            </w:pPr>
            <w:r>
              <w:rPr>
                <w:rFonts w:ascii="Arial" w:cs="Arial" w:eastAsia="Arial" w:hAnsi="Arial"/>
                <w:sz w:val="17"/>
                <w:szCs w:val="17"/>
                <w:color w:val="0000FF"/>
              </w:rPr>
              <w:t>90067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gridSpan w:val="2"/>
          </w:tcPr>
          <w:p>
            <w:pPr>
              <w:ind w:left="20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25" w:right="359" w:bottom="0" w:gutter="0" w:footer="0" w:header="0"/>
          <w:type w:val="continuous"/>
        </w:sectPr>
      </w:pPr>
    </w:p>
    <w:p>
      <w:pPr>
        <w:ind w:left="120"/>
        <w:spacing w:after="0"/>
        <w:rPr>
          <w:rFonts w:ascii="Arial" w:cs="Arial" w:eastAsia="Arial" w:hAnsi="Arial"/>
          <w:sz w:val="19"/>
          <w:szCs w:val="19"/>
          <w:u w:val="single" w:color="auto"/>
          <w:color w:val="0000EE"/>
        </w:rPr>
      </w:pPr>
      <w:hyperlink r:id="rId16">
        <w:r>
          <w:rPr>
            <w:rFonts w:ascii="Arial" w:cs="Arial" w:eastAsia="Arial" w:hAnsi="Arial"/>
            <w:sz w:val="19"/>
            <w:szCs w:val="19"/>
            <w:u w:val="single" w:color="auto"/>
            <w:color w:val="0000EE"/>
          </w:rPr>
          <w:t>ASSF Operating Manager IV, L.P.</w:t>
        </w:r>
      </w:hyperlink>
    </w:p>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0"/>
        </w:trPr>
        <w:tc>
          <w:tcPr>
            <w:tcW w:w="100" w:type="dxa"/>
            <w:vAlign w:val="bottom"/>
          </w:tcPr>
          <w:p>
            <w:pPr>
              <w:spacing w:after="0"/>
              <w:rPr>
                <w:sz w:val="13"/>
                <w:szCs w:val="13"/>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80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52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360" w:type="dxa"/>
            <w:vAlign w:val="bottom"/>
          </w:tcPr>
          <w:p>
            <w:pPr>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9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800" w:type="dxa"/>
            <w:vAlign w:val="bottom"/>
            <w:tcBorders>
              <w:bottom w:val="single" w:sz="8" w:color="0000EE"/>
            </w:tcBorders>
            <w:gridSpan w:val="6"/>
          </w:tcPr>
          <w:p>
            <w:pPr>
              <w:spacing w:after="0" w:line="221" w:lineRule="exact"/>
              <w:rPr>
                <w:rFonts w:ascii="Arial" w:cs="Arial" w:eastAsia="Arial" w:hAnsi="Arial"/>
                <w:sz w:val="21"/>
                <w:szCs w:val="21"/>
                <w:color w:val="0000EE"/>
                <w:w w:val="91"/>
              </w:rPr>
            </w:pPr>
            <w:hyperlink r:id="rId18">
              <w:r>
                <w:rPr>
                  <w:rFonts w:ascii="Arial" w:cs="Arial" w:eastAsia="Arial" w:hAnsi="Arial"/>
                  <w:sz w:val="21"/>
                  <w:szCs w:val="21"/>
                  <w:color w:val="0000EE"/>
                  <w:w w:val="91"/>
                </w:rPr>
                <w:t>Ares Management Holdings L.P.</w:t>
              </w:r>
            </w:hyperlink>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80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52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360" w:type="dxa"/>
            <w:vAlign w:val="bottom"/>
          </w:tcPr>
          <w:p>
            <w:pPr>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9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800" w:type="dxa"/>
            <w:vAlign w:val="bottom"/>
            <w:gridSpan w:val="6"/>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Ares Holdco LLC</w:t>
              </w:r>
            </w:hyperlink>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80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52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360" w:type="dxa"/>
            <w:vAlign w:val="bottom"/>
          </w:tcPr>
          <w:p>
            <w:pPr>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9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800" w:type="dxa"/>
            <w:vAlign w:val="bottom"/>
            <w:gridSpan w:val="6"/>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Ares Management Corp</w:t>
              </w:r>
            </w:hyperlink>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80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52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360" w:type="dxa"/>
            <w:vAlign w:val="bottom"/>
          </w:tcPr>
          <w:p>
            <w:pPr>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9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800" w:type="dxa"/>
            <w:vAlign w:val="bottom"/>
            <w:gridSpan w:val="6"/>
          </w:tcPr>
          <w:p>
            <w:pPr>
              <w:spacing w:after="0" w:line="221" w:lineRule="exact"/>
              <w:rPr>
                <w:rFonts w:ascii="Arial" w:cs="Arial" w:eastAsia="Arial" w:hAnsi="Arial"/>
                <w:sz w:val="21"/>
                <w:szCs w:val="21"/>
                <w:color w:val="0000EE"/>
              </w:rPr>
            </w:pPr>
            <w:hyperlink r:id="rId21">
              <w:r>
                <w:rPr>
                  <w:rFonts w:ascii="Arial" w:cs="Arial" w:eastAsia="Arial" w:hAnsi="Arial"/>
                  <w:sz w:val="21"/>
                  <w:szCs w:val="21"/>
                  <w:color w:val="0000EE"/>
                </w:rPr>
                <w:t>Ares Management GP LLC</w:t>
              </w:r>
            </w:hyperlink>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80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52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360" w:type="dxa"/>
            <w:vAlign w:val="bottom"/>
          </w:tcPr>
          <w:p>
            <w:pPr>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9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800" w:type="dxa"/>
            <w:vAlign w:val="bottom"/>
            <w:gridSpan w:val="6"/>
          </w:tcPr>
          <w:p>
            <w:pPr>
              <w:spacing w:after="0" w:line="221" w:lineRule="exact"/>
              <w:rPr>
                <w:rFonts w:ascii="Arial" w:cs="Arial" w:eastAsia="Arial" w:hAnsi="Arial"/>
                <w:sz w:val="21"/>
                <w:szCs w:val="21"/>
                <w:color w:val="0000EE"/>
              </w:rPr>
            </w:pPr>
            <w:hyperlink r:id="rId22">
              <w:r>
                <w:rPr>
                  <w:rFonts w:ascii="Arial" w:cs="Arial" w:eastAsia="Arial" w:hAnsi="Arial"/>
                  <w:sz w:val="21"/>
                  <w:szCs w:val="21"/>
                  <w:color w:val="0000EE"/>
                </w:rPr>
                <w:t>Ares Voting LLC</w:t>
              </w:r>
            </w:hyperlink>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80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52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360" w:type="dxa"/>
            <w:vAlign w:val="bottom"/>
          </w:tcPr>
          <w:p>
            <w:pPr>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65" w:orient="portrait"/>
          <w:cols w:equalWidth="0" w:num="1">
            <w:col w:w="9979"/>
          </w:cols>
          <w:pgMar w:left="480" w:top="140" w:right="1440" w:bottom="0" w:gutter="0" w:footer="0" w:header="0"/>
        </w:sectPr>
      </w:pPr>
    </w:p>
    <w:p>
      <w:pPr>
        <w:ind w:left="100"/>
        <w:spacing w:after="0"/>
        <w:rPr>
          <w:rFonts w:ascii="Arial" w:cs="Arial" w:eastAsia="Arial" w:hAnsi="Arial"/>
          <w:sz w:val="19"/>
          <w:szCs w:val="19"/>
          <w:u w:val="single" w:color="auto"/>
          <w:color w:val="0000EE"/>
        </w:rPr>
      </w:pPr>
      <w:hyperlink r:id="rId23">
        <w:r>
          <w:rPr>
            <w:rFonts w:ascii="Arial" w:cs="Arial" w:eastAsia="Arial" w:hAnsi="Arial"/>
            <w:sz w:val="19"/>
            <w:szCs w:val="19"/>
            <w:u w:val="single" w:color="auto"/>
            <w:color w:val="0000EE"/>
          </w:rPr>
          <w:t>Ares Partners Holdco LLC</w:t>
        </w:r>
      </w:hyperlink>
    </w:p>
    <w:p>
      <w:pPr>
        <w:sectPr>
          <w:pgSz w:w="11900" w:h="16865" w:orient="portrait"/>
          <w:cols w:equalWidth="0" w:num="1">
            <w:col w:w="9979"/>
          </w:cols>
          <w:pgMar w:left="480" w:top="140" w:right="1440" w:bottom="0" w:gutter="0" w:footer="0" w:header="0"/>
          <w:type w:val="continuous"/>
        </w:sectPr>
      </w:pPr>
    </w:p>
    <w:bookmarkStart w:id="2" w:name="page3"/>
    <w:bookmarkEnd w:id="2"/>
    <w:p>
      <w:pPr>
        <w:ind w:left="80"/>
        <w:spacing w:after="0"/>
        <w:tabs>
          <w:tab w:leader="none" w:pos="1460" w:val="left"/>
          <w:tab w:leader="none" w:pos="286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4509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2809240" cy="1450975"/>
                    </a:xfrm>
                    <a:prstGeom prst="rect">
                      <a:avLst/>
                    </a:prstGeom>
                    <a:noFill/>
                  </pic:spPr>
                </pic:pic>
              </a:graphicData>
            </a:graphic>
          </wp:anchor>
        </w:drawing>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80"/>
        <w:spacing w:after="0"/>
        <w:rPr>
          <w:sz w:val="20"/>
          <w:szCs w:val="20"/>
          <w:color w:val="auto"/>
        </w:rPr>
      </w:pPr>
      <w:r>
        <w:rPr>
          <w:rFonts w:ascii="Arial" w:cs="Arial" w:eastAsia="Arial" w:hAnsi="Arial"/>
          <w:sz w:val="17"/>
          <w:szCs w:val="17"/>
          <w:color w:val="0000FF"/>
        </w:rPr>
        <w:t>2000 AVENUE OF THE STARS, 12TH FLOOR</w:t>
      </w:r>
    </w:p>
    <w:p>
      <w:pPr>
        <w:spacing w:after="0" w:line="71" w:lineRule="exact"/>
        <w:rPr>
          <w:sz w:val="20"/>
          <w:szCs w:val="20"/>
          <w:color w:val="auto"/>
        </w:rPr>
      </w:pPr>
    </w:p>
    <w:p>
      <w:pPr>
        <w:ind w:left="80"/>
        <w:spacing w:after="0"/>
        <w:rPr>
          <w:sz w:val="20"/>
          <w:szCs w:val="20"/>
          <w:color w:val="auto"/>
        </w:rPr>
      </w:pPr>
      <w:r>
        <w:rPr>
          <w:rFonts w:ascii="Arial" w:cs="Arial" w:eastAsia="Arial" w:hAnsi="Arial"/>
          <w:sz w:val="17"/>
          <w:szCs w:val="17"/>
          <w:color w:val="0000FF"/>
        </w:rPr>
        <w:t>12TH FLOOR</w:t>
      </w: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3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020" w:type="dxa"/>
            <w:vAlign w:val="bottom"/>
          </w:tcPr>
          <w:p>
            <w:pPr>
              <w:ind w:left="120"/>
              <w:spacing w:after="0"/>
              <w:rPr>
                <w:sz w:val="20"/>
                <w:szCs w:val="20"/>
                <w:color w:val="auto"/>
              </w:rPr>
            </w:pPr>
            <w:r>
              <w:rPr>
                <w:rFonts w:ascii="Arial" w:cs="Arial" w:eastAsia="Arial" w:hAnsi="Arial"/>
                <w:sz w:val="17"/>
                <w:szCs w:val="17"/>
                <w:color w:val="0000FF"/>
              </w:rPr>
              <w:t>CA</w:t>
            </w:r>
          </w:p>
        </w:tc>
        <w:tc>
          <w:tcPr>
            <w:tcW w:w="1860" w:type="dxa"/>
            <w:vAlign w:val="bottom"/>
          </w:tcPr>
          <w:p>
            <w:pPr>
              <w:ind w:left="500"/>
              <w:spacing w:after="0"/>
              <w:rPr>
                <w:sz w:val="20"/>
                <w:szCs w:val="20"/>
                <w:color w:val="auto"/>
              </w:rPr>
            </w:pPr>
            <w:r>
              <w:rPr>
                <w:rFonts w:ascii="Arial" w:cs="Arial" w:eastAsia="Arial" w:hAnsi="Arial"/>
                <w:sz w:val="17"/>
                <w:szCs w:val="17"/>
                <w:color w:val="0000FF"/>
              </w:rPr>
              <w:t>90067</w:t>
            </w:r>
          </w:p>
        </w:tc>
      </w:tr>
      <w:tr>
        <w:trPr>
          <w:trHeight w:val="155"/>
        </w:trPr>
        <w:tc>
          <w:tcPr>
            <w:tcW w:w="4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right="40" w:firstLine="7"/>
        <w:spacing w:after="0" w:line="243"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statement is being filed jointly by (i) AF V Energy IV AIV 1A, L.P. ("ACOF AIV 1A"), (ii) AF V Energy IV AIV 1B, L.P. ("ACOF AIV 1B"), (iii) AF V Energy IV AIV 2, L.P. ("ACOF AIV 2" and, together with ACOF AIV 1A and ACOF AIV 1B, the "ACOF AIVs"), (iv) AEOF ECR AIV A- B, L.P. ("AEOF AIV A-B"), (v) AEOF ECR AIV C, L.P. ("AEOF AIV C" and, together with AEOF AIV A-B, the "AEOF AIVs"), (vi) AF Energy Feeder, L.P., (vii) ACOF Investment Management LLC ("ACOF Investment Management"), (viii) SSF IV Energy I AIV 1A, L.P. ("SSF AIV 1A"), (ix) SSF IV Energy I AIV 1B, L.P. ("SSF AIV 1B"), (x) SSF IV Energy I AIV 2, L.P. ("SSF AIV 2" and, together with SSF AIV 1A and SSF AIV 1B, the "SSF AIVs"), (xi) ASSF Operating Manager IV, L.P. ("ASSF Operating Manager IV"), (xii) Ares Management LLC, (Continued in footnote 2)</w:t>
      </w:r>
    </w:p>
    <w:p>
      <w:pPr>
        <w:spacing w:after="0" w:line="29" w:lineRule="exact"/>
        <w:rPr>
          <w:rFonts w:ascii="Arial" w:cs="Arial" w:eastAsia="Arial" w:hAnsi="Arial"/>
          <w:sz w:val="13"/>
          <w:szCs w:val="13"/>
          <w:color w:val="008000"/>
        </w:rPr>
      </w:pPr>
    </w:p>
    <w:p>
      <w:pPr>
        <w:ind w:firstLine="7"/>
        <w:spacing w:after="0" w:line="250"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(xiii) Ares Management Holdings L.P. ("Ares Management Holdings"), (xiv) Ares Holdco LLC ("Ares Holdco"), (xv) Ares Management Corporation ("Ares Management"), (xvi) Ares Voting LLC ("Ares Voting"), (xvii) Ares Management GP LLC ("Ares Management GP") and (xviii) Ares Partners Holdco LLC ("Ares Partners") (collectively, the "Reporting Persons"). Due to the electronic system's limitation of 10 Reporting Persons per joint filing, this statement is being filed in duplicate.</w:t>
      </w:r>
    </w:p>
    <w:p>
      <w:pPr>
        <w:spacing w:after="0" w:line="25" w:lineRule="exact"/>
        <w:rPr>
          <w:rFonts w:ascii="Arial" w:cs="Arial" w:eastAsia="Arial" w:hAnsi="Arial"/>
          <w:sz w:val="13"/>
          <w:szCs w:val="13"/>
          <w:color w:val="008000"/>
        </w:rPr>
      </w:pPr>
    </w:p>
    <w:p>
      <w:pPr>
        <w:ind w:left="140" w:hanging="133"/>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amount of profit potentially recoverable by the Issuer from the reported transactions, if any, has been remitted to the Issuer.</w:t>
      </w:r>
    </w:p>
    <w:p>
      <w:pPr>
        <w:spacing w:after="0" w:line="50" w:lineRule="exact"/>
        <w:rPr>
          <w:rFonts w:ascii="Arial" w:cs="Arial" w:eastAsia="Arial" w:hAnsi="Arial"/>
          <w:sz w:val="13"/>
          <w:szCs w:val="13"/>
          <w:color w:val="008000"/>
        </w:rPr>
      </w:pPr>
    </w:p>
    <w:p>
      <w:pPr>
        <w:ind w:right="80" w:firstLine="7"/>
        <w:spacing w:after="0" w:line="243"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ACOF Investment Management is the manager of each of the ACOF AIVs, the AEOF AIVs and AF Energy Feeder, L.P., and the sole member of ACOF Investment Management is Ares Management LLC. ASSF Operating Manager IV is the manager of the SSF AIVs, and the general partner of ASSF Operating Manager IV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"Ares Class B Common Stock") and Ares Voting LLC ("Ares Voting") is the sole holder of the Class C common stock, $0.01 par value per share, of Ares Management (the "Ares Class C Common Stock"). (Continued in footnote 5)</w:t>
      </w:r>
    </w:p>
    <w:p>
      <w:pPr>
        <w:spacing w:after="0" w:line="29" w:lineRule="exact"/>
        <w:rPr>
          <w:rFonts w:ascii="Arial" w:cs="Arial" w:eastAsia="Arial" w:hAnsi="Arial"/>
          <w:sz w:val="13"/>
          <w:szCs w:val="13"/>
          <w:color w:val="008000"/>
        </w:rPr>
      </w:pPr>
    </w:p>
    <w:p>
      <w:pPr>
        <w:ind w:right="160"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Pursuant to Ares Management's Certificate of Incorporation, the holders of the Ares Class B Common Stock and the Ares Class C Common Stock, collectively, will generally have the majority of the votes on any matter submitted to the stockholders of Ares Management if certain conditions are met. The sole member of both Ares Management GP and Ares Voting is Ares Partners. Ares Partners is managed by a board of managers, which is composed of Michael Arougheti, Ryan Berry, R. Kipp deVeer, David Kaplan, Michael McFerran, Antony Ressler and Bennett Rosenthal (collectively, the "Board Members"). Mr. Ressler generally has veto authority over decisions by the Board Members.</w:t>
      </w:r>
    </w:p>
    <w:p>
      <w:pPr>
        <w:spacing w:after="0" w:line="29" w:lineRule="exact"/>
        <w:rPr>
          <w:rFonts w:ascii="Arial" w:cs="Arial" w:eastAsia="Arial" w:hAnsi="Arial"/>
          <w:sz w:val="13"/>
          <w:szCs w:val="13"/>
          <w:color w:val="008000"/>
        </w:rPr>
      </w:pPr>
    </w:p>
    <w:p>
      <w:pPr>
        <w:ind w:right="40" w:firstLine="7"/>
        <w:spacing w:after="0" w:line="243"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Reporting Persons collectively beneficially own, or may be deemed to beneficially own, in the aggregate 15,451,592 shares of Common Stock by reason of the direct or indirect beneficial ownership of such shares as follows: (i) ACOF AIV 1A directly holds 722,374 shares of Common Stock, (ii) ACOF AIV 1B directly holds 2,643,517 shares of Common Stock, (iii) ACOF AIV 2 directly holds 2,692,955 shares of Common Stock, (iv) AEOF AIV A-B directly holds 1,894,861 shares of Common Stock, (v) AEOF AIV C directly holds 804,524 shares of Common Stock, (vi) SSF AIV 1A directly holds 262,697 shares of Common Stock, (vii) SSF AIV 1B directly holds 234,208 shares of Common Stock, (viii) SSF AIV 2 directly holds 381,274 shares of Common Stock and (ix) AF Energy Feeder, L.P. directly holds 5,815,182 shares of Common Stock.</w:t>
      </w:r>
    </w:p>
    <w:p>
      <w:pPr>
        <w:spacing w:after="0" w:line="29" w:lineRule="exact"/>
        <w:rPr>
          <w:rFonts w:ascii="Arial" w:cs="Arial" w:eastAsia="Arial" w:hAnsi="Arial"/>
          <w:sz w:val="13"/>
          <w:szCs w:val="13"/>
          <w:color w:val="008000"/>
        </w:rPr>
      </w:pPr>
    </w:p>
    <w:p>
      <w:pPr>
        <w:ind w:right="160"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of the Reporting Persons (other than the ACOF AIVs, the AEOF AIVs, the SSF AIVs and AF Energy Feeder, L.P with respect to the shares of Common Stock directly held by them) and the Board Members, and the other directors, officers, partners, stockholders, members and managers of the Reporting Persons, expressly disclaims beneficial ownership of the Common Stock, except to the extent of any pecuniary interest therein, and this Form 4 shall not be deemed an admission that any such person or entity is the beneficial owner of, or has any pecuniary interest in, such securities for purposes of Section 16 of the Securities Exchange Act of 1934, as amended, or for any other purposes.</w:t>
      </w:r>
    </w:p>
    <w:p>
      <w:pPr>
        <w:sectPr>
          <w:pgSz w:w="11900" w:h="16838" w:orient="portrait"/>
          <w:cols w:equalWidth="0" w:num="1">
            <w:col w:w="10880"/>
          </w:cols>
          <w:pgMar w:left="500" w:top="432" w:right="519" w:bottom="0" w:gutter="0" w:footer="0" w:header="0"/>
        </w:sectPr>
      </w:pPr>
    </w:p>
    <w:p>
      <w:pPr>
        <w:spacing w:after="0" w:line="5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379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236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MANAGEMENT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07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11607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ASSF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9017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MANAGER IV, L.P.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33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10433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029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HOLDINGS L.P.By: 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80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HOLDCO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69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12369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HOLDCO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334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029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CORPORATION /s/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Sagati Aghili By: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38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12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LLC /s/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322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By: 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195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VOTING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518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Ares Partners Holdco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500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Sole Member /s/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87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11087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By: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381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Partners Holdco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553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12553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0000FF"/>
        </w:rPr>
        <w:t>06/16/2021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06/16/2021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06/16/2021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06/16/2021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06/16/2021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06/16/2021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06/16/2021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06/16/2021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0000FF"/>
        </w:rPr>
        <w:t>06/16/2021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38" w:orient="portrait"/>
          <w:cols w:equalWidth="0" w:num="2">
            <w:col w:w="8680" w:space="60"/>
            <w:col w:w="2140"/>
          </w:cols>
          <w:pgMar w:left="500" w:top="432" w:right="519" w:bottom="0" w:gutter="0" w:footer="0" w:header="0"/>
          <w:type w:val="continuous"/>
        </w:sectPr>
      </w:pPr>
    </w:p>
    <w:bookmarkStart w:id="3" w:name="page4"/>
    <w:bookmarkEnd w:id="3"/>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3347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52"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12" Type="http://schemas.openxmlformats.org/officeDocument/2006/relationships/hyperlink" Target="http://www.sec.gov/cgi-bin/browse-edgar?action=getcompany&amp;CIK=0001259313"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684171" TargetMode="External"/><Relationship Id="rId16" Type="http://schemas.openxmlformats.org/officeDocument/2006/relationships/hyperlink" Target="http://www.sec.gov/cgi-bin/browse-edgar?action=getcompany&amp;CIK=0001683967" TargetMode="External"/><Relationship Id="rId18" Type="http://schemas.openxmlformats.org/officeDocument/2006/relationships/hyperlink" Target="http://www.sec.gov/cgi-bin/browse-edgar?action=getcompany&amp;CIK=0001536937" TargetMode="External"/><Relationship Id="rId19" Type="http://schemas.openxmlformats.org/officeDocument/2006/relationships/hyperlink" Target="http://www.sec.gov/cgi-bin/browse-edgar?action=getcompany&amp;CIK=0001669983" TargetMode="External"/><Relationship Id="rId20" Type="http://schemas.openxmlformats.org/officeDocument/2006/relationships/hyperlink" Target="http://www.sec.gov/cgi-bin/browse-edgar?action=getcompany&amp;CIK=0001176948" TargetMode="External"/><Relationship Id="rId21" Type="http://schemas.openxmlformats.org/officeDocument/2006/relationships/hyperlink" Target="http://www.sec.gov/cgi-bin/browse-edgar?action=getcompany&amp;CIK=0001620264" TargetMode="External"/><Relationship Id="rId22" Type="http://schemas.openxmlformats.org/officeDocument/2006/relationships/hyperlink" Target="http://www.sec.gov/cgi-bin/browse-edgar?action=getcompany&amp;CIK=0001761656" TargetMode="External"/><Relationship Id="rId23" Type="http://schemas.openxmlformats.org/officeDocument/2006/relationships/hyperlink" Target="http://www.sec.gov/cgi-bin/browse-edgar?action=getcompany&amp;CIK=00016202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2021-06-16T15:03:59Z</dcterms:created>
  <dcterms:modified xsi:type="dcterms:W3CDTF">2021-06-16T15:03:59Z</dcterms:modified>
</cp:coreProperties>
</file>