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color w:val="0066FF"/>
        </w:rPr>
        <w:drawing>
          <wp:anchor simplePos="0" relativeHeight="251657728" behindDoc="1" locked="0" layoutInCell="0" allowOverlap="1">
            <wp:simplePos x="0" y="0"/>
            <wp:positionH relativeFrom="page">
              <wp:posOffset>157480</wp:posOffset>
            </wp:positionH>
            <wp:positionV relativeFrom="page">
              <wp:posOffset>294640</wp:posOffset>
            </wp:positionV>
            <wp:extent cx="1766570" cy="1029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6570" cy="1029335"/>
                    </a:xfrm>
                    <a:prstGeom prst="rect">
                      <a:avLst/>
                    </a:prstGeom>
                    <a:noFill/>
                  </pic:spPr>
                </pic:pic>
              </a:graphicData>
            </a:graphic>
          </wp:anchor>
        </w:drawing>
        <w:t>10889 WILSHIRE BOULEVARD</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0066FF"/>
        </w:rPr>
        <w:t>LOS ANGELES, CALIFORNIA 90024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0066FF"/>
        </w:rPr>
        <w:t>TELEPHONE 310.443.6141</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0066FF"/>
        </w:rPr>
        <w:t>FACSIMILE 310.443.6435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0066FF"/>
        </w:rPr>
        <w:t>TODD A. STEVENS</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66FF"/>
        </w:rPr>
        <w:t>President and Chief Executive Officer</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22"/>
          <w:szCs w:val="22"/>
          <w:color w:val="auto"/>
        </w:rPr>
        <w:t>September 19, 2014</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H. Roger Schwall</w:t>
      </w:r>
    </w:p>
    <w:p>
      <w:pPr>
        <w:spacing w:after="0" w:line="238" w:lineRule="auto"/>
        <w:rPr>
          <w:sz w:val="20"/>
          <w:szCs w:val="20"/>
          <w:color w:val="auto"/>
        </w:rPr>
      </w:pPr>
      <w:r>
        <w:rPr>
          <w:rFonts w:ascii="Arial" w:cs="Arial" w:eastAsia="Arial" w:hAnsi="Arial"/>
          <w:sz w:val="22"/>
          <w:szCs w:val="22"/>
          <w:color w:val="auto"/>
        </w:rPr>
        <w:t>Assistant Director</w:t>
      </w:r>
    </w:p>
    <w:p>
      <w:pPr>
        <w:spacing w:after="0" w:line="230" w:lineRule="auto"/>
        <w:rPr>
          <w:sz w:val="20"/>
          <w:szCs w:val="20"/>
          <w:color w:val="auto"/>
        </w:rPr>
      </w:pPr>
      <w:r>
        <w:rPr>
          <w:rFonts w:ascii="Arial" w:cs="Arial" w:eastAsia="Arial" w:hAnsi="Arial"/>
          <w:sz w:val="22"/>
          <w:szCs w:val="22"/>
          <w:color w:val="auto"/>
        </w:rPr>
        <w:t>United States Securities and Exchange Commission</w:t>
      </w:r>
    </w:p>
    <w:p>
      <w:pPr>
        <w:spacing w:after="0" w:line="231" w:lineRule="auto"/>
        <w:rPr>
          <w:sz w:val="20"/>
          <w:szCs w:val="20"/>
          <w:color w:val="auto"/>
        </w:rPr>
      </w:pPr>
      <w:r>
        <w:rPr>
          <w:rFonts w:ascii="Arial" w:cs="Arial" w:eastAsia="Arial" w:hAnsi="Arial"/>
          <w:sz w:val="22"/>
          <w:szCs w:val="22"/>
          <w:color w:val="auto"/>
        </w:rPr>
        <w:t>Division of Corporation Finance</w:t>
      </w:r>
    </w:p>
    <w:p>
      <w:pPr>
        <w:spacing w:after="0" w:line="231"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20549-3561</w:t>
      </w:r>
    </w:p>
    <w:p>
      <w:pPr>
        <w:spacing w:after="0" w:line="215" w:lineRule="exact"/>
        <w:rPr>
          <w:sz w:val="24"/>
          <w:szCs w:val="24"/>
          <w:color w:val="auto"/>
        </w:rPr>
      </w:pPr>
    </w:p>
    <w:p>
      <w:pPr>
        <w:spacing w:after="0"/>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California Resources Corporation</w:t>
      </w:r>
    </w:p>
    <w:p>
      <w:pPr>
        <w:ind w:left="660"/>
        <w:spacing w:after="0" w:line="238" w:lineRule="auto"/>
        <w:rPr>
          <w:sz w:val="20"/>
          <w:szCs w:val="20"/>
          <w:color w:val="auto"/>
        </w:rPr>
      </w:pPr>
      <w:r>
        <w:rPr>
          <w:rFonts w:ascii="Arial" w:cs="Arial" w:eastAsia="Arial" w:hAnsi="Arial"/>
          <w:sz w:val="22"/>
          <w:szCs w:val="22"/>
          <w:color w:val="auto"/>
        </w:rPr>
        <w:t>Amendment No. 2 to Registration Statement on Form 10-12B</w:t>
      </w:r>
    </w:p>
    <w:p>
      <w:pPr>
        <w:ind w:left="660"/>
        <w:spacing w:after="0" w:line="230" w:lineRule="auto"/>
        <w:rPr>
          <w:sz w:val="20"/>
          <w:szCs w:val="20"/>
          <w:color w:val="auto"/>
        </w:rPr>
      </w:pPr>
      <w:r>
        <w:rPr>
          <w:rFonts w:ascii="Arial" w:cs="Arial" w:eastAsia="Arial" w:hAnsi="Arial"/>
          <w:sz w:val="22"/>
          <w:szCs w:val="22"/>
          <w:color w:val="auto"/>
        </w:rPr>
        <w:t>Filed August 20, 2014</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22"/>
          <w:szCs w:val="22"/>
          <w:color w:val="auto"/>
        </w:rPr>
        <w:t>File No. 1-36478</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jc w:val="both"/>
        <w:ind w:firstLine="648"/>
        <w:spacing w:after="0" w:line="238" w:lineRule="auto"/>
        <w:rPr>
          <w:sz w:val="20"/>
          <w:szCs w:val="20"/>
          <w:color w:val="auto"/>
        </w:rPr>
      </w:pPr>
      <w:r>
        <w:rPr>
          <w:rFonts w:ascii="Arial" w:cs="Arial" w:eastAsia="Arial" w:hAnsi="Arial"/>
          <w:sz w:val="22"/>
          <w:szCs w:val="22"/>
          <w:color w:val="auto"/>
        </w:rPr>
        <w:t>Set forth below are the responses of California Resources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w:t>
      </w:r>
      <w:r>
        <w:rPr>
          <w:rFonts w:ascii="Arial" w:cs="Arial" w:eastAsia="Arial" w:hAnsi="Arial"/>
          <w:sz w:val="22"/>
          <w:szCs w:val="22"/>
          <w:b w:val="1"/>
          <w:bCs w:val="1"/>
          <w:i w:val="1"/>
          <w:iCs w:val="1"/>
          <w:color w:val="auto"/>
        </w:rPr>
        <w:t>we</w:t>
      </w:r>
      <w:r>
        <w:rPr>
          <w:rFonts w:ascii="Arial" w:cs="Arial" w:eastAsia="Arial" w:hAnsi="Arial"/>
          <w:sz w:val="22"/>
          <w:szCs w:val="22"/>
          <w:color w:val="auto"/>
        </w:rPr>
        <w:t>,” “</w:t>
      </w:r>
      <w:r>
        <w:rPr>
          <w:rFonts w:ascii="Arial" w:cs="Arial" w:eastAsia="Arial" w:hAnsi="Arial"/>
          <w:sz w:val="22"/>
          <w:szCs w:val="22"/>
          <w:b w:val="1"/>
          <w:bCs w:val="1"/>
          <w:i w:val="1"/>
          <w:iCs w:val="1"/>
          <w:color w:val="auto"/>
        </w:rPr>
        <w:t>us</w:t>
      </w:r>
      <w:r>
        <w:rPr>
          <w:rFonts w:ascii="Arial" w:cs="Arial" w:eastAsia="Arial" w:hAnsi="Arial"/>
          <w:sz w:val="22"/>
          <w:szCs w:val="22"/>
          <w:color w:val="auto"/>
        </w:rPr>
        <w:t>” or “</w:t>
      </w:r>
      <w:r>
        <w:rPr>
          <w:rFonts w:ascii="Arial" w:cs="Arial" w:eastAsia="Arial" w:hAnsi="Arial"/>
          <w:sz w:val="22"/>
          <w:szCs w:val="22"/>
          <w:b w:val="1"/>
          <w:bCs w:val="1"/>
          <w:i w:val="1"/>
          <w:iCs w:val="1"/>
          <w:color w:val="auto"/>
        </w:rPr>
        <w:t>our</w:t>
      </w:r>
      <w:r>
        <w:rPr>
          <w:rFonts w:ascii="Arial" w:cs="Arial" w:eastAsia="Arial" w:hAnsi="Arial"/>
          <w:sz w:val="22"/>
          <w:szCs w:val="22"/>
          <w:color w:val="auto"/>
        </w:rPr>
        <w:t>”), to comments received from the staff of the Division of Corporation Finance (the “</w:t>
      </w:r>
      <w:r>
        <w:rPr>
          <w:rFonts w:ascii="Arial" w:cs="Arial" w:eastAsia="Arial" w:hAnsi="Arial"/>
          <w:sz w:val="22"/>
          <w:szCs w:val="22"/>
          <w:b w:val="1"/>
          <w:bCs w:val="1"/>
          <w:i w:val="1"/>
          <w:iCs w:val="1"/>
          <w:color w:val="auto"/>
        </w:rPr>
        <w:t>Staff</w:t>
      </w:r>
      <w:r>
        <w:rPr>
          <w:rFonts w:ascii="Arial" w:cs="Arial" w:eastAsia="Arial" w:hAnsi="Arial"/>
          <w:sz w:val="22"/>
          <w:szCs w:val="22"/>
          <w:color w:val="auto"/>
        </w:rPr>
        <w:t>”) of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by letter dated September 12, 2014, with respect to Amendment No. 2 to the Form 10-12B, File No. 001-36478, filed with the Commission on August 20, 2014 (the “</w:t>
      </w:r>
      <w:r>
        <w:rPr>
          <w:rFonts w:ascii="Arial" w:cs="Arial" w:eastAsia="Arial" w:hAnsi="Arial"/>
          <w:sz w:val="22"/>
          <w:szCs w:val="22"/>
          <w:b w:val="1"/>
          <w:bCs w:val="1"/>
          <w:i w:val="1"/>
          <w:iCs w:val="1"/>
          <w:color w:val="auto"/>
        </w:rPr>
        <w:t>Form 10</w:t>
      </w:r>
      <w:r>
        <w:rPr>
          <w:rFonts w:ascii="Arial" w:cs="Arial" w:eastAsia="Arial" w:hAnsi="Arial"/>
          <w:sz w:val="22"/>
          <w:szCs w:val="22"/>
          <w:color w:val="auto"/>
        </w:rPr>
        <w:t>”).</w:t>
      </w:r>
    </w:p>
    <w:p>
      <w:pPr>
        <w:spacing w:after="0" w:line="212" w:lineRule="exact"/>
        <w:rPr>
          <w:sz w:val="24"/>
          <w:szCs w:val="24"/>
          <w:color w:val="auto"/>
        </w:rPr>
      </w:pPr>
    </w:p>
    <w:p>
      <w:pPr>
        <w:jc w:val="both"/>
        <w:ind w:right="20" w:firstLine="648"/>
        <w:spacing w:after="0" w:line="252" w:lineRule="auto"/>
        <w:rPr>
          <w:sz w:val="20"/>
          <w:szCs w:val="20"/>
          <w:color w:val="auto"/>
        </w:rPr>
      </w:pPr>
      <w:r>
        <w:rPr>
          <w:rFonts w:ascii="Arial" w:cs="Arial" w:eastAsia="Arial" w:hAnsi="Arial"/>
          <w:sz w:val="21"/>
          <w:szCs w:val="21"/>
          <w:color w:val="auto"/>
        </w:rPr>
        <w:t>Concurrently with the submission of this letter, we are filing through EDGAR Amendment No. 3 to the Form 10 (“</w:t>
      </w:r>
      <w:r>
        <w:rPr>
          <w:rFonts w:ascii="Arial" w:cs="Arial" w:eastAsia="Arial" w:hAnsi="Arial"/>
          <w:sz w:val="21"/>
          <w:szCs w:val="21"/>
          <w:b w:val="1"/>
          <w:bCs w:val="1"/>
          <w:i w:val="1"/>
          <w:iCs w:val="1"/>
          <w:color w:val="auto"/>
        </w:rPr>
        <w:t>Amendment No. 3</w:t>
      </w:r>
      <w:r>
        <w:rPr>
          <w:rFonts w:ascii="Arial" w:cs="Arial" w:eastAsia="Arial" w:hAnsi="Arial"/>
          <w:sz w:val="21"/>
          <w:szCs w:val="21"/>
          <w:color w:val="auto"/>
        </w:rPr>
        <w:t>”), including a revised Information Statement filed as Exhibit 99.1 thereto (as revised, the “</w:t>
      </w:r>
      <w:r>
        <w:rPr>
          <w:rFonts w:ascii="Arial" w:cs="Arial" w:eastAsia="Arial" w:hAnsi="Arial"/>
          <w:sz w:val="21"/>
          <w:szCs w:val="21"/>
          <w:b w:val="1"/>
          <w:bCs w:val="1"/>
          <w:i w:val="1"/>
          <w:iCs w:val="1"/>
          <w:color w:val="auto"/>
        </w:rPr>
        <w:t>Information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Statement</w:t>
      </w:r>
      <w:r>
        <w:rPr>
          <w:rFonts w:ascii="Arial" w:cs="Arial" w:eastAsia="Arial" w:hAnsi="Arial"/>
          <w:sz w:val="21"/>
          <w:szCs w:val="21"/>
          <w:color w:val="auto"/>
        </w:rPr>
        <w:t>”). For your convenience, we will hand deliver three full copies of Amendment No. 3, as well as three copies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Amendment No. 3 marked to show all changes made since the filing Amendment No. 2 to the Form 10.</w:t>
      </w:r>
    </w:p>
    <w:p>
      <w:pPr>
        <w:spacing w:after="0" w:line="201" w:lineRule="exact"/>
        <w:rPr>
          <w:sz w:val="24"/>
          <w:szCs w:val="24"/>
          <w:color w:val="auto"/>
        </w:rPr>
      </w:pPr>
    </w:p>
    <w:p>
      <w:pPr>
        <w:jc w:val="both"/>
        <w:ind w:firstLine="648"/>
        <w:spacing w:after="0" w:line="328" w:lineRule="auto"/>
        <w:rPr>
          <w:sz w:val="20"/>
          <w:szCs w:val="20"/>
          <w:color w:val="auto"/>
        </w:rPr>
      </w:pPr>
      <w:r>
        <w:rPr>
          <w:rFonts w:ascii="Arial" w:cs="Arial" w:eastAsia="Arial" w:hAnsi="Arial"/>
          <w:sz w:val="19"/>
          <w:szCs w:val="19"/>
          <w:color w:val="auto"/>
        </w:rPr>
        <w:t>For your convenience, each response is prefaced by the exact text of the Staff’s corresponding comment in bold, italicized text. All references to page numbers and captions correspond to the Information Statement unless otherwise specified.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September 19, 2014</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Page 2</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239" w:lineRule="exact"/>
        <w:rPr>
          <w:sz w:val="24"/>
          <w:szCs w:val="24"/>
          <w:color w:val="auto"/>
        </w:rPr>
      </w:pPr>
    </w:p>
    <w:p>
      <w:pPr>
        <w:jc w:val="both"/>
        <w:ind w:left="660" w:hanging="652"/>
        <w:spacing w:after="0"/>
        <w:tabs>
          <w:tab w:leader="none" w:pos="1025" w:val="left"/>
        </w:tabs>
        <w:numPr>
          <w:ilvl w:val="0"/>
          <w:numId w:val="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As noted in prior comment 1 from our letter to you dated July 3, 2014, we may have additional comments once you provide all the omitted exhibits. Also, please file your charter and bylaws as currently in effect. See Item 601(b)(3) of Regulation S-K.</w:t>
      </w:r>
    </w:p>
    <w:p>
      <w:pPr>
        <w:spacing w:after="0" w:line="213" w:lineRule="exact"/>
        <w:rPr>
          <w:sz w:val="24"/>
          <w:szCs w:val="24"/>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4"/>
          <w:szCs w:val="24"/>
          <w:color w:val="auto"/>
        </w:rPr>
      </w:pPr>
    </w:p>
    <w:p>
      <w:pPr>
        <w:jc w:val="both"/>
        <w:ind w:firstLine="648"/>
        <w:spacing w:after="0"/>
        <w:rPr>
          <w:sz w:val="20"/>
          <w:szCs w:val="20"/>
          <w:color w:val="auto"/>
        </w:rPr>
      </w:pPr>
      <w:r>
        <w:rPr>
          <w:rFonts w:ascii="Arial" w:cs="Arial" w:eastAsia="Arial" w:hAnsi="Arial"/>
          <w:sz w:val="22"/>
          <w:szCs w:val="22"/>
          <w:color w:val="auto"/>
        </w:rPr>
        <w:t>We acknowledge the Staff’s comment and have filed the charter and bylaws as currently in effect with Amendment No. 3 as exhibits 3.1 and 3.2, respectively. In addition, we have filed with Amendment No. 3 all the other remaining exhibits that were not previously filed.</w:t>
      </w:r>
    </w:p>
    <w:p>
      <w:pPr>
        <w:spacing w:after="0" w:line="207"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Business, page 82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Elk Hills, page 86</w:t>
      </w:r>
    </w:p>
    <w:p>
      <w:pPr>
        <w:sectPr>
          <w:pgSz w:w="11900" w:h="16838" w:orient="portrait"/>
          <w:cols w:equalWidth="0" w:num="1">
            <w:col w:w="11420"/>
          </w:cols>
          <w:pgMar w:left="240" w:top="468" w:right="239" w:bottom="0" w:gutter="0" w:footer="0" w:header="0"/>
        </w:sectPr>
      </w:pPr>
    </w:p>
    <w:bookmarkStart w:id="1" w:name="page2"/>
    <w:bookmarkEnd w:id="1"/>
    <w:p>
      <w:pPr>
        <w:jc w:val="both"/>
        <w:ind w:left="660" w:hanging="652"/>
        <w:spacing w:after="0" w:line="282" w:lineRule="auto"/>
        <w:tabs>
          <w:tab w:leader="none" w:pos="1079" w:val="left"/>
        </w:tabs>
        <w:numPr>
          <w:ilvl w:val="0"/>
          <w:numId w:val="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note from your response to comment 2 from our letter to you dated August 6, 2014 that you intend to continue including the revenue and costs associated with the sale of excess electric power from the Elk Hills power plant to the grid as part of oil and gas activities in your future financial statements “for convenience, given the administrative burden of splitting costs between internal consumption and third-party sales, and due to the immateriality of such amounts.” That statement appears to be inconsistent with SAB Topic 1M.2. Please advise or revise.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have revised the Information Statement to remove from oil and gas activities the revenue and costs associated with the sale of excess electric power from the Elk Hills power plant to the grid. Please see pages 26, 97, 114 and F-38 through F-41 of the Information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Index to Financial Statements and Supplementary Information, page F-1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Combined Condensed Balance Sheets, page F-2</w:t>
      </w:r>
    </w:p>
    <w:p>
      <w:pPr>
        <w:spacing w:after="0" w:line="239" w:lineRule="exact"/>
        <w:rPr>
          <w:sz w:val="20"/>
          <w:szCs w:val="20"/>
          <w:color w:val="auto"/>
        </w:rPr>
      </w:pPr>
    </w:p>
    <w:p>
      <w:pPr>
        <w:jc w:val="both"/>
        <w:ind w:left="660" w:hanging="652"/>
        <w:spacing w:after="0"/>
        <w:tabs>
          <w:tab w:leader="none" w:pos="701"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Disclosure in your amended Form 10 states that you will pay a $6 million dividend to Occidental Petroleum Corporation from the net proceeds of your new debt. Please tell us how you considered the disclosure requirements per SAB Topic 1B.3.</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We have revised the Information Statement to provide the pro forma balance sheet intended by SAB Topic 1B.3. Please see pages F-2 and F-7 of the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September 19,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Combined Condensed Statements of Income, page F-3</w:t>
      </w:r>
    </w:p>
    <w:p>
      <w:pPr>
        <w:spacing w:after="0" w:line="239" w:lineRule="exact"/>
        <w:rPr>
          <w:sz w:val="20"/>
          <w:szCs w:val="20"/>
          <w:color w:val="auto"/>
        </w:rPr>
      </w:pPr>
    </w:p>
    <w:p>
      <w:pPr>
        <w:ind w:left="660" w:hanging="652"/>
        <w:spacing w:after="0" w:line="274" w:lineRule="auto"/>
        <w:tabs>
          <w:tab w:leader="none" w:pos="822" w:val="left"/>
        </w:tabs>
        <w:numPr>
          <w:ilvl w:val="0"/>
          <w:numId w:val="4"/>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Please expand your statement of income to also include the most recent fiscal quarter and corresponding period of the preceding fiscal year in accordance with Rule 10-01(c)(2) of Regulation S-X.</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Based on discussions with the Staff on September 15, 2014, we believe that no further disclosure is necessary pursuant to Rule 10-01(c)(2) of Regulation S-X.</w:t>
      </w:r>
    </w:p>
    <w:p>
      <w:pPr>
        <w:spacing w:after="0" w:line="200" w:lineRule="exact"/>
        <w:rPr>
          <w:sz w:val="20"/>
          <w:szCs w:val="20"/>
          <w:color w:val="auto"/>
        </w:rPr>
      </w:pPr>
    </w:p>
    <w:p>
      <w:pPr>
        <w:ind w:left="4360"/>
        <w:spacing w:after="0"/>
        <w:tabs>
          <w:tab w:leader="none" w:pos="5000" w:val="left"/>
          <w:tab w:leader="none" w:pos="5640" w:val="left"/>
          <w:tab w:leader="none" w:pos="6280" w:val="left"/>
          <w:tab w:leader="none" w:pos="69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September 19,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1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Please direct any questions that you have with respect to the foregoing and any requests for supplemental information to Sarah K. Morgan of Vinson &amp; Elkins L.L.P. at (713) 758-2977.</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CALIFORNIA RESOURCES CORPORATION</w:t>
      </w:r>
    </w:p>
    <w:p>
      <w:pPr>
        <w:spacing w:after="0" w:line="223" w:lineRule="exact"/>
        <w:rPr>
          <w:sz w:val="20"/>
          <w:szCs w:val="20"/>
          <w:color w:val="auto"/>
        </w:rPr>
      </w:pPr>
    </w:p>
    <w:tbl>
      <w:tblPr>
        <w:tblLayout w:type="fixed"/>
        <w:tblInd w:w="572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/s/ Todd A. Stevens</w:t>
            </w: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80" w:type="dxa"/>
            <w:vAlign w:val="bottom"/>
            <w:vMerge w:val="continue"/>
          </w:tcPr>
          <w:p>
            <w:pPr>
              <w:spacing w:after="0"/>
              <w:rPr>
                <w:sz w:val="18"/>
                <w:szCs w:val="18"/>
                <w:color w:val="auto"/>
              </w:rPr>
            </w:pPr>
          </w:p>
        </w:tc>
        <w:tc>
          <w:tcPr>
            <w:tcW w:w="4920" w:type="dxa"/>
            <w:vAlign w:val="bottom"/>
          </w:tcPr>
          <w:p>
            <w:pPr>
              <w:spacing w:after="0" w:line="216" w:lineRule="exact"/>
              <w:rPr>
                <w:sz w:val="20"/>
                <w:szCs w:val="20"/>
                <w:color w:val="auto"/>
              </w:rPr>
            </w:pPr>
            <w:r>
              <w:rPr>
                <w:rFonts w:ascii="Arial" w:cs="Arial" w:eastAsia="Arial" w:hAnsi="Arial"/>
                <w:sz w:val="22"/>
                <w:szCs w:val="22"/>
                <w:color w:val="auto"/>
              </w:rPr>
              <w:t>Todd A. Stevens</w:t>
            </w:r>
          </w:p>
        </w:tc>
        <w:tc>
          <w:tcPr>
            <w:tcW w:w="0" w:type="dxa"/>
            <w:vAlign w:val="bottom"/>
          </w:tcPr>
          <w:p>
            <w:pPr>
              <w:spacing w:after="0"/>
              <w:rPr>
                <w:sz w:val="1"/>
                <w:szCs w:val="1"/>
                <w:color w:val="auto"/>
              </w:rPr>
            </w:pPr>
          </w:p>
        </w:tc>
      </w:tr>
      <w:tr>
        <w:trPr>
          <w:trHeight w:val="261"/>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Enclosures</w:t>
      </w:r>
    </w:p>
    <w:p>
      <w:pPr>
        <w:spacing w:after="0" w:line="215" w:lineRule="exact"/>
        <w:rPr>
          <w:sz w:val="20"/>
          <w:szCs w:val="20"/>
          <w:color w:val="auto"/>
        </w:rPr>
      </w:pPr>
    </w:p>
    <w:p>
      <w:pPr>
        <w:ind w:right="6260" w:firstLine="8"/>
        <w:spacing w:after="0" w:line="252" w:lineRule="auto"/>
        <w:tabs>
          <w:tab w:leader="none" w:pos="306" w:val="left"/>
        </w:tabs>
        <w:numPr>
          <w:ilvl w:val="0"/>
          <w:numId w:val="5"/>
        </w:numPr>
        <w:rPr>
          <w:rFonts w:ascii="Arial" w:cs="Arial" w:eastAsia="Arial" w:hAnsi="Arial"/>
          <w:sz w:val="21"/>
          <w:szCs w:val="21"/>
          <w:color w:val="auto"/>
        </w:rPr>
      </w:pPr>
      <w:r>
        <w:rPr>
          <w:rFonts w:ascii="Arial" w:cs="Arial" w:eastAsia="Arial" w:hAnsi="Arial"/>
          <w:sz w:val="21"/>
          <w:szCs w:val="21"/>
          <w:color w:val="auto"/>
        </w:rPr>
        <w:t>Karina V. Dorin (Securities and Exchange Commission) Marcia E. Backus (Occidental Petroleum Corporation) Michael L. Preston (California Resources Corporation) Sarah K. Morgan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2019-12-08T11:43:25Z</dcterms:created>
  <dcterms:modified xsi:type="dcterms:W3CDTF">2019-12-08T11:43:25Z</dcterms:modified>
</cp:coreProperties>
</file>