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Date of report (Date of earliest event reported): December 14, 2021</w:t>
      </w:r>
    </w:p>
    <w:p>
      <w:pPr>
        <w:spacing w:after="0" w:line="198"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99"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California Resources Corporation</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1417" w:right="479" w:bottom="1440" w:gutter="0" w:footer="0" w:header="0"/>
        </w:sectPr>
      </w:pPr>
    </w:p>
    <w:p>
      <w:pPr>
        <w:spacing w:after="0" w:line="124"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16"/>
          <w:szCs w:val="16"/>
          <w:color w:val="auto"/>
        </w:rPr>
        <w:t>(State or Other Jurisdiction of</w:t>
      </w:r>
    </w:p>
    <w:p>
      <w:pPr>
        <w:spacing w:after="0" w:line="7"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001-36478</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(Commission</w:t>
      </w: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46-5670947</w:t>
      </w:r>
    </w:p>
    <w:p>
      <w:pPr>
        <w:spacing w:after="0" w:line="11"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rPr>
          <w:sz w:val="20"/>
          <w:szCs w:val="20"/>
          <w:color w:val="auto"/>
        </w:rPr>
      </w:pPr>
      <w:r>
        <w:rPr>
          <w:rFonts w:ascii="Arial" w:cs="Arial" w:eastAsia="Arial" w:hAnsi="Arial"/>
          <w:sz w:val="17"/>
          <w:szCs w:val="17"/>
          <w:color w:val="auto"/>
        </w:rPr>
        <w:t>Identification No.)</w:t>
      </w:r>
    </w:p>
    <w:p>
      <w:pPr>
        <w:spacing w:after="0" w:line="108" w:lineRule="exact"/>
        <w:rPr>
          <w:sz w:val="24"/>
          <w:szCs w:val="24"/>
          <w:color w:val="auto"/>
        </w:rPr>
      </w:pPr>
    </w:p>
    <w:p>
      <w:pPr>
        <w:sectPr>
          <w:pgSz w:w="11900" w:h="16838" w:orient="portrait"/>
          <w:cols w:equalWidth="0" w:num="3">
            <w:col w:w="4380" w:space="720"/>
            <w:col w:w="2860" w:space="720"/>
            <w:col w:w="2420"/>
          </w:cols>
          <w:pgMar w:left="320" w:top="1417" w:right="479" w:bottom="1440" w:gutter="0" w:footer="0" w:header="0"/>
          <w:type w:val="continuous"/>
        </w:sectPr>
      </w:pPr>
    </w:p>
    <w:p>
      <w:pPr>
        <w:jc w:val="center"/>
        <w:ind w:right="1840"/>
        <w:spacing w:after="0"/>
        <w:rPr>
          <w:sz w:val="20"/>
          <w:szCs w:val="20"/>
          <w:color w:val="auto"/>
        </w:rPr>
      </w:pPr>
      <w:r>
        <w:rPr>
          <w:rFonts w:ascii="Arial" w:cs="Arial" w:eastAsia="Arial" w:hAnsi="Arial"/>
          <w:sz w:val="16"/>
          <w:szCs w:val="16"/>
          <w:b w:val="1"/>
          <w:bCs w:val="1"/>
          <w:color w:val="auto"/>
        </w:rPr>
        <w:t>27200 Tourney Road</w:t>
      </w:r>
    </w:p>
    <w:p>
      <w:pPr>
        <w:spacing w:after="0" w:line="50"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Suite 200</w:t>
      </w:r>
    </w:p>
    <w:p>
      <w:pPr>
        <w:spacing w:after="0" w:line="23"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Santa Clarita</w:t>
      </w:r>
    </w:p>
    <w:p>
      <w:pPr>
        <w:spacing w:after="0" w:line="23"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91355</w:t>
      </w:r>
    </w:p>
    <w:p>
      <w:pPr>
        <w:spacing w:after="0" w:line="50" w:lineRule="exact"/>
        <w:rPr>
          <w:sz w:val="24"/>
          <w:szCs w:val="24"/>
          <w:color w:val="auto"/>
        </w:rPr>
      </w:pPr>
    </w:p>
    <w:p>
      <w:pPr>
        <w:sectPr>
          <w:pgSz w:w="11900" w:h="16838" w:orient="portrait"/>
          <w:cols w:equalWidth="0" w:num="2">
            <w:col w:w="7460" w:space="720"/>
            <w:col w:w="2920"/>
          </w:cols>
          <w:pgMar w:left="320" w:top="1417" w:right="479" w:bottom="1440" w:gutter="0" w:footer="0" w:header="0"/>
          <w:type w:val="continuous"/>
        </w:sectPr>
      </w:pPr>
    </w:p>
    <w:p>
      <w:pPr>
        <w:ind w:left="13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189" w:lineRule="exact"/>
        <w:rPr>
          <w:sz w:val="24"/>
          <w:szCs w:val="24"/>
          <w:color w:val="auto"/>
        </w:rPr>
      </w:pPr>
    </w:p>
    <w:p>
      <w:pPr>
        <w:sectPr>
          <w:pgSz w:w="11900" w:h="16838" w:orient="portrait"/>
          <w:cols w:equalWidth="0" w:num="2">
            <w:col w:w="7300" w:space="720"/>
            <w:col w:w="3080"/>
          </w:cols>
          <w:pgMar w:left="320" w:top="1417" w:right="479" w:bottom="1440" w:gutter="0" w:footer="0" w:header="0"/>
          <w:type w:val="continuous"/>
        </w:sectPr>
      </w:pPr>
    </w:p>
    <w:p>
      <w:pPr>
        <w:ind w:left="29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7"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27"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27"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27"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16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00"/>
          </w:cols>
          <w:pgMar w:left="320" w:top="1417" w:right="479" w:bottom="1440" w:gutter="0" w:footer="0" w:header="0"/>
          <w:type w:val="continuous"/>
        </w:sectPr>
      </w:pPr>
    </w:p>
    <w:p>
      <w:pPr>
        <w:spacing w:after="0" w:line="127" w:lineRule="exact"/>
        <w:rPr>
          <w:sz w:val="24"/>
          <w:szCs w:val="24"/>
          <w:color w:val="auto"/>
        </w:rPr>
      </w:pPr>
    </w:p>
    <w:p>
      <w:pPr>
        <w:jc w:val="center"/>
        <w:ind w:right="80"/>
        <w:spacing w:after="0"/>
        <w:rPr>
          <w:sz w:val="20"/>
          <w:szCs w:val="20"/>
          <w:color w:val="auto"/>
        </w:rPr>
      </w:pPr>
      <w:r>
        <w:rPr>
          <w:rFonts w:ascii="Arial" w:cs="Arial" w:eastAsia="Arial" w:hAnsi="Arial"/>
          <w:sz w:val="15"/>
          <w:szCs w:val="15"/>
          <w:b w:val="1"/>
          <w:bCs w:val="1"/>
          <w:color w:val="auto"/>
        </w:rPr>
        <w:t>Title of each class</w:t>
      </w:r>
    </w:p>
    <w:p>
      <w:pPr>
        <w:spacing w:after="0" w:line="6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82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CRC</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58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580"/>
        <w:spacing w:after="0"/>
        <w:rPr>
          <w:sz w:val="20"/>
          <w:szCs w:val="20"/>
          <w:color w:val="auto"/>
        </w:rPr>
      </w:pPr>
      <w:r>
        <w:rPr>
          <w:rFonts w:ascii="Arial" w:cs="Arial" w:eastAsia="Arial" w:hAnsi="Arial"/>
          <w:sz w:val="18"/>
          <w:szCs w:val="18"/>
          <w:color w:val="auto"/>
        </w:rPr>
        <w:t>New York Stock Exchange</w:t>
      </w:r>
    </w:p>
    <w:p>
      <w:pPr>
        <w:spacing w:after="0" w:line="170" w:lineRule="exact"/>
        <w:rPr>
          <w:sz w:val="24"/>
          <w:szCs w:val="24"/>
          <w:color w:val="auto"/>
        </w:rPr>
      </w:pPr>
    </w:p>
    <w:p>
      <w:pPr>
        <w:sectPr>
          <w:pgSz w:w="11900" w:h="16838" w:orient="portrait"/>
          <w:cols w:equalWidth="0" w:num="3">
            <w:col w:w="3480" w:space="720"/>
            <w:col w:w="2260" w:space="720"/>
            <w:col w:w="3920"/>
          </w:cols>
          <w:pgMar w:left="320" w:top="1417" w:right="47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6"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13" w:lineRule="exact"/>
        <w:rPr>
          <w:sz w:val="24"/>
          <w:szCs w:val="24"/>
          <w:color w:val="auto"/>
        </w:rPr>
      </w:pPr>
    </w:p>
    <w:p>
      <w:pPr>
        <w:ind w:right="20"/>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776605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417" w:right="479" w:bottom="1440" w:gutter="0" w:footer="0" w:header="0"/>
          <w:type w:val="continuous"/>
        </w:sectPr>
      </w:pPr>
    </w:p>
    <w:bookmarkStart w:id="1" w:name="page2"/>
    <w:bookmarkEnd w:id="1"/>
    <w:p>
      <w:pPr>
        <w:spacing w:after="0" w:line="342" w:lineRule="exact"/>
        <w:rPr>
          <w:sz w:val="20"/>
          <w:szCs w:val="20"/>
          <w:color w:val="auto"/>
        </w:rPr>
      </w:pPr>
    </w:p>
    <w:p>
      <w:pPr>
        <w:ind w:left="940" w:right="20" w:hanging="1295"/>
        <w:spacing w:after="0" w:line="266" w:lineRule="auto"/>
        <w:tabs>
          <w:tab w:leader="none" w:pos="92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2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December 14, 2021, the Board of Directors (the “Board”) of California Resources Corporation (the “Company”) elected Ms. Alejandra Veltmann to fill a vacancy on the Board. Ms. Veltmann will also serve the Chair of the Audit Committee of the Board. The Board determined that Ms. Veltmann qualifies as an independent director and audit committee financial expert under the applicable standards set forth in the rules and regulations of the Securities and Exchange Commission (the “SEC”) and the listing standards of the New York Stock Exchange (“NYSE”).</w:t>
      </w:r>
    </w:p>
    <w:p>
      <w:pPr>
        <w:spacing w:after="0" w:line="13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Ms. Veltmann, 53, has over 28 years of experience as a global financial leader of publicly-listed entities, private entrepreneurial companies and global auditing firms. Since 2018, she has served as founder, CEO and sole director of ESG Lynk, a leading sustainability reporting company. From 2015 to 2018, she was the Vice President and Chief Accounting Officer of Paragon Offshore Plc., an offshore drilling company. From 2010 to 2015, she worked in various roles including Corporate Controller and Vice President and Chief Accounting Officer at Geokinetics, Inc., formerly one of the world’s largest independent land and seafloor geophysical companies. She also worked in various auditor capacities at KPMG LLP from 1995 to 2002 and before that at Arthur Andersen LLP from 1992 to 1995. Since 2021, she has served as a director and chair of the Audit Committee for Structural Integrity Associates, a provider of life cycle engineering solutions. She has served as a Board member of The University of New Mexico Robert O. Anderson School of Management since 2018, and as an Advisory Council member of the K.B. Hutchison Center for Energy, Law &amp; Business at The University of Texas at Austin since 2019. Ms. Veltmann is a certified public accountant and holds the FSA Credential from the Sustainability Accounting Standards Board (SASB). She has a BBA degree in Accounting from The University of New Mexico, and is an alumna of the Advanced Management Program at Harvard Business School.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There are no arrangements or understandings between Ms. Veltmann and any other persons under which she was selected as a director.</w:t>
      </w:r>
    </w:p>
    <w:p>
      <w:pPr>
        <w:spacing w:after="0" w:line="18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connection with her appointment, the Company and Ms. Veltmann will enter into an indemnification agreement which requires the Company to indemnify her to the fullest extent permitted under Delaware law against liability that may arise by reason of her service as a director, and to advance expenses incurred as a result of any proceeding against her as to which she could be indemnified. The foregoing description of the indemnification agreement is not complete and is qualified in its entirety by reference to the full text of the indemnification agreement, a form of which is filed as Exhibit 10.1 to the Company’s Current Report on Form 8-K filed October 27, 2020.</w:t>
      </w:r>
    </w:p>
    <w:p>
      <w:pPr>
        <w:spacing w:after="0" w:line="14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Ms. Veltmann will receive the same annual director compensation as is paid to the other non-employee directors under the Company’s compensation program for non-employee directors. The specific terms of such compensation are described further in the Company’s annual definitive proxy statement that was filed with the SEC on March 30,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Our Board Chair, Ms. Tiffany (TJ) Thom Cepak, will continue to serve as a member of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 Michael L. Preston</w:t>
      </w:r>
    </w:p>
    <w:p>
      <w:pPr>
        <w:spacing w:after="0" w:line="23" w:lineRule="exact"/>
        <w:rPr>
          <w:sz w:val="20"/>
          <w:szCs w:val="20"/>
          <w:color w:val="auto"/>
        </w:rPr>
      </w:pPr>
    </w:p>
    <w:tbl>
      <w:tblPr>
        <w:tblLayout w:type="fixed"/>
        <w:tblInd w:w="4800" w:type="dxa"/>
        <w:tblCellMar>
          <w:top w:w="0" w:type="dxa"/>
          <w:left w:w="0" w:type="dxa"/>
          <w:bottom w:w="0" w:type="dxa"/>
          <w:right w:w="0" w:type="dxa"/>
        </w:tblCellMar>
      </w:tblPr>
      <w:tr>
        <w:trPr>
          <w:trHeight w:val="222"/>
        </w:trPr>
        <w:tc>
          <w:tcPr>
            <w:tcW w:w="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Michael L. Preston</w:t>
            </w:r>
          </w:p>
        </w:tc>
      </w:tr>
      <w:tr>
        <w:trPr>
          <w:trHeight w:val="216"/>
        </w:trPr>
        <w:tc>
          <w:tcPr>
            <w:tcW w:w="740" w:type="dxa"/>
            <w:vAlign w:val="bottom"/>
          </w:tcPr>
          <w:p>
            <w:pPr>
              <w:ind w:left="20"/>
              <w:spacing w:after="0"/>
              <w:rPr>
                <w:sz w:val="20"/>
                <w:szCs w:val="20"/>
                <w:color w:val="auto"/>
              </w:rPr>
            </w:pPr>
            <w:r>
              <w:rPr>
                <w:rFonts w:ascii="Arial" w:cs="Arial" w:eastAsia="Arial" w:hAnsi="Arial"/>
                <w:sz w:val="18"/>
                <w:szCs w:val="18"/>
                <w:color w:val="auto"/>
              </w:rPr>
              <w:t>Title:</w:t>
            </w:r>
          </w:p>
        </w:tc>
        <w:tc>
          <w:tcPr>
            <w:tcW w:w="5700" w:type="dxa"/>
            <w:vAlign w:val="bottom"/>
          </w:tcPr>
          <w:p>
            <w:pPr>
              <w:ind w:left="240"/>
              <w:spacing w:after="0"/>
              <w:rPr>
                <w:sz w:val="20"/>
                <w:szCs w:val="20"/>
                <w:color w:val="auto"/>
              </w:rPr>
            </w:pPr>
            <w:r>
              <w:rPr>
                <w:rFonts w:ascii="Arial" w:cs="Arial" w:eastAsia="Arial" w:hAnsi="Arial"/>
                <w:sz w:val="18"/>
                <w:szCs w:val="18"/>
                <w:color w:val="auto"/>
              </w:rPr>
              <w:t>Executive Vice President, Chief Administrative Officer and General</w:t>
            </w:r>
          </w:p>
        </w:tc>
      </w:tr>
      <w:tr>
        <w:trPr>
          <w:trHeight w:val="230"/>
        </w:trPr>
        <w:tc>
          <w:tcPr>
            <w:tcW w:w="740" w:type="dxa"/>
            <w:vAlign w:val="bottom"/>
          </w:tcPr>
          <w:p>
            <w:pPr>
              <w:spacing w:after="0"/>
              <w:rPr>
                <w:sz w:val="20"/>
                <w:szCs w:val="20"/>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15, 2021</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2021-12-15T15:33:35Z</dcterms:created>
  <dcterms:modified xsi:type="dcterms:W3CDTF">2021-12-15T15:33:35Z</dcterms:modified>
</cp:coreProperties>
</file>